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440113-2023-08223</w:t>
      </w:r>
    </w:p>
    <w:p>
      <w:pPr>
        <w:jc w:val="center"/>
      </w:pPr>
      <w:r>
        <w:rPr>
          <w:b/>
          <w:sz w:val="24"/>
        </w:rPr>
        <w:t>采购项目编号：</w:t>
      </w:r>
      <w:r>
        <w:rPr>
          <w:b/>
          <w:sz w:val="24"/>
        </w:rPr>
        <w:t>GZGK23D295A0931Z</w:t>
      </w:r>
    </w:p>
    <w:p>
      <w:pPr>
        <w:jc w:val="center"/>
      </w:pPr>
      <w:r>
        <w:rPr>
          <w:b/>
          <w:sz w:val="24"/>
        </w:rPr>
        <w:t>项目名称：</w:t>
      </w:r>
      <w:r>
        <w:rPr>
          <w:b/>
          <w:sz w:val="24"/>
        </w:rPr>
        <w:t>广州市番禺区中心医院医疗设备采购项目（八）(二次)</w:t>
      </w:r>
    </w:p>
    <w:p>
      <w:pPr>
        <w:jc w:val="center"/>
      </w:pPr>
      <w:r>
        <w:rPr>
          <w:b/>
          <w:sz w:val="24"/>
        </w:rPr>
        <w:t>采购人：</w:t>
      </w:r>
      <w:r>
        <w:rPr>
          <w:b/>
          <w:sz w:val="24"/>
        </w:rPr>
        <w:t>广州市番禺区中心医院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广州市番禺区中心医院</w:t>
      </w:r>
      <w:r>
        <w:rPr/>
        <w:t>的委托，采用</w:t>
      </w:r>
      <w:r>
        <w:rPr/>
        <w:t>公开招标</w:t>
      </w:r>
      <w:r>
        <w:rPr/>
        <w:t>方式组织采购</w:t>
      </w:r>
      <w:r>
        <w:rPr/>
        <w:t>广州市番禺区中心医院医疗设备采购项目（八）(二次)</w:t>
      </w:r>
      <w:r>
        <w:rPr/>
        <w:t>。欢迎符合资格条件的国内供应商参加投标。</w:t>
      </w:r>
    </w:p>
    <w:p>
      <w:r>
        <w:rPr>
          <w:b/>
          <w:sz w:val="28"/>
        </w:rPr>
        <w:t>一.项目概述</w:t>
      </w:r>
    </w:p>
    <w:p>
      <w:r>
        <w:rPr>
          <w:b/>
          <w:sz w:val="24"/>
        </w:rPr>
        <w:t>1.名称与编号</w:t>
      </w:r>
    </w:p>
    <w:p>
      <w:pPr>
        <w:ind w:firstLine="480"/>
      </w:pPr>
      <w:r>
        <w:rPr/>
        <w:t>项目名称：</w:t>
      </w:r>
      <w:r>
        <w:rPr/>
        <w:t>广州市番禺区中心医院医疗设备采购项目（八）(二次)</w:t>
      </w:r>
    </w:p>
    <w:p>
      <w:pPr>
        <w:ind w:firstLine="480"/>
      </w:pPr>
      <w:r>
        <w:rPr/>
        <w:t>采购计划编号：</w:t>
      </w:r>
      <w:r>
        <w:rPr/>
        <w:t>440113-2023-08223</w:t>
      </w:r>
    </w:p>
    <w:p>
      <w:pPr>
        <w:ind w:firstLine="480"/>
      </w:pPr>
      <w:r>
        <w:rPr/>
        <w:t>采购项目编号：</w:t>
      </w:r>
      <w:r>
        <w:rPr/>
        <w:t>GZGK23D295A0931Z</w:t>
      </w:r>
    </w:p>
    <w:p>
      <w:pPr>
        <w:ind w:firstLine="480"/>
      </w:pPr>
      <w:r>
        <w:rPr/>
        <w:t>采购方式：</w:t>
      </w:r>
      <w:r>
        <w:rPr/>
        <w:t>公开招标</w:t>
      </w:r>
    </w:p>
    <w:p>
      <w:pPr>
        <w:ind w:firstLine="480"/>
      </w:pPr>
      <w:r>
        <w:rPr/>
        <w:t>预算金额：</w:t>
      </w:r>
      <w:r>
        <w:rPr/>
        <w:t>1,375,000.00</w:t>
      </w:r>
      <w:r>
        <w:rPr/>
        <w:t>元</w:t>
      </w:r>
    </w:p>
    <w:p>
      <w:r>
        <w:rPr>
          <w:b/>
          <w:sz w:val="24"/>
        </w:rPr>
        <w:t>2.项目内容及需求情况（采购项目技术规格、参数及要求）</w:t>
      </w:r>
    </w:p>
    <w:p>
      <w:pPr>
        <w:ind w:firstLine="480"/>
      </w:pPr>
    </w:p>
    <w:p/>
    <w:p>
      <w:r>
        <w:rPr/>
        <w:t>采购包1(中央母胎监护系统):</w:t>
      </w:r>
    </w:p>
    <w:p>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医用电子生理参数检测仪器设备</w:t>
            </w:r>
          </w:p>
        </w:tc>
        <w:tc>
          <w:tcPr>
            <w:tcW w:type="dxa" w:w="2136"/>
          </w:tcPr>
          <w:p>
            <w:r>
              <w:rPr/>
              <w:t>中央母胎监护系统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采购包2(眩晕VR耳呜康复仪（康复训练仪）):</w:t>
      </w:r>
    </w:p>
    <w:p>
      <w:r>
        <w:rPr/>
        <w:t>采购包预算金额：165,000.00元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物理治疗、康复及体育治疗仪器设备</w:t>
            </w:r>
          </w:p>
        </w:tc>
        <w:tc>
          <w:tcPr>
            <w:tcW w:type="dxa" w:w="2136"/>
          </w:tcPr>
          <w:p>
            <w:r>
              <w:rPr/>
              <w:t>眩晕VR耳呜康复仪（康复训练仪）</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采购包3(心肺评估仪):</w:t>
      </w:r>
    </w:p>
    <w:p>
      <w:r>
        <w:rPr/>
        <w:t>采购包预算金额：910,000.00元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物理治疗、康复及体育治疗仪器设备</w:t>
            </w:r>
          </w:p>
        </w:tc>
        <w:tc>
          <w:tcPr>
            <w:tcW w:type="dxa" w:w="2136"/>
          </w:tcPr>
          <w:p>
            <w:r>
              <w:rPr/>
              <w:t>心肺评估仪</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采购包1（中央母胎监护系统）：</w:t>
      </w:r>
      <w:r>
        <w:rPr/>
        <w:t>采购包整体专门面向中小企业，全部货物须由中小微企业或监狱企业或残疾人福利性单位制造。</w:t>
      </w:r>
    </w:p>
    <w:p>
      <w:pPr>
        <w:jc w:val="left"/>
      </w:pPr>
    </w:p>
    <w:p>
      <w:r>
        <w:rPr/>
        <w:t>采购包2（眩晕VR耳呜康复仪（康复训练仪））：</w:t>
      </w:r>
      <w:r>
        <w:rPr/>
        <w:t>参与的供应商（联合体）提供的货物全部由符合政策要求的中小企业制造。</w:t>
      </w:r>
    </w:p>
    <w:p>
      <w:pPr>
        <w:jc w:val="left"/>
      </w:pPr>
    </w:p>
    <w:p>
      <w:r>
        <w:rPr/>
        <w:t>采购包3（心肺评估仪）：</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采购包1（中央母胎监护系统）：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如供应商为所投产品的生产企业，若所投产品为第一类医疗器械，应提供有效的《医疗器械生产备案凭证》复印件或承诺供货前取得《医疗器械生产备案凭证》；若所投产品为第二类或第三类医疗器械，应提供有效的《医疗器械生产许可证》复印件；如国家另有规定，则适用其规定。  供应商为所投产品代理经营企业的，若所投产品为第二类医疗器械，应提供有效的《医疗器械经营备案凭证》复印件或承诺供货前取得《医疗器械经营备案凭证》，若所投产品为第三类医疗器械，应提供有效的《医疗器械经营许可证》。</w:t>
      </w:r>
    </w:p>
    <w:p/>
    <w:p>
      <w:r>
        <w:rPr/>
        <w:t>采购包2（眩晕VR耳呜康复仪（康复训练仪））：</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如供应商为所投产品的生产企业，若所投产品为第一类医疗器械，应提供有效的《医疗器械生产备案凭证》复印件或承诺供货前取得《医疗器械生产备案凭证》；若所投产品为第二类或第三类医疗器械，应提供有效的《医疗器械生产许可证》复印件；如国家另有规定，则适用其规定。  供应商为所投产品代理经营企业的，若所投产品为第二类医疗器械，应提供有效的《医疗器械经营备案凭证》复印件或承诺供货前取得《医疗器械经营备案凭证》，若所投产品为第三类医疗器械，应提供有效的《医疗器械经营许可证》。</w:t>
      </w:r>
    </w:p>
    <w:p/>
    <w:p>
      <w:r>
        <w:rPr/>
        <w:t>采购包3（心肺评估仪）：</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如供应商为所投产品的生产企业，若所投产品为第一类医疗器械，应提供有效的《医疗器械生产备案凭证》复印件或承诺供货前取得《医疗器械生产备案凭证》；若所投产品为第二类或第三类医疗器械，应提供有效的《医疗器械生产许可证》复印件；如国家另有规定，则适用其规定。  供应商为所投产品代理经营企业的，若所投产品为第二类医疗器械，应提供有效的《医疗器械经营备案凭证》复印件或承诺供货前取得《医疗器械经营备案凭证》，若所投产品为第三类医疗器械，应提供有效的《医疗器械经营许可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广州市番禺区中心医院</w:t>
      </w:r>
    </w:p>
    <w:p>
      <w:pPr>
        <w:ind w:firstLine="480"/>
      </w:pPr>
      <w:r>
        <w:rPr/>
        <w:t>地址：</w:t>
      </w:r>
      <w:r>
        <w:rPr/>
        <w:t>广州市番禺区桥南街福愉东路8号</w:t>
      </w:r>
    </w:p>
    <w:p>
      <w:pPr>
        <w:ind w:firstLine="480"/>
      </w:pPr>
      <w:r>
        <w:rPr/>
        <w:t>联系方式：</w:t>
      </w:r>
      <w:r>
        <w:rPr/>
        <w:t>020-34858891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020-87684726，020-87688847</w:t>
      </w:r>
    </w:p>
    <w:p>
      <w:r>
        <w:rPr>
          <w:b/>
          <w:sz w:val="24"/>
        </w:rPr>
        <w:t>3.项目联系方式</w:t>
      </w:r>
    </w:p>
    <w:p>
      <w:pPr>
        <w:ind w:firstLine="480"/>
      </w:pPr>
      <w:r>
        <w:rPr/>
        <w:t>项目联系人：</w:t>
      </w:r>
      <w:r>
        <w:rPr/>
        <w:t>李玉霜、李年秀</w:t>
      </w:r>
    </w:p>
    <w:p>
      <w:pPr>
        <w:ind w:firstLine="480"/>
      </w:pPr>
      <w:r>
        <w:rPr/>
        <w:t>电话：</w:t>
      </w:r>
      <w:r>
        <w:rPr/>
        <w:t>020-87684726，020-87688847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 xml:space="preserve">GZGK23D295A0931Z   </w:t>
      </w:r>
    </w:p>
    <w:p>
      <w:pPr>
        <w:jc w:val="both"/>
      </w:pPr>
      <w:r>
        <w:rPr>
          <w:b/>
          <w:sz w:val="21"/>
        </w:rPr>
        <w:t>（二）</w:t>
      </w:r>
      <w:r>
        <w:rPr>
          <w:b/>
          <w:sz w:val="21"/>
        </w:rPr>
        <w:t>项目名称：</w:t>
      </w:r>
      <w:r>
        <w:rPr>
          <w:color w:val="000000"/>
          <w:sz w:val="21"/>
        </w:rPr>
        <w:t>广州市番禺区中心医院医疗设备采购项目（八）（二次）</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投标人必须承诺提供厂商原装、全新的、符合国家及用户提出的有关质量标准的设备。</w:t>
      </w:r>
    </w:p>
    <w:p>
      <w:pPr>
        <w:jc w:val="both"/>
      </w:pPr>
      <w:r>
        <w:rPr>
          <w:sz w:val="21"/>
        </w:rPr>
        <w:t>3、</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5、</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6、</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7、</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8、</w:t>
      </w:r>
      <w:r>
        <w:rPr>
          <w:sz w:val="21"/>
        </w:rPr>
        <w:t>涉及到软件产品的，必须采购和使用正版软件，项目中涉及计算机办公产品的，必须预装正版操作系统软件。</w:t>
      </w:r>
    </w:p>
    <w:p>
      <w:pPr>
        <w:jc w:val="both"/>
      </w:pPr>
      <w:r>
        <w:rPr>
          <w:sz w:val="21"/>
        </w:rPr>
        <w:t>9、</w:t>
      </w:r>
      <w:r>
        <w:rPr>
          <w:sz w:val="21"/>
        </w:rPr>
        <w:t>投标人没有在投标文件中注明偏离（文字说明或在响应表注明）的参数、配置、条款视为被投标人完全接受。</w:t>
      </w:r>
    </w:p>
    <w:p>
      <w:pPr>
        <w:jc w:val="both"/>
      </w:pPr>
      <w:r>
        <w:rPr>
          <w:sz w:val="21"/>
        </w:rPr>
        <w:t>10、</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11、</w:t>
      </w:r>
      <w:r>
        <w:rPr>
          <w:sz w:val="21"/>
        </w:rPr>
        <w:t>不允许中标供应商</w:t>
      </w:r>
      <w:r>
        <w:rPr>
          <w:sz w:val="21"/>
        </w:rPr>
        <w:t>转包、分包中标采购包的内容</w:t>
      </w:r>
      <w:r>
        <w:rPr>
          <w:sz w:val="21"/>
        </w:rPr>
        <w:t>。</w:t>
      </w:r>
    </w:p>
    <w:p>
      <w:pPr>
        <w:jc w:val="both"/>
      </w:pPr>
      <w:r>
        <w:rPr>
          <w:sz w:val="21"/>
        </w:rPr>
        <w:t>12、</w:t>
      </w:r>
      <w:r>
        <w:rPr>
          <w:sz w:val="21"/>
        </w:rPr>
        <w:t>小型和微型企业、监狱企业和残疾人福利性单位必须按照招标（采购）文件第三章内容提供相应的资料。</w:t>
      </w:r>
    </w:p>
    <w:p>
      <w:pPr>
        <w:jc w:val="both"/>
      </w:pPr>
      <w:r>
        <w:rPr>
          <w:sz w:val="21"/>
        </w:rPr>
        <w:t>13、</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14、</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b/>
          <w:sz w:val="21"/>
        </w:rPr>
        <w:t>（四）</w:t>
      </w:r>
      <w:r>
        <w:rPr>
          <w:b/>
          <w:sz w:val="21"/>
        </w:rPr>
        <w:t>投标报价说明</w:t>
      </w:r>
    </w:p>
    <w:p>
      <w:pPr>
        <w:ind w:firstLine="420"/>
        <w:jc w:val="both"/>
      </w:pPr>
      <w:r>
        <w:rPr>
          <w:sz w:val="21"/>
        </w:rPr>
        <w:t>本项目报价包括货物货款、货物包装、运输、安装调试、检测及验收合格之前及保修期内服务及备品备件发生的所有含税费用。</w:t>
      </w:r>
    </w:p>
    <w:p>
      <w:pPr>
        <w:jc w:val="both"/>
      </w:pPr>
      <w:r>
        <w:rPr>
          <w:b/>
          <w:sz w:val="21"/>
        </w:rPr>
        <w:t>（五）</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（六）</w:t>
      </w:r>
      <w:r>
        <w:rPr>
          <w:b/>
          <w:sz w:val="21"/>
        </w:rPr>
        <w:t>需执行国家相关标准、行业标准、地方标准或者其他标准、规范</w:t>
      </w:r>
    </w:p>
    <w:p/>
    <w:p>
      <w:pPr>
        <w:ind w:firstLine="480"/>
      </w:pPr>
    </w:p>
    <w:p/>
    <w:p>
      <w:r>
        <w:rPr/>
        <w:t>采购包1（中央母胎监护系统）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签订合同后30日历天内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1期：支付比例30%,1.合同签订后，中标供应商须向采购人提供中小企业预付款 30%的请款函，采购人自收到请款函后5个工作日内办理支付，支付合同金额30%的预付款；</w:t>
            </w:r>
          </w:p>
          <w:p/>
          <w:p>
            <w:r>
              <w:rPr/>
              <w:t>2期：支付比例70%,2.合同设备全部到指定地点交付并完成安装及验收合格后，中标供应商须向采购人提供以下相应资料和合同全额发票，对于满足合同约定支付条件的，采购人自收到请款函后5个工作日内办理支付手续，自收到发票后15日内完成资金支付，支付合同金额的 70%。 （1）合同复印件； （2） 验收合格报告。</w:t>
            </w:r>
          </w:p>
        </w:tc>
      </w:tr>
      <w:tr>
        <w:tc>
          <w:tcPr>
            <w:tcW w:type="dxa" w:w="4153"/>
          </w:tcPr>
          <w:p>
            <w:r>
              <w:rPr/>
              <w:t>验收要求</w:t>
            </w:r>
          </w:p>
        </w:tc>
        <w:tc>
          <w:tcPr>
            <w:tcW w:type="dxa" w:w="4153"/>
          </w:tcPr>
          <w:p/>
          <w:p/>
          <w:p/>
          <w:p>
            <w:r>
              <w:rPr/>
              <w:t>1期：1. 采购人按照采购合同规定的技术、服务、安全标准组织对中标供应商履约情况进行验收，并出具验收书。验收书应当包括每一项技术、服务、安全标准的履约情况。 2. 交付验收标准依次序对照适用标准为：①符合中华人民共和国国家安全质量标准、环保标准或行业标准；②符合招标文件和投标承诺中采购人认可的合理最佳配置、参数及各项要求；③货物来源国官方标准。 3. 货物为原厂商未启封全新包装，具有出厂合格证，序列号、包装箱号与出厂批号一致，并可追索查阅。所有随设备的附件必须齐全。 4. 中标供应商将货物的用户手册、保修手册、有关单证资料及备品备件、随机工具等交付给采购人，使用操作及安全须知等重要资料应附有中文说明。 5. 货物验收所发生的检验费用由中标供应商负担。 6. 设备到货并经中标供应商技术人员安装后，采购人有权委托中国有资格的单位对上述设备进行校准或检验，设备校准或检定所需的费用由中标供应商负担。 7. 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 中标产品如属国家强制计量产品，需由中标供应商独立完成首次计量强检。 9. 当出现不合格产品时，中标供应商要无条件更换合格产品。除采购人认可，否则不接受任何形式的降格处理。 10．自中标供应商提出验收申请之日起7个工作日内组织验收。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（一）供货要求，★1.中标供应商应保证所提供的设备是制造日期距交货时间不能超过1年，是全新的、未使用过的设备，并符合国家有关标准、制造厂标准及合同技术标准要求。 2.投标人需在投标文件中提供对应的供货服务方案，内容包含交货时间、到货保证措施、交货后售后服务、应急保障等。</w:t>
            </w:r>
          </w:p>
          <w:p/>
          <w:p>
            <w:r>
              <w:rPr/>
              <w:t>（二）安装与调试，1. 中标供应商必须按项目进度安排计划，派出适当的技术人员到安装现场负责安装和调试工作。在安装施工期间，严格遵守采购人的有关规定。 2. 中标供应商必须依照招标文件的要求和投标文件的承诺，将设备、系统安装并调试至正常运行的最佳状态。</w:t>
            </w:r>
          </w:p>
          <w:p/>
          <w:p>
            <w:r>
              <w:rPr/>
              <w:t>（三）技术培训，1. 中标供应商每台设备提供现场安装调试和培训。 2. 应提供完整的培训计划和方案，列明培训人员数量、达到的水平等，培训内容包括设备的操作、日常维修、简单故障的识别及排除等。培训所需全部费用均由中标供应商支付。</w:t>
            </w:r>
          </w:p>
          <w:p/>
          <w:p>
            <w:r>
              <w:rPr/>
              <w:t>（四）保修期，1.自验收合格之日起设备保修期不少于36个月。 1.1 保修期内必须保证95％以上日期（以每年365天计算）能正常工作，如未能达到，应按2倍时间相应延长保修期。 1.2保质保修期内，投标产品必须由中标供应商或原厂负责维修和售后服务（提供原厂售后服务承诺）。每年需对设备进行不少于2次的维护，且每次维护保养需出具维护保养记录。（所需费用均须包含在投标总价内）。 2. 保修期内，所有服务及配件全部包含在报价中。“技术要求”中另有要求的，以其中的要求为准。 3. 保修期自采购人和中标供应商代表在货物安装调试验收后的验收书上签字之日起计算。保修期内中标供应商对所供货物实行包修、包换、包退、包维护保养，保修期后设备维修配件更换只收取成本费用。 4. 保修期内，如设备或零部件因非人为因素出现故障而造成短期停用时，则保修期相应顺延。如停用时间累计超过60天则保修期重新计算。 5. 在保修期内，如货品非因采购人的人为原因而出现的问题由中标供应商负责保修、包换或包退，并承担修理、调换或退货的实际费用。 6. 保修期内，中标供应商负责对其提供的货物整机进行维修和系统维护，不再收取任何费用，但非中标供应商责任的人为因素、自然因素（如火灾、雷击等）造成的故障除外。 7. 保修期内,对采购人的服务通知，中标供应商在接报后2小时内响应，8小时内到达现场，24小时内处理完毕。若在24小时内仍未能有效解决，采购人有权要求中标供应商无偿提供同一档次的设备予采购人临时使用。</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医用电子生理参数检测仪器设备</w:t>
            </w:r>
          </w:p>
        </w:tc>
        <w:tc>
          <w:tcPr>
            <w:tcW w:type="dxa" w:w="831"/>
          </w:tcPr>
          <w:p>
            <w:pPr>
              <w:jc w:val="left"/>
            </w:pPr>
            <w:r>
              <w:rPr/>
              <w:t>中央母胎监护系统</w:t>
            </w:r>
          </w:p>
        </w:tc>
        <w:tc>
          <w:tcPr>
            <w:tcW w:type="dxa" w:w="831"/>
          </w:tcPr>
          <w:p>
            <w:pPr>
              <w:jc w:val="left"/>
            </w:pPr>
            <w:r>
              <w:rPr/>
              <w:t>套</w:t>
            </w:r>
          </w:p>
        </w:tc>
        <w:tc>
          <w:tcPr>
            <w:tcW w:type="dxa" w:w="831"/>
          </w:tcPr>
          <w:p>
            <w:pPr>
              <w:jc w:val="right"/>
            </w:pPr>
            <w:r>
              <w:rPr/>
              <w:t>1.00</w:t>
            </w:r>
          </w:p>
        </w:tc>
        <w:tc>
          <w:tcPr>
            <w:tcW w:type="dxa" w:w="831"/>
          </w:tcPr>
          <w:p>
            <w:pPr>
              <w:jc w:val="right"/>
            </w:pPr>
            <w:r>
              <w:rPr/>
              <w:t>300,000.00</w:t>
            </w:r>
          </w:p>
        </w:tc>
        <w:tc>
          <w:tcPr>
            <w:tcW w:type="dxa" w:w="831"/>
          </w:tcPr>
          <w:p>
            <w:pPr>
              <w:jc w:val="right"/>
            </w:pPr>
            <w:r>
              <w:rPr/>
              <w:t>300,000.00</w:t>
            </w:r>
          </w:p>
        </w:tc>
        <w:tc>
          <w:tcPr>
            <w:tcW w:type="dxa" w:w="831"/>
          </w:tcPr>
          <w:p>
            <w:r>
              <w:rPr/>
              <w:t>工业</w:t>
            </w:r>
          </w:p>
        </w:tc>
        <w:tc>
          <w:tcPr>
            <w:tcW w:type="dxa" w:w="831"/>
          </w:tcPr>
          <w:p>
            <w:r>
              <w:rPr/>
              <w:t>详见附表一</w:t>
            </w:r>
          </w:p>
        </w:tc>
      </w:tr>
    </w:tbl>
    <w:p/>
    <w:p>
      <w:r>
        <w:rPr>
          <w:b/>
        </w:rPr>
        <w:t>附表</w:t>
      </w:r>
      <w:r>
        <w:rPr>
          <w:b/>
        </w:rPr>
        <w:t>一</w:t>
      </w:r>
      <w:r>
        <w:rPr>
          <w:b/>
        </w:rPr>
        <w:t>：</w:t>
      </w:r>
      <w:r>
        <w:rPr>
          <w:b/>
        </w:rPr>
        <w:t>中央母胎监护系统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一、项目需求</w:t>
            </w:r>
          </w:p>
          <w:p>
            <w:pPr>
              <w:jc w:val="left"/>
            </w:pPr>
            <w:r>
              <w:rPr>
                <w:color w:val="000000"/>
                <w:sz w:val="21"/>
              </w:rPr>
              <w:t>中央母胎监护系统</w:t>
            </w:r>
            <w:r>
              <w:rPr>
                <w:sz w:val="21"/>
              </w:rPr>
              <w:t>一套。</w:t>
            </w:r>
          </w:p>
          <w:p>
            <w:pPr>
              <w:jc w:val="left"/>
            </w:pPr>
            <w:r>
              <w:rPr>
                <w:b/>
                <w:sz w:val="21"/>
              </w:rPr>
              <w:t>二、设备功能及主要技术、配置要求</w:t>
            </w:r>
          </w:p>
          <w:p>
            <w:pPr>
              <w:jc w:val="left"/>
            </w:pPr>
            <w:r>
              <w:rPr>
                <w:b/>
                <w:sz w:val="21"/>
              </w:rPr>
              <w:t>（一）设备用途说明：</w:t>
            </w:r>
          </w:p>
          <w:p>
            <w:pPr>
              <w:jc w:val="both"/>
            </w:pPr>
            <w:r>
              <w:rPr>
                <w:sz w:val="21"/>
              </w:rPr>
              <w:t>主要用于</w:t>
            </w:r>
            <w:r>
              <w:rPr>
                <w:sz w:val="21"/>
              </w:rPr>
              <w:t>母亲多参数和胎儿参数的监护，胎儿监护参数包括但不限于胎心率、宫缩压力、胎动；母亲监护参数包括但不限于血压、血氧、脉率、心电、呼吸等</w:t>
            </w:r>
            <w:r>
              <w:rPr>
                <w:sz w:val="21"/>
              </w:rPr>
              <w:t>。</w:t>
            </w:r>
          </w:p>
          <w:p>
            <w:pPr>
              <w:jc w:val="both"/>
            </w:pPr>
            <w:r>
              <w:rPr>
                <w:sz w:val="21"/>
              </w:rPr>
              <w:t>（二）设备要求</w:t>
            </w:r>
          </w:p>
          <w:p>
            <w:pPr>
              <w:ind w:firstLine="210"/>
              <w:jc w:val="both"/>
            </w:pPr>
            <w:r>
              <w:rPr>
                <w:sz w:val="21"/>
              </w:rPr>
              <w:t>★</w:t>
            </w:r>
            <w:r>
              <w:rPr>
                <w:sz w:val="21"/>
              </w:rPr>
              <w:t>投标产品如属</w:t>
            </w:r>
            <w:r>
              <w:rPr>
                <w:sz w:val="21"/>
              </w:rPr>
              <w:t>一类医疗器械产品的须提供产品备案登记凭证，如属二类或三类医疗器械产品的须提供产品的《医疗器械注册证》</w:t>
            </w:r>
            <w:r>
              <w:rPr>
                <w:sz w:val="21"/>
              </w:rPr>
              <w:t>（无强制要求的除外，以国家药品监督管理局网上的数据库中查询的数据为准）。</w:t>
            </w:r>
          </w:p>
          <w:p>
            <w:pPr>
              <w:jc w:val="both"/>
            </w:pPr>
            <w:r>
              <w:rPr>
                <w:b/>
                <w:color w:val="000000"/>
                <w:sz w:val="21"/>
              </w:rPr>
              <w:t>（三）</w:t>
            </w:r>
            <w:r>
              <w:rPr>
                <w:b/>
                <w:sz w:val="21"/>
              </w:rPr>
              <w:t>设备主要规格、技术要求</w:t>
            </w:r>
            <w:r>
              <w:rPr>
                <w:b/>
                <w:color w:val="000000"/>
                <w:sz w:val="21"/>
              </w:rPr>
              <w:t>：</w:t>
            </w:r>
          </w:p>
          <w:p>
            <w:pPr>
              <w:jc w:val="both"/>
            </w:pPr>
            <w:r>
              <w:rPr>
                <w:b/>
                <w:sz w:val="21"/>
              </w:rPr>
              <w:t>1</w:t>
            </w:r>
            <w:r>
              <w:rPr>
                <w:b/>
                <w:sz w:val="21"/>
              </w:rPr>
              <w:t>.</w:t>
            </w:r>
            <w:r>
              <w:rPr>
                <w:b/>
                <w:color w:val="000000"/>
                <w:sz w:val="21"/>
              </w:rPr>
              <w:t>产科中央监护网络系统</w:t>
            </w:r>
            <w:r>
              <w:rPr>
                <w:b/>
                <w:sz w:val="21"/>
              </w:rPr>
              <w:t>技术</w:t>
            </w:r>
            <w:r>
              <w:rPr>
                <w:b/>
                <w:sz w:val="21"/>
              </w:rPr>
              <w:t>参数：</w:t>
            </w:r>
          </w:p>
          <w:p>
            <w:pPr>
              <w:jc w:val="left"/>
            </w:pPr>
            <w:r>
              <w:rPr>
                <w:sz w:val="21"/>
              </w:rPr>
              <w:t>1.1</w:t>
            </w:r>
            <w:r>
              <w:rPr>
                <w:sz w:val="21"/>
              </w:rPr>
              <w:t>产科中央监护网络系统配置：一体式</w:t>
            </w:r>
            <w:r>
              <w:rPr>
                <w:sz w:val="21"/>
              </w:rPr>
              <w:t>主机</w:t>
            </w:r>
            <w:r>
              <w:rPr>
                <w:sz w:val="21"/>
              </w:rPr>
              <w:t>；医用监视器：</w:t>
            </w:r>
            <w:r>
              <w:rPr>
                <w:sz w:val="21"/>
              </w:rPr>
              <w:t>≥22寸；主机：内存≥4G，硬盘≥1T，配置黑白激光图文输出设备。</w:t>
            </w:r>
          </w:p>
          <w:p>
            <w:pPr>
              <w:jc w:val="left"/>
            </w:pPr>
            <w:r>
              <w:rPr>
                <w:sz w:val="21"/>
              </w:rPr>
              <w:t>1.2</w:t>
            </w:r>
            <w:r>
              <w:rPr>
                <w:sz w:val="21"/>
              </w:rPr>
              <w:t>联网方式：支持多种网络双向互联，包括（不限于）医疗无线网络、</w:t>
            </w:r>
            <w:r>
              <w:rPr>
                <w:sz w:val="21"/>
              </w:rPr>
              <w:t>RS485、以太网(含WIFI)，可按需组合。</w:t>
            </w:r>
            <w:r>
              <w:rPr>
                <w:sz w:val="21"/>
              </w:rPr>
              <w:t>网络容量：</w:t>
            </w:r>
            <w:r>
              <w:rPr>
                <w:sz w:val="21"/>
              </w:rPr>
              <w:t>≥1</w:t>
            </w:r>
            <w:r>
              <w:rPr>
                <w:sz w:val="21"/>
              </w:rPr>
              <w:t>0</w:t>
            </w:r>
            <w:r>
              <w:rPr>
                <w:sz w:val="21"/>
              </w:rPr>
              <w:t>0台以上母亲/胎儿监护仪同时进行联网使用；数据传输：三网互通（</w:t>
            </w:r>
            <w:r>
              <w:rPr>
                <w:sz w:val="21"/>
              </w:rPr>
              <w:t>RS485/</w:t>
            </w:r>
            <w:r>
              <w:rPr>
                <w:sz w:val="21"/>
              </w:rPr>
              <w:t>无线</w:t>
            </w:r>
            <w:r>
              <w:rPr>
                <w:sz w:val="21"/>
              </w:rPr>
              <w:t>/</w:t>
            </w:r>
            <w:r>
              <w:rPr>
                <w:sz w:val="21"/>
              </w:rPr>
              <w:t>以太网），任意子机之间可双向通信。</w:t>
            </w:r>
          </w:p>
          <w:p>
            <w:pPr>
              <w:jc w:val="left"/>
            </w:pPr>
            <w:r>
              <w:rPr>
                <w:sz w:val="21"/>
              </w:rPr>
              <w:t>1.3</w:t>
            </w:r>
            <w:r>
              <w:rPr>
                <w:sz w:val="21"/>
              </w:rPr>
              <w:t>无线网络：采用医疗专用频段，超低射频功率峰值</w:t>
            </w:r>
            <w:r>
              <w:rPr>
                <w:sz w:val="21"/>
              </w:rPr>
              <w:t>≤10mW，</w:t>
            </w:r>
            <w:r>
              <w:rPr>
                <w:sz w:val="21"/>
              </w:rPr>
              <w:t>频率范围：</w:t>
            </w:r>
            <w:r>
              <w:rPr>
                <w:sz w:val="21"/>
              </w:rPr>
              <w:t>407-425MHz。</w:t>
            </w:r>
            <w:r>
              <w:rPr>
                <w:b/>
                <w:sz w:val="21"/>
              </w:rPr>
              <w:t>（提供无线电核准证证明）</w:t>
            </w:r>
          </w:p>
          <w:p>
            <w:pPr>
              <w:jc w:val="both"/>
            </w:pPr>
            <w:r>
              <w:rPr>
                <w:sz w:val="21"/>
              </w:rPr>
              <w:t>1.4</w:t>
            </w:r>
            <w:r>
              <w:rPr>
                <w:sz w:val="21"/>
              </w:rPr>
              <w:t>可配置建立多监护分中心功能，</w:t>
            </w:r>
            <w:r>
              <w:rPr>
                <w:sz w:val="21"/>
              </w:rPr>
              <w:t>增加数量支持</w:t>
            </w:r>
            <w:r>
              <w:rPr>
                <w:sz w:val="21"/>
              </w:rPr>
              <w:t>≥32个客户端，</w:t>
            </w:r>
            <w:r>
              <w:rPr>
                <w:sz w:val="21"/>
              </w:rPr>
              <w:t>分监护中心可独立工作，同时与产科中央监护网络系统实现数据共享</w:t>
            </w:r>
            <w:r>
              <w:rPr>
                <w:sz w:val="21"/>
              </w:rPr>
              <w:t>。</w:t>
            </w:r>
            <w:r>
              <w:rPr>
                <w:sz w:val="21"/>
              </w:rPr>
              <w:t xml:space="preserve"> </w:t>
            </w:r>
          </w:p>
          <w:p>
            <w:pPr>
              <w:jc w:val="left"/>
            </w:pPr>
            <w:r>
              <w:rPr>
                <w:sz w:val="21"/>
              </w:rPr>
              <w:t>1.5</w:t>
            </w:r>
            <w:r>
              <w:rPr>
                <w:sz w:val="21"/>
              </w:rPr>
              <w:t>具有趋势图分析功能：提供短变异、胎动、胎心率基线随孕周变化的趋势图和提供短变异、胎心率变异功率谱分析功能。</w:t>
            </w:r>
          </w:p>
          <w:p>
            <w:pPr>
              <w:jc w:val="left"/>
            </w:pPr>
            <w:r>
              <w:rPr>
                <w:sz w:val="21"/>
              </w:rPr>
              <w:t>1.6</w:t>
            </w:r>
            <w:r>
              <w:rPr>
                <w:sz w:val="21"/>
              </w:rPr>
              <w:t>具有实时分析功能：可对所选段曲线的宫缩次数、胎动次数、</w:t>
            </w:r>
            <w:r>
              <w:rPr>
                <w:sz w:val="21"/>
              </w:rPr>
              <w:t>FHR基线值、加速次数、减速次数、高变异时间、短变异等参数指标进行实时计算显示。</w:t>
            </w:r>
          </w:p>
          <w:p>
            <w:pPr>
              <w:jc w:val="left"/>
            </w:pPr>
            <w:r>
              <w:rPr>
                <w:sz w:val="21"/>
              </w:rPr>
              <w:t>1.7</w:t>
            </w:r>
            <w:r>
              <w:rPr>
                <w:sz w:val="21"/>
              </w:rPr>
              <w:t>配置软件分析算法，自动识别加、减速类型。</w:t>
            </w:r>
          </w:p>
          <w:p>
            <w:pPr>
              <w:jc w:val="left"/>
            </w:pPr>
            <w:r>
              <w:rPr>
                <w:sz w:val="21"/>
              </w:rPr>
              <w:t>1.</w:t>
            </w:r>
            <w:r>
              <w:rPr>
                <w:sz w:val="21"/>
              </w:rPr>
              <w:t>8配置胎心曲线辅助分析功能，具有曲线放大、胎心基线卡尺、加速卡尺、减速卡尺等功能。</w:t>
            </w:r>
          </w:p>
          <w:p>
            <w:pPr>
              <w:jc w:val="both"/>
            </w:pPr>
            <w:r>
              <w:rPr>
                <w:sz w:val="21"/>
              </w:rPr>
              <w:t>1.</w:t>
            </w:r>
            <w:r>
              <w:rPr>
                <w:sz w:val="21"/>
              </w:rPr>
              <w:t>9配置工作界面自定义功能：提供3种以上标准工作界面，支持（不限于）NICE 2007/FIGO 2015/SFOG 2017等，可自定义设置曲线、数值、报警区间等监护区域颜色。</w:t>
            </w:r>
          </w:p>
          <w:p>
            <w:pPr>
              <w:jc w:val="both"/>
            </w:pPr>
            <w:r>
              <w:rPr>
                <w:sz w:val="21"/>
              </w:rPr>
              <w:t>1.1</w:t>
            </w:r>
            <w:r>
              <w:rPr>
                <w:sz w:val="21"/>
              </w:rPr>
              <w:t>0系统具备</w:t>
            </w:r>
            <w:r>
              <w:rPr>
                <w:color w:val="000000"/>
                <w:sz w:val="21"/>
              </w:rPr>
              <w:t>子机（各类胎儿</w:t>
            </w:r>
            <w:r>
              <w:rPr>
                <w:color w:val="000000"/>
                <w:sz w:val="21"/>
              </w:rPr>
              <w:t>/母亲胎儿监护仪）</w:t>
            </w:r>
            <w:r>
              <w:rPr>
                <w:color w:val="000000"/>
                <w:sz w:val="21"/>
              </w:rPr>
              <w:t>分组</w:t>
            </w:r>
            <w:r>
              <w:rPr>
                <w:color w:val="000000"/>
                <w:sz w:val="21"/>
              </w:rPr>
              <w:t>显示</w:t>
            </w:r>
            <w:r>
              <w:rPr>
                <w:color w:val="000000"/>
                <w:sz w:val="21"/>
              </w:rPr>
              <w:t>功能，可</w:t>
            </w:r>
            <w:r>
              <w:rPr>
                <w:color w:val="000000"/>
                <w:sz w:val="21"/>
              </w:rPr>
              <w:t>归集任意</w:t>
            </w:r>
            <w:r>
              <w:rPr>
                <w:color w:val="000000"/>
                <w:sz w:val="21"/>
              </w:rPr>
              <w:t>子机指定分组，</w:t>
            </w:r>
            <w:r>
              <w:rPr>
                <w:color w:val="000000"/>
                <w:sz w:val="21"/>
              </w:rPr>
              <w:t>每个分监护中心可自由选择需要监护的子机进行分组显示，也可屏蔽无需显示子机信息。</w:t>
            </w:r>
          </w:p>
          <w:p>
            <w:pPr>
              <w:jc w:val="both"/>
            </w:pPr>
            <w:r>
              <w:rPr>
                <w:sz w:val="21"/>
              </w:rPr>
              <w:t>1.</w:t>
            </w:r>
            <w:r>
              <w:rPr>
                <w:sz w:val="21"/>
              </w:rPr>
              <w:t>11具备三级（高中低）报警系统、保存报警记录。</w:t>
            </w:r>
          </w:p>
          <w:p>
            <w:pPr>
              <w:jc w:val="both"/>
            </w:pPr>
            <w:r>
              <w:rPr>
                <w:sz w:val="21"/>
              </w:rPr>
              <w:t>1</w:t>
            </w:r>
            <w:r>
              <w:rPr>
                <w:sz w:val="21"/>
              </w:rPr>
              <w:t>.1</w:t>
            </w:r>
            <w:r>
              <w:rPr>
                <w:sz w:val="21"/>
              </w:rPr>
              <w:t>2系统具备断电保护功能，可实现30秒自动保存数据。</w:t>
            </w:r>
          </w:p>
          <w:p>
            <w:pPr>
              <w:jc w:val="both"/>
            </w:pPr>
            <w:r>
              <w:rPr>
                <w:sz w:val="21"/>
              </w:rPr>
              <w:t>1.</w:t>
            </w:r>
            <w:r>
              <w:rPr>
                <w:sz w:val="21"/>
              </w:rPr>
              <w:t>13具备信息同步功能：在任一监护中心录入孕妇信息，对应的监护子机同步显示孕妇信息；在监护子机上录入孕妇信息，所有监护中心同步显示。</w:t>
            </w:r>
          </w:p>
          <w:p>
            <w:pPr>
              <w:jc w:val="both"/>
            </w:pPr>
            <w:r>
              <w:rPr>
                <w:sz w:val="21"/>
              </w:rPr>
              <w:t>1.</w:t>
            </w:r>
            <w:r>
              <w:rPr>
                <w:sz w:val="21"/>
              </w:rPr>
              <w:t>14具备档案统计和存储功能：包括但不限于年报表、季报表、月报表、科室(组别)报表功能，系统可永久保存10万个以上记录，数据档案可打包导出、导入、刻录光盘。</w:t>
            </w:r>
          </w:p>
          <w:p>
            <w:pPr>
              <w:jc w:val="both"/>
            </w:pPr>
            <w:r>
              <w:rPr>
                <w:sz w:val="21"/>
              </w:rPr>
              <w:t>2</w:t>
            </w:r>
            <w:r>
              <w:rPr>
                <w:sz w:val="21"/>
              </w:rPr>
              <w:t>.</w:t>
            </w:r>
            <w:r>
              <w:rPr>
                <w:b/>
                <w:sz w:val="21"/>
              </w:rPr>
              <w:t xml:space="preserve"> </w:t>
            </w:r>
            <w:r>
              <w:rPr>
                <w:b/>
                <w:sz w:val="21"/>
              </w:rPr>
              <w:t>母亲胎儿监护仪技术参数</w:t>
            </w:r>
          </w:p>
          <w:p>
            <w:pPr>
              <w:jc w:val="left"/>
            </w:pPr>
            <w:r>
              <w:rPr>
                <w:sz w:val="21"/>
              </w:rPr>
              <w:t>2.1母亲多参数和胎儿参数同步监护。胎儿监护参数包括但不限于：无线胎心率、无线宫缩压力、无线胎动；母亲监护参数包括但不限于：血压、血氧、脉率、心电、呼吸、双体温。</w:t>
            </w:r>
          </w:p>
          <w:p>
            <w:pPr>
              <w:jc w:val="left"/>
            </w:pPr>
            <w:r>
              <w:rPr>
                <w:sz w:val="21"/>
              </w:rPr>
              <w:t>2.2便携式手提结构，无线探头模块和主机一体化设计，配备</w:t>
            </w:r>
            <w:r>
              <w:rPr>
                <w:sz w:val="21"/>
              </w:rPr>
              <w:t>无线胎心率探头和宫压探头</w:t>
            </w:r>
            <w:r>
              <w:rPr>
                <w:sz w:val="21"/>
              </w:rPr>
              <w:t>。</w:t>
            </w:r>
          </w:p>
          <w:p>
            <w:pPr>
              <w:jc w:val="left"/>
            </w:pPr>
            <w:r>
              <w:rPr>
                <w:sz w:val="21"/>
              </w:rPr>
              <w:t>2.3彩色医用监视屏≥12寸；可0-70度翻转；同屏显示监护数据与曲线，110-160bpm正常范围区域标识。</w:t>
            </w:r>
          </w:p>
          <w:p>
            <w:pPr>
              <w:jc w:val="left"/>
            </w:pPr>
            <w:r>
              <w:rPr>
                <w:sz w:val="21"/>
              </w:rPr>
              <w:t>2.4具备多语言操作界面，至少支持中文、英文等多种语言操作，配置不少于三种可变换的工作界面：可选单独显示胎儿参数、母亲参数或母胎参数同屏监护。</w:t>
            </w:r>
          </w:p>
          <w:p>
            <w:pPr>
              <w:jc w:val="left"/>
            </w:pPr>
            <w:r>
              <w:rPr>
                <w:sz w:val="21"/>
              </w:rPr>
              <w:t>2.5配置宽波束多晶片探头，超声发射频率≥2MHz。</w:t>
            </w:r>
          </w:p>
          <w:p>
            <w:pPr>
              <w:jc w:val="left"/>
            </w:pPr>
            <w:r>
              <w:rPr>
                <w:sz w:val="21"/>
              </w:rPr>
              <w:t>2.6胎心率测量范围：3</w:t>
            </w:r>
            <w:r>
              <w:rPr>
                <w:sz w:val="21"/>
              </w:rPr>
              <w:t>0-240BPM</w:t>
            </w:r>
            <w:r>
              <w:rPr>
                <w:sz w:val="21"/>
              </w:rPr>
              <w:t>，胎心准确度</w:t>
            </w:r>
            <w:r>
              <w:rPr>
                <w:sz w:val="21"/>
              </w:rPr>
              <w:t>±1BPM。</w:t>
            </w:r>
            <w:r>
              <w:rPr>
                <w:b/>
                <w:sz w:val="21"/>
              </w:rPr>
              <w:t>（提供经</w:t>
            </w:r>
            <w:r>
              <w:rPr>
                <w:b/>
                <w:sz w:val="21"/>
              </w:rPr>
              <w:t>国家认可的</w:t>
            </w:r>
            <w:r>
              <w:rPr>
                <w:b/>
                <w:sz w:val="21"/>
              </w:rPr>
              <w:t>第三方</w:t>
            </w:r>
            <w:r>
              <w:rPr>
                <w:b/>
                <w:sz w:val="21"/>
              </w:rPr>
              <w:t>检测机构出具的</w:t>
            </w:r>
            <w:r>
              <w:rPr>
                <w:b/>
                <w:sz w:val="21"/>
              </w:rPr>
              <w:t>检测报告</w:t>
            </w:r>
            <w:r>
              <w:rPr>
                <w:b/>
                <w:sz w:val="21"/>
              </w:rPr>
              <w:t>，检测报告需体现相关的技术指标。</w:t>
            </w:r>
            <w:r>
              <w:rPr>
                <w:b/>
                <w:sz w:val="21"/>
              </w:rPr>
              <w:t>）</w:t>
            </w:r>
          </w:p>
          <w:p>
            <w:pPr>
              <w:jc w:val="left"/>
            </w:pPr>
            <w:r>
              <w:rPr>
                <w:sz w:val="21"/>
              </w:rPr>
              <w:t>2.7超声输出功率：＜20mW/cm</w:t>
            </w:r>
            <w:r>
              <w:rPr>
                <w:sz w:val="21"/>
                <w:vertAlign w:val="superscript"/>
              </w:rPr>
              <w:t>2</w:t>
            </w:r>
            <w:r>
              <w:rPr>
                <w:sz w:val="21"/>
              </w:rPr>
              <w:t>。</w:t>
            </w:r>
            <w:r>
              <w:rPr>
                <w:b/>
                <w:sz w:val="21"/>
              </w:rPr>
              <w:t>（提供经</w:t>
            </w:r>
            <w:r>
              <w:rPr>
                <w:b/>
                <w:sz w:val="21"/>
              </w:rPr>
              <w:t>国家认可的</w:t>
            </w:r>
            <w:r>
              <w:rPr>
                <w:b/>
                <w:sz w:val="21"/>
              </w:rPr>
              <w:t>第三方</w:t>
            </w:r>
            <w:r>
              <w:rPr>
                <w:b/>
                <w:sz w:val="21"/>
              </w:rPr>
              <w:t>检测机构出具的</w:t>
            </w:r>
            <w:r>
              <w:rPr>
                <w:b/>
                <w:sz w:val="21"/>
              </w:rPr>
              <w:t>检测报告</w:t>
            </w:r>
            <w:r>
              <w:rPr>
                <w:b/>
                <w:sz w:val="21"/>
              </w:rPr>
              <w:t>，检测报告需体现相关的技术指标。</w:t>
            </w:r>
            <w:r>
              <w:rPr>
                <w:b/>
                <w:sz w:val="21"/>
              </w:rPr>
              <w:t>）</w:t>
            </w:r>
          </w:p>
          <w:p>
            <w:pPr>
              <w:jc w:val="left"/>
            </w:pPr>
            <w:r>
              <w:rPr>
                <w:sz w:val="21"/>
              </w:rPr>
              <w:t>2.8无线宫缩压力探头：测量范围0-100单位，三档增益调节；不少于五档宫压基线可选。</w:t>
            </w:r>
          </w:p>
          <w:p>
            <w:pPr>
              <w:jc w:val="left"/>
            </w:pPr>
            <w:r>
              <w:rPr>
                <w:sz w:val="21"/>
              </w:rPr>
              <w:t>2.9无线胎心率探头、无线宫缩压力探头不低于IP68等级防护。</w:t>
            </w:r>
            <w:r>
              <w:rPr>
                <w:b/>
                <w:sz w:val="21"/>
              </w:rPr>
              <w:t>（提供经</w:t>
            </w:r>
            <w:r>
              <w:rPr>
                <w:b/>
                <w:sz w:val="21"/>
              </w:rPr>
              <w:t>国家认可的</w:t>
            </w:r>
            <w:r>
              <w:rPr>
                <w:b/>
                <w:sz w:val="21"/>
              </w:rPr>
              <w:t>第三方</w:t>
            </w:r>
            <w:r>
              <w:rPr>
                <w:b/>
                <w:sz w:val="21"/>
              </w:rPr>
              <w:t>检测机构出具的</w:t>
            </w:r>
            <w:r>
              <w:rPr>
                <w:b/>
                <w:sz w:val="21"/>
              </w:rPr>
              <w:t>检测报告</w:t>
            </w:r>
            <w:r>
              <w:rPr>
                <w:b/>
                <w:sz w:val="21"/>
              </w:rPr>
              <w:t>，检测报告需体现相关的技术指标。</w:t>
            </w:r>
            <w:r>
              <w:rPr>
                <w:b/>
                <w:sz w:val="21"/>
              </w:rPr>
              <w:t>）</w:t>
            </w:r>
          </w:p>
          <w:p>
            <w:pPr>
              <w:jc w:val="left"/>
            </w:pPr>
            <w:r>
              <w:rPr>
                <w:sz w:val="21"/>
              </w:rPr>
              <w:t>2.10</w:t>
            </w:r>
            <w:r>
              <w:rPr>
                <w:sz w:val="21"/>
              </w:rPr>
              <w:t>具备实时分析功能</w:t>
            </w:r>
            <w:r>
              <w:rPr>
                <w:sz w:val="21"/>
              </w:rPr>
              <w:t>：至少包括</w:t>
            </w:r>
            <w:r>
              <w:rPr>
                <w:sz w:val="21"/>
              </w:rPr>
              <w:t>Fischer、Krebs、NST、CST四种分析算法，可自动对FHR基线值、加速次数、减速次数、短变异、胎动次数等参数指标进行计算分析，并实时提供数据。</w:t>
            </w:r>
          </w:p>
          <w:p>
            <w:pPr>
              <w:jc w:val="left"/>
            </w:pPr>
            <w:r>
              <w:rPr>
                <w:sz w:val="21"/>
              </w:rPr>
              <w:t>2.11具备大存储功能，可自动存储600个以上档案，单档案可存储不少于30小时CTG图，可存储800个小时以上的档案数据，支持档案信息输入，支持档案回放浏览、关机后数据不丢失。</w:t>
            </w:r>
          </w:p>
          <w:p>
            <w:pPr>
              <w:jc w:val="left"/>
            </w:pPr>
            <w:r>
              <w:rPr>
                <w:sz w:val="21"/>
              </w:rPr>
              <w:t>2.12人性化报警设置，采用声光报警，可设置报警声音大小，具有报警延时功能，具有探头离位报警和监护异常报警及文字提示，具备报警回顾功能。</w:t>
            </w:r>
          </w:p>
          <w:p>
            <w:pPr>
              <w:jc w:val="left"/>
            </w:pPr>
            <w:r>
              <w:rPr>
                <w:sz w:val="21"/>
              </w:rPr>
              <w:t>2.13配置宽行内置热敏打印机。具备≥50mm/s高速回放打印功能</w:t>
            </w:r>
            <w:r>
              <w:rPr>
                <w:sz w:val="21"/>
              </w:rPr>
              <w:t>。</w:t>
            </w:r>
          </w:p>
          <w:p>
            <w:pPr>
              <w:jc w:val="left"/>
            </w:pPr>
            <w:r>
              <w:rPr>
                <w:sz w:val="21"/>
              </w:rPr>
              <w:t>2.14监护过程中可以回放浏览监护曲线，并可选段打印、档案打印及定时打印。</w:t>
            </w:r>
          </w:p>
          <w:p>
            <w:pPr>
              <w:jc w:val="left"/>
            </w:pPr>
            <w:r>
              <w:rPr>
                <w:sz w:val="21"/>
              </w:rPr>
              <w:t>2.15具有自动胎动识别功能，能够对胎动信号进行自动识别。</w:t>
            </w:r>
          </w:p>
          <w:p>
            <w:pPr>
              <w:jc w:val="left"/>
            </w:pPr>
            <w:r>
              <w:rPr>
                <w:sz w:val="21"/>
              </w:rPr>
              <w:t>2.16支持多种联网方式：可通过RS485(有线网络)、医用无线网络、以太网与中央站组成网络系统。</w:t>
            </w:r>
          </w:p>
          <w:p>
            <w:pPr>
              <w:jc w:val="left"/>
            </w:pPr>
            <w:r>
              <w:rPr>
                <w:sz w:val="21"/>
              </w:rPr>
              <w:t>2.17其中一台母亲胎儿监护仪具有双胞胎无线探头监护功能。</w:t>
            </w:r>
          </w:p>
          <w:p>
            <w:pPr>
              <w:jc w:val="left"/>
            </w:pPr>
            <w:r>
              <w:rPr>
                <w:sz w:val="21"/>
              </w:rPr>
              <w:t>2.18具有</w:t>
            </w:r>
            <w:r>
              <w:rPr>
                <w:sz w:val="21"/>
              </w:rPr>
              <w:t>可升级</w:t>
            </w:r>
            <w:r>
              <w:rPr>
                <w:sz w:val="21"/>
              </w:rPr>
              <w:t>双床监护功能：可配置有线探头，可实现单机双床位无障碍监护，单双床自由切换可实现双胞胎监护功能，</w:t>
            </w:r>
            <w:r>
              <w:rPr>
                <w:sz w:val="21"/>
              </w:rPr>
              <w:t>具有三胞胎监护功能。</w:t>
            </w:r>
          </w:p>
          <w:p>
            <w:pPr>
              <w:jc w:val="both"/>
            </w:pPr>
            <w:r>
              <w:rPr>
                <w:sz w:val="21"/>
              </w:rPr>
              <w:t>3</w:t>
            </w:r>
            <w:r>
              <w:rPr>
                <w:sz w:val="21"/>
              </w:rPr>
              <w:t>.</w:t>
            </w:r>
            <w:r>
              <w:rPr>
                <w:b/>
                <w:sz w:val="21"/>
              </w:rPr>
              <w:t xml:space="preserve"> </w:t>
            </w:r>
            <w:r>
              <w:rPr>
                <w:b/>
                <w:sz w:val="21"/>
              </w:rPr>
              <w:t>主要配置要求（包括但不限于）：</w:t>
            </w:r>
          </w:p>
          <w:tbl>
            <w:tblPr>
              <w:tblBorders>
                <w:top w:val="none" w:color="000000" w:sz="4"/>
                <w:left w:val="none" w:color="000000" w:sz="4"/>
                <w:bottom w:val="none" w:color="000000" w:sz="4"/>
                <w:right w:val="none" w:color="000000" w:sz="4"/>
                <w:insideH w:val="none"/>
                <w:insideV w:val="none"/>
              </w:tblBorders>
            </w:tblPr>
            <w:tblGrid>
              <w:gridCol w:w="761"/>
              <w:gridCol w:w="4123"/>
              <w:gridCol w:w="713"/>
            </w:tblGrid>
            <w:tr>
              <w:tc>
                <w:tcPr>
                  <w:tcW w:type="dxa" w:w="761"/>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4123"/>
                  <w:tcBorders>
                    <w:top w:val="single" w:color="000000" w:sz="4"/>
                    <w:left w:val="single" w:color="000000" w:sz="4"/>
                    <w:bottom w:val="single" w:color="000000" w:sz="4"/>
                    <w:right w:val="single" w:color="000000" w:sz="4"/>
                  </w:tcBorders>
                  <w:vAlign w:val="top"/>
                </w:tcPr>
                <w:p>
                  <w:pPr>
                    <w:jc w:val="both"/>
                  </w:pPr>
                  <w:r>
                    <w:rPr>
                      <w:b/>
                      <w:sz w:val="21"/>
                    </w:rPr>
                    <w:t>名</w:t>
                  </w:r>
                  <w:r>
                    <w:rPr>
                      <w:b/>
                      <w:sz w:val="21"/>
                    </w:rPr>
                    <w:t xml:space="preserve">  </w:t>
                  </w:r>
                  <w:r>
                    <w:rPr>
                      <w:b/>
                      <w:sz w:val="21"/>
                    </w:rPr>
                    <w:t>称</w:t>
                  </w:r>
                </w:p>
              </w:tc>
              <w:tc>
                <w:tcPr>
                  <w:tcW w:type="dxa" w:w="713"/>
                  <w:tcBorders>
                    <w:top w:val="single" w:color="000000" w:sz="4"/>
                    <w:left w:val="single" w:color="000000" w:sz="4"/>
                    <w:bottom w:val="single" w:color="000000" w:sz="4"/>
                    <w:right w:val="single" w:color="000000" w:sz="4"/>
                  </w:tcBorders>
                  <w:vAlign w:val="top"/>
                </w:tcPr>
                <w:p>
                  <w:pPr>
                    <w:jc w:val="both"/>
                  </w:pPr>
                  <w:r>
                    <w:rPr>
                      <w:b/>
                      <w:sz w:val="21"/>
                    </w:rPr>
                    <w:t>数量</w:t>
                  </w:r>
                </w:p>
              </w:tc>
            </w:tr>
            <w:tr>
              <w:tc>
                <w:tcPr>
                  <w:tcW w:type="dxa" w:w="761"/>
                  <w:tcBorders>
                    <w:top w:val="none" w:color="000000" w:sz="4"/>
                    <w:left w:val="single" w:color="000000" w:sz="4"/>
                    <w:bottom w:val="single" w:color="000000" w:sz="4"/>
                    <w:right w:val="single" w:color="000000" w:sz="4"/>
                  </w:tcBorders>
                  <w:vAlign w:val="top"/>
                </w:tcPr>
                <w:p>
                  <w:pPr>
                    <w:jc w:val="both"/>
                  </w:pPr>
                  <w:r>
                    <w:rPr>
                      <w:b/>
                      <w:sz w:val="21"/>
                    </w:rPr>
                    <w:t>一、</w:t>
                  </w:r>
                </w:p>
              </w:tc>
              <w:tc>
                <w:tcPr>
                  <w:tcW w:type="dxa" w:w="4123"/>
                  <w:tcBorders>
                    <w:top w:val="none" w:color="000000" w:sz="4"/>
                    <w:left w:val="single" w:color="000000" w:sz="4"/>
                    <w:bottom w:val="single" w:color="000000" w:sz="4"/>
                    <w:right w:val="single" w:color="000000" w:sz="4"/>
                  </w:tcBorders>
                  <w:vAlign w:val="top"/>
                </w:tcPr>
                <w:p>
                  <w:pPr>
                    <w:jc w:val="both"/>
                  </w:pPr>
                  <w:r>
                    <w:rPr>
                      <w:b/>
                      <w:color w:val="000000"/>
                      <w:sz w:val="21"/>
                    </w:rPr>
                    <w:t>产科中央监护网络系统</w:t>
                  </w: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主机</w:t>
                  </w:r>
                </w:p>
              </w:tc>
              <w:tc>
                <w:tcPr>
                  <w:tcW w:type="dxa" w:w="713"/>
                  <w:tcBorders>
                    <w:top w:val="none" w:color="000000" w:sz="4"/>
                    <w:left w:val="single" w:color="000000" w:sz="4"/>
                    <w:bottom w:val="single" w:color="000000" w:sz="4"/>
                    <w:right w:val="single" w:color="000000" w:sz="4"/>
                  </w:tcBorders>
                  <w:vAlign w:val="top"/>
                </w:tcPr>
                <w:p>
                  <w:pPr>
                    <w:jc w:val="both"/>
                  </w:pPr>
                  <w:r>
                    <w:rPr>
                      <w:sz w:val="21"/>
                    </w:rPr>
                    <w:t>1套</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键盘</w:t>
                  </w:r>
                  <w:r>
                    <w:rPr>
                      <w:sz w:val="21"/>
                    </w:rPr>
                    <w:t>/鼠标</w:t>
                  </w:r>
                </w:p>
              </w:tc>
              <w:tc>
                <w:tcPr>
                  <w:tcW w:type="dxa" w:w="713"/>
                  <w:tcBorders>
                    <w:top w:val="none" w:color="000000" w:sz="4"/>
                    <w:left w:val="single" w:color="000000" w:sz="4"/>
                    <w:bottom w:val="single" w:color="000000" w:sz="4"/>
                    <w:right w:val="single" w:color="000000" w:sz="4"/>
                  </w:tcBorders>
                  <w:vAlign w:val="top"/>
                </w:tcPr>
                <w:p>
                  <w:pPr>
                    <w:jc w:val="both"/>
                  </w:pPr>
                  <w:r>
                    <w:rPr>
                      <w:sz w:val="21"/>
                    </w:rPr>
                    <w:t>1套</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网络控制器</w:t>
                  </w:r>
                </w:p>
              </w:tc>
              <w:tc>
                <w:tcPr>
                  <w:tcW w:type="dxa" w:w="713"/>
                  <w:tcBorders>
                    <w:top w:val="none" w:color="000000" w:sz="4"/>
                    <w:left w:val="single" w:color="000000" w:sz="4"/>
                    <w:bottom w:val="single" w:color="000000" w:sz="4"/>
                    <w:right w:val="single" w:color="000000" w:sz="4"/>
                  </w:tcBorders>
                  <w:vAlign w:val="top"/>
                </w:tcPr>
                <w:p>
                  <w:pPr>
                    <w:jc w:val="both"/>
                  </w:pPr>
                  <w:r>
                    <w:rPr>
                      <w:sz w:val="21"/>
                    </w:rPr>
                    <w:t>1个</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数据采集器</w:t>
                  </w:r>
                </w:p>
              </w:tc>
              <w:tc>
                <w:tcPr>
                  <w:tcW w:type="dxa" w:w="713"/>
                  <w:tcBorders>
                    <w:top w:val="none" w:color="000000" w:sz="4"/>
                    <w:left w:val="single" w:color="000000" w:sz="4"/>
                    <w:bottom w:val="single" w:color="000000" w:sz="4"/>
                    <w:right w:val="single" w:color="000000" w:sz="4"/>
                  </w:tcBorders>
                  <w:vAlign w:val="top"/>
                </w:tcPr>
                <w:p>
                  <w:pPr>
                    <w:jc w:val="both"/>
                  </w:pPr>
                  <w:r>
                    <w:rPr>
                      <w:sz w:val="21"/>
                    </w:rPr>
                    <w:t>3个</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POE交换机</w:t>
                  </w:r>
                </w:p>
              </w:tc>
              <w:tc>
                <w:tcPr>
                  <w:tcW w:type="dxa" w:w="713"/>
                  <w:tcBorders>
                    <w:top w:val="none" w:color="000000" w:sz="4"/>
                    <w:left w:val="single" w:color="000000" w:sz="4"/>
                    <w:bottom w:val="single" w:color="000000" w:sz="4"/>
                    <w:right w:val="single" w:color="000000" w:sz="4"/>
                  </w:tcBorders>
                  <w:vAlign w:val="top"/>
                </w:tcPr>
                <w:p>
                  <w:pPr>
                    <w:jc w:val="both"/>
                  </w:pPr>
                  <w:r>
                    <w:rPr>
                      <w:sz w:val="21"/>
                    </w:rPr>
                    <w:t>1个</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激光</w:t>
                  </w:r>
                  <w:r>
                    <w:rPr>
                      <w:sz w:val="21"/>
                    </w:rPr>
                    <w:t>图文输出设备</w:t>
                  </w:r>
                </w:p>
              </w:tc>
              <w:tc>
                <w:tcPr>
                  <w:tcW w:type="dxa" w:w="713"/>
                  <w:tcBorders>
                    <w:top w:val="none" w:color="000000" w:sz="4"/>
                    <w:left w:val="single" w:color="000000" w:sz="4"/>
                    <w:bottom w:val="single" w:color="000000" w:sz="4"/>
                    <w:right w:val="single" w:color="000000" w:sz="4"/>
                  </w:tcBorders>
                  <w:vAlign w:val="top"/>
                </w:tcPr>
                <w:p>
                  <w:pPr>
                    <w:jc w:val="both"/>
                  </w:pPr>
                  <w:r>
                    <w:rPr>
                      <w:sz w:val="21"/>
                    </w:rPr>
                    <w:t>1台</w:t>
                  </w:r>
                </w:p>
              </w:tc>
            </w:tr>
            <w:tr>
              <w:tc>
                <w:tcPr>
                  <w:tcW w:type="dxa" w:w="761"/>
                  <w:tcBorders>
                    <w:top w:val="none" w:color="000000" w:sz="4"/>
                    <w:left w:val="single" w:color="000000" w:sz="4"/>
                    <w:bottom w:val="single" w:color="000000" w:sz="4"/>
                    <w:right w:val="single" w:color="000000" w:sz="4"/>
                  </w:tcBorders>
                  <w:vAlign w:val="top"/>
                </w:tcPr>
                <w:p>
                  <w:pPr>
                    <w:jc w:val="both"/>
                  </w:pPr>
                  <w:r>
                    <w:rPr>
                      <w:b/>
                      <w:sz w:val="21"/>
                    </w:rPr>
                    <w:t>二、</w:t>
                  </w:r>
                </w:p>
              </w:tc>
              <w:tc>
                <w:tcPr>
                  <w:tcW w:type="dxa" w:w="4123"/>
                  <w:tcBorders>
                    <w:top w:val="none" w:color="000000" w:sz="4"/>
                    <w:left w:val="single" w:color="000000" w:sz="4"/>
                    <w:bottom w:val="single" w:color="000000" w:sz="4"/>
                    <w:right w:val="single" w:color="000000" w:sz="4"/>
                  </w:tcBorders>
                  <w:vAlign w:val="top"/>
                </w:tcPr>
                <w:p>
                  <w:pPr>
                    <w:jc w:val="both"/>
                  </w:pPr>
                  <w:r>
                    <w:rPr>
                      <w:b/>
                      <w:sz w:val="21"/>
                    </w:rPr>
                    <w:t>母亲胎儿监护仪</w:t>
                  </w:r>
                </w:p>
              </w:tc>
              <w:tc>
                <w:tcPr>
                  <w:tcW w:type="dxa" w:w="713"/>
                  <w:tcBorders>
                    <w:top w:val="none" w:color="000000" w:sz="4"/>
                    <w:left w:val="single" w:color="000000" w:sz="4"/>
                    <w:bottom w:val="single" w:color="000000" w:sz="4"/>
                    <w:right w:val="single" w:color="000000" w:sz="4"/>
                  </w:tcBorders>
                  <w:vAlign w:val="top"/>
                </w:tcPr>
                <w:p>
                  <w:pPr>
                    <w:jc w:val="both"/>
                  </w:pP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1</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主机（内置</w:t>
                  </w:r>
                  <w:r>
                    <w:rPr>
                      <w:sz w:val="21"/>
                    </w:rPr>
                    <w:t>图文输出设备</w:t>
                  </w:r>
                  <w:r>
                    <w:rPr>
                      <w:sz w:val="21"/>
                    </w:rPr>
                    <w:t>）</w:t>
                  </w:r>
                </w:p>
              </w:tc>
              <w:tc>
                <w:tcPr>
                  <w:tcW w:type="dxa" w:w="713"/>
                  <w:tcBorders>
                    <w:top w:val="none" w:color="000000" w:sz="4"/>
                    <w:left w:val="single" w:color="000000" w:sz="4"/>
                    <w:bottom w:val="single" w:color="000000" w:sz="4"/>
                    <w:right w:val="single" w:color="000000" w:sz="4"/>
                  </w:tcBorders>
                  <w:vAlign w:val="top"/>
                </w:tcPr>
                <w:p>
                  <w:pPr>
                    <w:jc w:val="both"/>
                  </w:pPr>
                  <w:r>
                    <w:rPr>
                      <w:sz w:val="21"/>
                    </w:rPr>
                    <w:t>8台</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2</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无线胎心探头</w:t>
                  </w:r>
                </w:p>
              </w:tc>
              <w:tc>
                <w:tcPr>
                  <w:tcW w:type="dxa" w:w="713"/>
                  <w:tcBorders>
                    <w:top w:val="none" w:color="000000" w:sz="4"/>
                    <w:left w:val="single" w:color="000000" w:sz="4"/>
                    <w:bottom w:val="single" w:color="000000" w:sz="4"/>
                    <w:right w:val="single" w:color="000000" w:sz="4"/>
                  </w:tcBorders>
                  <w:vAlign w:val="top"/>
                </w:tcPr>
                <w:p>
                  <w:pPr>
                    <w:jc w:val="both"/>
                  </w:pPr>
                  <w:r>
                    <w:rPr>
                      <w:sz w:val="21"/>
                    </w:rPr>
                    <w:t>9个</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3</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无线宫压探头</w:t>
                  </w:r>
                </w:p>
              </w:tc>
              <w:tc>
                <w:tcPr>
                  <w:tcW w:type="dxa" w:w="713"/>
                  <w:tcBorders>
                    <w:top w:val="none" w:color="000000" w:sz="4"/>
                    <w:left w:val="single" w:color="000000" w:sz="4"/>
                    <w:bottom w:val="single" w:color="000000" w:sz="4"/>
                    <w:right w:val="single" w:color="000000" w:sz="4"/>
                  </w:tcBorders>
                  <w:vAlign w:val="top"/>
                </w:tcPr>
                <w:p>
                  <w:pPr>
                    <w:jc w:val="both"/>
                  </w:pPr>
                  <w:r>
                    <w:rPr>
                      <w:sz w:val="21"/>
                    </w:rPr>
                    <w:t>8个</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4</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心电导联线探头（</w:t>
                  </w:r>
                  <w:r>
                    <w:rPr>
                      <w:sz w:val="21"/>
                    </w:rPr>
                    <w:t>5芯）</w:t>
                  </w:r>
                </w:p>
              </w:tc>
              <w:tc>
                <w:tcPr>
                  <w:tcW w:type="dxa" w:w="713"/>
                  <w:tcBorders>
                    <w:top w:val="none" w:color="000000" w:sz="4"/>
                    <w:left w:val="single" w:color="000000" w:sz="4"/>
                    <w:bottom w:val="single" w:color="000000" w:sz="4"/>
                    <w:right w:val="single" w:color="000000" w:sz="4"/>
                  </w:tcBorders>
                  <w:vAlign w:val="top"/>
                </w:tcPr>
                <w:p>
                  <w:pPr>
                    <w:jc w:val="both"/>
                  </w:pPr>
                  <w:r>
                    <w:rPr>
                      <w:sz w:val="21"/>
                    </w:rPr>
                    <w:t>8套</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5</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成人中号血压袖带及延长管</w:t>
                  </w:r>
                </w:p>
              </w:tc>
              <w:tc>
                <w:tcPr>
                  <w:tcW w:type="dxa" w:w="713"/>
                  <w:tcBorders>
                    <w:top w:val="none" w:color="000000" w:sz="4"/>
                    <w:left w:val="single" w:color="000000" w:sz="4"/>
                    <w:bottom w:val="single" w:color="000000" w:sz="4"/>
                    <w:right w:val="single" w:color="000000" w:sz="4"/>
                  </w:tcBorders>
                  <w:vAlign w:val="top"/>
                </w:tcPr>
                <w:p>
                  <w:pPr>
                    <w:jc w:val="both"/>
                  </w:pPr>
                  <w:r>
                    <w:rPr>
                      <w:sz w:val="21"/>
                    </w:rPr>
                    <w:t>8套</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6</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成人血氧手指探头</w:t>
                  </w:r>
                </w:p>
              </w:tc>
              <w:tc>
                <w:tcPr>
                  <w:tcW w:type="dxa" w:w="713"/>
                  <w:tcBorders>
                    <w:top w:val="none" w:color="000000" w:sz="4"/>
                    <w:left w:val="single" w:color="000000" w:sz="4"/>
                    <w:bottom w:val="single" w:color="000000" w:sz="4"/>
                    <w:right w:val="single" w:color="000000" w:sz="4"/>
                  </w:tcBorders>
                  <w:vAlign w:val="top"/>
                </w:tcPr>
                <w:p>
                  <w:pPr>
                    <w:jc w:val="both"/>
                  </w:pPr>
                  <w:r>
                    <w:rPr>
                      <w:sz w:val="21"/>
                    </w:rPr>
                    <w:t>8只</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7</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体温探头</w:t>
                  </w:r>
                </w:p>
              </w:tc>
              <w:tc>
                <w:tcPr>
                  <w:tcW w:type="dxa" w:w="713"/>
                  <w:tcBorders>
                    <w:top w:val="none" w:color="000000" w:sz="4"/>
                    <w:left w:val="single" w:color="000000" w:sz="4"/>
                    <w:bottom w:val="single" w:color="000000" w:sz="4"/>
                    <w:right w:val="single" w:color="000000" w:sz="4"/>
                  </w:tcBorders>
                  <w:vAlign w:val="top"/>
                </w:tcPr>
                <w:p>
                  <w:pPr>
                    <w:jc w:val="both"/>
                  </w:pPr>
                  <w:r>
                    <w:rPr>
                      <w:sz w:val="21"/>
                    </w:rPr>
                    <w:t>16条</w:t>
                  </w:r>
                </w:p>
              </w:tc>
            </w:tr>
            <w:tr>
              <w:tc>
                <w:tcPr>
                  <w:tcW w:type="dxa" w:w="761"/>
                  <w:tcBorders>
                    <w:top w:val="none" w:color="000000" w:sz="4"/>
                    <w:left w:val="single" w:color="000000" w:sz="4"/>
                    <w:bottom w:val="single" w:color="000000" w:sz="4"/>
                    <w:right w:val="single" w:color="000000" w:sz="4"/>
                  </w:tcBorders>
                  <w:vAlign w:val="top"/>
                </w:tcPr>
                <w:p>
                  <w:pPr>
                    <w:jc w:val="both"/>
                  </w:pPr>
                  <w:r>
                    <w:rPr>
                      <w:sz w:val="21"/>
                    </w:rPr>
                    <w:t>8</w:t>
                  </w:r>
                </w:p>
              </w:tc>
              <w:tc>
                <w:tcPr>
                  <w:tcW w:type="dxa" w:w="4123"/>
                  <w:tcBorders>
                    <w:top w:val="none" w:color="000000" w:sz="4"/>
                    <w:left w:val="single" w:color="000000" w:sz="4"/>
                    <w:bottom w:val="single" w:color="000000" w:sz="4"/>
                    <w:right w:val="single" w:color="000000" w:sz="4"/>
                  </w:tcBorders>
                  <w:vAlign w:val="top"/>
                </w:tcPr>
                <w:p>
                  <w:pPr>
                    <w:jc w:val="both"/>
                  </w:pPr>
                  <w:r>
                    <w:rPr>
                      <w:sz w:val="21"/>
                    </w:rPr>
                    <w:t>心电电极</w:t>
                  </w:r>
                </w:p>
              </w:tc>
              <w:tc>
                <w:tcPr>
                  <w:tcW w:type="dxa" w:w="713"/>
                  <w:tcBorders>
                    <w:top w:val="none" w:color="000000" w:sz="4"/>
                    <w:left w:val="single" w:color="000000" w:sz="4"/>
                    <w:bottom w:val="single" w:color="000000" w:sz="4"/>
                    <w:right w:val="single" w:color="000000" w:sz="4"/>
                  </w:tcBorders>
                  <w:vAlign w:val="top"/>
                </w:tcPr>
                <w:p>
                  <w:pPr>
                    <w:jc w:val="both"/>
                  </w:pPr>
                  <w:r>
                    <w:rPr>
                      <w:sz w:val="21"/>
                    </w:rPr>
                    <w:t>8包</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采购包2（眩晕VR耳呜康复仪（康复训练仪））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签订合同后30日历天内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1期：支付比例30%,1.合同签订后，中标供应商须向采购人提供中小企业预付款30%的请款函，采购人自收到请款函后5个工作日内办理支付，支付合同金额30%的预付款；</w:t>
            </w:r>
          </w:p>
          <w:p/>
          <w:p>
            <w:r>
              <w:rPr/>
              <w:t>2期：支付比例70%,2.合同设备全部到指定地点交付并完成安装及验收合格后，中标供应商须向采购人提供以下相应资料和合同全额发票，对于满足合同约定支付条件的，采购人自收到请款函后5个工作日内办理支付手续，自收到发票后15日内完成资金支付，支付合同金额的 70%。 （1）合同复印件； （2） 验收合格报告。</w:t>
            </w:r>
          </w:p>
        </w:tc>
      </w:tr>
      <w:tr>
        <w:tc>
          <w:tcPr>
            <w:tcW w:type="dxa" w:w="4153"/>
          </w:tcPr>
          <w:p>
            <w:r>
              <w:rPr/>
              <w:t>验收要求</w:t>
            </w:r>
          </w:p>
        </w:tc>
        <w:tc>
          <w:tcPr>
            <w:tcW w:type="dxa" w:w="4153"/>
          </w:tcPr>
          <w:p/>
          <w:p/>
          <w:p/>
          <w:p>
            <w:r>
              <w:rPr/>
              <w:t>1期：1. 采购人按照采购合同规定的技术、服务、安全标准组织对中标供应商履约情况进行验收，并出具验收书。验收书应当包括每一项技术、服务、安全标准的履约情况。 2. 交付验收标准依次序对照适用标准为：①符合中华人民共和国国家安全质量标准、环保标准或行业标准；②符合招标文件和投标承诺中采购人认可的合理最佳配置、参数及各项要求；③货物来源国官方标准。 3. 货物为原厂商未启封全新包装，具有出厂合格证，序列号、包装箱号与出厂批号一致，并可追索查阅。所有随设备的附件必须齐全。 4. 中标供应商将货物的用户手册、保修手册、有关单证资料及备品备件、随机工具等交付给采购人，使用操作及安全须知等重要资料应附有中文说明。 5. 货物验收所发生的检验费用由中标供应商负担。 6. 设备到货并经中标供应商技术人员安装后，采购人有权委托中国有资格的单位对上述设备进行校准或检验，设备校准或检定所需的费用由中标供应商负担。 7. 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 中标产品如属国家强制计量产品，需由中标供应商独立完成首次计量强检。 9. 当出现不合格产品时，中标供应商要无条件更换合格产品。除采购人认可，否则不接受任何形式的降格处理。 10．自中标供应商提出验收申请之日起7个工作日内组织验收。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（一）供货要求，★1.中标供应商应保证所提供的设备是制造日期距交货时间不能超过1年，是全新的、未使用过的设备，并符合国家有关标准、制造厂标准及合同技术标准要求。 2.投标人需在投标文件中提供对应的供货服务方案，内容包含交货时间、到货保证措施、交货后售后服务、应急保障等。</w:t>
            </w:r>
          </w:p>
          <w:p/>
          <w:p>
            <w:r>
              <w:rPr/>
              <w:t>（二）安装与调试，1. 中标供应商必须按项目进度安排计划，派出适当的技术人员到安装现场负责安装和调试工作。在安装施工期间，严格遵守采购人的有关规定。 2. 中标供应商必须依照招标文件的要求和投标文件的承诺，将设备、系统安装并调试至正常运行的最佳状态。</w:t>
            </w:r>
          </w:p>
          <w:p/>
          <w:p>
            <w:r>
              <w:rPr/>
              <w:t>（三）技术培训，1. 中标供应商每台设备提供现场安装调试和培训。 2. 应提供完整的培训计划和方案，列明培训人员数量、达到的水平等，培训内容包括设备的操作、日常维修、简单故障的识别及排除等。培训所需全部费用均由中标供应商支付。</w:t>
            </w:r>
          </w:p>
          <w:p/>
          <w:p>
            <w:r>
              <w:rPr/>
              <w:t>（四）保修期，1.自验收合格之日起设备保修期不少于36个月。 1.1 保修期内必须保证95％以上日期（以每年365天计算）能正常工作，如未能达到，应按2倍时间相应延长保修期。 1.2保质保修期内，投标产品必须由中标供应商或原厂负责维修和售后服务（提供原厂售后服务承诺）。每年需对设备进行不少于2次的维护，且每次维护保养需出具维护保养记录。（所需费用均须包含在投标总价内）。 2. 保修期内，所有服务及配件全部包含在报价中。“技术要求”中另有要求的，以其中的要求为准。 3. 保修期自采购人和中标供应商代表在货物安装调试验收后的验收书上签字之日起计算。保修期内中标供应商对所供货物实行包修、包换、包退、包维护保养，保修期后设备维修配件更换只收取成本费用。 4. 保修期内，如设备或零部件因非人为因素出现故障而造成短期停用时，则保修期相应顺延。如停用时间累计超过60天则保修期重新计算。 5. 在保修期内，如货品非因采购人的人为原因而出现的问题由中标供应商负责保修、包换或包退，并承担修理、调换或退货的实际费用。 6. 保修期内，中标供应商负责对其提供的货物整机进行维修和系统维护，不再收取任何费用，但非中标供应商责任的人为因素、自然因素（如火灾、雷击等）造成的故障除外。 7. 保修期内,对采购人的服务通知，中标供应商在接报后2小时内响应，8小时内到达现场，24小时内处理完毕。若在24小时内仍未能有效解决，采购人有权要求中标供应商无偿提供同一档次的设备予采购人临时使用。</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眩晕VR耳呜康复仪（康复训练仪）</w:t>
            </w:r>
          </w:p>
        </w:tc>
        <w:tc>
          <w:tcPr>
            <w:tcW w:type="dxa" w:w="831"/>
          </w:tcPr>
          <w:p>
            <w:pPr>
              <w:jc w:val="left"/>
            </w:pPr>
            <w:r>
              <w:rPr/>
              <w:t>套</w:t>
            </w:r>
          </w:p>
        </w:tc>
        <w:tc>
          <w:tcPr>
            <w:tcW w:type="dxa" w:w="831"/>
          </w:tcPr>
          <w:p>
            <w:pPr>
              <w:jc w:val="right"/>
            </w:pPr>
            <w:r>
              <w:rPr/>
              <w:t>1.00</w:t>
            </w:r>
          </w:p>
        </w:tc>
        <w:tc>
          <w:tcPr>
            <w:tcW w:type="dxa" w:w="831"/>
          </w:tcPr>
          <w:p>
            <w:pPr>
              <w:jc w:val="right"/>
            </w:pPr>
            <w:r>
              <w:rPr/>
              <w:t>165,000.00</w:t>
            </w:r>
          </w:p>
        </w:tc>
        <w:tc>
          <w:tcPr>
            <w:tcW w:type="dxa" w:w="831"/>
          </w:tcPr>
          <w:p>
            <w:pPr>
              <w:jc w:val="right"/>
            </w:pPr>
            <w:r>
              <w:rPr/>
              <w:t>165,000.00</w:t>
            </w:r>
          </w:p>
        </w:tc>
        <w:tc>
          <w:tcPr>
            <w:tcW w:type="dxa" w:w="831"/>
          </w:tcPr>
          <w:p>
            <w:r>
              <w:rPr/>
              <w:t>工业</w:t>
            </w:r>
          </w:p>
        </w:tc>
        <w:tc>
          <w:tcPr>
            <w:tcW w:type="dxa" w:w="831"/>
          </w:tcPr>
          <w:p>
            <w:r>
              <w:rPr/>
              <w:t>详见附表一</w:t>
            </w:r>
          </w:p>
        </w:tc>
      </w:tr>
    </w:tbl>
    <w:p/>
    <w:p>
      <w:r>
        <w:rPr>
          <w:b/>
        </w:rPr>
        <w:t>附表</w:t>
      </w:r>
      <w:r>
        <w:rPr>
          <w:b/>
        </w:rPr>
        <w:t>一</w:t>
      </w:r>
      <w:r>
        <w:rPr>
          <w:b/>
        </w:rPr>
        <w:t>：</w:t>
      </w:r>
      <w:r>
        <w:rPr>
          <w:b/>
        </w:rPr>
        <w:t>眩晕VR耳呜康复仪（康复训练仪）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一、项目需求：</w:t>
            </w:r>
          </w:p>
          <w:p>
            <w:pPr>
              <w:jc w:val="left"/>
            </w:pPr>
            <w:r>
              <w:rPr>
                <w:color w:val="000000"/>
                <w:sz w:val="21"/>
              </w:rPr>
              <w:t>眩晕</w:t>
            </w:r>
            <w:r>
              <w:rPr>
                <w:color w:val="000000"/>
                <w:sz w:val="21"/>
              </w:rPr>
              <w:t>VR耳呜康复仪（康复训练仪）一套</w:t>
            </w:r>
            <w:r>
              <w:rPr>
                <w:sz w:val="21"/>
              </w:rPr>
              <w:t>。</w:t>
            </w:r>
          </w:p>
          <w:p>
            <w:pPr>
              <w:jc w:val="both"/>
            </w:pPr>
            <w:r>
              <w:rPr>
                <w:sz w:val="21"/>
              </w:rPr>
              <w:t>二、设备要求</w:t>
            </w:r>
          </w:p>
          <w:p>
            <w:pPr>
              <w:ind w:firstLine="210"/>
              <w:jc w:val="both"/>
            </w:pPr>
            <w:r>
              <w:rPr>
                <w:sz w:val="21"/>
              </w:rPr>
              <w:t>★</w:t>
            </w:r>
            <w:r>
              <w:rPr>
                <w:sz w:val="21"/>
              </w:rPr>
              <w:t>投标产品如属</w:t>
            </w:r>
            <w:r>
              <w:rPr>
                <w:sz w:val="21"/>
              </w:rPr>
              <w:t>一类医疗器械产品的须提供产品备案登记凭证，如属二类或三类医疗器械产品的须提供产品的《医疗器械注册证》</w:t>
            </w:r>
            <w:r>
              <w:rPr>
                <w:sz w:val="21"/>
              </w:rPr>
              <w:t>（无强制要求的除外，以国家药品监督管理局网上的数据库中查询的数据为准）</w:t>
            </w:r>
            <w:r>
              <w:rPr>
                <w:sz w:val="21"/>
              </w:rPr>
              <w:t>。</w:t>
            </w:r>
          </w:p>
          <w:p>
            <w:pPr>
              <w:jc w:val="left"/>
            </w:pPr>
            <w:r>
              <w:rPr>
                <w:b/>
                <w:sz w:val="21"/>
              </w:rPr>
              <w:t>三、设备功能及主要技术、配置要求：</w:t>
            </w:r>
          </w:p>
          <w:p>
            <w:pPr>
              <w:jc w:val="left"/>
            </w:pPr>
            <w:r>
              <w:rPr>
                <w:b/>
                <w:sz w:val="21"/>
              </w:rPr>
              <w:t>1、设备用途说明：</w:t>
            </w:r>
            <w:r>
              <w:rPr>
                <w:sz w:val="24"/>
              </w:rPr>
              <w:t>临床主要用于眩晕疾病治疗，促进患者前庭功能康复。</w:t>
            </w:r>
          </w:p>
          <w:p>
            <w:pPr>
              <w:jc w:val="both"/>
            </w:pPr>
            <w:r>
              <w:rPr>
                <w:b/>
                <w:color w:val="000000"/>
                <w:sz w:val="21"/>
              </w:rPr>
              <w:t>2、</w:t>
            </w:r>
            <w:r>
              <w:rPr>
                <w:b/>
                <w:sz w:val="21"/>
              </w:rPr>
              <w:t>设备主要规格、技术要求</w:t>
            </w:r>
            <w:r>
              <w:rPr>
                <w:b/>
                <w:color w:val="000000"/>
                <w:sz w:val="21"/>
              </w:rPr>
              <w:t>：</w:t>
            </w:r>
          </w:p>
          <w:p>
            <w:pPr>
              <w:jc w:val="both"/>
            </w:pPr>
            <w:r>
              <w:rPr>
                <w:color w:val="000000"/>
                <w:sz w:val="21"/>
              </w:rPr>
              <w:t>2.1</w:t>
            </w:r>
            <w:r>
              <w:rPr>
                <w:color w:val="000000"/>
                <w:sz w:val="21"/>
              </w:rPr>
              <w:t>配置多种训练模块：包括（不限于）坐姿训练模块、站立训练模块、耳石症专项训练模块、</w:t>
            </w:r>
            <w:r>
              <w:rPr>
                <w:sz w:val="21"/>
              </w:rPr>
              <w:t>视动刺激习服训练模块</w:t>
            </w:r>
            <w:r>
              <w:rPr>
                <w:color w:val="000000"/>
                <w:sz w:val="21"/>
              </w:rPr>
              <w:t>、自定义训练模块等。</w:t>
            </w:r>
          </w:p>
          <w:p>
            <w:pPr>
              <w:jc w:val="both"/>
            </w:pPr>
            <w:r>
              <w:rPr>
                <w:color w:val="000000"/>
                <w:sz w:val="21"/>
              </w:rPr>
              <w:t>2.2</w:t>
            </w:r>
            <w:r>
              <w:rPr>
                <w:color w:val="000000"/>
                <w:sz w:val="21"/>
              </w:rPr>
              <w:t>显示方式：设备</w:t>
            </w:r>
            <w:r>
              <w:rPr>
                <w:color w:val="000000"/>
                <w:sz w:val="21"/>
              </w:rPr>
              <w:t>通过感知用户动作、生成虚拟环境和传递感官刺激</w:t>
            </w:r>
            <w:r>
              <w:rPr>
                <w:color w:val="000000"/>
                <w:sz w:val="21"/>
              </w:rPr>
              <w:t>来</w:t>
            </w:r>
            <w:r>
              <w:rPr>
                <w:color w:val="000000"/>
                <w:sz w:val="21"/>
              </w:rPr>
              <w:t>实现用户体验</w:t>
            </w:r>
            <w:r>
              <w:rPr>
                <w:color w:val="000000"/>
                <w:sz w:val="21"/>
              </w:rPr>
              <w:t>，可外接同屏显示系统。</w:t>
            </w:r>
          </w:p>
          <w:p>
            <w:pPr>
              <w:jc w:val="both"/>
            </w:pPr>
            <w:r>
              <w:rPr>
                <w:color w:val="000000"/>
                <w:sz w:val="21"/>
              </w:rPr>
              <w:t>2.3</w:t>
            </w:r>
            <w:r>
              <w:rPr>
                <w:color w:val="000000"/>
                <w:sz w:val="21"/>
              </w:rPr>
              <w:t>手柄操作方式：双蓝牙手柄无线操作。</w:t>
            </w:r>
          </w:p>
          <w:p>
            <w:pPr>
              <w:jc w:val="both"/>
            </w:pPr>
            <w:r>
              <w:rPr>
                <w:color w:val="000000"/>
                <w:sz w:val="21"/>
              </w:rPr>
              <w:t>2.4</w:t>
            </w:r>
            <w:r>
              <w:rPr>
                <w:color w:val="000000"/>
                <w:sz w:val="21"/>
              </w:rPr>
              <w:t>具备训练评估功能：训练结束后可提供评估分数。</w:t>
            </w:r>
          </w:p>
          <w:p>
            <w:pPr>
              <w:jc w:val="both"/>
            </w:pPr>
            <w:r>
              <w:rPr>
                <w:color w:val="000000"/>
                <w:sz w:val="21"/>
              </w:rPr>
              <w:t>2.5</w:t>
            </w:r>
            <w:r>
              <w:rPr>
                <w:color w:val="000000"/>
                <w:sz w:val="21"/>
              </w:rPr>
              <w:t>处理器：</w:t>
            </w:r>
            <w:r>
              <w:rPr>
                <w:color w:val="000000"/>
                <w:sz w:val="21"/>
              </w:rPr>
              <w:t>GPU主频不低于580MHz 。</w:t>
            </w:r>
          </w:p>
          <w:p>
            <w:pPr>
              <w:jc w:val="both"/>
            </w:pPr>
            <w:r>
              <w:rPr>
                <w:color w:val="000000"/>
                <w:sz w:val="21"/>
              </w:rPr>
              <w:t>2.6</w:t>
            </w:r>
            <w:r>
              <w:rPr>
                <w:color w:val="000000"/>
                <w:sz w:val="21"/>
              </w:rPr>
              <w:t>屏幕及光学：</w:t>
            </w:r>
          </w:p>
          <w:p>
            <w:pPr>
              <w:jc w:val="both"/>
            </w:pPr>
            <w:r>
              <w:rPr>
                <w:color w:val="000000"/>
                <w:sz w:val="21"/>
              </w:rPr>
              <w:t>2.</w:t>
            </w:r>
            <w:r>
              <w:rPr>
                <w:color w:val="000000"/>
                <w:sz w:val="21"/>
              </w:rPr>
              <w:t>6.1 尺寸：≥5.</w:t>
            </w:r>
            <w:r>
              <w:rPr>
                <w:color w:val="000000"/>
                <w:sz w:val="21"/>
              </w:rPr>
              <w:t>0</w:t>
            </w:r>
            <w:r>
              <w:rPr>
                <w:color w:val="000000"/>
                <w:sz w:val="21"/>
              </w:rPr>
              <w:t>英寸；</w:t>
            </w:r>
          </w:p>
          <w:p>
            <w:pPr>
              <w:jc w:val="both"/>
            </w:pPr>
            <w:r>
              <w:rPr>
                <w:color w:val="000000"/>
                <w:sz w:val="21"/>
              </w:rPr>
              <w:t>2.</w:t>
            </w:r>
            <w:r>
              <w:rPr>
                <w:color w:val="000000"/>
                <w:sz w:val="21"/>
              </w:rPr>
              <w:t>6.2 分辨率：≥</w:t>
            </w:r>
            <w:r>
              <w:rPr>
                <w:color w:val="000000"/>
                <w:sz w:val="21"/>
              </w:rPr>
              <w:t>2560*1440</w:t>
            </w:r>
            <w:r>
              <w:rPr>
                <w:color w:val="000000"/>
                <w:sz w:val="21"/>
              </w:rPr>
              <w:t>；</w:t>
            </w:r>
          </w:p>
          <w:p>
            <w:pPr>
              <w:jc w:val="both"/>
            </w:pPr>
            <w:r>
              <w:rPr>
                <w:color w:val="000000"/>
                <w:sz w:val="21"/>
              </w:rPr>
              <w:t>2.</w:t>
            </w:r>
            <w:r>
              <w:rPr>
                <w:color w:val="000000"/>
                <w:sz w:val="21"/>
              </w:rPr>
              <w:t>6.</w:t>
            </w:r>
            <w:r>
              <w:rPr>
                <w:color w:val="000000"/>
                <w:sz w:val="21"/>
              </w:rPr>
              <w:t>3</w:t>
            </w:r>
            <w:r>
              <w:rPr>
                <w:color w:val="000000"/>
                <w:sz w:val="21"/>
              </w:rPr>
              <w:t xml:space="preserve"> </w:t>
            </w:r>
            <w:r>
              <w:rPr>
                <w:color w:val="000000"/>
                <w:sz w:val="21"/>
              </w:rPr>
              <w:t>视场角：</w:t>
            </w:r>
            <w:r>
              <w:rPr>
                <w:color w:val="000000"/>
                <w:sz w:val="21"/>
              </w:rPr>
              <w:t>≥98°；</w:t>
            </w:r>
          </w:p>
          <w:p>
            <w:pPr>
              <w:jc w:val="both"/>
            </w:pPr>
            <w:r>
              <w:rPr>
                <w:color w:val="000000"/>
                <w:sz w:val="21"/>
              </w:rPr>
              <w:t>2.</w:t>
            </w:r>
            <w:r>
              <w:rPr>
                <w:color w:val="000000"/>
                <w:sz w:val="21"/>
              </w:rPr>
              <w:t>6.</w:t>
            </w:r>
            <w:r>
              <w:rPr>
                <w:color w:val="000000"/>
                <w:sz w:val="21"/>
              </w:rPr>
              <w:t>4</w:t>
            </w:r>
            <w:r>
              <w:rPr>
                <w:color w:val="000000"/>
                <w:sz w:val="21"/>
              </w:rPr>
              <w:t xml:space="preserve"> </w:t>
            </w:r>
            <w:r>
              <w:rPr>
                <w:color w:val="000000"/>
                <w:sz w:val="21"/>
              </w:rPr>
              <w:t>瞳距调节：支持不少于三档的物理瞳距调节。</w:t>
            </w:r>
          </w:p>
          <w:p>
            <w:pPr>
              <w:jc w:val="both"/>
            </w:pPr>
            <w:r>
              <w:rPr>
                <w:color w:val="000000"/>
                <w:sz w:val="21"/>
              </w:rPr>
              <w:t>2.7</w:t>
            </w:r>
            <w:r>
              <w:rPr>
                <w:color w:val="000000"/>
                <w:sz w:val="21"/>
              </w:rPr>
              <w:t>存储：包括内存</w:t>
            </w:r>
            <w:r>
              <w:rPr>
                <w:color w:val="000000"/>
                <w:sz w:val="21"/>
              </w:rPr>
              <w:t>≥6GB、闪存≥128GB。</w:t>
            </w:r>
          </w:p>
          <w:p>
            <w:pPr>
              <w:jc w:val="both"/>
            </w:pPr>
            <w:r>
              <w:rPr>
                <w:color w:val="000000"/>
                <w:sz w:val="21"/>
              </w:rPr>
              <w:t>2.8</w:t>
            </w:r>
            <w:r>
              <w:rPr>
                <w:color w:val="000000"/>
                <w:sz w:val="21"/>
              </w:rPr>
              <w:t>传感器：</w:t>
            </w:r>
            <w:r>
              <w:rPr>
                <w:sz w:val="21"/>
              </w:rPr>
              <w:t>采样频率</w:t>
            </w:r>
            <w:r>
              <w:rPr>
                <w:sz w:val="21"/>
              </w:rPr>
              <w:t>≥1KHz；</w:t>
            </w:r>
            <w:r>
              <w:rPr>
                <w:color w:val="000000"/>
                <w:sz w:val="21"/>
              </w:rPr>
              <w:t>需要配置重力传感器，实现人脸佩戴感应功能。</w:t>
            </w:r>
          </w:p>
          <w:p>
            <w:pPr>
              <w:jc w:val="both"/>
            </w:pPr>
            <w:r>
              <w:rPr>
                <w:sz w:val="21"/>
              </w:rPr>
              <w:t>2.9</w:t>
            </w:r>
            <w:r>
              <w:rPr>
                <w:sz w:val="21"/>
              </w:rPr>
              <w:t>电池容量：</w:t>
            </w:r>
            <w:r>
              <w:rPr>
                <w:sz w:val="21"/>
              </w:rPr>
              <w:t>≥</w:t>
            </w:r>
            <w:r>
              <w:rPr>
                <w:sz w:val="21"/>
              </w:rPr>
              <w:t>450</w:t>
            </w:r>
            <w:r>
              <w:rPr>
                <w:sz w:val="21"/>
              </w:rPr>
              <w:t>0mAh、</w:t>
            </w:r>
            <w:r>
              <w:rPr>
                <w:color w:val="000000"/>
                <w:sz w:val="21"/>
              </w:rPr>
              <w:t>续航时间</w:t>
            </w:r>
            <w:r>
              <w:rPr>
                <w:color w:val="000000"/>
                <w:sz w:val="21"/>
              </w:rPr>
              <w:t>≥</w:t>
            </w:r>
            <w:r>
              <w:rPr>
                <w:color w:val="000000"/>
                <w:sz w:val="21"/>
              </w:rPr>
              <w:t>4</w:t>
            </w:r>
            <w:r>
              <w:rPr>
                <w:color w:val="000000"/>
                <w:sz w:val="21"/>
              </w:rPr>
              <w:t>小时。</w:t>
            </w:r>
          </w:p>
          <w:p>
            <w:pPr>
              <w:jc w:val="both"/>
            </w:pPr>
            <w:r>
              <w:rPr>
                <w:color w:val="000000"/>
                <w:sz w:val="21"/>
              </w:rPr>
              <w:t>2.10</w:t>
            </w:r>
            <w:r>
              <w:rPr>
                <w:color w:val="000000"/>
                <w:sz w:val="21"/>
              </w:rPr>
              <w:t>前置摄像头：支持头部</w:t>
            </w:r>
            <w:r>
              <w:rPr>
                <w:color w:val="000000"/>
                <w:sz w:val="21"/>
              </w:rPr>
              <w:t>6DoF定位，患者离开训练安全区域可透视外界环境。</w:t>
            </w:r>
          </w:p>
          <w:p>
            <w:pPr>
              <w:jc w:val="both"/>
            </w:pPr>
            <w:r>
              <w:rPr>
                <w:color w:val="000000"/>
                <w:sz w:val="21"/>
              </w:rPr>
              <w:t>2</w:t>
            </w:r>
            <w:r>
              <w:rPr>
                <w:color w:val="000000"/>
                <w:sz w:val="21"/>
              </w:rPr>
              <w:t>.11</w:t>
            </w:r>
            <w:r>
              <w:rPr>
                <w:color w:val="000000"/>
                <w:sz w:val="21"/>
              </w:rPr>
              <w:t>设计：</w:t>
            </w:r>
            <w:r>
              <w:rPr>
                <w:color w:val="000000"/>
                <w:sz w:val="21"/>
              </w:rPr>
              <w:t>前置头盔和</w:t>
            </w:r>
            <w:r>
              <w:rPr>
                <w:color w:val="000000"/>
                <w:sz w:val="21"/>
              </w:rPr>
              <w:t>配</w:t>
            </w:r>
            <w:r>
              <w:rPr>
                <w:color w:val="000000"/>
                <w:sz w:val="21"/>
              </w:rPr>
              <w:t>置电池组</w:t>
            </w:r>
            <w:r>
              <w:rPr>
                <w:color w:val="000000"/>
                <w:sz w:val="21"/>
              </w:rPr>
              <w:t>成；机身重量：</w:t>
            </w:r>
            <w:r>
              <w:rPr>
                <w:color w:val="000000"/>
                <w:sz w:val="21"/>
              </w:rPr>
              <w:t>≤</w:t>
            </w:r>
            <w:r>
              <w:rPr>
                <w:color w:val="000000"/>
                <w:sz w:val="21"/>
              </w:rPr>
              <w:t>420</w:t>
            </w:r>
            <w:r>
              <w:rPr>
                <w:color w:val="000000"/>
                <w:sz w:val="21"/>
              </w:rPr>
              <w:t>g。</w:t>
            </w:r>
          </w:p>
          <w:p>
            <w:pPr>
              <w:jc w:val="both"/>
            </w:pPr>
            <w:r>
              <w:rPr>
                <w:color w:val="000000"/>
                <w:sz w:val="21"/>
              </w:rPr>
              <w:t>2.12</w:t>
            </w:r>
            <w:r>
              <w:rPr>
                <w:color w:val="000000"/>
                <w:sz w:val="21"/>
              </w:rPr>
              <w:t>平衡底板：工程塑料</w:t>
            </w:r>
            <w:r>
              <w:rPr>
                <w:color w:val="000000"/>
                <w:sz w:val="21"/>
              </w:rPr>
              <w:t>+热塑性橡胶工艺；尺寸≥φ40cm*10cm。</w:t>
            </w:r>
          </w:p>
          <w:p>
            <w:pPr>
              <w:jc w:val="both"/>
            </w:pPr>
            <w:r>
              <w:rPr>
                <w:color w:val="000000"/>
                <w:sz w:val="21"/>
              </w:rPr>
              <w:t>2.13</w:t>
            </w:r>
            <w:r>
              <w:rPr>
                <w:color w:val="000000"/>
                <w:sz w:val="21"/>
              </w:rPr>
              <w:t>高密度海绵垫尺寸：薄垫</w:t>
            </w:r>
            <w:r>
              <w:rPr>
                <w:color w:val="000000"/>
                <w:sz w:val="21"/>
              </w:rPr>
              <w:t>≥4</w:t>
            </w:r>
            <w:r>
              <w:rPr>
                <w:color w:val="000000"/>
                <w:sz w:val="21"/>
              </w:rPr>
              <w:t>0</w:t>
            </w:r>
            <w:r>
              <w:rPr>
                <w:color w:val="000000"/>
                <w:sz w:val="21"/>
              </w:rPr>
              <w:t>cm*4</w:t>
            </w:r>
            <w:r>
              <w:rPr>
                <w:color w:val="000000"/>
                <w:sz w:val="21"/>
              </w:rPr>
              <w:t>0</w:t>
            </w:r>
            <w:r>
              <w:rPr>
                <w:color w:val="000000"/>
                <w:sz w:val="21"/>
              </w:rPr>
              <w:t>cm*3cm，厚垫≥4</w:t>
            </w:r>
            <w:r>
              <w:rPr>
                <w:color w:val="000000"/>
                <w:sz w:val="21"/>
              </w:rPr>
              <w:t>0</w:t>
            </w:r>
            <w:r>
              <w:rPr>
                <w:color w:val="000000"/>
                <w:sz w:val="21"/>
              </w:rPr>
              <w:t>cm*4</w:t>
            </w:r>
            <w:r>
              <w:rPr>
                <w:color w:val="000000"/>
                <w:sz w:val="21"/>
              </w:rPr>
              <w:t>0</w:t>
            </w:r>
            <w:r>
              <w:rPr>
                <w:color w:val="000000"/>
                <w:sz w:val="21"/>
              </w:rPr>
              <w:t xml:space="preserve"> </w:t>
            </w:r>
            <w:r>
              <w:rPr>
                <w:color w:val="000000"/>
                <w:sz w:val="21"/>
              </w:rPr>
              <w:t>cm*5cm。</w:t>
            </w:r>
          </w:p>
          <w:p>
            <w:pPr>
              <w:jc w:val="both"/>
            </w:pPr>
            <w:r>
              <w:rPr>
                <w:b/>
                <w:sz w:val="21"/>
              </w:rPr>
              <w:t>3、主要配置要求：</w:t>
            </w:r>
          </w:p>
          <w:tbl>
            <w:tblPr>
              <w:tblBorders>
                <w:top w:val="none" w:color="000000" w:sz="4"/>
                <w:left w:val="none" w:color="000000" w:sz="4"/>
                <w:bottom w:val="none" w:color="000000" w:sz="4"/>
                <w:right w:val="none" w:color="000000" w:sz="4"/>
                <w:insideH w:val="none"/>
                <w:insideV w:val="none"/>
              </w:tblBorders>
            </w:tblPr>
            <w:tblGrid>
              <w:gridCol w:w="726"/>
              <w:gridCol w:w="2873"/>
              <w:gridCol w:w="900"/>
              <w:gridCol w:w="1097"/>
            </w:tblGrid>
            <w:tr>
              <w:tc>
                <w:tcPr>
                  <w:tcW w:type="dxa" w:w="726"/>
                  <w:tcBorders>
                    <w:top w:val="single" w:color="000000" w:sz="4"/>
                    <w:left w:val="single" w:color="000000" w:sz="4"/>
                    <w:bottom w:val="single" w:color="000000" w:sz="4"/>
                    <w:right w:val="single" w:color="000000" w:sz="4"/>
                  </w:tcBorders>
                  <w:shd w:fill="BFBFBF"/>
                  <w:vAlign w:val="top"/>
                </w:tcPr>
                <w:p>
                  <w:pPr>
                    <w:jc w:val="both"/>
                  </w:pPr>
                  <w:r>
                    <w:rPr>
                      <w:sz w:val="21"/>
                    </w:rPr>
                    <w:t>序号</w:t>
                  </w:r>
                </w:p>
              </w:tc>
              <w:tc>
                <w:tcPr>
                  <w:tcW w:type="dxa" w:w="2873"/>
                  <w:tcBorders>
                    <w:top w:val="single" w:color="000000" w:sz="4"/>
                    <w:left w:val="single" w:color="000000" w:sz="4"/>
                    <w:bottom w:val="single" w:color="000000" w:sz="4"/>
                    <w:right w:val="single" w:color="000000" w:sz="4"/>
                  </w:tcBorders>
                  <w:shd w:fill="BFBFBF"/>
                  <w:vAlign w:val="top"/>
                </w:tcPr>
                <w:p>
                  <w:pPr>
                    <w:jc w:val="both"/>
                  </w:pPr>
                  <w:r>
                    <w:rPr>
                      <w:sz w:val="21"/>
                    </w:rPr>
                    <w:t>名</w:t>
                  </w:r>
                  <w:r>
                    <w:rPr>
                      <w:sz w:val="21"/>
                    </w:rPr>
                    <w:t>称</w:t>
                  </w:r>
                </w:p>
              </w:tc>
              <w:tc>
                <w:tcPr>
                  <w:tcW w:type="dxa" w:w="900"/>
                  <w:tcBorders>
                    <w:top w:val="single" w:color="000000" w:sz="4"/>
                    <w:left w:val="single" w:color="000000" w:sz="4"/>
                    <w:bottom w:val="single" w:color="000000" w:sz="4"/>
                    <w:right w:val="single" w:color="000000" w:sz="4"/>
                  </w:tcBorders>
                  <w:shd w:fill="BFBFBF"/>
                  <w:vAlign w:val="top"/>
                </w:tcPr>
                <w:p>
                  <w:pPr>
                    <w:jc w:val="both"/>
                  </w:pPr>
                  <w:r>
                    <w:rPr>
                      <w:sz w:val="21"/>
                    </w:rPr>
                    <w:t>单位</w:t>
                  </w:r>
                </w:p>
              </w:tc>
              <w:tc>
                <w:tcPr>
                  <w:tcW w:type="dxa" w:w="1097"/>
                  <w:tcBorders>
                    <w:top w:val="single" w:color="000000" w:sz="4"/>
                    <w:left w:val="single" w:color="000000" w:sz="4"/>
                    <w:bottom w:val="single" w:color="000000" w:sz="4"/>
                    <w:right w:val="single" w:color="000000" w:sz="4"/>
                  </w:tcBorders>
                  <w:shd w:fill="BFBFBF"/>
                  <w:vAlign w:val="top"/>
                </w:tcPr>
                <w:p>
                  <w:pPr>
                    <w:jc w:val="both"/>
                  </w:pPr>
                  <w:r>
                    <w:rPr>
                      <w:sz w:val="21"/>
                    </w:rPr>
                    <w:t>数量</w:t>
                  </w:r>
                </w:p>
              </w:tc>
            </w:tr>
            <w:tr>
              <w:tc>
                <w:tcPr>
                  <w:tcW w:type="dxa" w:w="726"/>
                  <w:tcBorders>
                    <w:top w:val="none" w:color="000000" w:sz="4"/>
                    <w:left w:val="single" w:color="000000" w:sz="4"/>
                    <w:bottom w:val="single" w:color="000000" w:sz="4"/>
                    <w:right w:val="single" w:color="000000" w:sz="4"/>
                  </w:tcBorders>
                  <w:vAlign w:val="top"/>
                </w:tcPr>
                <w:p>
                  <w:pPr>
                    <w:jc w:val="both"/>
                  </w:pPr>
                  <w:r>
                    <w:rPr>
                      <w:sz w:val="21"/>
                    </w:rPr>
                    <w:t>1</w:t>
                  </w:r>
                </w:p>
              </w:tc>
              <w:tc>
                <w:tcPr>
                  <w:tcW w:type="dxa" w:w="2873"/>
                  <w:tcBorders>
                    <w:top w:val="none" w:color="000000" w:sz="4"/>
                    <w:left w:val="single" w:color="000000" w:sz="4"/>
                    <w:bottom w:val="single" w:color="000000" w:sz="4"/>
                    <w:right w:val="single" w:color="000000" w:sz="4"/>
                  </w:tcBorders>
                  <w:vAlign w:val="top"/>
                </w:tcPr>
                <w:p>
                  <w:pPr>
                    <w:jc w:val="both"/>
                  </w:pPr>
                  <w:r>
                    <w:rPr>
                      <w:sz w:val="21"/>
                    </w:rPr>
                    <w:t>VR一体机</w:t>
                  </w:r>
                </w:p>
              </w:tc>
              <w:tc>
                <w:tcPr>
                  <w:tcW w:type="dxa" w:w="900"/>
                  <w:tcBorders>
                    <w:top w:val="none" w:color="000000" w:sz="4"/>
                    <w:left w:val="single" w:color="000000" w:sz="4"/>
                    <w:bottom w:val="single" w:color="000000" w:sz="4"/>
                    <w:right w:val="single" w:color="000000" w:sz="4"/>
                  </w:tcBorders>
                  <w:vAlign w:val="top"/>
                </w:tcPr>
                <w:p>
                  <w:pPr>
                    <w:jc w:val="both"/>
                  </w:pPr>
                  <w:r>
                    <w:rPr>
                      <w:sz w:val="21"/>
                    </w:rPr>
                    <w:t>台</w:t>
                  </w:r>
                </w:p>
              </w:tc>
              <w:tc>
                <w:tcPr>
                  <w:tcW w:type="dxa" w:w="1097"/>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726"/>
                  <w:tcBorders>
                    <w:top w:val="none" w:color="000000" w:sz="4"/>
                    <w:left w:val="single" w:color="000000" w:sz="4"/>
                    <w:bottom w:val="single" w:color="000000" w:sz="4"/>
                    <w:right w:val="single" w:color="000000" w:sz="4"/>
                  </w:tcBorders>
                  <w:vAlign w:val="top"/>
                </w:tcPr>
                <w:p>
                  <w:pPr>
                    <w:jc w:val="both"/>
                  </w:pPr>
                  <w:r>
                    <w:rPr>
                      <w:sz w:val="21"/>
                    </w:rPr>
                    <w:t>2</w:t>
                  </w:r>
                </w:p>
              </w:tc>
              <w:tc>
                <w:tcPr>
                  <w:tcW w:type="dxa" w:w="2873"/>
                  <w:tcBorders>
                    <w:top w:val="none" w:color="000000" w:sz="4"/>
                    <w:left w:val="single" w:color="000000" w:sz="4"/>
                    <w:bottom w:val="single" w:color="000000" w:sz="4"/>
                    <w:right w:val="single" w:color="000000" w:sz="4"/>
                  </w:tcBorders>
                  <w:vAlign w:val="top"/>
                </w:tcPr>
                <w:p>
                  <w:pPr>
                    <w:jc w:val="both"/>
                  </w:pPr>
                  <w:r>
                    <w:rPr>
                      <w:sz w:val="21"/>
                    </w:rPr>
                    <w:t>手柄</w:t>
                  </w:r>
                </w:p>
              </w:tc>
              <w:tc>
                <w:tcPr>
                  <w:tcW w:type="dxa" w:w="900"/>
                  <w:tcBorders>
                    <w:top w:val="none" w:color="000000" w:sz="4"/>
                    <w:left w:val="single" w:color="000000" w:sz="4"/>
                    <w:bottom w:val="single" w:color="000000" w:sz="4"/>
                    <w:right w:val="single" w:color="000000" w:sz="4"/>
                  </w:tcBorders>
                  <w:vAlign w:val="top"/>
                </w:tcPr>
                <w:p>
                  <w:pPr>
                    <w:jc w:val="both"/>
                  </w:pPr>
                  <w:r>
                    <w:rPr>
                      <w:sz w:val="21"/>
                    </w:rPr>
                    <w:t>个</w:t>
                  </w:r>
                </w:p>
              </w:tc>
              <w:tc>
                <w:tcPr>
                  <w:tcW w:type="dxa" w:w="1097"/>
                  <w:tcBorders>
                    <w:top w:val="none" w:color="000000" w:sz="4"/>
                    <w:left w:val="single" w:color="000000" w:sz="4"/>
                    <w:bottom w:val="single" w:color="000000" w:sz="4"/>
                    <w:right w:val="single" w:color="000000" w:sz="4"/>
                  </w:tcBorders>
                  <w:vAlign w:val="top"/>
                </w:tcPr>
                <w:p>
                  <w:pPr>
                    <w:jc w:val="both"/>
                  </w:pPr>
                  <w:r>
                    <w:rPr>
                      <w:sz w:val="21"/>
                    </w:rPr>
                    <w:t>2</w:t>
                  </w:r>
                </w:p>
              </w:tc>
            </w:tr>
            <w:tr>
              <w:tc>
                <w:tcPr>
                  <w:tcW w:type="dxa" w:w="726"/>
                  <w:tcBorders>
                    <w:top w:val="none" w:color="000000" w:sz="4"/>
                    <w:left w:val="single" w:color="000000" w:sz="4"/>
                    <w:bottom w:val="single" w:color="000000" w:sz="4"/>
                    <w:right w:val="single" w:color="000000" w:sz="4"/>
                  </w:tcBorders>
                  <w:vAlign w:val="top"/>
                </w:tcPr>
                <w:p>
                  <w:pPr>
                    <w:jc w:val="both"/>
                  </w:pPr>
                  <w:r>
                    <w:rPr>
                      <w:sz w:val="21"/>
                    </w:rPr>
                    <w:t>3</w:t>
                  </w:r>
                </w:p>
              </w:tc>
              <w:tc>
                <w:tcPr>
                  <w:tcW w:type="dxa" w:w="2873"/>
                  <w:tcBorders>
                    <w:top w:val="none" w:color="000000" w:sz="4"/>
                    <w:left w:val="single" w:color="000000" w:sz="4"/>
                    <w:bottom w:val="single" w:color="000000" w:sz="4"/>
                    <w:right w:val="single" w:color="000000" w:sz="4"/>
                  </w:tcBorders>
                  <w:vAlign w:val="top"/>
                </w:tcPr>
                <w:p>
                  <w:pPr>
                    <w:jc w:val="both"/>
                  </w:pPr>
                  <w:r>
                    <w:rPr>
                      <w:sz w:val="21"/>
                    </w:rPr>
                    <w:t>同屏显示系统</w:t>
                  </w:r>
                </w:p>
              </w:tc>
              <w:tc>
                <w:tcPr>
                  <w:tcW w:type="dxa" w:w="900"/>
                  <w:tcBorders>
                    <w:top w:val="none" w:color="000000" w:sz="4"/>
                    <w:left w:val="single" w:color="000000" w:sz="4"/>
                    <w:bottom w:val="single" w:color="000000" w:sz="4"/>
                    <w:right w:val="single" w:color="000000" w:sz="4"/>
                  </w:tcBorders>
                  <w:vAlign w:val="top"/>
                </w:tcPr>
                <w:p>
                  <w:pPr>
                    <w:jc w:val="both"/>
                  </w:pPr>
                  <w:r>
                    <w:rPr>
                      <w:sz w:val="21"/>
                    </w:rPr>
                    <w:t>套</w:t>
                  </w:r>
                </w:p>
              </w:tc>
              <w:tc>
                <w:tcPr>
                  <w:tcW w:type="dxa" w:w="1097"/>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726"/>
                  <w:tcBorders>
                    <w:top w:val="none" w:color="000000" w:sz="4"/>
                    <w:left w:val="single" w:color="000000" w:sz="4"/>
                    <w:bottom w:val="single" w:color="000000" w:sz="4"/>
                    <w:right w:val="single" w:color="000000" w:sz="4"/>
                  </w:tcBorders>
                  <w:vAlign w:val="top"/>
                </w:tcPr>
                <w:p>
                  <w:pPr>
                    <w:jc w:val="both"/>
                  </w:pPr>
                  <w:r>
                    <w:rPr>
                      <w:sz w:val="21"/>
                    </w:rPr>
                    <w:t>4</w:t>
                  </w:r>
                </w:p>
              </w:tc>
              <w:tc>
                <w:tcPr>
                  <w:tcW w:type="dxa" w:w="2873"/>
                  <w:tcBorders>
                    <w:top w:val="none" w:color="000000" w:sz="4"/>
                    <w:left w:val="single" w:color="000000" w:sz="4"/>
                    <w:bottom w:val="single" w:color="000000" w:sz="4"/>
                    <w:right w:val="single" w:color="000000" w:sz="4"/>
                  </w:tcBorders>
                  <w:vAlign w:val="top"/>
                </w:tcPr>
                <w:p>
                  <w:pPr>
                    <w:jc w:val="both"/>
                  </w:pPr>
                  <w:r>
                    <w:rPr>
                      <w:sz w:val="21"/>
                    </w:rPr>
                    <w:t>收纳工具箱</w:t>
                  </w:r>
                </w:p>
              </w:tc>
              <w:tc>
                <w:tcPr>
                  <w:tcW w:type="dxa" w:w="900"/>
                  <w:tcBorders>
                    <w:top w:val="none" w:color="000000" w:sz="4"/>
                    <w:left w:val="single" w:color="000000" w:sz="4"/>
                    <w:bottom w:val="single" w:color="000000" w:sz="4"/>
                    <w:right w:val="single" w:color="000000" w:sz="4"/>
                  </w:tcBorders>
                  <w:vAlign w:val="top"/>
                </w:tcPr>
                <w:p>
                  <w:pPr>
                    <w:jc w:val="both"/>
                  </w:pPr>
                  <w:r>
                    <w:rPr>
                      <w:sz w:val="21"/>
                    </w:rPr>
                    <w:t>个</w:t>
                  </w:r>
                </w:p>
              </w:tc>
              <w:tc>
                <w:tcPr>
                  <w:tcW w:type="dxa" w:w="1097"/>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726"/>
                  <w:tcBorders>
                    <w:top w:val="none" w:color="000000" w:sz="4"/>
                    <w:left w:val="single" w:color="000000" w:sz="4"/>
                    <w:bottom w:val="single" w:color="000000" w:sz="4"/>
                    <w:right w:val="single" w:color="000000" w:sz="4"/>
                  </w:tcBorders>
                  <w:vAlign w:val="top"/>
                </w:tcPr>
                <w:p>
                  <w:pPr>
                    <w:jc w:val="both"/>
                  </w:pPr>
                  <w:r>
                    <w:rPr>
                      <w:sz w:val="21"/>
                    </w:rPr>
                    <w:t>5</w:t>
                  </w:r>
                </w:p>
              </w:tc>
              <w:tc>
                <w:tcPr>
                  <w:tcW w:type="dxa" w:w="2873"/>
                  <w:tcBorders>
                    <w:top w:val="none" w:color="000000" w:sz="4"/>
                    <w:left w:val="single" w:color="000000" w:sz="4"/>
                    <w:bottom w:val="single" w:color="000000" w:sz="4"/>
                    <w:right w:val="single" w:color="000000" w:sz="4"/>
                  </w:tcBorders>
                  <w:vAlign w:val="top"/>
                </w:tcPr>
                <w:p>
                  <w:pPr>
                    <w:jc w:val="both"/>
                  </w:pPr>
                  <w:r>
                    <w:rPr>
                      <w:sz w:val="21"/>
                    </w:rPr>
                    <w:t>平衡底板</w:t>
                  </w:r>
                </w:p>
              </w:tc>
              <w:tc>
                <w:tcPr>
                  <w:tcW w:type="dxa" w:w="900"/>
                  <w:tcBorders>
                    <w:top w:val="none" w:color="000000" w:sz="4"/>
                    <w:left w:val="single" w:color="000000" w:sz="4"/>
                    <w:bottom w:val="single" w:color="000000" w:sz="4"/>
                    <w:right w:val="single" w:color="000000" w:sz="4"/>
                  </w:tcBorders>
                  <w:vAlign w:val="top"/>
                </w:tcPr>
                <w:p>
                  <w:pPr>
                    <w:jc w:val="both"/>
                  </w:pPr>
                  <w:r>
                    <w:rPr>
                      <w:sz w:val="21"/>
                    </w:rPr>
                    <w:t>个</w:t>
                  </w:r>
                </w:p>
              </w:tc>
              <w:tc>
                <w:tcPr>
                  <w:tcW w:type="dxa" w:w="1097"/>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726"/>
                  <w:tcBorders>
                    <w:top w:val="none" w:color="000000" w:sz="4"/>
                    <w:left w:val="single" w:color="000000" w:sz="4"/>
                    <w:bottom w:val="single" w:color="000000" w:sz="4"/>
                    <w:right w:val="single" w:color="000000" w:sz="4"/>
                  </w:tcBorders>
                  <w:vAlign w:val="top"/>
                </w:tcPr>
                <w:p>
                  <w:pPr>
                    <w:jc w:val="both"/>
                  </w:pPr>
                  <w:r>
                    <w:rPr>
                      <w:sz w:val="21"/>
                    </w:rPr>
                    <w:t>6</w:t>
                  </w:r>
                </w:p>
              </w:tc>
              <w:tc>
                <w:tcPr>
                  <w:tcW w:type="dxa" w:w="2873"/>
                  <w:tcBorders>
                    <w:top w:val="none" w:color="000000" w:sz="4"/>
                    <w:left w:val="single" w:color="000000" w:sz="4"/>
                    <w:bottom w:val="single" w:color="000000" w:sz="4"/>
                    <w:right w:val="single" w:color="000000" w:sz="4"/>
                  </w:tcBorders>
                  <w:vAlign w:val="top"/>
                </w:tcPr>
                <w:p>
                  <w:pPr>
                    <w:jc w:val="both"/>
                  </w:pPr>
                  <w:r>
                    <w:rPr>
                      <w:sz w:val="21"/>
                    </w:rPr>
                    <w:t>海绵垫</w:t>
                  </w:r>
                </w:p>
              </w:tc>
              <w:tc>
                <w:tcPr>
                  <w:tcW w:type="dxa" w:w="900"/>
                  <w:tcBorders>
                    <w:top w:val="none" w:color="000000" w:sz="4"/>
                    <w:left w:val="single" w:color="000000" w:sz="4"/>
                    <w:bottom w:val="single" w:color="000000" w:sz="4"/>
                    <w:right w:val="single" w:color="000000" w:sz="4"/>
                  </w:tcBorders>
                  <w:vAlign w:val="top"/>
                </w:tcPr>
                <w:p>
                  <w:pPr>
                    <w:jc w:val="both"/>
                  </w:pPr>
                  <w:r>
                    <w:rPr>
                      <w:sz w:val="21"/>
                    </w:rPr>
                    <w:t>块</w:t>
                  </w:r>
                </w:p>
              </w:tc>
              <w:tc>
                <w:tcPr>
                  <w:tcW w:type="dxa" w:w="1097"/>
                  <w:tcBorders>
                    <w:top w:val="none" w:color="000000" w:sz="4"/>
                    <w:left w:val="single" w:color="000000" w:sz="4"/>
                    <w:bottom w:val="single" w:color="000000" w:sz="4"/>
                    <w:right w:val="single" w:color="000000" w:sz="4"/>
                  </w:tcBorders>
                  <w:vAlign w:val="top"/>
                </w:tcPr>
                <w:p>
                  <w:pPr>
                    <w:jc w:val="both"/>
                  </w:pPr>
                  <w:r>
                    <w:rPr>
                      <w:sz w:val="21"/>
                    </w:rPr>
                    <w:t>2</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采购包3（心肺评估仪）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签订合同后30日历天内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1期：支付比例30%,1.合同签订后，中标供应商须向采购人提供中小企业预付款 30%的请款函，采购人自收到请款函后5个工作日内办理支付，支付合同金额30%的预付款；</w:t>
            </w:r>
          </w:p>
          <w:p/>
          <w:p>
            <w:r>
              <w:rPr/>
              <w:t>2期：支付比例70%,2.合同设备全部到指定地点交付并完成安装及验收合格后，中标供应商须向采购人提供以下相应资料和合同全额发票，对于满足合同约定支付条件的，采购人自收到请款函后5个工作日内办理支付手续，自收到发票后15日内完成资金支付，支付合同金额的 70%。 （1）合同复印件； （2） 验收合格报告。</w:t>
            </w:r>
          </w:p>
        </w:tc>
      </w:tr>
      <w:tr>
        <w:tc>
          <w:tcPr>
            <w:tcW w:type="dxa" w:w="4153"/>
          </w:tcPr>
          <w:p>
            <w:r>
              <w:rPr/>
              <w:t>验收要求</w:t>
            </w:r>
          </w:p>
        </w:tc>
        <w:tc>
          <w:tcPr>
            <w:tcW w:type="dxa" w:w="4153"/>
          </w:tcPr>
          <w:p/>
          <w:p/>
          <w:p/>
          <w:p>
            <w:r>
              <w:rPr/>
              <w:t>1期：1. 采购人按照采购合同规定的技术、服务、安全标准组织对中标供应商履约情况进行验收，并出具验收书。验收书应当包括每一项技术、服务、安全标准的履约情况。 2. 交付验收标准依次序对照适用标准为：①符合中华人民共和国国家安全质量标准、环保标准或行业标准；②符合招标文件和投标承诺中采购人认可的合理最佳配置、参数及各项要求；③货物来源国官方标准。 3. 货物为原厂商未启封全新包装，具有出厂合格证，序列号、包装箱号与出厂批号一致，并可追索查阅。所有随设备的附件必须齐全。 4. 中标供应商将货物的用户手册、保修手册、有关单证资料及备品备件、随机工具等交付给采购人，使用操作及安全须知等重要资料应附有中文说明。 5. 货物验收所发生的检验费用由中标供应商负担。 6. 设备到货并经中标供应商技术人员安装后，采购人有权委托中国有资格的单位对上述设备进行校准或检验，设备校准或检定所需的费用由中标供应商负担。 7. 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 中标产品如属国家强制计量产品，需由中标供应商独立完成首次计量强检。 9. 当出现不合格产品时，中标供应商要无条件更换合格产品。除采购人认可，否则不接受任何形式的降格处理。 10．自中标供应商提出验收申请之日起7个工作日内组织验收。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（一）供货要求，★1.中标供应商应保证所提供的设备是制造日期距交货时间不能超过1年，是全新的、未使用过的设备，并符合国家有关标准、制造厂标准及合同技术标准要求。 2.投标人需在投标文件中提供对应的供货服务方案，内容包含交货时间、到货保证措施、交货后售后服务、应急保障等。</w:t>
            </w:r>
          </w:p>
          <w:p/>
          <w:p>
            <w:r>
              <w:rPr/>
              <w:t>（二）安装与调试，1. 中标供应商必须按项目进度安排计划，派出适当的技术人员到安装现场负责安装和调试工作。在安装施工期间，严格遵守采购人的有关规定。 2. 中标供应商必须依照招标文件的要求和投标文件的承诺，将设备、系统安装并调试至正常运行的最佳状态。     3.本采购包如需配合对接采购人His系统，该采购包中标价格包含链接采购人His端口对接费用。</w:t>
            </w:r>
          </w:p>
          <w:p/>
          <w:p>
            <w:r>
              <w:rPr/>
              <w:t>（三）技术培训，1. 中标供应商每台设备提供现场安装调试和培训。 2. 应提供完整的培训计划和方案，列明培训人员数量、达到的水平等，培训内容包括设备的操作、日常维修、简单故障的识别及排除等。培训所需全部费用均由中标供应商支付。</w:t>
            </w:r>
          </w:p>
          <w:p/>
          <w:p>
            <w:r>
              <w:rPr/>
              <w:t>（四）保修期，1.自验收合格之日起设备保修期不少于60个月。 1.1 保修期内必须保证95％以上日期（以每年365天计算）能正常工作，如未能达到，应按2倍时间相应延长保修期。 1.2保质保修期内，投标产品必须由中标供应商或原厂负责维修和售后服务（提供原厂售后服务承诺）。每年需对设备进行不少于2次的维护，且每次维护保养需出具维护保养记录。（所需费用均须包含在投标总价内）。 2. 保修期内，所有服务及配件全部包含在报价中。“技术要求”中另有要求的，以其中的要求为准。 3. 保修期自采购人和中标供应商代表在货物安装调试验收后的验收书上签字之日起计算。保修期内中标供应商对所供货物实行包修、包换、包退、包维护保养，保修期后设备维修配件更换只收取成本费用。 4. 保修期内，如设备或零部件因非人为因素出现故障而造成短期停用时，则保修期相应顺延。如停用时间累计超过60天则保修期重新计算。 5. 在保修期内，如货品非因采购人的人为原因而出现的问题由中标供应商负责保修、包换或包退，并承担修理、调换或退货的实际费用。 6. 保修期内，中标供应商负责对其提供的货物整机进行维修和系统维护，不再收取任何费用，但非中标供应商责任的人为因素、自然因素（如火灾、雷击等）造成的故障除外。 7. 保修期内,对采购人的服务通知，中标供应商在接报后2小时内响应，8小时内到达现场，24小时内处理完毕。若在24小时内仍未能有效解决，采购人有权要求中标供应商无偿提供同一档次的设备予采购人临时使用。</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心肺评估仪</w:t>
            </w:r>
          </w:p>
        </w:tc>
        <w:tc>
          <w:tcPr>
            <w:tcW w:type="dxa" w:w="831"/>
          </w:tcPr>
          <w:p>
            <w:pPr>
              <w:jc w:val="left"/>
            </w:pPr>
            <w:r>
              <w:rPr/>
              <w:t>套</w:t>
            </w:r>
          </w:p>
        </w:tc>
        <w:tc>
          <w:tcPr>
            <w:tcW w:type="dxa" w:w="831"/>
          </w:tcPr>
          <w:p>
            <w:pPr>
              <w:jc w:val="right"/>
            </w:pPr>
            <w:r>
              <w:rPr/>
              <w:t>1.00</w:t>
            </w:r>
          </w:p>
        </w:tc>
        <w:tc>
          <w:tcPr>
            <w:tcW w:type="dxa" w:w="831"/>
          </w:tcPr>
          <w:p>
            <w:pPr>
              <w:jc w:val="right"/>
            </w:pPr>
            <w:r>
              <w:rPr/>
              <w:t>910,000.00</w:t>
            </w:r>
          </w:p>
        </w:tc>
        <w:tc>
          <w:tcPr>
            <w:tcW w:type="dxa" w:w="831"/>
          </w:tcPr>
          <w:p>
            <w:pPr>
              <w:jc w:val="right"/>
            </w:pPr>
            <w:r>
              <w:rPr/>
              <w:t>910,000.00</w:t>
            </w:r>
          </w:p>
        </w:tc>
        <w:tc>
          <w:tcPr>
            <w:tcW w:type="dxa" w:w="831"/>
          </w:tcPr>
          <w:p>
            <w:r>
              <w:rPr/>
              <w:t>工业</w:t>
            </w:r>
          </w:p>
        </w:tc>
        <w:tc>
          <w:tcPr>
            <w:tcW w:type="dxa" w:w="831"/>
          </w:tcPr>
          <w:p>
            <w:r>
              <w:rPr/>
              <w:t>详见附表一</w:t>
            </w:r>
          </w:p>
        </w:tc>
      </w:tr>
    </w:tbl>
    <w:p/>
    <w:p>
      <w:r>
        <w:rPr>
          <w:b/>
        </w:rPr>
        <w:t>附表</w:t>
      </w:r>
      <w:r>
        <w:rPr>
          <w:b/>
        </w:rPr>
        <w:t>一</w:t>
      </w:r>
      <w:r>
        <w:rPr>
          <w:b/>
        </w:rPr>
        <w:t>：</w:t>
      </w:r>
      <w:r>
        <w:rPr>
          <w:b/>
        </w:rPr>
        <w:t>心肺评估仪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一、项目需求</w:t>
            </w:r>
          </w:p>
          <w:p>
            <w:pPr>
              <w:jc w:val="left"/>
            </w:pPr>
            <w:r>
              <w:rPr>
                <w:sz w:val="21"/>
              </w:rPr>
              <w:t>运动心肺评估仪一套。</w:t>
            </w:r>
          </w:p>
          <w:p>
            <w:pPr>
              <w:jc w:val="left"/>
            </w:pPr>
            <w:r>
              <w:rPr>
                <w:b/>
                <w:sz w:val="21"/>
              </w:rPr>
              <w:t>二、设备功能及主要技术、配置要求</w:t>
            </w:r>
          </w:p>
          <w:p>
            <w:pPr>
              <w:jc w:val="left"/>
            </w:pPr>
            <w:r>
              <w:rPr>
                <w:b/>
                <w:sz w:val="21"/>
              </w:rPr>
              <w:t>（一）设备用途说明：</w:t>
            </w:r>
          </w:p>
          <w:p>
            <w:pPr>
              <w:jc w:val="left"/>
            </w:pPr>
            <w:r>
              <w:rPr>
                <w:sz w:val="21"/>
              </w:rPr>
              <w:t>适用于临床运动心电功能、运动肺功能、运动血压、血氧等监测与评估。</w:t>
            </w:r>
          </w:p>
          <w:p>
            <w:pPr>
              <w:jc w:val="both"/>
            </w:pPr>
            <w:r>
              <w:rPr>
                <w:sz w:val="21"/>
              </w:rPr>
              <w:t>（二）、设备要求</w:t>
            </w:r>
          </w:p>
          <w:p>
            <w:pPr>
              <w:ind w:firstLine="210"/>
              <w:jc w:val="both"/>
            </w:pPr>
            <w:r>
              <w:rPr>
                <w:sz w:val="21"/>
              </w:rPr>
              <w:t>★</w:t>
            </w:r>
            <w:r>
              <w:rPr>
                <w:sz w:val="21"/>
              </w:rPr>
              <w:t>投标产品如属一类医疗器械产品的须提供产品备案登记凭证，如属二类或三类医疗器械产品的须提供产品的《医疗器械注册证》（无强制要求的除外，以国家药品监督管理局网上的数据库中查询的数据为准）</w:t>
            </w:r>
            <w:r>
              <w:rPr>
                <w:sz w:val="21"/>
              </w:rPr>
              <w:t>。</w:t>
            </w:r>
          </w:p>
          <w:p>
            <w:pPr>
              <w:jc w:val="both"/>
            </w:pPr>
            <w:r>
              <w:rPr>
                <w:b/>
                <w:color w:val="000000"/>
                <w:sz w:val="21"/>
              </w:rPr>
              <w:t>（三）</w:t>
            </w:r>
            <w:r>
              <w:rPr>
                <w:b/>
                <w:sz w:val="21"/>
              </w:rPr>
              <w:t>设备主要规格、技术要求</w:t>
            </w:r>
            <w:r>
              <w:rPr>
                <w:b/>
                <w:color w:val="000000"/>
                <w:sz w:val="21"/>
              </w:rPr>
              <w:t>：</w:t>
            </w:r>
          </w:p>
          <w:p>
            <w:pPr>
              <w:jc w:val="both"/>
            </w:pPr>
            <w:r>
              <w:rPr>
                <w:sz w:val="21"/>
              </w:rPr>
              <w:t>1</w:t>
            </w:r>
            <w:r>
              <w:rPr>
                <w:sz w:val="21"/>
              </w:rPr>
              <w:t>.</w:t>
            </w:r>
            <w:r>
              <w:rPr>
                <w:sz w:val="21"/>
              </w:rPr>
              <w:t>运动心电功能：</w:t>
            </w:r>
          </w:p>
          <w:p>
            <w:pPr>
              <w:jc w:val="both"/>
            </w:pPr>
            <w:r>
              <w:rPr>
                <w:sz w:val="21"/>
              </w:rPr>
              <w:t>1.1具有最大血压×心率、最小血压×心率、DP因素、PFP-静息信息。</w:t>
            </w:r>
          </w:p>
          <w:p>
            <w:pPr>
              <w:jc w:val="both"/>
            </w:pPr>
            <w:r>
              <w:rPr>
                <w:sz w:val="21"/>
              </w:rPr>
              <w:t>1.2具有QT离散度分析功能，具有最小QT间期、最大QT间期、平均QT间期的数值。</w:t>
            </w:r>
            <w:r>
              <w:rPr>
                <w:b/>
                <w:sz w:val="21"/>
              </w:rPr>
              <w:t>（</w:t>
            </w:r>
            <w:r>
              <w:rPr>
                <w:sz w:val="21"/>
              </w:rPr>
              <w:t>提供说明书佐证或产品彩页或检测报告</w:t>
            </w:r>
            <w:r>
              <w:rPr>
                <w:b/>
                <w:sz w:val="21"/>
              </w:rPr>
              <w:t>）</w:t>
            </w:r>
          </w:p>
          <w:p>
            <w:pPr>
              <w:jc w:val="both"/>
            </w:pPr>
            <w:r>
              <w:rPr>
                <w:sz w:val="21"/>
              </w:rPr>
              <w:t>1.3运动过程中若心率达到目标心率，可以通过显示颜色或者声音进行提示。</w:t>
            </w:r>
          </w:p>
          <w:p>
            <w:pPr>
              <w:jc w:val="both"/>
            </w:pPr>
            <w:r>
              <w:rPr>
                <w:sz w:val="21"/>
              </w:rPr>
              <w:t>1.4心电采集盒能够单独使用，内置分析功能，能够当做单独的心电图机使用，并且能够通过热敏打印纸打印心电报告。</w:t>
            </w:r>
            <w:r>
              <w:rPr>
                <w:b/>
                <w:sz w:val="21"/>
              </w:rPr>
              <w:t>（</w:t>
            </w:r>
            <w:r>
              <w:rPr>
                <w:sz w:val="21"/>
              </w:rPr>
              <w:t>提供说明书佐证或产品彩页或检测报告</w:t>
            </w:r>
            <w:r>
              <w:rPr>
                <w:b/>
                <w:sz w:val="21"/>
              </w:rPr>
              <w:t>）</w:t>
            </w:r>
          </w:p>
          <w:p>
            <w:pPr>
              <w:jc w:val="both"/>
            </w:pPr>
            <w:r>
              <w:rPr>
                <w:sz w:val="21"/>
              </w:rPr>
              <w:t>1.5测试过程中能实时显示运动过程中心率、血压和运动功率趋势图、12导联ST段变化的趋势图、ST段幅度和ST段斜率变化的图表。</w:t>
            </w:r>
          </w:p>
          <w:p>
            <w:pPr>
              <w:jc w:val="both"/>
            </w:pPr>
            <w:r>
              <w:rPr>
                <w:sz w:val="21"/>
              </w:rPr>
              <w:t>1.6测试过程中可实时输入Borg值；可实时输入患者的症状信息，如胸闷，心悸等症状；可直接输入结束运动时患者的指征，有模板可供选择，并且模板可自行编辑；可实时手动改变运动踏车的功率或运动平板的速度坡度。</w:t>
            </w:r>
          </w:p>
          <w:p>
            <w:pPr>
              <w:jc w:val="both"/>
            </w:pPr>
            <w:r>
              <w:rPr>
                <w:sz w:val="21"/>
              </w:rPr>
              <w:t>1.</w:t>
            </w:r>
            <w:r>
              <w:rPr>
                <w:sz w:val="21"/>
              </w:rPr>
              <w:t>7</w:t>
            </w:r>
            <w:r>
              <w:rPr>
                <w:sz w:val="21"/>
              </w:rPr>
              <w:t>同时</w:t>
            </w:r>
            <w:r>
              <w:rPr>
                <w:sz w:val="21"/>
              </w:rPr>
              <w:t>具备</w:t>
            </w:r>
            <w:r>
              <w:rPr>
                <w:sz w:val="21"/>
              </w:rPr>
              <w:t>图文输出设备（激光或喷墨）和</w:t>
            </w:r>
            <w:r>
              <w:rPr>
                <w:sz w:val="21"/>
              </w:rPr>
              <w:t>内置热敏图文输出设备；热敏和图文输出设备的走纸速度：</w:t>
            </w:r>
            <w:r>
              <w:rPr>
                <w:sz w:val="21"/>
              </w:rPr>
              <w:t>5、10、25、50mm/s±2%。</w:t>
            </w:r>
          </w:p>
          <w:p>
            <w:pPr>
              <w:jc w:val="both"/>
            </w:pPr>
            <w:r>
              <w:rPr>
                <w:sz w:val="21"/>
              </w:rPr>
              <w:t>2.运动肺功能</w:t>
            </w:r>
          </w:p>
          <w:p>
            <w:pPr>
              <w:jc w:val="both"/>
            </w:pPr>
            <w:r>
              <w:rPr>
                <w:sz w:val="21"/>
              </w:rPr>
              <w:t>2.1校准</w:t>
            </w:r>
          </w:p>
          <w:p>
            <w:pPr>
              <w:jc w:val="both"/>
            </w:pPr>
            <w:r>
              <w:rPr>
                <w:sz w:val="21"/>
              </w:rPr>
              <w:t>2.1.1采用标准的混合气体进行自动气体定标，可按照实际值调整定标气体的浓度，具有校准成功提示功能。</w:t>
            </w:r>
          </w:p>
          <w:p>
            <w:pPr>
              <w:jc w:val="both"/>
            </w:pPr>
            <w:r>
              <w:rPr>
                <w:sz w:val="21"/>
              </w:rPr>
              <w:t>2.</w:t>
            </w:r>
            <w:r>
              <w:rPr>
                <w:sz w:val="21"/>
              </w:rPr>
              <w:t>1</w:t>
            </w:r>
            <w:r>
              <w:rPr>
                <w:sz w:val="21"/>
              </w:rPr>
              <w:t>.2自动温度压力标定；对于海拔高度和湿度可以进行标定，湿度标定为0至100%；</w:t>
            </w:r>
          </w:p>
          <w:p>
            <w:pPr>
              <w:jc w:val="both"/>
            </w:pPr>
            <w:r>
              <w:rPr>
                <w:sz w:val="21"/>
              </w:rPr>
              <w:t>2.</w:t>
            </w:r>
            <w:r>
              <w:rPr>
                <w:sz w:val="21"/>
              </w:rPr>
              <w:t>1</w:t>
            </w:r>
            <w:r>
              <w:rPr>
                <w:sz w:val="21"/>
              </w:rPr>
              <w:t>.3自动对流速进行系统零点和增益校正。</w:t>
            </w:r>
          </w:p>
          <w:p>
            <w:pPr>
              <w:jc w:val="both"/>
            </w:pPr>
            <w:r>
              <w:rPr>
                <w:sz w:val="21"/>
              </w:rPr>
              <w:t>2.1.4具有BTPS（身体温度、环境压力、饱和水蒸汽值）、STPD（标准温度压力干燥）自动补偿校准功能，提供补偿校准的计算公式。</w:t>
            </w:r>
          </w:p>
          <w:p>
            <w:pPr>
              <w:jc w:val="both"/>
            </w:pPr>
            <w:r>
              <w:rPr>
                <w:sz w:val="21"/>
              </w:rPr>
              <w:t>2.1.5可采用不同容积（500ml到4000ml）的校准泵进行流速容量校准，校准时有动画提示抽拉气泵的速度。</w:t>
            </w:r>
          </w:p>
          <w:p>
            <w:pPr>
              <w:jc w:val="both"/>
            </w:pPr>
            <w:r>
              <w:rPr>
                <w:sz w:val="21"/>
              </w:rPr>
              <w:t>2.2具有通气功能测试，包括</w:t>
            </w:r>
            <w:r>
              <w:rPr>
                <w:sz w:val="21"/>
              </w:rPr>
              <w:t>但不限于</w:t>
            </w:r>
            <w:r>
              <w:rPr>
                <w:sz w:val="21"/>
              </w:rPr>
              <w:t>1秒呼气量FEV1、1秒吸气量FIV1、最大肺活量VCmax、用力呼气肺活量FVCex、吸气肺活量IVC、1秒呼气量与最大肺活量比值FEV1/VCmax、1秒呼气量与最大呼气肺活量比值FEV1/FVCex、1秒呼气量与吸气肺活量比值FEV1/IVC等相关参数的测试。</w:t>
            </w:r>
          </w:p>
          <w:p>
            <w:pPr>
              <w:jc w:val="both"/>
            </w:pPr>
            <w:r>
              <w:rPr>
                <w:sz w:val="21"/>
              </w:rPr>
              <w:t>2.2.1对多次测量的结果具有比较功能，可以将两次测试阵容整合在一个报告中对图示进行对比，对测量参数进行对比，形成测量对比报告；有通气功能三维趋势图报告进行查看，F/V趋势图，静态肺容量趋势图，可以显示10次的对比参数。</w:t>
            </w:r>
          </w:p>
          <w:p>
            <w:pPr>
              <w:jc w:val="both"/>
            </w:pPr>
            <w:r>
              <w:rPr>
                <w:sz w:val="21"/>
              </w:rPr>
              <w:t>2.3具有最大通气功能MVV测量。</w:t>
            </w:r>
          </w:p>
          <w:p>
            <w:pPr>
              <w:jc w:val="both"/>
            </w:pPr>
            <w:r>
              <w:rPr>
                <w:sz w:val="21"/>
              </w:rPr>
              <w:t>2.4心肺测试</w:t>
            </w:r>
          </w:p>
          <w:p>
            <w:pPr>
              <w:jc w:val="both"/>
            </w:pPr>
            <w:r>
              <w:rPr>
                <w:sz w:val="21"/>
              </w:rPr>
              <w:t>2.4.</w:t>
            </w:r>
            <w:r>
              <w:rPr>
                <w:sz w:val="21"/>
              </w:rPr>
              <w:t>1</w:t>
            </w:r>
            <w:r>
              <w:rPr>
                <w:sz w:val="21"/>
              </w:rPr>
              <w:t>具有标准</w:t>
            </w:r>
            <w:r>
              <w:rPr>
                <w:sz w:val="21"/>
              </w:rPr>
              <w:t>9宫格图形化的心肺运动试验结果的图表显示；图形显示内容可自行编辑。</w:t>
            </w:r>
          </w:p>
          <w:p>
            <w:pPr>
              <w:jc w:val="both"/>
            </w:pPr>
            <w:r>
              <w:rPr>
                <w:sz w:val="21"/>
              </w:rPr>
              <w:t>2.4.</w:t>
            </w:r>
            <w:r>
              <w:rPr>
                <w:sz w:val="21"/>
              </w:rPr>
              <w:t>2</w:t>
            </w:r>
            <w:r>
              <w:rPr>
                <w:sz w:val="21"/>
              </w:rPr>
              <w:t>提供不同的无氧阈值的评估方法，均可按照设置自动评估无氧阈值，并且可以手动进行调整，调整后的内容可保存并形成报告；可以自动评估无氧阈值、呼吸补偿点。</w:t>
            </w:r>
          </w:p>
          <w:p>
            <w:pPr>
              <w:jc w:val="both"/>
            </w:pPr>
            <w:r>
              <w:rPr>
                <w:sz w:val="21"/>
              </w:rPr>
              <w:t>3</w:t>
            </w:r>
            <w:r>
              <w:rPr>
                <w:sz w:val="21"/>
              </w:rPr>
              <w:t>.性能要求</w:t>
            </w:r>
          </w:p>
          <w:p>
            <w:pPr>
              <w:jc w:val="both"/>
            </w:pPr>
            <w:r>
              <w:rPr>
                <w:sz w:val="21"/>
              </w:rPr>
              <w:t>3.1整体功能</w:t>
            </w:r>
          </w:p>
          <w:p>
            <w:pPr>
              <w:jc w:val="both"/>
            </w:pPr>
            <w:r>
              <w:rPr>
                <w:sz w:val="21"/>
              </w:rPr>
              <w:t>3.1.1心肺功能一体化设计，以保证数据传输和系统整体功能稳定可靠。</w:t>
            </w:r>
          </w:p>
          <w:p>
            <w:pPr>
              <w:jc w:val="both"/>
            </w:pPr>
            <w:r>
              <w:rPr>
                <w:sz w:val="21"/>
              </w:rPr>
              <w:t>3.1.2心肺同步测量，同步分析。</w:t>
            </w:r>
          </w:p>
          <w:p>
            <w:pPr>
              <w:jc w:val="both"/>
            </w:pPr>
            <w:r>
              <w:rPr>
                <w:sz w:val="21"/>
              </w:rPr>
              <w:t>3.1.2.1使用同一主机实现心肺运动试验的控制。</w:t>
            </w:r>
          </w:p>
          <w:p>
            <w:pPr>
              <w:jc w:val="both"/>
            </w:pPr>
            <w:r>
              <w:rPr>
                <w:sz w:val="21"/>
              </w:rPr>
              <w:t>3.1.2.2使用运动心电软件为主软件，控制其他运动附属部件，如运动踏车、运动血压等设备，同时控制肺功能软件实现同步数据的采集。</w:t>
            </w:r>
          </w:p>
          <w:p>
            <w:pPr>
              <w:jc w:val="both"/>
            </w:pPr>
            <w:r>
              <w:rPr>
                <w:sz w:val="21"/>
              </w:rPr>
              <w:t>3.1.2.3支持心电数据、肺功能气体代谢双方数据的共享。能够在心电软件中实时显示肺功能气体代谢数据，如摄氧量、代谢当量等；心电软件能够实时的将心率、血压、运动功率的数据传送到肺功能测试系统中，与气体代谢数据实时同步；肺功能系统软件能够实时自动处理接收的心电数据进行实时统计处理，形成测试分析数据。</w:t>
            </w:r>
          </w:p>
          <w:p>
            <w:pPr>
              <w:jc w:val="both"/>
            </w:pPr>
            <w:r>
              <w:rPr>
                <w:sz w:val="21"/>
              </w:rPr>
              <w:t>3</w:t>
            </w:r>
            <w:r>
              <w:rPr>
                <w:sz w:val="21"/>
              </w:rPr>
              <w:t>.2心电采集性能</w:t>
            </w:r>
          </w:p>
          <w:p>
            <w:pPr>
              <w:jc w:val="both"/>
            </w:pPr>
            <w:r>
              <w:rPr>
                <w:sz w:val="21"/>
              </w:rPr>
              <w:t>3.</w:t>
            </w:r>
            <w:r>
              <w:rPr>
                <w:sz w:val="21"/>
              </w:rPr>
              <w:t>2</w:t>
            </w:r>
            <w:r>
              <w:rPr>
                <w:sz w:val="21"/>
              </w:rPr>
              <w:t>.1</w:t>
            </w:r>
            <w:r>
              <w:rPr>
                <w:sz w:val="21"/>
              </w:rPr>
              <w:t>符合</w:t>
            </w:r>
            <w:r>
              <w:rPr>
                <w:sz w:val="21"/>
              </w:rPr>
              <w:t>YY0782-2010中记录及分析型心电图机标准要求。</w:t>
            </w:r>
          </w:p>
          <w:p>
            <w:pPr>
              <w:jc w:val="both"/>
            </w:pPr>
            <w:r>
              <w:rPr>
                <w:sz w:val="21"/>
              </w:rPr>
              <w:t>3.2.</w:t>
            </w:r>
            <w:r>
              <w:rPr>
                <w:sz w:val="21"/>
              </w:rPr>
              <w:t>2心电采样率：≥</w:t>
            </w:r>
            <w:r>
              <w:rPr>
                <w:sz w:val="21"/>
              </w:rPr>
              <w:t>10000Hz</w:t>
            </w:r>
            <w:r>
              <w:rPr>
                <w:sz w:val="21"/>
              </w:rPr>
              <w:t>。</w:t>
            </w:r>
          </w:p>
          <w:p>
            <w:pPr>
              <w:jc w:val="both"/>
            </w:pPr>
            <w:r>
              <w:rPr>
                <w:sz w:val="21"/>
              </w:rPr>
              <w:t>3.</w:t>
            </w:r>
            <w:r>
              <w:rPr>
                <w:sz w:val="21"/>
              </w:rPr>
              <w:t>2</w:t>
            </w:r>
            <w:r>
              <w:rPr>
                <w:sz w:val="21"/>
              </w:rPr>
              <w:t>.</w:t>
            </w:r>
            <w:r>
              <w:rPr>
                <w:sz w:val="21"/>
              </w:rPr>
              <w:t>3具有交流滤波、基线漂移滤波、波形平滑滤波、肌电滤波功能。</w:t>
            </w:r>
          </w:p>
          <w:p>
            <w:pPr>
              <w:jc w:val="both"/>
            </w:pPr>
            <w:r>
              <w:rPr>
                <w:sz w:val="21"/>
              </w:rPr>
              <w:t>3</w:t>
            </w:r>
            <w:r>
              <w:rPr>
                <w:sz w:val="21"/>
              </w:rPr>
              <w:t>.2.4共模抑制比：≥</w:t>
            </w:r>
            <w:r>
              <w:rPr>
                <w:sz w:val="21"/>
              </w:rPr>
              <w:t>100</w:t>
            </w:r>
            <w:r>
              <w:rPr>
                <w:sz w:val="21"/>
              </w:rPr>
              <w:t>dB；患者漏电流</w:t>
            </w:r>
            <w:r>
              <w:rPr>
                <w:color w:val="FF0000"/>
                <w:sz w:val="21"/>
              </w:rPr>
              <w:t>≤</w:t>
            </w:r>
            <w:r>
              <w:rPr>
                <w:sz w:val="21"/>
              </w:rPr>
              <w:t>0.001mA</w:t>
            </w:r>
            <w:r>
              <w:rPr>
                <w:sz w:val="21"/>
              </w:rPr>
              <w:t>。</w:t>
            </w:r>
          </w:p>
          <w:p>
            <w:pPr>
              <w:jc w:val="both"/>
            </w:pPr>
            <w:r>
              <w:rPr>
                <w:sz w:val="21"/>
              </w:rPr>
              <w:t>3</w:t>
            </w:r>
            <w:r>
              <w:rPr>
                <w:sz w:val="21"/>
              </w:rPr>
              <w:t>.3气体代谢模块性能</w:t>
            </w:r>
          </w:p>
          <w:p>
            <w:pPr>
              <w:jc w:val="both"/>
            </w:pPr>
            <w:r>
              <w:rPr>
                <w:sz w:val="21"/>
              </w:rPr>
              <w:t>3</w:t>
            </w:r>
            <w:r>
              <w:rPr>
                <w:sz w:val="21"/>
              </w:rPr>
              <w:t>.3.1容积范围：0到300L，测量范围：0到±</w:t>
            </w:r>
            <w:r>
              <w:rPr>
                <w:sz w:val="21"/>
              </w:rPr>
              <w:t>20</w:t>
            </w:r>
            <w:r>
              <w:rPr>
                <w:sz w:val="21"/>
              </w:rPr>
              <w:t>L,</w:t>
            </w:r>
            <w:r>
              <w:rPr>
                <w:sz w:val="21"/>
              </w:rPr>
              <w:t>最大偏差为</w:t>
            </w:r>
            <w:r>
              <w:rPr>
                <w:sz w:val="21"/>
              </w:rPr>
              <w:t>：</w:t>
            </w:r>
            <w:r>
              <w:rPr>
                <w:sz w:val="21"/>
              </w:rPr>
              <w:t>±2.5%</w:t>
            </w:r>
            <w:r>
              <w:rPr>
                <w:sz w:val="21"/>
              </w:rPr>
              <w:t>，</w:t>
            </w:r>
            <w:r>
              <w:rPr>
                <w:sz w:val="21"/>
              </w:rPr>
              <w:t>分辨率：</w:t>
            </w:r>
            <w:r>
              <w:rPr>
                <w:sz w:val="21"/>
              </w:rPr>
              <w:t>0.1%</w:t>
            </w:r>
            <w:r>
              <w:rPr>
                <w:sz w:val="21"/>
              </w:rPr>
              <w:t>。</w:t>
            </w:r>
          </w:p>
          <w:p>
            <w:pPr>
              <w:jc w:val="both"/>
            </w:pPr>
            <w:r>
              <w:rPr>
                <w:sz w:val="21"/>
              </w:rPr>
              <w:t>3</w:t>
            </w:r>
            <w:r>
              <w:rPr>
                <w:sz w:val="21"/>
              </w:rPr>
              <w:t>.3.2采用数字超声式二氧化碳分析器，</w:t>
            </w:r>
            <w:r>
              <w:rPr>
                <w:sz w:val="21"/>
              </w:rPr>
              <w:t>测量范围：</w:t>
            </w:r>
            <w:r>
              <w:rPr>
                <w:sz w:val="21"/>
              </w:rPr>
              <w:t>0-17.5%</w:t>
            </w:r>
            <w:r>
              <w:rPr>
                <w:sz w:val="21"/>
              </w:rPr>
              <w:t>，</w:t>
            </w:r>
            <w:r>
              <w:rPr>
                <w:sz w:val="21"/>
              </w:rPr>
              <w:t>分辨率：</w:t>
            </w:r>
            <w:r>
              <w:rPr>
                <w:sz w:val="21"/>
              </w:rPr>
              <w:t>0.01%</w:t>
            </w:r>
            <w:r>
              <w:rPr>
                <w:sz w:val="21"/>
              </w:rPr>
              <w:t>~0.03%</w:t>
            </w:r>
            <w:r>
              <w:rPr>
                <w:sz w:val="21"/>
              </w:rPr>
              <w:t>，</w:t>
            </w:r>
            <w:r>
              <w:rPr>
                <w:sz w:val="21"/>
              </w:rPr>
              <w:t>测量精度：</w:t>
            </w:r>
            <w:r>
              <w:rPr>
                <w:sz w:val="21"/>
              </w:rPr>
              <w:t>±0.03％</w:t>
            </w:r>
            <w:r>
              <w:rPr>
                <w:sz w:val="21"/>
              </w:rPr>
              <w:t>，</w:t>
            </w:r>
            <w:r>
              <w:rPr>
                <w:sz w:val="21"/>
              </w:rPr>
              <w:t>响应时间：</w:t>
            </w:r>
            <w:r>
              <w:rPr>
                <w:color w:val="FF0000"/>
                <w:sz w:val="21"/>
              </w:rPr>
              <w:t>≤</w:t>
            </w:r>
            <w:r>
              <w:rPr>
                <w:sz w:val="21"/>
              </w:rPr>
              <w:t>90ms（10-90%）</w:t>
            </w:r>
            <w:r>
              <w:rPr>
                <w:sz w:val="21"/>
              </w:rPr>
              <w:t>。</w:t>
            </w:r>
          </w:p>
          <w:p>
            <w:pPr>
              <w:jc w:val="both"/>
            </w:pPr>
            <w:r>
              <w:rPr>
                <w:sz w:val="21"/>
              </w:rPr>
              <w:t>3</w:t>
            </w:r>
            <w:r>
              <w:rPr>
                <w:sz w:val="21"/>
              </w:rPr>
              <w:t>.3.3</w:t>
            </w:r>
            <w:r>
              <w:rPr>
                <w:sz w:val="21"/>
              </w:rPr>
              <w:t>采用</w:t>
            </w:r>
            <w:r>
              <w:rPr>
                <w:sz w:val="21"/>
              </w:rPr>
              <w:t>高精度氧分析器，</w:t>
            </w:r>
            <w:r>
              <w:rPr>
                <w:sz w:val="21"/>
              </w:rPr>
              <w:t>测量范围</w:t>
            </w:r>
            <w:r>
              <w:rPr>
                <w:sz w:val="21"/>
              </w:rPr>
              <w:t>0-35%</w:t>
            </w:r>
            <w:r>
              <w:rPr>
                <w:sz w:val="21"/>
              </w:rPr>
              <w:t>，</w:t>
            </w:r>
            <w:r>
              <w:rPr>
                <w:sz w:val="21"/>
              </w:rPr>
              <w:t>分辨率：</w:t>
            </w:r>
            <w:r>
              <w:rPr>
                <w:sz w:val="21"/>
              </w:rPr>
              <w:t>0.01％</w:t>
            </w:r>
            <w:r>
              <w:rPr>
                <w:sz w:val="21"/>
              </w:rPr>
              <w:t>~0.03%</w:t>
            </w:r>
            <w:r>
              <w:rPr>
                <w:sz w:val="21"/>
              </w:rPr>
              <w:t>，</w:t>
            </w:r>
            <w:r>
              <w:rPr>
                <w:sz w:val="21"/>
              </w:rPr>
              <w:t>测量精度：</w:t>
            </w:r>
            <w:r>
              <w:rPr>
                <w:sz w:val="21"/>
              </w:rPr>
              <w:t>±0.03%</w:t>
            </w:r>
            <w:r>
              <w:rPr>
                <w:sz w:val="21"/>
              </w:rPr>
              <w:t>，</w:t>
            </w:r>
            <w:r>
              <w:rPr>
                <w:sz w:val="21"/>
              </w:rPr>
              <w:t>响应时间</w:t>
            </w:r>
            <w:r>
              <w:rPr>
                <w:color w:val="FF0000"/>
                <w:sz w:val="21"/>
              </w:rPr>
              <w:t>≤</w:t>
            </w:r>
            <w:r>
              <w:rPr>
                <w:sz w:val="21"/>
              </w:rPr>
              <w:t>90ms（10-90%）</w:t>
            </w:r>
            <w:r>
              <w:rPr>
                <w:sz w:val="21"/>
              </w:rPr>
              <w:t>。</w:t>
            </w:r>
          </w:p>
          <w:p>
            <w:pPr>
              <w:jc w:val="both"/>
            </w:pPr>
            <w:r>
              <w:rPr>
                <w:sz w:val="21"/>
              </w:rPr>
              <w:t>3</w:t>
            </w:r>
            <w:r>
              <w:rPr>
                <w:sz w:val="21"/>
              </w:rPr>
              <w:t>.3.</w:t>
            </w:r>
            <w:r>
              <w:rPr>
                <w:sz w:val="21"/>
              </w:rPr>
              <w:t>4</w:t>
            </w:r>
            <w:r>
              <w:rPr>
                <w:sz w:val="21"/>
              </w:rPr>
              <w:t>流量传感器采用的双向压差式流量传感器。</w:t>
            </w:r>
          </w:p>
          <w:p>
            <w:pPr>
              <w:jc w:val="both"/>
            </w:pPr>
            <w:r>
              <w:rPr>
                <w:sz w:val="21"/>
              </w:rPr>
              <w:t>3</w:t>
            </w:r>
            <w:r>
              <w:rPr>
                <w:sz w:val="21"/>
              </w:rPr>
              <w:t>.4运动血压性能</w:t>
            </w:r>
          </w:p>
          <w:p>
            <w:pPr>
              <w:jc w:val="both"/>
            </w:pPr>
            <w:r>
              <w:rPr>
                <w:sz w:val="21"/>
              </w:rPr>
              <w:t>3</w:t>
            </w:r>
            <w:r>
              <w:rPr>
                <w:sz w:val="21"/>
              </w:rPr>
              <w:t>.</w:t>
            </w:r>
            <w:r>
              <w:rPr>
                <w:sz w:val="21"/>
              </w:rPr>
              <w:t>4</w:t>
            </w:r>
            <w:r>
              <w:rPr>
                <w:sz w:val="21"/>
              </w:rPr>
              <w:t>.1可直接控制运动血压计自动或手动测量。</w:t>
            </w:r>
          </w:p>
          <w:p>
            <w:pPr>
              <w:jc w:val="both"/>
            </w:pPr>
            <w:r>
              <w:rPr>
                <w:sz w:val="21"/>
              </w:rPr>
              <w:t>3</w:t>
            </w:r>
            <w:r>
              <w:rPr>
                <w:sz w:val="21"/>
              </w:rPr>
              <w:t>.</w:t>
            </w:r>
            <w:r>
              <w:rPr>
                <w:sz w:val="21"/>
              </w:rPr>
              <w:t>4</w:t>
            </w:r>
            <w:r>
              <w:rPr>
                <w:sz w:val="21"/>
              </w:rPr>
              <w:t>.2可当做血压测量设备，单独进行血压测量，可自动保存血压记录。</w:t>
            </w:r>
          </w:p>
          <w:p>
            <w:pPr>
              <w:jc w:val="both"/>
            </w:pPr>
            <w:r>
              <w:rPr>
                <w:sz w:val="21"/>
              </w:rPr>
              <w:t>3</w:t>
            </w:r>
            <w:r>
              <w:rPr>
                <w:sz w:val="21"/>
              </w:rPr>
              <w:t>.</w:t>
            </w:r>
            <w:r>
              <w:rPr>
                <w:sz w:val="21"/>
              </w:rPr>
              <w:t>4.</w:t>
            </w:r>
            <w:r>
              <w:rPr>
                <w:sz w:val="21"/>
              </w:rPr>
              <w:t>3通过串口直接与心电设备连接，数据可实时上传到控制软件。</w:t>
            </w:r>
          </w:p>
          <w:p>
            <w:pPr>
              <w:jc w:val="both"/>
            </w:pPr>
            <w:r>
              <w:rPr>
                <w:sz w:val="21"/>
              </w:rPr>
              <w:t>3.5血氧模块性能</w:t>
            </w:r>
          </w:p>
          <w:p>
            <w:pPr>
              <w:jc w:val="both"/>
            </w:pPr>
            <w:r>
              <w:rPr>
                <w:sz w:val="21"/>
              </w:rPr>
              <w:t>3.5.1</w:t>
            </w:r>
            <w:r>
              <w:rPr>
                <w:sz w:val="21"/>
              </w:rPr>
              <w:t>测量范围：血氧饱和度</w:t>
            </w:r>
            <w:r>
              <w:rPr>
                <w:sz w:val="21"/>
              </w:rPr>
              <w:t>:0-100%，温度：25-45℃。</w:t>
            </w:r>
          </w:p>
          <w:p>
            <w:pPr>
              <w:jc w:val="both"/>
            </w:pPr>
            <w:r>
              <w:rPr>
                <w:sz w:val="21"/>
              </w:rPr>
              <w:t>3.5</w:t>
            </w:r>
            <w:r>
              <w:rPr>
                <w:sz w:val="21"/>
              </w:rPr>
              <w:t>.2分辨率：血氧饱和度：1％</w:t>
            </w:r>
            <w:r>
              <w:rPr>
                <w:sz w:val="21"/>
              </w:rPr>
              <w:t>~3%</w:t>
            </w:r>
            <w:r>
              <w:rPr>
                <w:sz w:val="21"/>
              </w:rPr>
              <w:t>，脉率：</w:t>
            </w:r>
            <w:r>
              <w:rPr>
                <w:sz w:val="21"/>
              </w:rPr>
              <w:t>1bpm</w:t>
            </w:r>
            <w:r>
              <w:rPr>
                <w:sz w:val="21"/>
              </w:rPr>
              <w:t>~3bpm</w:t>
            </w:r>
            <w:r>
              <w:rPr>
                <w:sz w:val="21"/>
              </w:rPr>
              <w:t>，温度：</w:t>
            </w:r>
            <w:r>
              <w:rPr>
                <w:sz w:val="21"/>
              </w:rPr>
              <w:t>0.1℃</w:t>
            </w:r>
            <w:r>
              <w:rPr>
                <w:sz w:val="21"/>
              </w:rPr>
              <w:t>~0.5</w:t>
            </w:r>
            <w:r>
              <w:rPr>
                <w:sz w:val="21"/>
              </w:rPr>
              <w:t>℃。</w:t>
            </w:r>
          </w:p>
          <w:p>
            <w:pPr>
              <w:jc w:val="both"/>
            </w:pPr>
            <w:r>
              <w:rPr>
                <w:sz w:val="21"/>
              </w:rPr>
              <w:t>3.5</w:t>
            </w:r>
            <w:r>
              <w:rPr>
                <w:sz w:val="21"/>
              </w:rPr>
              <w:t>.3测量精度：血氧饱和度:</w:t>
            </w:r>
            <w:r>
              <w:rPr>
                <w:sz w:val="21"/>
              </w:rPr>
              <w:t>2%（70-100%）,70%以下无定义；脉率:±3bpm或3%（30-245BPM）；温度：±0.1℃（25-45℃）。</w:t>
            </w:r>
          </w:p>
          <w:p>
            <w:pPr>
              <w:jc w:val="both"/>
            </w:pPr>
            <w:r>
              <w:rPr>
                <w:sz w:val="21"/>
              </w:rPr>
              <w:t>4</w:t>
            </w:r>
            <w:r>
              <w:rPr>
                <w:sz w:val="21"/>
              </w:rPr>
              <w:t>.运动辅助设备</w:t>
            </w:r>
          </w:p>
          <w:p>
            <w:pPr>
              <w:jc w:val="both"/>
            </w:pPr>
            <w:r>
              <w:rPr>
                <w:sz w:val="21"/>
              </w:rPr>
              <w:t>4.1</w:t>
            </w:r>
            <w:r>
              <w:rPr>
                <w:sz w:val="21"/>
              </w:rPr>
              <w:t>运动踏车</w:t>
            </w:r>
          </w:p>
          <w:p>
            <w:pPr>
              <w:jc w:val="both"/>
            </w:pPr>
            <w:r>
              <w:rPr>
                <w:sz w:val="21"/>
              </w:rPr>
              <w:t>4</w:t>
            </w:r>
            <w:r>
              <w:rPr>
                <w:sz w:val="21"/>
              </w:rPr>
              <w:t>.1.</w:t>
            </w:r>
            <w:r>
              <w:rPr>
                <w:sz w:val="21"/>
              </w:rPr>
              <w:t>1</w:t>
            </w:r>
            <w:r>
              <w:rPr>
                <w:sz w:val="21"/>
              </w:rPr>
              <w:t>功率控制精度</w:t>
            </w:r>
            <w:r>
              <w:rPr>
                <w:sz w:val="21"/>
              </w:rPr>
              <w:t>1瓦/分钟</w:t>
            </w:r>
            <w:r>
              <w:rPr>
                <w:sz w:val="21"/>
              </w:rPr>
              <w:t>~5</w:t>
            </w:r>
            <w:r>
              <w:rPr>
                <w:sz w:val="21"/>
              </w:rPr>
              <w:t>瓦</w:t>
            </w:r>
            <w:r>
              <w:rPr>
                <w:sz w:val="21"/>
              </w:rPr>
              <w:t>/分钟。</w:t>
            </w:r>
          </w:p>
          <w:p>
            <w:pPr>
              <w:jc w:val="both"/>
            </w:pPr>
            <w:r>
              <w:rPr>
                <w:sz w:val="21"/>
              </w:rPr>
              <w:t>4.1.2</w:t>
            </w:r>
            <w:r>
              <w:rPr>
                <w:sz w:val="21"/>
              </w:rPr>
              <w:t>功率控制范围</w:t>
            </w:r>
            <w:r>
              <w:rPr>
                <w:sz w:val="21"/>
              </w:rPr>
              <w:t>0</w:t>
            </w:r>
            <w:r>
              <w:rPr>
                <w:sz w:val="21"/>
              </w:rPr>
              <w:t>到</w:t>
            </w:r>
            <w:r>
              <w:rPr>
                <w:sz w:val="21"/>
              </w:rPr>
              <w:t>999</w:t>
            </w:r>
            <w:r>
              <w:rPr>
                <w:sz w:val="21"/>
              </w:rPr>
              <w:t>W。</w:t>
            </w:r>
          </w:p>
          <w:p>
            <w:pPr>
              <w:jc w:val="both"/>
            </w:pPr>
            <w:r>
              <w:rPr>
                <w:sz w:val="21"/>
              </w:rPr>
              <w:t>4.1.3</w:t>
            </w:r>
            <w:r>
              <w:rPr>
                <w:sz w:val="21"/>
              </w:rPr>
              <w:t>最大体重</w:t>
            </w:r>
            <w:r>
              <w:rPr>
                <w:sz w:val="21"/>
              </w:rPr>
              <w:t>≥</w:t>
            </w:r>
            <w:r>
              <w:rPr>
                <w:sz w:val="21"/>
              </w:rPr>
              <w:t>200kg</w:t>
            </w:r>
            <w:r>
              <w:rPr>
                <w:sz w:val="21"/>
              </w:rPr>
              <w:t>。</w:t>
            </w:r>
          </w:p>
          <w:p>
            <w:pPr>
              <w:jc w:val="both"/>
            </w:pPr>
            <w:r>
              <w:rPr>
                <w:sz w:val="21"/>
              </w:rPr>
              <w:t>4.1</w:t>
            </w:r>
            <w:r>
              <w:rPr>
                <w:sz w:val="21"/>
              </w:rPr>
              <w:t>.4可通过RS232接口连接电脑控制。</w:t>
            </w:r>
          </w:p>
          <w:p>
            <w:pPr>
              <w:jc w:val="both"/>
            </w:pPr>
            <w:r>
              <w:rPr>
                <w:sz w:val="21"/>
              </w:rPr>
              <w:t>4.1.</w:t>
            </w:r>
            <w:r>
              <w:rPr>
                <w:sz w:val="21"/>
              </w:rPr>
              <w:t>5心肺主机可直接控制踏车的功率进行运动。</w:t>
            </w:r>
          </w:p>
          <w:p>
            <w:pPr>
              <w:jc w:val="both"/>
            </w:pPr>
            <w:r>
              <w:rPr>
                <w:sz w:val="21"/>
              </w:rPr>
              <w:t>★5.所投设备必须为该厂家最新版本</w:t>
            </w:r>
            <w:r>
              <w:rPr>
                <w:b/>
                <w:sz w:val="21"/>
              </w:rPr>
              <w:t>（提供</w:t>
            </w:r>
            <w:r>
              <w:rPr>
                <w:b/>
                <w:sz w:val="21"/>
              </w:rPr>
              <w:t>承诺函</w:t>
            </w:r>
            <w:r>
              <w:rPr>
                <w:b/>
                <w:sz w:val="21"/>
              </w:rPr>
              <w:t>）</w:t>
            </w:r>
            <w:r>
              <w:rPr>
                <w:sz w:val="21"/>
              </w:rPr>
              <w:t>。</w:t>
            </w:r>
          </w:p>
          <w:p>
            <w:pPr>
              <w:jc w:val="both"/>
            </w:pPr>
            <w:r>
              <w:rPr>
                <w:sz w:val="21"/>
              </w:rPr>
              <w:t>6.保修范围包含下述主要配置要求。</w:t>
            </w:r>
          </w:p>
          <w:p>
            <w:pPr>
              <w:jc w:val="both"/>
            </w:pPr>
            <w:r>
              <w:rPr>
                <w:b/>
                <w:sz w:val="21"/>
              </w:rPr>
              <w:t>7、主要配置要求（包括但不限于）</w:t>
            </w:r>
          </w:p>
          <w:p>
            <w:pPr>
              <w:jc w:val="both"/>
            </w:pPr>
            <w:r>
              <w:rPr/>
              <w:t xml:space="preserve"> </w:t>
            </w:r>
          </w:p>
          <w:tbl>
            <w:tblPr>
              <w:tblBorders>
                <w:top w:val="none" w:color="000000" w:sz="4"/>
                <w:left w:val="none" w:color="000000" w:sz="4"/>
                <w:bottom w:val="none" w:color="000000" w:sz="4"/>
                <w:right w:val="none" w:color="000000" w:sz="4"/>
                <w:insideH w:val="none"/>
                <w:insideV w:val="none"/>
              </w:tblBorders>
            </w:tblPr>
            <w:tblGrid>
              <w:gridCol w:w="845"/>
              <w:gridCol w:w="2788"/>
              <w:gridCol w:w="982"/>
              <w:gridCol w:w="982"/>
            </w:tblGrid>
            <w:tr>
              <w:tc>
                <w:tcPr>
                  <w:tcW w:type="dxa" w:w="84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788"/>
                  <w:tcBorders>
                    <w:top w:val="single" w:color="000000" w:sz="4"/>
                    <w:left w:val="single" w:color="000000" w:sz="4"/>
                    <w:bottom w:val="single" w:color="000000" w:sz="4"/>
                    <w:right w:val="single" w:color="000000" w:sz="4"/>
                  </w:tcBorders>
                  <w:vAlign w:val="top"/>
                </w:tcPr>
                <w:p>
                  <w:pPr>
                    <w:jc w:val="center"/>
                  </w:pPr>
                  <w:r>
                    <w:rPr>
                      <w:sz w:val="21"/>
                    </w:rPr>
                    <w:t>部件名称</w:t>
                  </w:r>
                </w:p>
              </w:tc>
              <w:tc>
                <w:tcPr>
                  <w:tcW w:type="dxa" w:w="982"/>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982"/>
                  <w:tcBorders>
                    <w:top w:val="single" w:color="000000" w:sz="4"/>
                    <w:left w:val="single" w:color="000000" w:sz="4"/>
                    <w:bottom w:val="single" w:color="000000" w:sz="4"/>
                    <w:right w:val="single" w:color="000000" w:sz="4"/>
                  </w:tcBorders>
                  <w:vAlign w:val="top"/>
                </w:tcPr>
                <w:p>
                  <w:pPr>
                    <w:jc w:val="center"/>
                  </w:pPr>
                  <w:r>
                    <w:rPr>
                      <w:sz w:val="21"/>
                    </w:rPr>
                    <w:t>单位</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工控机</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套</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图文输出设备及医用</w:t>
                  </w:r>
                  <w:r>
                    <w:rPr>
                      <w:color w:val="0C0C0C"/>
                      <w:sz w:val="21"/>
                    </w:rPr>
                    <w:t>监视器</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2</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台</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w:t>
                  </w:r>
                </w:p>
              </w:tc>
              <w:tc>
                <w:tcPr>
                  <w:tcW w:type="dxa" w:w="2788"/>
                  <w:tcBorders>
                    <w:top w:val="none" w:color="000000" w:sz="4"/>
                    <w:left w:val="single" w:color="000000" w:sz="4"/>
                    <w:bottom w:val="single" w:color="000000" w:sz="4"/>
                    <w:right w:val="single" w:color="000000" w:sz="4"/>
                  </w:tcBorders>
                  <w:vAlign w:val="top"/>
                </w:tcPr>
                <w:p>
                  <w:pPr>
                    <w:jc w:val="center"/>
                  </w:pPr>
                  <w:r>
                    <w:rPr>
                      <w:color w:val="000000"/>
                      <w:sz w:val="21"/>
                    </w:rPr>
                    <w:t>Borg</w:t>
                  </w:r>
                  <w:r>
                    <w:rPr>
                      <w:color w:val="000000"/>
                      <w:sz w:val="21"/>
                    </w:rPr>
                    <w:t>评分表</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张</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4</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心电主机</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台</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5</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台车组件（含台车和监视器支架）</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套</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6</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心电</w:t>
                  </w:r>
                  <w:r>
                    <w:rPr>
                      <w:color w:val="0C0C0C"/>
                      <w:sz w:val="21"/>
                    </w:rPr>
                    <w:t>RS232</w:t>
                  </w:r>
                  <w:r>
                    <w:rPr>
                      <w:color w:val="0C0C0C"/>
                      <w:sz w:val="21"/>
                    </w:rPr>
                    <w:t>数据线</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根</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7</w:t>
                  </w:r>
                </w:p>
              </w:tc>
              <w:tc>
                <w:tcPr>
                  <w:tcW w:type="dxa" w:w="2788"/>
                  <w:tcBorders>
                    <w:top w:val="none" w:color="000000" w:sz="4"/>
                    <w:left w:val="single" w:color="000000" w:sz="4"/>
                    <w:bottom w:val="single" w:color="000000" w:sz="4"/>
                    <w:right w:val="single" w:color="000000" w:sz="4"/>
                  </w:tcBorders>
                  <w:vAlign w:val="top"/>
                </w:tcPr>
                <w:p>
                  <w:pPr>
                    <w:jc w:val="center"/>
                  </w:pPr>
                  <w:r>
                    <w:rPr>
                      <w:color w:val="000000"/>
                      <w:sz w:val="21"/>
                    </w:rPr>
                    <w:t>导联线支架</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8</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12导心电导联线</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根</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9</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肺功能主机</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台</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10</w:t>
                  </w:r>
                </w:p>
              </w:tc>
              <w:tc>
                <w:tcPr>
                  <w:tcW w:type="dxa" w:w="2788"/>
                  <w:tcBorders>
                    <w:top w:val="none" w:color="000000" w:sz="4"/>
                    <w:left w:val="single" w:color="000000" w:sz="4"/>
                    <w:bottom w:val="single" w:color="000000" w:sz="4"/>
                    <w:right w:val="single" w:color="000000" w:sz="4"/>
                  </w:tcBorders>
                  <w:vAlign w:val="top"/>
                </w:tcPr>
                <w:p>
                  <w:pPr>
                    <w:jc w:val="center"/>
                  </w:pPr>
                  <w:r>
                    <w:rPr>
                      <w:sz w:val="21"/>
                    </w:rPr>
                    <w:t>氧分析器</w:t>
                  </w:r>
                </w:p>
              </w:tc>
              <w:tc>
                <w:tcPr>
                  <w:tcW w:type="dxa" w:w="98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11</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肺主机</w:t>
                  </w:r>
                  <w:r>
                    <w:rPr>
                      <w:color w:val="0C0C0C"/>
                      <w:sz w:val="21"/>
                    </w:rPr>
                    <w:t>RS232</w:t>
                  </w:r>
                  <w:r>
                    <w:rPr>
                      <w:color w:val="0C0C0C"/>
                      <w:sz w:val="21"/>
                    </w:rPr>
                    <w:t>数据线</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条</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12</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气体测量管路（采样管）</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2</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根</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13</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气体定标管</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根</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14</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干燥管</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2</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根</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15</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温度传感器</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16</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气体校验泵</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17</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气体校验泵适配器</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18</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流量传感器</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2</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19</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传感器与面罩连接嘴</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2</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20</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运动心肺呼吸面罩（可重复使用）</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6</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21</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面罩呼吸嘴</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6</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22</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运动心肺呼吸面罩绑带</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2</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条</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23</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面罩连接短管</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根</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24</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环境监测仪（温度，湿度测量）</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25</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标气减压器</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26</w:t>
                  </w:r>
                </w:p>
              </w:tc>
              <w:tc>
                <w:tcPr>
                  <w:tcW w:type="dxa" w:w="2788"/>
                  <w:tcBorders>
                    <w:top w:val="none" w:color="000000" w:sz="4"/>
                    <w:left w:val="single" w:color="000000" w:sz="4"/>
                    <w:bottom w:val="single" w:color="000000" w:sz="4"/>
                    <w:right w:val="single" w:color="000000" w:sz="4"/>
                  </w:tcBorders>
                  <w:vAlign w:val="top"/>
                </w:tcPr>
                <w:p>
                  <w:pPr>
                    <w:jc w:val="center"/>
                  </w:pPr>
                  <w:r>
                    <w:rPr>
                      <w:sz w:val="21"/>
                    </w:rPr>
                    <w:t>G5/8</w:t>
                  </w:r>
                  <w:r>
                    <w:rPr>
                      <w:sz w:val="21"/>
                    </w:rPr>
                    <w:t>转</w:t>
                  </w:r>
                  <w:r>
                    <w:rPr>
                      <w:sz w:val="21"/>
                    </w:rPr>
                    <w:t>W21.8</w:t>
                  </w:r>
                  <w:r>
                    <w:rPr>
                      <w:sz w:val="21"/>
                    </w:rPr>
                    <w:t>接头</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27</w:t>
                  </w:r>
                </w:p>
              </w:tc>
              <w:tc>
                <w:tcPr>
                  <w:tcW w:type="dxa" w:w="2788"/>
                  <w:tcBorders>
                    <w:top w:val="none" w:color="000000" w:sz="4"/>
                    <w:left w:val="single" w:color="000000" w:sz="4"/>
                    <w:bottom w:val="single" w:color="000000" w:sz="4"/>
                    <w:right w:val="single" w:color="000000" w:sz="4"/>
                  </w:tcBorders>
                  <w:vAlign w:val="top"/>
                </w:tcPr>
                <w:p>
                  <w:pPr>
                    <w:jc w:val="center"/>
                  </w:pPr>
                  <w:r>
                    <w:rPr>
                      <w:color w:val="000000"/>
                      <w:sz w:val="21"/>
                    </w:rPr>
                    <w:t>彩色</w:t>
                  </w:r>
                  <w:r>
                    <w:rPr>
                      <w:color w:val="000000"/>
                      <w:sz w:val="21"/>
                    </w:rPr>
                    <w:t>激光</w:t>
                  </w:r>
                  <w:r>
                    <w:rPr>
                      <w:color w:val="000000"/>
                      <w:sz w:val="21"/>
                    </w:rPr>
                    <w:t>图文输出设备</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台</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28</w:t>
                  </w:r>
                </w:p>
              </w:tc>
              <w:tc>
                <w:tcPr>
                  <w:tcW w:type="dxa" w:w="2788"/>
                  <w:tcBorders>
                    <w:top w:val="none" w:color="000000" w:sz="4"/>
                    <w:left w:val="single" w:color="000000" w:sz="4"/>
                    <w:bottom w:val="single" w:color="000000" w:sz="4"/>
                    <w:right w:val="single" w:color="000000" w:sz="4"/>
                  </w:tcBorders>
                  <w:vAlign w:val="top"/>
                </w:tcPr>
                <w:p>
                  <w:pPr>
                    <w:jc w:val="center"/>
                  </w:pPr>
                  <w:r>
                    <w:rPr>
                      <w:color w:val="000000"/>
                      <w:sz w:val="21"/>
                    </w:rPr>
                    <w:t>运动踏车</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台</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29</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负荷运动血压测试仪</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台</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30</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血压袖带</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条</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31</w:t>
                  </w:r>
                </w:p>
              </w:tc>
              <w:tc>
                <w:tcPr>
                  <w:tcW w:type="dxa" w:w="2788"/>
                  <w:tcBorders>
                    <w:top w:val="none" w:color="000000" w:sz="4"/>
                    <w:left w:val="single" w:color="000000" w:sz="4"/>
                    <w:bottom w:val="single" w:color="000000" w:sz="4"/>
                    <w:right w:val="single" w:color="000000" w:sz="4"/>
                  </w:tcBorders>
                  <w:vAlign w:val="top"/>
                </w:tcPr>
                <w:p>
                  <w:pPr>
                    <w:jc w:val="center"/>
                  </w:pPr>
                  <w:r>
                    <w:rPr>
                      <w:color w:val="000000"/>
                      <w:sz w:val="21"/>
                    </w:rPr>
                    <w:t>BP</w:t>
                  </w:r>
                  <w:r>
                    <w:rPr>
                      <w:color w:val="000000"/>
                      <w:sz w:val="21"/>
                    </w:rPr>
                    <w:t>血压卡扣</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00000"/>
                      <w:sz w:val="21"/>
                    </w:rPr>
                    <w:t>套</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32</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血氧主机</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台</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33</w:t>
                  </w:r>
                </w:p>
              </w:tc>
              <w:tc>
                <w:tcPr>
                  <w:tcW w:type="dxa" w:w="2788"/>
                  <w:tcBorders>
                    <w:top w:val="none" w:color="000000" w:sz="4"/>
                    <w:left w:val="single" w:color="000000" w:sz="4"/>
                    <w:bottom w:val="single" w:color="000000" w:sz="4"/>
                    <w:right w:val="single" w:color="000000" w:sz="4"/>
                  </w:tcBorders>
                  <w:vAlign w:val="top"/>
                </w:tcPr>
                <w:p>
                  <w:pPr>
                    <w:jc w:val="center"/>
                  </w:pPr>
                  <w:r>
                    <w:rPr>
                      <w:color w:val="0C0C0C"/>
                      <w:sz w:val="21"/>
                    </w:rPr>
                    <w:t>血氧主机座</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34</w:t>
                  </w:r>
                </w:p>
              </w:tc>
              <w:tc>
                <w:tcPr>
                  <w:tcW w:type="dxa" w:w="2788"/>
                  <w:tcBorders>
                    <w:top w:val="none" w:color="000000" w:sz="4"/>
                    <w:left w:val="single" w:color="000000" w:sz="4"/>
                    <w:bottom w:val="single" w:color="000000" w:sz="4"/>
                    <w:right w:val="single" w:color="000000" w:sz="4"/>
                  </w:tcBorders>
                  <w:vAlign w:val="top"/>
                </w:tcPr>
                <w:p>
                  <w:pPr>
                    <w:jc w:val="center"/>
                  </w:pPr>
                  <w:r>
                    <w:rPr>
                      <w:sz w:val="21"/>
                    </w:rPr>
                    <w:t>血氧通讯盒</w:t>
                  </w:r>
                  <w:r>
                    <w:rPr>
                      <w:sz w:val="21"/>
                    </w:rPr>
                    <w:t>(系统上是血氧串口盒)</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35</w:t>
                  </w:r>
                </w:p>
              </w:tc>
              <w:tc>
                <w:tcPr>
                  <w:tcW w:type="dxa" w:w="2788"/>
                  <w:tcBorders>
                    <w:top w:val="none" w:color="000000" w:sz="4"/>
                    <w:left w:val="single" w:color="000000" w:sz="4"/>
                    <w:bottom w:val="single" w:color="000000" w:sz="4"/>
                    <w:right w:val="single" w:color="000000" w:sz="4"/>
                  </w:tcBorders>
                  <w:vAlign w:val="top"/>
                </w:tcPr>
                <w:p>
                  <w:pPr>
                    <w:jc w:val="center"/>
                  </w:pPr>
                  <w:r>
                    <w:rPr>
                      <w:sz w:val="21"/>
                    </w:rPr>
                    <w:t>血氧通讯盒连接线</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条</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36</w:t>
                  </w:r>
                </w:p>
              </w:tc>
              <w:tc>
                <w:tcPr>
                  <w:tcW w:type="dxa" w:w="2788"/>
                  <w:tcBorders>
                    <w:top w:val="none" w:color="000000" w:sz="4"/>
                    <w:left w:val="single" w:color="000000" w:sz="4"/>
                    <w:bottom w:val="single" w:color="000000" w:sz="4"/>
                    <w:right w:val="single" w:color="000000" w:sz="4"/>
                  </w:tcBorders>
                  <w:vAlign w:val="top"/>
                </w:tcPr>
                <w:p>
                  <w:pPr>
                    <w:jc w:val="center"/>
                  </w:pPr>
                  <w:r>
                    <w:rPr>
                      <w:sz w:val="21"/>
                    </w:rPr>
                    <w:t>通讯盒主机连接线</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条</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37</w:t>
                  </w:r>
                </w:p>
              </w:tc>
              <w:tc>
                <w:tcPr>
                  <w:tcW w:type="dxa" w:w="2788"/>
                  <w:tcBorders>
                    <w:top w:val="none" w:color="000000" w:sz="4"/>
                    <w:left w:val="single" w:color="000000" w:sz="4"/>
                    <w:bottom w:val="single" w:color="000000" w:sz="4"/>
                    <w:right w:val="single" w:color="000000" w:sz="4"/>
                  </w:tcBorders>
                  <w:vAlign w:val="top"/>
                </w:tcPr>
                <w:p>
                  <w:pPr>
                    <w:jc w:val="center"/>
                  </w:pPr>
                  <w:r>
                    <w:rPr>
                      <w:sz w:val="21"/>
                    </w:rPr>
                    <w:t>血氧指套线长度（长度</w:t>
                  </w:r>
                  <w:r>
                    <w:rPr>
                      <w:sz w:val="21"/>
                    </w:rPr>
                    <w:t>2.6m</w:t>
                  </w:r>
                  <w:r>
                    <w:rPr>
                      <w:sz w:val="21"/>
                    </w:rPr>
                    <w:t>）</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1</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条</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38</w:t>
                  </w:r>
                </w:p>
              </w:tc>
              <w:tc>
                <w:tcPr>
                  <w:tcW w:type="dxa" w:w="2788"/>
                  <w:tcBorders>
                    <w:top w:val="none" w:color="000000" w:sz="4"/>
                    <w:left w:val="single" w:color="000000" w:sz="4"/>
                    <w:bottom w:val="single" w:color="000000" w:sz="4"/>
                    <w:right w:val="single" w:color="000000" w:sz="4"/>
                  </w:tcBorders>
                  <w:vAlign w:val="top"/>
                </w:tcPr>
                <w:p>
                  <w:pPr>
                    <w:jc w:val="both"/>
                  </w:pPr>
                  <w:r>
                    <w:rPr>
                      <w:sz w:val="21"/>
                    </w:rPr>
                    <w:t>氧电池（</w:t>
                  </w:r>
                  <w:r>
                    <w:rPr>
                      <w:sz w:val="21"/>
                    </w:rPr>
                    <w:t>安装时提供一个，后续每年提供一个，用完</w:t>
                  </w:r>
                  <w:r>
                    <w:rPr>
                      <w:sz w:val="21"/>
                    </w:rPr>
                    <w:t>5个为止。</w:t>
                  </w:r>
                  <w:r>
                    <w:rPr>
                      <w:sz w:val="21"/>
                    </w:rPr>
                    <w:t>）</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5</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个</w:t>
                  </w:r>
                </w:p>
              </w:tc>
            </w:tr>
            <w:tr>
              <w:tc>
                <w:tcPr>
                  <w:tcW w:type="dxa" w:w="845"/>
                  <w:tcBorders>
                    <w:top w:val="none" w:color="000000" w:sz="4"/>
                    <w:left w:val="single" w:color="000000" w:sz="4"/>
                    <w:bottom w:val="single" w:color="000000" w:sz="4"/>
                    <w:right w:val="single" w:color="000000" w:sz="4"/>
                  </w:tcBorders>
                  <w:vAlign w:val="top"/>
                </w:tcPr>
                <w:p>
                  <w:pPr>
                    <w:jc w:val="both"/>
                  </w:pPr>
                  <w:r>
                    <w:rPr>
                      <w:sz w:val="21"/>
                    </w:rPr>
                    <w:t>39</w:t>
                  </w:r>
                </w:p>
              </w:tc>
              <w:tc>
                <w:tcPr>
                  <w:tcW w:type="dxa" w:w="2788"/>
                  <w:tcBorders>
                    <w:top w:val="none" w:color="000000" w:sz="4"/>
                    <w:left w:val="single" w:color="000000" w:sz="4"/>
                    <w:bottom w:val="single" w:color="000000" w:sz="4"/>
                    <w:right w:val="single" w:color="000000" w:sz="4"/>
                  </w:tcBorders>
                  <w:vAlign w:val="top"/>
                </w:tcPr>
                <w:p>
                  <w:pPr>
                    <w:jc w:val="both"/>
                  </w:pPr>
                  <w:r>
                    <w:rPr>
                      <w:sz w:val="21"/>
                    </w:rPr>
                    <w:t>10L混合气体铝瓶</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2</w:t>
                  </w:r>
                </w:p>
              </w:tc>
              <w:tc>
                <w:tcPr>
                  <w:tcW w:type="dxa" w:w="982"/>
                  <w:tcBorders>
                    <w:top w:val="none" w:color="000000" w:sz="4"/>
                    <w:left w:val="single" w:color="000000" w:sz="4"/>
                    <w:bottom w:val="single" w:color="000000" w:sz="4"/>
                    <w:right w:val="single" w:color="000000" w:sz="4"/>
                  </w:tcBorders>
                  <w:vAlign w:val="top"/>
                </w:tcPr>
                <w:p>
                  <w:pPr>
                    <w:jc w:val="center"/>
                  </w:pPr>
                  <w:r>
                    <w:rPr>
                      <w:color w:val="0C0C0C"/>
                      <w:sz w:val="21"/>
                    </w:rPr>
                    <w:t>瓶</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广州市番禺区中心医院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采购机构代理服务收费标准：采购代理服务费由中标供应商在领取《中标通知书》前一次性向采购代理机构交纳。本项目的招标代理服务费收费标准以采购预算金额为计算基数，按差额定率累进法计算，具体收费按以下标准计算：采购金额（万元）100以下，费率：1.5%；采购金额（万元）100－500，费率：1.1%。</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p>
            <w:pPr>
              <w:jc w:val="left"/>
            </w:pPr>
            <w:r>
              <w:rPr/>
              <w:t>采购包3：面向中小企业，采购包专门预留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李玉霜、李年秀</w:t>
      </w:r>
    </w:p>
    <w:p>
      <w:pPr>
        <w:ind w:firstLine="480"/>
      </w:pPr>
      <w:r>
        <w:rPr/>
        <w:t>电话：</w:t>
      </w:r>
      <w:r>
        <w:rPr/>
        <w:t>020-87684726，020-87688847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政府采购监督管理机构名称：广州市番禺区财政局（政府采购管理办公室）</w:t>
      </w:r>
    </w:p>
    <w:p>
      <w:r>
        <w:rPr/>
        <w:t>地  址：广州市番禺区广场西路83号601室</w:t>
      </w:r>
    </w:p>
    <w:p>
      <w:r>
        <w:rPr/>
        <w:t>电  话：020-39300309</w:t>
      </w:r>
    </w:p>
    <w:p>
      <w:r>
        <w:rPr/>
        <w:t>邮  编：511400</w:t>
      </w:r>
    </w:p>
    <w:p>
      <w:r>
        <w:rPr/>
        <w:t>传  真：020-39300303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采购包1(中央母胎监护系统)：综合评分法,是指投标文件满足招标文件全部实质性要求，且按照评审因素的量化指标评审得分最高的投标人为中标候选人的评标方法。（最低报价不是中标的唯一依据。）</w:t>
      </w:r>
    </w:p>
    <w:p/>
    <w:p>
      <w:r>
        <w:rPr/>
        <w:t>采购包2(眩晕VR耳呜康复仪（康复训练仪）)：综合评分法,是指投标文件满足招标文件全部实质性要求，且按照评审因素的量化指标评审得分最高的投标人为中标候选人的评标方法。（最低报价不是中标的唯一依据。）</w:t>
      </w:r>
    </w:p>
    <w:p/>
    <w:p>
      <w:r>
        <w:rPr/>
        <w:t>采购包3(心肺评估仪)：综合评分法,是指投标文件满足招标文件全部实质性要求，且按照评审因素的量化指标评审得分最高的投标人为中标候选人的评标方法。（最低报价不是中标的唯一依据。）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采购包1（中央母胎监护系统）：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采购包2（眩晕VR耳呜康复仪（康复训练仪））：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采购包3（心肺评估仪）：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采购包1（中央母胎监护系统）：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特定资格要求（1）</w:t>
            </w:r>
          </w:p>
        </w:tc>
        <w:tc>
          <w:tcPr>
            <w:tcW w:type="dxa" w:w="4238"/>
          </w:tcPr>
          <w:p>
            <w:r>
              <w:rPr/>
              <w:t>如供应商为所投产品的生产企业，若所投产品为第一类医疗器械，应提供有效的《医疗器械生产备案凭证》复印件或承诺供货前取得《医疗器械生产备案凭证》；若所投产品为第二类或第三类医疗器械，应提供有效的《医疗器械生产许可证》复印件；如国家另有规定，则适用其规定。  供应商为所投产品代理经营企业的，若所投产品为第二类医疗器械，应提供有效的《医疗器械经营备案凭证》复印件或承诺供货前取得《医疗器械经营备案凭证》，若所投产品为第三类医疗器械，应提供有效的《医疗器械经营许可证》。</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r>
        <w:rPr/>
        <w:t>采购包2（眩晕VR耳呜康复仪（康复训练仪））：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特定资格要求（1）</w:t>
            </w:r>
          </w:p>
        </w:tc>
        <w:tc>
          <w:tcPr>
            <w:tcW w:type="dxa" w:w="4238"/>
          </w:tcPr>
          <w:p>
            <w:r>
              <w:rPr/>
              <w:t>如供应商为所投产品的生产企业，若所投产品为第一类医疗器械，应提供有效的《医疗器械生产备案凭证》复印件或承诺供货前取得《医疗器械生产备案凭证》；若所投产品为第二类或第三类医疗器械，应提供有效的《医疗器械生产许可证》复印件；如国家另有规定，则适用其规定。  供应商为所投产品代理经营企业的，若所投产品为第二类医疗器械，应提供有效的《医疗器械经营备案凭证》复印件或承诺供货前取得《医疗器械经营备案凭证》，若所投产品为第三类医疗器械，应提供有效的《医疗器械经营许可证》。</w:t>
            </w:r>
          </w:p>
        </w:tc>
      </w:tr>
      <w:tr>
        <w:tc>
          <w:tcPr>
            <w:tcW w:type="dxa" w:w="890"/>
          </w:tcPr>
          <w:p>
            <w:r>
              <w:rPr/>
              <w:t>9</w:t>
            </w:r>
          </w:p>
        </w:tc>
        <w:tc>
          <w:tcPr>
            <w:tcW w:type="dxa" w:w="3178"/>
          </w:tcPr>
          <w:p>
            <w:r>
              <w:rPr/>
              <w:t>本采购包专门面向中小企业采购</w:t>
            </w:r>
          </w:p>
        </w:tc>
        <w:tc>
          <w:tcPr>
            <w:tcW w:type="dxa" w:w="4238"/>
          </w:tcPr>
          <w:p>
            <w:r>
              <w:rPr/>
              <w:t>参与的供应商（联合体）提供的货物全部由符合政策要求的中小企业制造。</w:t>
            </w:r>
          </w:p>
        </w:tc>
      </w:tr>
    </w:tbl>
    <w:p/>
    <w:p>
      <w:r>
        <w:rPr/>
        <w:t>采购包3（心肺评估仪）：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特定资格要求（1）</w:t>
            </w:r>
          </w:p>
        </w:tc>
        <w:tc>
          <w:tcPr>
            <w:tcW w:type="dxa" w:w="4238"/>
          </w:tcPr>
          <w:p>
            <w:r>
              <w:rPr/>
              <w:t>如供应商为所投产品的生产企业，若所投产品为第一类医疗器械，应提供有效的《医疗器械生产备案凭证》复印件或承诺供货前取得《医疗器械生产备案凭证》；若所投产品为第二类或第三类医疗器械，应提供有效的《医疗器械生产许可证》复印件；如国家另有规定，则适用其规定。  供应商为所投产品代理经营企业的，若所投产品为第二类医疗器械，应提供有效的《医疗器械经营备案凭证》复印件或承诺供货前取得《医疗器械经营备案凭证》，若所投产品为第三类医疗器械，应提供有效的《医疗器械经营许可证》。</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采购包1（中央母胎监护系统）：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带“★”号条款</w:t>
            </w:r>
          </w:p>
        </w:tc>
        <w:tc>
          <w:tcPr>
            <w:tcW w:type="dxa" w:w="4238"/>
          </w:tcPr>
          <w:p>
            <w:r>
              <w:rPr/>
              <w:t>能满足采购需求的主要参数（带“★”号条款）</w:t>
            </w:r>
          </w:p>
        </w:tc>
      </w:tr>
      <w:tr>
        <w:tc>
          <w:tcPr>
            <w:tcW w:type="dxa" w:w="890"/>
          </w:tcPr>
          <w:p>
            <w:r>
              <w:rPr/>
              <w:t>6</w:t>
            </w:r>
          </w:p>
        </w:tc>
        <w:tc>
          <w:tcPr>
            <w:tcW w:type="dxa" w:w="3178"/>
          </w:tcPr>
          <w:p>
            <w:r>
              <w:rPr/>
              <w:t>投标报价</w:t>
            </w:r>
          </w:p>
        </w:tc>
        <w:tc>
          <w:tcPr>
            <w:tcW w:type="dxa" w:w="4238"/>
          </w:tcPr>
          <w:p>
            <w:r>
              <w:rPr/>
              <w:t>投标报价是固定唯一价且未超过本项目对应采购包采购预算</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采购包2（眩晕VR耳呜康复仪（康复训练仪））：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带“★”号条款</w:t>
            </w:r>
          </w:p>
        </w:tc>
        <w:tc>
          <w:tcPr>
            <w:tcW w:type="dxa" w:w="4238"/>
          </w:tcPr>
          <w:p>
            <w:r>
              <w:rPr/>
              <w:t>能满足采购需求的主要参数（带“★”号条款）</w:t>
            </w:r>
          </w:p>
        </w:tc>
      </w:tr>
      <w:tr>
        <w:tc>
          <w:tcPr>
            <w:tcW w:type="dxa" w:w="890"/>
          </w:tcPr>
          <w:p>
            <w:r>
              <w:rPr/>
              <w:t>6</w:t>
            </w:r>
          </w:p>
        </w:tc>
        <w:tc>
          <w:tcPr>
            <w:tcW w:type="dxa" w:w="3178"/>
          </w:tcPr>
          <w:p>
            <w:r>
              <w:rPr/>
              <w:t>投标报价</w:t>
            </w:r>
          </w:p>
        </w:tc>
        <w:tc>
          <w:tcPr>
            <w:tcW w:type="dxa" w:w="4238"/>
          </w:tcPr>
          <w:p>
            <w:r>
              <w:rPr/>
              <w:t>投标报价是固定唯一价且未超过本项目对应采购包采购预算</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采购包3（心肺评估仪）：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带“★”号条款</w:t>
            </w:r>
          </w:p>
        </w:tc>
        <w:tc>
          <w:tcPr>
            <w:tcW w:type="dxa" w:w="4238"/>
          </w:tcPr>
          <w:p>
            <w:r>
              <w:rPr/>
              <w:t>能满足采购需求的主要参数（带“★”号条款）</w:t>
            </w:r>
          </w:p>
        </w:tc>
      </w:tr>
      <w:tr>
        <w:tc>
          <w:tcPr>
            <w:tcW w:type="dxa" w:w="890"/>
          </w:tcPr>
          <w:p>
            <w:r>
              <w:rPr/>
              <w:t>6</w:t>
            </w:r>
          </w:p>
        </w:tc>
        <w:tc>
          <w:tcPr>
            <w:tcW w:type="dxa" w:w="3178"/>
          </w:tcPr>
          <w:p>
            <w:r>
              <w:rPr/>
              <w:t>投标报价</w:t>
            </w:r>
          </w:p>
        </w:tc>
        <w:tc>
          <w:tcPr>
            <w:tcW w:type="dxa" w:w="4238"/>
          </w:tcPr>
          <w:p>
            <w:r>
              <w:rPr/>
              <w:t>投标报价是固定唯一价且未超过本项目对应采购包采购预算</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采购包1(中央母胎监护系统):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技术部分55.0分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重点技术条款响应情况 (12.0分)</w:t>
            </w:r>
          </w:p>
        </w:tc>
        <w:tc>
          <w:tcPr>
            <w:tcW w:type="dxa" w:w="5076"/>
          </w:tcPr>
          <w:p>
            <w:pPr>
              <w:jc w:val="left"/>
            </w:pPr>
            <w:r>
              <w:rPr/>
              <w:t>投标人对招标文件具体技术(参数)要求“设备主要规格、技术要求”序号“1.3、1.8、1.13、2.2、2.6、2.17”的技术参数（共6项）完全满足或正偏离技术要求的，每项得2分，不满足或负偏离的不得分，最高得12分。 注：（1）投标人必须提供投标产品的生产厂家使用说明书（如生产厂家的使用说明书为英文版，请同时提供中文版），或经生产厂家盖章的技术证明文件以证明其满足采购需求中技术要求。否则评标委员会有权视相应的投标产品不满足技术要求进行评分。  （2）“具体技术(参数)要求”中要求提供相关证明材料的，需按要求提供，否则视为负偏离。评标委员会在评审过程中，如发现投标人技术条款响应情况与提供的彩页等证明材料不一致的，以证明材料为准。</w:t>
            </w:r>
          </w:p>
        </w:tc>
      </w:tr>
      <w:tr>
        <w:tc>
          <w:tcPr>
            <w:tcW w:type="dxa" w:w="922"/>
            <w:gridSpan w:val="2"/>
            <w:vMerge/>
          </w:tcPr>
          <w:p/>
        </w:tc>
        <w:tc>
          <w:tcPr>
            <w:tcW w:type="dxa" w:w="2307"/>
          </w:tcPr>
          <w:p>
            <w:pPr>
              <w:jc w:val="left"/>
            </w:pPr>
            <w:r>
              <w:rPr/>
              <w:t>技术条款响应程度 (29.0分)</w:t>
            </w:r>
          </w:p>
        </w:tc>
        <w:tc>
          <w:tcPr>
            <w:tcW w:type="dxa" w:w="5076"/>
          </w:tcPr>
          <w:p>
            <w:pPr>
              <w:jc w:val="left"/>
            </w:pPr>
            <w:r>
              <w:rPr/>
              <w:t>根据投标人对招标文件具体技术(参数)要求“设备主要规格、技术要求”中参数（除序号“1.3、1.8、1.13、2.2、2.6、2.17”外）的响应程度进行评审:   1.所投产品完全满足或优于具体技术(参数)要求中“设备主要规格、技术要求”的（共26项），得26分；每有1项不满足或负偏离具体技术(参数)要求中“设备主要规格、技术要求”的，扣1分，最低扣至0分。 2. 投标人对招标文件具体技术(参数)要求“设备主要规格、技术要求”中序号“3. 主要配置要求”完全满足或优于得3分，不满足或负偏离得0分。 注：（1）技术参数按最小序号计算，如序号“1.1、1.2、1.3”分别单独算1项，共计26项，主要配置要求算1项。 （2）“具体技术(参数)要求”中要求提供相关证明材料的，需按要求提供，否则视为负偏离。评标委员会在评审过程中，如发现投标人技术条款响应情况与提供的彩页等证明材料不一致的，以证明材料为准。</w:t>
            </w:r>
          </w:p>
        </w:tc>
      </w:tr>
      <w:tr>
        <w:tc>
          <w:tcPr>
            <w:tcW w:type="dxa" w:w="922"/>
            <w:gridSpan w:val="2"/>
            <w:vMerge/>
          </w:tcPr>
          <w:p/>
        </w:tc>
        <w:tc>
          <w:tcPr>
            <w:tcW w:type="dxa" w:w="2307"/>
          </w:tcPr>
          <w:p>
            <w:pPr>
              <w:jc w:val="left"/>
            </w:pPr>
            <w:r>
              <w:rPr/>
              <w:t>供货服务方案1 (2.0分)</w:t>
            </w:r>
          </w:p>
        </w:tc>
        <w:tc>
          <w:tcPr>
            <w:tcW w:type="dxa" w:w="5076"/>
          </w:tcPr>
          <w:p>
            <w:pPr>
              <w:jc w:val="left"/>
            </w:pPr>
            <w:r>
              <w:rPr/>
              <w:t>评标委员会根据投标人提供的供货服务方案评价，方案应包括（投标文件中方案标题应以下列方案名称命名）： （1）交货期； （2）到货保证措施；  （3）售后服务； （4）应急保障方案。 提供全部内容得2分，每缺1项扣0.5分。</w:t>
            </w:r>
          </w:p>
        </w:tc>
      </w:tr>
      <w:tr>
        <w:tc>
          <w:tcPr>
            <w:tcW w:type="dxa" w:w="922"/>
            <w:gridSpan w:val="2"/>
            <w:vMerge/>
          </w:tcPr>
          <w:p/>
        </w:tc>
        <w:tc>
          <w:tcPr>
            <w:tcW w:type="dxa" w:w="2307"/>
          </w:tcPr>
          <w:p>
            <w:pPr>
              <w:jc w:val="left"/>
            </w:pPr>
            <w:r>
              <w:rPr/>
              <w:t>供货服务方案2 (4.0分)</w:t>
            </w:r>
            <w:r>
              <w:rPr/>
              <w:t>，（等次分值选择：</w:t>
            </w:r>
            <w:r>
              <w:rPr/>
              <w:t>0.0;</w:t>
            </w:r>
            <w:r>
              <w:rPr/>
              <w:t>1.0;</w:t>
            </w:r>
            <w:r>
              <w:rPr/>
              <w:t>2.0;</w:t>
            </w:r>
            <w:r>
              <w:rPr/>
              <w:t>4.0;</w:t>
            </w:r>
            <w:r>
              <w:rPr/>
              <w:t>）</w:t>
            </w:r>
          </w:p>
        </w:tc>
        <w:tc>
          <w:tcPr>
            <w:tcW w:type="dxa" w:w="5076"/>
          </w:tcPr>
          <w:p>
            <w:pPr>
              <w:jc w:val="left"/>
            </w:pPr>
            <w:r>
              <w:rPr/>
              <w:t>根据投标人提供的供货服务方案的详细内容进行评审：   （1）响应时间快、交货期优于商务要求，售后服务方案、到货的保证措施完善可行及应急保障方案详细完整，完全符合或优于招标文件要求的得4分；   （2）响应时间、交货期满足商务要求，售后服方案、到货的保证措施可行、应急保障方案完整，能基本保障本项目实施，基本符合招标文件要求的得2分；   （3）响应时间、交货期满足商务要求，售后服务要求、到货的保证措施不可行、应急保障方案不完整，与招标文件要求有偏差的得1分。 （4）未提供供货服务方案的不得分。</w:t>
            </w:r>
          </w:p>
        </w:tc>
      </w:tr>
      <w:tr>
        <w:tc>
          <w:tcPr>
            <w:tcW w:type="dxa" w:w="922"/>
            <w:gridSpan w:val="2"/>
            <w:vMerge/>
          </w:tcPr>
          <w:p/>
        </w:tc>
        <w:tc>
          <w:tcPr>
            <w:tcW w:type="dxa" w:w="2307"/>
          </w:tcPr>
          <w:p>
            <w:pPr>
              <w:jc w:val="left"/>
            </w:pPr>
            <w:r>
              <w:rPr/>
              <w:t>安装、调试、技术培训方案1 (1.0分)</w:t>
            </w:r>
          </w:p>
        </w:tc>
        <w:tc>
          <w:tcPr>
            <w:tcW w:type="dxa" w:w="5076"/>
          </w:tcPr>
          <w:p>
            <w:pPr>
              <w:jc w:val="left"/>
            </w:pPr>
            <w:r>
              <w:rPr/>
              <w:t>评标委员会根据投标人提供的安装、调试、技术培训方案进行评价，方案应包括（投标文件中方案标题应以下列方案名称命名）： (1)安装、调试方案； (2)技术培训。 提供全部内容得1分，每缺1项扣0.5分。</w:t>
            </w:r>
          </w:p>
        </w:tc>
      </w:tr>
      <w:tr>
        <w:tc>
          <w:tcPr>
            <w:tcW w:type="dxa" w:w="922"/>
            <w:gridSpan w:val="2"/>
            <w:vMerge/>
          </w:tcPr>
          <w:p/>
        </w:tc>
        <w:tc>
          <w:tcPr>
            <w:tcW w:type="dxa" w:w="2307"/>
          </w:tcPr>
          <w:p>
            <w:pPr>
              <w:jc w:val="left"/>
            </w:pPr>
            <w:r>
              <w:rPr/>
              <w:t>安装、调试、技术培训方案2 (3.0分)</w:t>
            </w:r>
            <w:r>
              <w:rPr/>
              <w:t>，（等次分值选择：</w:t>
            </w:r>
            <w:r>
              <w:rPr/>
              <w:t>0.0;</w:t>
            </w:r>
            <w:r>
              <w:rPr/>
              <w:t>1.0;</w:t>
            </w:r>
            <w:r>
              <w:rPr/>
              <w:t>2.0;</w:t>
            </w:r>
            <w:r>
              <w:rPr/>
              <w:t>3.0;</w:t>
            </w:r>
            <w:r>
              <w:rPr/>
              <w:t>）</w:t>
            </w:r>
          </w:p>
        </w:tc>
        <w:tc>
          <w:tcPr>
            <w:tcW w:type="dxa" w:w="5076"/>
          </w:tcPr>
          <w:p>
            <w:pPr>
              <w:jc w:val="left"/>
            </w:pPr>
            <w:r>
              <w:rPr/>
              <w:t>根据投标人提供的安装与调试、技术培训的详细内容进行评审：   （1）针对本项目交货、安装与调试方案详细具体、可行性、 针对性强，完全符合或优于招标文件要求的得3分；   （2）针对本项目交货、安装与调试方案一般，可行性、针对性一般，基本符合招标文件要求的得2分；    （3）针对本项目交货、安装与调试方案简单，不具有可行性、针对性，与招标文件要求有偏差的得1分。 （4）未提供安装与调试、技术培训方案的不得分。</w:t>
            </w:r>
          </w:p>
        </w:tc>
      </w:tr>
      <w:tr>
        <w:tc>
          <w:tcPr>
            <w:tcW w:type="dxa" w:w="922"/>
            <w:gridSpan w:val="2"/>
            <w:vMerge/>
          </w:tcPr>
          <w:p/>
        </w:tc>
        <w:tc>
          <w:tcPr>
            <w:tcW w:type="dxa" w:w="2307"/>
          </w:tcPr>
          <w:p>
            <w:pPr>
              <w:jc w:val="left"/>
            </w:pPr>
            <w:r>
              <w:rPr/>
              <w:t>质量保证方案1 (1.0分)</w:t>
            </w:r>
          </w:p>
        </w:tc>
        <w:tc>
          <w:tcPr>
            <w:tcW w:type="dxa" w:w="5076"/>
          </w:tcPr>
          <w:p>
            <w:pPr>
              <w:jc w:val="left"/>
            </w:pPr>
            <w:r>
              <w:rPr/>
              <w:t>评标委员会根据投标人提供的质量保证方案进行评价，方案应包括（投标文件中方案标题应以下列方案名称命名）： (1)保修方案； (2)维护保养方案。 提供全部内容得1分，每缺1项扣0.5分。</w:t>
            </w:r>
          </w:p>
        </w:tc>
      </w:tr>
      <w:tr>
        <w:tc>
          <w:tcPr>
            <w:tcW w:type="dxa" w:w="922"/>
            <w:gridSpan w:val="2"/>
            <w:vMerge/>
          </w:tcPr>
          <w:p/>
        </w:tc>
        <w:tc>
          <w:tcPr>
            <w:tcW w:type="dxa" w:w="2307"/>
          </w:tcPr>
          <w:p>
            <w:pPr>
              <w:jc w:val="left"/>
            </w:pPr>
            <w:r>
              <w:rPr/>
              <w:t>质量保证方案2 (3.0分)</w:t>
            </w:r>
            <w:r>
              <w:rPr/>
              <w:t>，（等次分值选择：</w:t>
            </w:r>
            <w:r>
              <w:rPr/>
              <w:t>0.0;</w:t>
            </w:r>
            <w:r>
              <w:rPr/>
              <w:t>1.0;</w:t>
            </w:r>
            <w:r>
              <w:rPr/>
              <w:t>2.0;</w:t>
            </w:r>
            <w:r>
              <w:rPr/>
              <w:t>3.0;</w:t>
            </w:r>
            <w:r>
              <w:rPr/>
              <w:t>）</w:t>
            </w:r>
          </w:p>
        </w:tc>
        <w:tc>
          <w:tcPr>
            <w:tcW w:type="dxa" w:w="5076"/>
          </w:tcPr>
          <w:p>
            <w:pPr>
              <w:jc w:val="left"/>
            </w:pPr>
            <w:r>
              <w:rPr/>
              <w:t>根据投标人编制的具体质量保证方案进行评审:   （1）投标人提供的质量保证方案完整性、合理性、可行性高的，完全符合招标文件要求的得3分；   （2）投标人提供的质量保证方案具有一定的合理性和可行性，基本符合招标文件要求的得2分；  （3）投标人提供的质量保证方案完整性、合理性、可行性差，与招标文件要求有偏差的得1分。  （4）未提供质量保证方案的不得分。</w:t>
            </w:r>
          </w:p>
        </w:tc>
      </w:tr>
      <w:tr>
        <w:tc>
          <w:tcPr>
            <w:tcW w:type="dxa" w:w="922"/>
            <w:gridSpan w:val="2"/>
            <w:vMerge w:val="restart"/>
          </w:tcPr>
          <w:p>
            <w:pPr>
              <w:jc w:val="center"/>
            </w:pPr>
            <w:r>
              <w:rPr/>
              <w:t>商务部分</w:t>
            </w:r>
          </w:p>
        </w:tc>
        <w:tc>
          <w:tcPr>
            <w:tcW w:type="dxa" w:w="2307"/>
          </w:tcPr>
          <w:p>
            <w:pPr>
              <w:jc w:val="left"/>
            </w:pPr>
            <w:r>
              <w:rPr/>
              <w:t>同类项目经验 (2.5分)</w:t>
            </w:r>
          </w:p>
        </w:tc>
        <w:tc>
          <w:tcPr>
            <w:tcW w:type="dxa" w:w="5076"/>
          </w:tcPr>
          <w:p>
            <w:pPr>
              <w:jc w:val="left"/>
            </w:pPr>
            <w:r>
              <w:rPr/>
              <w:t>投标人2020年1月1日至今签订的同类产品（产科中央监护网络系统或母亲胎儿监护仪或中央母胎监护系统）业绩：每项得0.5分，最高2.5分。  注：（提供业绩合同的复印件并加盖投标人公章，以合同签订时间为准，未提供或专家无法认定的不得分）</w:t>
            </w:r>
          </w:p>
        </w:tc>
      </w:tr>
      <w:tr>
        <w:tc>
          <w:tcPr>
            <w:tcW w:type="dxa" w:w="922"/>
            <w:gridSpan w:val="2"/>
            <w:vMerge/>
          </w:tcPr>
          <w:p/>
        </w:tc>
        <w:tc>
          <w:tcPr>
            <w:tcW w:type="dxa" w:w="2307"/>
          </w:tcPr>
          <w:p>
            <w:pPr>
              <w:jc w:val="left"/>
            </w:pPr>
            <w:r>
              <w:rPr/>
              <w:t>所投货物保修期 (3.0分)</w:t>
            </w:r>
          </w:p>
        </w:tc>
        <w:tc>
          <w:tcPr>
            <w:tcW w:type="dxa" w:w="5076"/>
          </w:tcPr>
          <w:p>
            <w:pPr>
              <w:jc w:val="left"/>
            </w:pPr>
            <w:r>
              <w:rPr/>
              <w:t>投标人所投产品（产科中央监护网络系统、母亲胎儿监护仪）保修期均满足采购需求最低要求（最低保修期要求36个月）的得1分，投标人承诺每增加12个月加1分，本小项最高得3分。 注：须提供保修期承诺函并加盖投标人公章，不提供承诺函的不得分。保修期增加幅度不足12个月的不加分。</w:t>
            </w:r>
          </w:p>
        </w:tc>
      </w:tr>
      <w:tr>
        <w:tc>
          <w:tcPr>
            <w:tcW w:type="dxa" w:w="922"/>
            <w:gridSpan w:val="2"/>
            <w:vMerge/>
          </w:tcPr>
          <w:p/>
        </w:tc>
        <w:tc>
          <w:tcPr>
            <w:tcW w:type="dxa" w:w="2307"/>
          </w:tcPr>
          <w:p>
            <w:pPr>
              <w:jc w:val="left"/>
            </w:pPr>
            <w:r>
              <w:rPr/>
              <w:t>投标产品授权情况 (4.5分)</w:t>
            </w:r>
          </w:p>
        </w:tc>
        <w:tc>
          <w:tcPr>
            <w:tcW w:type="dxa" w:w="5076"/>
          </w:tcPr>
          <w:p>
            <w:pPr>
              <w:jc w:val="left"/>
            </w:pPr>
            <w:r>
              <w:rPr/>
              <w:t>若投标人非生产厂家或制造商的，提供中央母胎监护系统生产厂家或制造商出具的有效授权证明书，得4.5分，不提供或专家无法判定不得分。   注：若投标人为制造商或生产厂家，提供生产厂家声明函则视为符合要求，取得相应分值。</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t>采购包2(眩晕VR耳呜康复仪（康复训练仪）):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技术部分55.0分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重点技术条款响应情况 (8.0分)</w:t>
            </w:r>
          </w:p>
        </w:tc>
        <w:tc>
          <w:tcPr>
            <w:tcW w:type="dxa" w:w="5076"/>
          </w:tcPr>
          <w:p>
            <w:pPr>
              <w:jc w:val="left"/>
            </w:pPr>
            <w:r>
              <w:rPr/>
              <w:t>投标人对招标文件具体技术(参数)要求“设备主要规格、技术要求”序号“2.1、2.4”的技术参数（共2项）完全满足或正偏离技术要求的，每项得4分，不满足或负偏离的不得分，最高得8分。 注：（1）投标人必须提供投标产品的生产厂家使用说明书（如生产厂家的使用说明书为英文版，请同时提供中文版），或经生产厂家盖章的技术证明文件以证明其满足采购需求中技术要求。否则评标委员会有权视相应的投标产品不满足技术要求进行评分。  （2）“具体技术(参数)要求”中要求提供相关证明材料的，需按要求提供，否则视为负偏离。评标委员会在评审过程中，如发现投标人技术条款响应情况与提供的彩页等证明材料不一致的，以证明材料为准。</w:t>
            </w:r>
          </w:p>
        </w:tc>
      </w:tr>
      <w:tr>
        <w:tc>
          <w:tcPr>
            <w:tcW w:type="dxa" w:w="922"/>
            <w:gridSpan w:val="2"/>
            <w:vMerge/>
          </w:tcPr>
          <w:p/>
        </w:tc>
        <w:tc>
          <w:tcPr>
            <w:tcW w:type="dxa" w:w="2307"/>
          </w:tcPr>
          <w:p>
            <w:pPr>
              <w:jc w:val="left"/>
            </w:pPr>
            <w:r>
              <w:rPr/>
              <w:t>技术条款响应程度 (24.0分)</w:t>
            </w:r>
          </w:p>
        </w:tc>
        <w:tc>
          <w:tcPr>
            <w:tcW w:type="dxa" w:w="5076"/>
          </w:tcPr>
          <w:p>
            <w:pPr>
              <w:jc w:val="left"/>
            </w:pPr>
            <w:r>
              <w:rPr/>
              <w:t>根据投标人对招标文件具体技术(参数)要求“设备主要规格、技术要求”中参数（除序号“2.1、2.4”外）及“主要配置要求”的响应程度进行评审:   1.所投产品完全满足或优于具体技术(参数)要求中“设备主要规格、技术要求”的，得24分；             2.所投产品每有1项不满足或负偏离具体技术(参数)要求中“设备主要规格、技术要求”的，扣2分，最低扣至0分。  注：（1）按序号“1.1”计算，如序号“1.1.1、1.1.2”等序号级的均属于序号“1.1”，主要配置要求算1项，共计12项。 （2）“具体技术(参数)要求”中要求提供相关证明材料的，需按要求提供，否则视为负偏离。评标委员会在评审过程中，如发现投标人技术条款响应情况与提供的彩页等证明材料不一致的，以证明材料为准。</w:t>
            </w:r>
          </w:p>
        </w:tc>
      </w:tr>
      <w:tr>
        <w:tc>
          <w:tcPr>
            <w:tcW w:type="dxa" w:w="922"/>
            <w:gridSpan w:val="2"/>
            <w:vMerge/>
          </w:tcPr>
          <w:p/>
        </w:tc>
        <w:tc>
          <w:tcPr>
            <w:tcW w:type="dxa" w:w="2307"/>
          </w:tcPr>
          <w:p>
            <w:pPr>
              <w:jc w:val="left"/>
            </w:pPr>
            <w:r>
              <w:rPr/>
              <w:t>供货服务方案1 (2.0分)</w:t>
            </w:r>
          </w:p>
        </w:tc>
        <w:tc>
          <w:tcPr>
            <w:tcW w:type="dxa" w:w="5076"/>
          </w:tcPr>
          <w:p>
            <w:pPr>
              <w:jc w:val="left"/>
            </w:pPr>
            <w:r>
              <w:rPr/>
              <w:t>评标委员会根据投标人提供的供货服务方案评价，方案应包括（投标文件中方案标题应以下列方案名称命名）： （1）交货期； （2）到货保证措施；  （3）售后服务； （4）应急保障方案。 提供全部内容得2分，每缺1项扣0.5分。</w:t>
            </w:r>
          </w:p>
        </w:tc>
      </w:tr>
      <w:tr>
        <w:tc>
          <w:tcPr>
            <w:tcW w:type="dxa" w:w="922"/>
            <w:gridSpan w:val="2"/>
            <w:vMerge/>
          </w:tcPr>
          <w:p/>
        </w:tc>
        <w:tc>
          <w:tcPr>
            <w:tcW w:type="dxa" w:w="2307"/>
          </w:tcPr>
          <w:p>
            <w:pPr>
              <w:jc w:val="left"/>
            </w:pPr>
            <w:r>
              <w:rPr/>
              <w:t>供货服务方案2 (7.0分)</w:t>
            </w:r>
            <w:r>
              <w:rPr/>
              <w:t>，（等次分值选择：</w:t>
            </w:r>
            <w:r>
              <w:rPr/>
              <w:t>0.0;</w:t>
            </w:r>
            <w:r>
              <w:rPr/>
              <w:t>1.0;</w:t>
            </w:r>
            <w:r>
              <w:rPr/>
              <w:t>4.0;</w:t>
            </w:r>
            <w:r>
              <w:rPr/>
              <w:t>7.0;</w:t>
            </w:r>
            <w:r>
              <w:rPr/>
              <w:t>）</w:t>
            </w:r>
          </w:p>
        </w:tc>
        <w:tc>
          <w:tcPr>
            <w:tcW w:type="dxa" w:w="5076"/>
          </w:tcPr>
          <w:p>
            <w:pPr>
              <w:jc w:val="left"/>
            </w:pPr>
            <w:r>
              <w:rPr/>
              <w:t>根据投标人提供的供货服务方案的详细内容进行评审：   （1）响应时间快、交货期优于商务要求，售后服务方案、到货的保证措施完善可行及应急保障方案详细完整，完全符合或优于招标文件要求的得7分；   （2）响应时间、交货期满足商务要求，售后服方案、到货的保证措施可行、应急保障方案完整，能基本保障本项目实施，基本符合招标文件要求的得4分；   （3）响应时间、交货期满足商务要求，售后服务要求、到货的保证措施不可行、应急保障方案不完整，与招标文件要求有偏差的得1分。 （4）未提供供货服务方案的不得分。</w:t>
            </w:r>
          </w:p>
        </w:tc>
      </w:tr>
      <w:tr>
        <w:tc>
          <w:tcPr>
            <w:tcW w:type="dxa" w:w="922"/>
            <w:gridSpan w:val="2"/>
            <w:vMerge/>
          </w:tcPr>
          <w:p/>
        </w:tc>
        <w:tc>
          <w:tcPr>
            <w:tcW w:type="dxa" w:w="2307"/>
          </w:tcPr>
          <w:p>
            <w:pPr>
              <w:jc w:val="left"/>
            </w:pPr>
            <w:r>
              <w:rPr/>
              <w:t>安装、调试、技术培训方案1 (1.0分)</w:t>
            </w:r>
          </w:p>
        </w:tc>
        <w:tc>
          <w:tcPr>
            <w:tcW w:type="dxa" w:w="5076"/>
          </w:tcPr>
          <w:p>
            <w:pPr>
              <w:jc w:val="left"/>
            </w:pPr>
            <w:r>
              <w:rPr/>
              <w:t>评标委员会根据投标人提供的安装、调试、技术培训方案进行评价，方案应包括（投标文件中方案标题应以下列方案名称命名）： (1)安装、调试方案； (2)技术培训。 提供全部内容得1分，每缺1项扣0.5分。</w:t>
            </w:r>
          </w:p>
        </w:tc>
      </w:tr>
      <w:tr>
        <w:tc>
          <w:tcPr>
            <w:tcW w:type="dxa" w:w="922"/>
            <w:gridSpan w:val="2"/>
            <w:vMerge/>
          </w:tcPr>
          <w:p/>
        </w:tc>
        <w:tc>
          <w:tcPr>
            <w:tcW w:type="dxa" w:w="2307"/>
          </w:tcPr>
          <w:p>
            <w:pPr>
              <w:jc w:val="left"/>
            </w:pPr>
            <w:r>
              <w:rPr/>
              <w:t>安装、调试、技术培训方案2 (6.0分)</w:t>
            </w:r>
            <w:r>
              <w:rPr/>
              <w:t>，（等次分值选择：</w:t>
            </w:r>
            <w:r>
              <w:rPr/>
              <w:t>0.0;</w:t>
            </w:r>
            <w:r>
              <w:rPr/>
              <w:t>1.0;</w:t>
            </w:r>
            <w:r>
              <w:rPr/>
              <w:t>3.0;</w:t>
            </w:r>
            <w:r>
              <w:rPr/>
              <w:t>6.0;</w:t>
            </w:r>
            <w:r>
              <w:rPr/>
              <w:t>）</w:t>
            </w:r>
          </w:p>
        </w:tc>
        <w:tc>
          <w:tcPr>
            <w:tcW w:type="dxa" w:w="5076"/>
          </w:tcPr>
          <w:p>
            <w:pPr>
              <w:jc w:val="left"/>
            </w:pPr>
            <w:r>
              <w:rPr/>
              <w:t>根据投标人提供的安装与调试、技术培训的详细内容进行评审：   （1）针对本项目交货、安装与调试方案详细具体、可行性、 针对性强，完全符合或优于招标文件要求的得6分；   （2）针对本项目交货、安装与调试方案一般，可行性、针对性一般，基本符合招标文件要求的得3分；    （3）针对本项目交货、安装与调试方案简单，不具有可行性、针对性，与招标文件要求有偏差的得1分。 （4）未提供安装与调试、技术培训方案的不得分。</w:t>
            </w:r>
          </w:p>
        </w:tc>
      </w:tr>
      <w:tr>
        <w:tc>
          <w:tcPr>
            <w:tcW w:type="dxa" w:w="922"/>
            <w:gridSpan w:val="2"/>
            <w:vMerge/>
          </w:tcPr>
          <w:p/>
        </w:tc>
        <w:tc>
          <w:tcPr>
            <w:tcW w:type="dxa" w:w="2307"/>
          </w:tcPr>
          <w:p>
            <w:pPr>
              <w:jc w:val="left"/>
            </w:pPr>
            <w:r>
              <w:rPr/>
              <w:t>质量保证方案1 (1.0分)</w:t>
            </w:r>
          </w:p>
        </w:tc>
        <w:tc>
          <w:tcPr>
            <w:tcW w:type="dxa" w:w="5076"/>
          </w:tcPr>
          <w:p>
            <w:pPr>
              <w:jc w:val="left"/>
            </w:pPr>
            <w:r>
              <w:rPr/>
              <w:t>评标委员会根据投标人提供的质量保证方案进行评价，方案应包括（投标文件中方案标题应以下列方案名称命名）： (1)保修方案； (2)维护保养方案。 提供全部内容得1分，每缺1项扣0.5分。</w:t>
            </w:r>
          </w:p>
        </w:tc>
      </w:tr>
      <w:tr>
        <w:tc>
          <w:tcPr>
            <w:tcW w:type="dxa" w:w="922"/>
            <w:gridSpan w:val="2"/>
            <w:vMerge/>
          </w:tcPr>
          <w:p/>
        </w:tc>
        <w:tc>
          <w:tcPr>
            <w:tcW w:type="dxa" w:w="2307"/>
          </w:tcPr>
          <w:p>
            <w:pPr>
              <w:jc w:val="left"/>
            </w:pPr>
            <w:r>
              <w:rPr/>
              <w:t>质量保证方案2 (6.0分)</w:t>
            </w:r>
            <w:r>
              <w:rPr/>
              <w:t>，（等次分值选择：</w:t>
            </w:r>
            <w:r>
              <w:rPr/>
              <w:t>0.0;</w:t>
            </w:r>
            <w:r>
              <w:rPr/>
              <w:t>1.0;</w:t>
            </w:r>
            <w:r>
              <w:rPr/>
              <w:t>3.0;</w:t>
            </w:r>
            <w:r>
              <w:rPr/>
              <w:t>6.0;</w:t>
            </w:r>
            <w:r>
              <w:rPr/>
              <w:t>）</w:t>
            </w:r>
          </w:p>
        </w:tc>
        <w:tc>
          <w:tcPr>
            <w:tcW w:type="dxa" w:w="5076"/>
          </w:tcPr>
          <w:p>
            <w:pPr>
              <w:jc w:val="left"/>
            </w:pPr>
            <w:r>
              <w:rPr/>
              <w:t>根据投标人编制的具体质量保证方案进行评审:   （1）投标人提供的质量保证方案完整性、合理性、可行性高的，完全符合招标文件要求的得6分；   （2）投标人提供的质量保证方案具有一定的合理性和可行性，基本符合招标文件要求的得3分；  （3）投标人提供的质量保证方案完整性、合理性、可行性差，与招标文件要求有偏差的得1分。  （4）未提供质量保证方案的不得分。</w:t>
            </w:r>
          </w:p>
        </w:tc>
      </w:tr>
      <w:tr>
        <w:tc>
          <w:tcPr>
            <w:tcW w:type="dxa" w:w="922"/>
            <w:gridSpan w:val="2"/>
            <w:vMerge w:val="restart"/>
          </w:tcPr>
          <w:p>
            <w:pPr>
              <w:jc w:val="center"/>
            </w:pPr>
            <w:r>
              <w:rPr/>
              <w:t>商务部分</w:t>
            </w:r>
          </w:p>
        </w:tc>
        <w:tc>
          <w:tcPr>
            <w:tcW w:type="dxa" w:w="2307"/>
          </w:tcPr>
          <w:p>
            <w:pPr>
              <w:jc w:val="left"/>
            </w:pPr>
            <w:r>
              <w:rPr/>
              <w:t>同类项目经验 (2.5分)</w:t>
            </w:r>
          </w:p>
        </w:tc>
        <w:tc>
          <w:tcPr>
            <w:tcW w:type="dxa" w:w="5076"/>
          </w:tcPr>
          <w:p>
            <w:pPr>
              <w:jc w:val="left"/>
            </w:pPr>
            <w:r>
              <w:rPr/>
              <w:t>投标人2020年1月1日至今签订的同类产品（眩晕VR耳呜康复仪（康复训练仪））业绩：每项得0.5分，最高2.5分。  注：提供业绩合同的复印件并加盖投标人公章，以合同签订时间为准，未提供或专家无法认定的不得分。</w:t>
            </w:r>
          </w:p>
        </w:tc>
      </w:tr>
      <w:tr>
        <w:tc>
          <w:tcPr>
            <w:tcW w:type="dxa" w:w="922"/>
            <w:gridSpan w:val="2"/>
            <w:vMerge/>
          </w:tcPr>
          <w:p/>
        </w:tc>
        <w:tc>
          <w:tcPr>
            <w:tcW w:type="dxa" w:w="2307"/>
          </w:tcPr>
          <w:p>
            <w:pPr>
              <w:jc w:val="left"/>
            </w:pPr>
            <w:r>
              <w:rPr/>
              <w:t>所投货物保修期 (3.0分)</w:t>
            </w:r>
          </w:p>
        </w:tc>
        <w:tc>
          <w:tcPr>
            <w:tcW w:type="dxa" w:w="5076"/>
          </w:tcPr>
          <w:p>
            <w:pPr>
              <w:jc w:val="left"/>
            </w:pPr>
            <w:r>
              <w:rPr/>
              <w:t>投标人所投产品（眩晕VR耳呜康复仪（康复训练仪））保修期满足采购需求最低要求（最低保修期要求36个月）的得1分，投标人承诺每增加12个月加1分，本小项最高得3分。 注：须提供保修期承诺函并加盖投标人公章，不提供承诺函的不得分。保修期增加幅度不足12个月的不加分。</w:t>
            </w:r>
          </w:p>
        </w:tc>
      </w:tr>
      <w:tr>
        <w:tc>
          <w:tcPr>
            <w:tcW w:type="dxa" w:w="922"/>
            <w:gridSpan w:val="2"/>
            <w:vMerge/>
          </w:tcPr>
          <w:p/>
        </w:tc>
        <w:tc>
          <w:tcPr>
            <w:tcW w:type="dxa" w:w="2307"/>
          </w:tcPr>
          <w:p>
            <w:pPr>
              <w:jc w:val="left"/>
            </w:pPr>
            <w:r>
              <w:rPr/>
              <w:t>投标产品授权情况 (4.5分)</w:t>
            </w:r>
          </w:p>
        </w:tc>
        <w:tc>
          <w:tcPr>
            <w:tcW w:type="dxa" w:w="5076"/>
          </w:tcPr>
          <w:p>
            <w:pPr>
              <w:jc w:val="left"/>
            </w:pPr>
            <w:r>
              <w:rPr/>
              <w:t>若投标人非生产厂家或制造商的，提供所投产品生产厂家或制造商出具的有效授权证明书，得4.5分，不提供或专家无法判定不得分。   注：若投标人为制造商或生产厂家，提供生产厂家声明函则视为符合要求，取得相应分值。</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t>采购包3(心肺评估仪):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技术部分55.0分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重点技术条款响应情况 (15.0分)</w:t>
            </w:r>
          </w:p>
        </w:tc>
        <w:tc>
          <w:tcPr>
            <w:tcW w:type="dxa" w:w="5076"/>
          </w:tcPr>
          <w:p>
            <w:pPr>
              <w:jc w:val="left"/>
            </w:pPr>
            <w:r>
              <w:rPr/>
              <w:t>投标人对招标文件具体技术(参数)要求“设备主要规格、技术要求”中序号“1.2、1.4、2.2.1、3.1.1、3.3.4”的技术参数（共5项）完全满足或正偏离技术要求的，每项得3分，不满足或负偏离的不得分，最高得15分。 注：（1）投标人必须提供投标产品的生产厂家使用说明书（如生产厂家的使用说明书为英文版，请同时提供中文版），或经生产厂家盖章的技术证明文件以证明其满足采购需求中技术要求。否则评标委员会有权视相应的投标产品不满足技术要求进行评分。  （2）“具体技术(参数)要求”中要求提供相关证明材料的，需按要求提供，否则视为负偏离。评标委员会在评审过程中，如发现投标人技术条款响应情况与提供的彩页等证明材料不一致的，以证明材料为准。</w:t>
            </w:r>
          </w:p>
        </w:tc>
      </w:tr>
      <w:tr>
        <w:tc>
          <w:tcPr>
            <w:tcW w:type="dxa" w:w="922"/>
            <w:gridSpan w:val="2"/>
            <w:vMerge/>
          </w:tcPr>
          <w:p/>
        </w:tc>
        <w:tc>
          <w:tcPr>
            <w:tcW w:type="dxa" w:w="2307"/>
          </w:tcPr>
          <w:p>
            <w:pPr>
              <w:jc w:val="left"/>
            </w:pPr>
            <w:r>
              <w:rPr/>
              <w:t>技术条款响应程度 (20.0分)</w:t>
            </w:r>
          </w:p>
        </w:tc>
        <w:tc>
          <w:tcPr>
            <w:tcW w:type="dxa" w:w="5076"/>
          </w:tcPr>
          <w:p>
            <w:pPr>
              <w:jc w:val="left"/>
            </w:pPr>
            <w:r>
              <w:rPr/>
              <w:t>根据投标人对招标文件具体技术(参数)要求“设备主要规格、技术要求”中参数（除序号“1.2、1.4、2.2.1、3.1.1、3.3.4”外）的响应程度进行评审:   1.所投产品完全满足或优于具体技术(参数)要求中“设备主要规格、技术要求”的（共34项），得17分；每有1项不满足或负偏离具体技术(参数)要求中“设备主要规格、技术要求”的，扣0.5分，最低扣至0分。  2. 投标人对招标文件具体技术(参数)要求“设备主要规格、技术要求”中序号“7. 主要配置要求”完全满足或优于得3分，不满足或负偏离得0分。 注：（1）项数按以下进行计算1.1至1.7共计5项，2.1.1至2.1.5共计5项，2.2至2.3共计2项，2.4.1至2.4.2共计2项， 3.1.2计1项，3.2.1至3.2.4共计4项，3.3.1至3.3.3共计3项，3.4.1至3.4.3共计3项，3.5.1至3.5.3共计3项，4.1.1至4.1.5共计5项，6.计1项，合计共34项；7. 主要配置要求计1项。 （2）“具体技术(参数)要求”中要求提供相关证明材料的，需按要求提供，否则视为负偏离。评标委员会在评审过程中，如发现投标人技术条款响应情况与提供的彩页等证明材料不一致的，以证明材料为准。</w:t>
            </w:r>
          </w:p>
        </w:tc>
      </w:tr>
      <w:tr>
        <w:tc>
          <w:tcPr>
            <w:tcW w:type="dxa" w:w="922"/>
            <w:gridSpan w:val="2"/>
            <w:vMerge/>
          </w:tcPr>
          <w:p/>
        </w:tc>
        <w:tc>
          <w:tcPr>
            <w:tcW w:type="dxa" w:w="2307"/>
          </w:tcPr>
          <w:p>
            <w:pPr>
              <w:jc w:val="left"/>
            </w:pPr>
            <w:r>
              <w:rPr/>
              <w:t>供货服务方案1 (2.0分)</w:t>
            </w:r>
          </w:p>
        </w:tc>
        <w:tc>
          <w:tcPr>
            <w:tcW w:type="dxa" w:w="5076"/>
          </w:tcPr>
          <w:p>
            <w:pPr>
              <w:jc w:val="left"/>
            </w:pPr>
            <w:r>
              <w:rPr/>
              <w:t>评标委员会根据投标人提供的供货服务方案评价，方案应包括（投标文件中方案标题应以下列方案名称命名）： （1）交货期； （2）到货保证措施；  （3）售后服务； （4）应急保障方案。 提供全部内容得2分，每缺1项扣0.5分。</w:t>
            </w:r>
          </w:p>
        </w:tc>
      </w:tr>
      <w:tr>
        <w:tc>
          <w:tcPr>
            <w:tcW w:type="dxa" w:w="922"/>
            <w:gridSpan w:val="2"/>
            <w:vMerge/>
          </w:tcPr>
          <w:p/>
        </w:tc>
        <w:tc>
          <w:tcPr>
            <w:tcW w:type="dxa" w:w="2307"/>
          </w:tcPr>
          <w:p>
            <w:pPr>
              <w:jc w:val="left"/>
            </w:pPr>
            <w:r>
              <w:rPr/>
              <w:t>供货服务方案2 (6.0分)</w:t>
            </w:r>
            <w:r>
              <w:rPr/>
              <w:t>，（等次分值选择：</w:t>
            </w:r>
            <w:r>
              <w:rPr/>
              <w:t>0.0;</w:t>
            </w:r>
            <w:r>
              <w:rPr/>
              <w:t>1.0;</w:t>
            </w:r>
            <w:r>
              <w:rPr/>
              <w:t>3.0;</w:t>
            </w:r>
            <w:r>
              <w:rPr/>
              <w:t>6.0;</w:t>
            </w:r>
            <w:r>
              <w:rPr/>
              <w:t>）</w:t>
            </w:r>
          </w:p>
        </w:tc>
        <w:tc>
          <w:tcPr>
            <w:tcW w:type="dxa" w:w="5076"/>
          </w:tcPr>
          <w:p>
            <w:pPr>
              <w:jc w:val="left"/>
            </w:pPr>
            <w:r>
              <w:rPr/>
              <w:t>根据投标人提供的供货服务方案的详细内容进行评审：   （1）响应时间快、交货期优于商务要求，售后服务方案、到货的保证措施完善可行及应急保障方案详细完整，完全符合或优于招标文件要求的得6分；   （2）响应时间、交货期满足商务要求，售后服方案、到货的保证措施可行、应急保障方案完整，能基本保障本项目实施，基本符合招标文件要求的得3分；   （3）响应时间、交货期满足商务要求，售后服务要求、到货的保证措施不可行、应急保障方案不完整，与招标文件要求有偏差的得1分。 （4）未提供供货服务方案的不得分。</w:t>
            </w:r>
          </w:p>
        </w:tc>
      </w:tr>
      <w:tr>
        <w:tc>
          <w:tcPr>
            <w:tcW w:type="dxa" w:w="922"/>
            <w:gridSpan w:val="2"/>
            <w:vMerge/>
          </w:tcPr>
          <w:p/>
        </w:tc>
        <w:tc>
          <w:tcPr>
            <w:tcW w:type="dxa" w:w="2307"/>
          </w:tcPr>
          <w:p>
            <w:pPr>
              <w:jc w:val="left"/>
            </w:pPr>
            <w:r>
              <w:rPr/>
              <w:t>安装、调试、技术培训方案1 (1.0分)</w:t>
            </w:r>
          </w:p>
        </w:tc>
        <w:tc>
          <w:tcPr>
            <w:tcW w:type="dxa" w:w="5076"/>
          </w:tcPr>
          <w:p>
            <w:pPr>
              <w:jc w:val="left"/>
            </w:pPr>
            <w:r>
              <w:rPr/>
              <w:t>评标委员会根据投标人提供的安装、调试、技术培训方案进行评价，方案应包括（投标文件中方案标题应以下列方案名称命名）： (1)安装、调试方案； (2)技术培训。 提供全部内容得1分，每缺1项扣0.5分。</w:t>
            </w:r>
          </w:p>
        </w:tc>
      </w:tr>
      <w:tr>
        <w:tc>
          <w:tcPr>
            <w:tcW w:type="dxa" w:w="922"/>
            <w:gridSpan w:val="2"/>
            <w:vMerge/>
          </w:tcPr>
          <w:p/>
        </w:tc>
        <w:tc>
          <w:tcPr>
            <w:tcW w:type="dxa" w:w="2307"/>
          </w:tcPr>
          <w:p>
            <w:pPr>
              <w:jc w:val="left"/>
            </w:pPr>
            <w:r>
              <w:rPr/>
              <w:t>安装、调试、技术培训方案2 (5.0分)</w:t>
            </w:r>
            <w:r>
              <w:rPr/>
              <w:t>，（等次分值选择：</w:t>
            </w:r>
            <w:r>
              <w:rPr/>
              <w:t>0.0;</w:t>
            </w:r>
            <w:r>
              <w:rPr/>
              <w:t>1.0;</w:t>
            </w:r>
            <w:r>
              <w:rPr/>
              <w:t>3.0;</w:t>
            </w:r>
            <w:r>
              <w:rPr/>
              <w:t>5.0;</w:t>
            </w:r>
            <w:r>
              <w:rPr/>
              <w:t>）</w:t>
            </w:r>
          </w:p>
        </w:tc>
        <w:tc>
          <w:tcPr>
            <w:tcW w:type="dxa" w:w="5076"/>
          </w:tcPr>
          <w:p>
            <w:pPr>
              <w:jc w:val="left"/>
            </w:pPr>
            <w:r>
              <w:rPr/>
              <w:t>根据投标人提供的安装与调试、技术培训的详细内容进行评审：   （1）针对本项目交货、安装与调试方案详细具体、可行性、 针对性强，完全符合或优于招标文件要求的得5分；   （2）针对本项目交货、安装与调试方案一般，可行性、针对性一般，基本符合招标文件要求的得3分；    （3）针对本项目交货、安装与调试方案简单，不具有可行性、针对性，与招标文件要求有偏差的得1分。 （4）未提供安装与调试、技术培训方案的不得分。</w:t>
            </w:r>
          </w:p>
        </w:tc>
      </w:tr>
      <w:tr>
        <w:tc>
          <w:tcPr>
            <w:tcW w:type="dxa" w:w="922"/>
            <w:gridSpan w:val="2"/>
            <w:vMerge/>
          </w:tcPr>
          <w:p/>
        </w:tc>
        <w:tc>
          <w:tcPr>
            <w:tcW w:type="dxa" w:w="2307"/>
          </w:tcPr>
          <w:p>
            <w:pPr>
              <w:jc w:val="left"/>
            </w:pPr>
            <w:r>
              <w:rPr/>
              <w:t>质量保证方案1 (1.0分)</w:t>
            </w:r>
          </w:p>
        </w:tc>
        <w:tc>
          <w:tcPr>
            <w:tcW w:type="dxa" w:w="5076"/>
          </w:tcPr>
          <w:p>
            <w:pPr>
              <w:jc w:val="left"/>
            </w:pPr>
            <w:r>
              <w:rPr/>
              <w:t>评标委员会根据投标人提供的质量保证方案进行评价，方案应包括（投标文件中方案标题应以下列方案名称命名）： (1)保修方案； (2)维护保养方案。 提供全部内容得1分，每缺1项扣0.5分。</w:t>
            </w:r>
          </w:p>
        </w:tc>
      </w:tr>
      <w:tr>
        <w:tc>
          <w:tcPr>
            <w:tcW w:type="dxa" w:w="922"/>
            <w:gridSpan w:val="2"/>
            <w:vMerge/>
          </w:tcPr>
          <w:p/>
        </w:tc>
        <w:tc>
          <w:tcPr>
            <w:tcW w:type="dxa" w:w="2307"/>
          </w:tcPr>
          <w:p>
            <w:pPr>
              <w:jc w:val="left"/>
            </w:pPr>
            <w:r>
              <w:rPr/>
              <w:t>质量保证方案2 (5.0分)</w:t>
            </w:r>
            <w:r>
              <w:rPr/>
              <w:t>，（等次分值选择：</w:t>
            </w:r>
            <w:r>
              <w:rPr/>
              <w:t>0.0;</w:t>
            </w:r>
            <w:r>
              <w:rPr/>
              <w:t>1.0;</w:t>
            </w:r>
            <w:r>
              <w:rPr/>
              <w:t>3.0;</w:t>
            </w:r>
            <w:r>
              <w:rPr/>
              <w:t>5.0;</w:t>
            </w:r>
            <w:r>
              <w:rPr/>
              <w:t>）</w:t>
            </w:r>
          </w:p>
        </w:tc>
        <w:tc>
          <w:tcPr>
            <w:tcW w:type="dxa" w:w="5076"/>
          </w:tcPr>
          <w:p>
            <w:pPr>
              <w:jc w:val="left"/>
            </w:pPr>
            <w:r>
              <w:rPr/>
              <w:t>根据投标人编制的具体质量保证方案进行评审:   （1）投标人提供的质量保证方案完整性、合理性、可行性高的，完全符合招标文件要求的得5分；   （2）投标人提供的质量保证方案具有一定的合理性和可行性，基本符合招标文件要求的得3分；  （3）投标人提供的质量保证方案完整性、合理性、可行性差，与招标文件要求有偏差的得1分。  （4）未提供质量保证方案的不得分。</w:t>
            </w:r>
          </w:p>
        </w:tc>
      </w:tr>
      <w:tr>
        <w:tc>
          <w:tcPr>
            <w:tcW w:type="dxa" w:w="922"/>
            <w:gridSpan w:val="2"/>
            <w:vMerge w:val="restart"/>
          </w:tcPr>
          <w:p>
            <w:pPr>
              <w:jc w:val="center"/>
            </w:pPr>
            <w:r>
              <w:rPr/>
              <w:t>商务部分</w:t>
            </w:r>
          </w:p>
        </w:tc>
        <w:tc>
          <w:tcPr>
            <w:tcW w:type="dxa" w:w="2307"/>
          </w:tcPr>
          <w:p>
            <w:pPr>
              <w:jc w:val="left"/>
            </w:pPr>
            <w:r>
              <w:rPr/>
              <w:t>同类项目经验 (2.5分)</w:t>
            </w:r>
          </w:p>
        </w:tc>
        <w:tc>
          <w:tcPr>
            <w:tcW w:type="dxa" w:w="5076"/>
          </w:tcPr>
          <w:p>
            <w:pPr>
              <w:jc w:val="left"/>
            </w:pPr>
            <w:r>
              <w:rPr/>
              <w:t>投标人2020年1月1日至今签订的同类产品（心肺评估仪）业绩：每项得0.5分，最高2.5分。  注：（提供业绩合同的复印件并加盖投标人公章，以合同签订时间为准，未提供或专家无法认定的不得分）</w:t>
            </w:r>
          </w:p>
        </w:tc>
      </w:tr>
      <w:tr>
        <w:tc>
          <w:tcPr>
            <w:tcW w:type="dxa" w:w="922"/>
            <w:gridSpan w:val="2"/>
            <w:vMerge/>
          </w:tcPr>
          <w:p/>
        </w:tc>
        <w:tc>
          <w:tcPr>
            <w:tcW w:type="dxa" w:w="2307"/>
          </w:tcPr>
          <w:p>
            <w:pPr>
              <w:jc w:val="left"/>
            </w:pPr>
            <w:r>
              <w:rPr/>
              <w:t>所投货物保修期 (3.0分)</w:t>
            </w:r>
          </w:p>
        </w:tc>
        <w:tc>
          <w:tcPr>
            <w:tcW w:type="dxa" w:w="5076"/>
          </w:tcPr>
          <w:p>
            <w:pPr>
              <w:jc w:val="left"/>
            </w:pPr>
            <w:r>
              <w:rPr/>
              <w:t>投标人所投产品（心肺评估仪）保修期满足采购需求最低要求（最低保修期要求60个月）的得1分，投标人承诺每增加12个月加1分，本小项最高得3分。 注：须提供保修期承诺函并加盖投标人公章，不提供承诺函的不得分。保修期增加幅度不足12个月的不加分。</w:t>
            </w:r>
          </w:p>
        </w:tc>
      </w:tr>
      <w:tr>
        <w:tc>
          <w:tcPr>
            <w:tcW w:type="dxa" w:w="922"/>
            <w:gridSpan w:val="2"/>
            <w:vMerge/>
          </w:tcPr>
          <w:p/>
        </w:tc>
        <w:tc>
          <w:tcPr>
            <w:tcW w:type="dxa" w:w="2307"/>
          </w:tcPr>
          <w:p>
            <w:pPr>
              <w:jc w:val="left"/>
            </w:pPr>
            <w:r>
              <w:rPr/>
              <w:t>投标产品授权情况 (4.5分)</w:t>
            </w:r>
          </w:p>
        </w:tc>
        <w:tc>
          <w:tcPr>
            <w:tcW w:type="dxa" w:w="5076"/>
          </w:tcPr>
          <w:p>
            <w:pPr>
              <w:jc w:val="left"/>
            </w:pPr>
            <w:r>
              <w:rPr/>
              <w:t>若投标人非生产厂家或制造商的，提供所投产品生产厂家或制造商出具的有效授权证明书，得4.5分，不提供或专家无法判定不得分。   注：若投标人为制造商或生产厂家，提供生产厂家声明函则视为符合要求，取得相应分值。</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jc w:val="both"/>
      </w:pPr>
      <w:r>
        <w:rPr>
          <w:sz w:val="21"/>
        </w:rPr>
        <w:t xml:space="preserve">  </w:t>
      </w:r>
      <w:r>
        <w:rPr>
          <w:b/>
          <w:sz w:val="21"/>
        </w:rPr>
        <w:t>2、</w:t>
      </w:r>
      <w:r>
        <w:rPr>
          <w:b/>
          <w:sz w:val="21"/>
        </w:rPr>
        <w:t>本项目合同为中小企业预留合同。</w:t>
      </w:r>
    </w:p>
    <w:p>
      <w:pPr>
        <w:jc w:val="both"/>
      </w:pPr>
    </w:p>
    <w:p>
      <w:pPr>
        <w:jc w:val="both"/>
      </w:pPr>
    </w:p>
    <w:p>
      <w:pPr>
        <w:jc w:val="both"/>
      </w:pPr>
      <w:r>
        <w:rPr/>
        <w:t xml:space="preserve"> </w:t>
      </w:r>
    </w:p>
    <w:p>
      <w:pPr>
        <w:jc w:val="both"/>
      </w:pPr>
      <w:r>
        <w:rPr>
          <w:b/>
          <w:sz w:val="28"/>
        </w:rPr>
        <w:t>合同编号（医院填写）</w:t>
      </w:r>
      <w:r>
        <w:rPr>
          <w:b/>
          <w:sz w:val="21"/>
          <w:u w:val="single"/>
        </w:rPr>
        <w:t xml:space="preserve">          </w:t>
      </w:r>
      <w:r>
        <w:rPr>
          <w:b/>
          <w:sz w:val="21"/>
        </w:rPr>
        <w:t xml:space="preserve">                </w:t>
      </w:r>
    </w:p>
    <w:p>
      <w:pPr>
        <w:jc w:val="both"/>
      </w:pPr>
      <w:r>
        <w:rPr>
          <w:b/>
          <w:sz w:val="21"/>
        </w:rPr>
        <w:t xml:space="preserve">                     </w:t>
      </w:r>
    </w:p>
    <w:p>
      <w:pPr>
        <w:jc w:val="center"/>
      </w:pPr>
    </w:p>
    <w:p>
      <w:pPr>
        <w:jc w:val="center"/>
      </w:pPr>
    </w:p>
    <w:p>
      <w:pPr>
        <w:jc w:val="center"/>
      </w:pPr>
      <w:r>
        <w:rPr>
          <w:b/>
          <w:sz w:val="48"/>
        </w:rPr>
        <w:t>番禺区中心医院</w:t>
      </w:r>
    </w:p>
    <w:p>
      <w:pPr>
        <w:jc w:val="center"/>
      </w:pPr>
      <w:r>
        <w:rPr>
          <w:b/>
          <w:sz w:val="48"/>
        </w:rPr>
        <w:t>医疗设备采购合同书</w:t>
      </w:r>
    </w:p>
    <w:p>
      <w:pPr>
        <w:jc w:val="center"/>
      </w:pPr>
      <w:r>
        <w:rPr/>
        <w:t xml:space="preserve"> </w:t>
      </w:r>
    </w:p>
    <w:p>
      <w:pPr>
        <w:jc w:val="both"/>
      </w:pPr>
    </w:p>
    <w:p>
      <w:pPr>
        <w:jc w:val="center"/>
      </w:pPr>
    </w:p>
    <w:p>
      <w:pPr>
        <w:jc w:val="center"/>
      </w:pPr>
    </w:p>
    <w:p>
      <w:pPr>
        <w:ind w:firstLine="991"/>
        <w:jc w:val="both"/>
      </w:pPr>
      <w:r>
        <w:rPr>
          <w:b/>
          <w:sz w:val="30"/>
        </w:rPr>
        <w:t>采购设备名称：</w:t>
      </w:r>
      <w:r>
        <w:rPr>
          <w:b/>
          <w:sz w:val="21"/>
          <w:u w:val="single"/>
        </w:rPr>
        <w:t xml:space="preserve">                 </w:t>
      </w:r>
    </w:p>
    <w:p>
      <w:pPr>
        <w:jc w:val="both"/>
      </w:pPr>
    </w:p>
    <w:p>
      <w:pPr>
        <w:ind w:firstLine="991"/>
        <w:jc w:val="both"/>
      </w:pPr>
      <w:r>
        <w:rPr>
          <w:b/>
          <w:sz w:val="30"/>
        </w:rPr>
        <w:t>合</w:t>
      </w:r>
      <w:r>
        <w:rPr>
          <w:b/>
          <w:sz w:val="30"/>
        </w:rPr>
        <w:t>同</w:t>
      </w:r>
      <w:r>
        <w:rPr>
          <w:b/>
          <w:sz w:val="30"/>
        </w:rPr>
        <w:t>公</w:t>
      </w:r>
      <w:r>
        <w:rPr>
          <w:b/>
          <w:sz w:val="30"/>
        </w:rPr>
        <w:t>司：</w:t>
      </w:r>
      <w:r>
        <w:rPr>
          <w:b/>
          <w:sz w:val="21"/>
          <w:u w:val="single"/>
        </w:rPr>
        <w:t xml:space="preserve">                 </w:t>
      </w:r>
    </w:p>
    <w:p>
      <w:pPr>
        <w:jc w:val="both"/>
      </w:pPr>
    </w:p>
    <w:p>
      <w:pPr>
        <w:ind w:firstLine="991"/>
        <w:jc w:val="both"/>
      </w:pPr>
      <w:r>
        <w:rPr>
          <w:b/>
          <w:sz w:val="30"/>
        </w:rPr>
        <w:t>签</w:t>
      </w:r>
      <w:r>
        <w:rPr>
          <w:b/>
          <w:sz w:val="30"/>
        </w:rPr>
        <w:t>订</w:t>
      </w:r>
      <w:r>
        <w:rPr>
          <w:b/>
          <w:sz w:val="30"/>
        </w:rPr>
        <w:t>时</w:t>
      </w:r>
      <w:r>
        <w:rPr>
          <w:b/>
          <w:sz w:val="30"/>
        </w:rPr>
        <w:t>间：</w:t>
      </w:r>
      <w:r>
        <w:rPr>
          <w:b/>
          <w:sz w:val="30"/>
          <w:u w:val="single"/>
        </w:rPr>
        <w:t>_    _</w:t>
      </w:r>
      <w:r>
        <w:rPr>
          <w:b/>
          <w:sz w:val="30"/>
        </w:rPr>
        <w:t>年</w:t>
      </w:r>
      <w:r>
        <w:rPr>
          <w:b/>
          <w:sz w:val="30"/>
          <w:u w:val="single"/>
        </w:rPr>
        <w:t xml:space="preserve">_     </w:t>
      </w:r>
      <w:r>
        <w:rPr>
          <w:b/>
          <w:sz w:val="30"/>
        </w:rPr>
        <w:t>月</w:t>
      </w:r>
      <w:r>
        <w:rPr>
          <w:b/>
          <w:sz w:val="30"/>
          <w:u w:val="single"/>
        </w:rPr>
        <w:t xml:space="preserve">_     </w:t>
      </w:r>
      <w:r>
        <w:rPr>
          <w:b/>
          <w:sz w:val="30"/>
        </w:rPr>
        <w:t>日</w:t>
      </w:r>
    </w:p>
    <w:p>
      <w:pPr>
        <w:jc w:val="center"/>
      </w:pPr>
    </w:p>
    <w:p>
      <w:pPr>
        <w:jc w:val="center"/>
      </w:pPr>
    </w:p>
    <w:p>
      <w:pPr>
        <w:jc w:val="center"/>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center"/>
      </w:pPr>
      <w:r>
        <w:rPr/>
        <w:t xml:space="preserve"> </w:t>
      </w:r>
    </w:p>
    <w:p>
      <w:pPr>
        <w:jc w:val="center"/>
      </w:pPr>
      <w:r>
        <w:rPr>
          <w:b/>
          <w:sz w:val="30"/>
        </w:rPr>
        <w:t>番禺区中心医院（番禺区人民医院）</w:t>
      </w:r>
    </w:p>
    <w:p>
      <w:pPr>
        <w:jc w:val="center"/>
      </w:pPr>
      <w:r>
        <w:rPr/>
        <w:t xml:space="preserve"> </w:t>
      </w:r>
    </w:p>
    <w:p>
      <w:pPr>
        <w:jc w:val="center"/>
      </w:pPr>
      <w:r>
        <w:rPr>
          <w:b/>
          <w:sz w:val="32"/>
        </w:rPr>
        <w:t>采</w:t>
      </w:r>
      <w:r>
        <w:rPr>
          <w:b/>
          <w:sz w:val="21"/>
        </w:rPr>
        <w:t xml:space="preserve"> </w:t>
      </w:r>
      <w:r>
        <w:rPr>
          <w:b/>
          <w:sz w:val="32"/>
        </w:rPr>
        <w:t>购</w:t>
      </w:r>
      <w:r>
        <w:rPr>
          <w:b/>
          <w:sz w:val="21"/>
        </w:rPr>
        <w:t xml:space="preserve"> </w:t>
      </w:r>
      <w:r>
        <w:rPr>
          <w:b/>
          <w:sz w:val="32"/>
        </w:rPr>
        <w:t>合</w:t>
      </w:r>
      <w:r>
        <w:rPr>
          <w:b/>
          <w:sz w:val="21"/>
        </w:rPr>
        <w:t xml:space="preserve"> </w:t>
      </w:r>
      <w:r>
        <w:rPr>
          <w:b/>
          <w:sz w:val="32"/>
        </w:rPr>
        <w:t>同</w:t>
      </w:r>
    </w:p>
    <w:p>
      <w:pPr>
        <w:jc w:val="center"/>
      </w:pPr>
      <w:r>
        <w:rPr/>
        <w:t xml:space="preserve"> </w:t>
      </w:r>
    </w:p>
    <w:p>
      <w:pPr>
        <w:jc w:val="right"/>
      </w:pPr>
    </w:p>
    <w:p>
      <w:pPr>
        <w:jc w:val="both"/>
      </w:pPr>
      <w:r>
        <w:rPr>
          <w:b/>
          <w:sz w:val="24"/>
        </w:rPr>
        <w:t>甲</w:t>
      </w:r>
      <w:r>
        <w:rPr>
          <w:b/>
          <w:sz w:val="21"/>
        </w:rPr>
        <w:t xml:space="preserve">  </w:t>
      </w:r>
      <w:r>
        <w:rPr>
          <w:b/>
          <w:sz w:val="24"/>
        </w:rPr>
        <w:t>方：广州市番禺区中心医院</w:t>
      </w:r>
    </w:p>
    <w:p>
      <w:pPr>
        <w:jc w:val="both"/>
      </w:pPr>
      <w:r>
        <w:rPr>
          <w:b/>
          <w:sz w:val="24"/>
        </w:rPr>
        <w:t>乙</w:t>
      </w:r>
      <w:r>
        <w:rPr>
          <w:b/>
          <w:sz w:val="21"/>
        </w:rPr>
        <w:t xml:space="preserve">  </w:t>
      </w:r>
      <w:r>
        <w:rPr>
          <w:b/>
          <w:sz w:val="24"/>
        </w:rPr>
        <w:t>方：</w:t>
      </w:r>
    </w:p>
    <w:p>
      <w:pPr>
        <w:jc w:val="both"/>
      </w:pPr>
    </w:p>
    <w:p>
      <w:pPr>
        <w:ind w:firstLine="480"/>
        <w:jc w:val="both"/>
      </w:pPr>
      <w:r>
        <w:rPr>
          <w:sz w:val="24"/>
        </w:rPr>
        <w:t>根据《中华人民共和国民法典》及广州市番禺区中心医院医疗设备采购项目的招标结果和招标文件（项目编号：</w:t>
      </w:r>
      <w:r>
        <w:rPr>
          <w:sz w:val="24"/>
          <w:u w:val="single"/>
        </w:rPr>
        <w:t xml:space="preserve">         </w:t>
      </w:r>
      <w:r>
        <w:rPr>
          <w:sz w:val="24"/>
          <w:u w:val="single"/>
        </w:rPr>
        <w:t>，采购包：</w:t>
      </w:r>
      <w:r>
        <w:rPr>
          <w:sz w:val="24"/>
          <w:u w:val="single"/>
        </w:rPr>
        <w:t xml:space="preserve">  </w:t>
      </w:r>
      <w:r>
        <w:rPr>
          <w:sz w:val="24"/>
        </w:rPr>
        <w:t>）的要求，甲、乙双方经协商确定，甲方向乙方订购</w:t>
      </w:r>
      <w:r>
        <w:rPr>
          <w:b/>
          <w:sz w:val="21"/>
          <w:u w:val="single"/>
        </w:rPr>
        <w:t xml:space="preserve">               </w:t>
      </w:r>
      <w:r>
        <w:rPr>
          <w:sz w:val="24"/>
        </w:rPr>
        <w:t>及安装保修等服务，为明确双方权利和义务，特签订本合同，共同遵守。具体条款如下：</w:t>
      </w:r>
    </w:p>
    <w:p>
      <w:pPr>
        <w:jc w:val="both"/>
      </w:pPr>
    </w:p>
    <w:p>
      <w:pPr>
        <w:jc w:val="both"/>
      </w:pPr>
      <w:r>
        <w:rPr>
          <w:b/>
          <w:sz w:val="24"/>
        </w:rPr>
        <w:t>1.</w:t>
      </w:r>
      <w:r>
        <w:rPr>
          <w:b/>
          <w:sz w:val="24"/>
        </w:rPr>
        <w:t>合同设备</w:t>
      </w:r>
    </w:p>
    <w:p>
      <w:pPr>
        <w:ind w:firstLine="240"/>
        <w:jc w:val="both"/>
      </w:pPr>
      <w:r>
        <w:rPr>
          <w:sz w:val="24"/>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844"/>
        <w:gridCol w:w="759"/>
        <w:gridCol w:w="680"/>
        <w:gridCol w:w="326"/>
        <w:gridCol w:w="405"/>
        <w:gridCol w:w="1117"/>
        <w:gridCol w:w="1087"/>
        <w:gridCol w:w="618"/>
        <w:gridCol w:w="869"/>
        <w:gridCol w:w="798"/>
        <w:gridCol w:w="798"/>
      </w:tblGrid>
      <w:tr>
        <w:tc>
          <w:tcPr>
            <w:tcW w:type="dxa" w:w="844"/>
            <w:tcBorders>
              <w:top w:val="single" w:color="000000" w:sz="4"/>
              <w:left w:val="single" w:color="000000" w:sz="4"/>
              <w:bottom w:val="single" w:color="000000" w:sz="4"/>
              <w:right w:val="single" w:color="000000" w:sz="4"/>
            </w:tcBorders>
            <w:vAlign w:val="top"/>
          </w:tcPr>
          <w:p>
            <w:pPr>
              <w:ind w:firstLine="2"/>
              <w:jc w:val="center"/>
            </w:pPr>
            <w:r>
              <w:rPr>
                <w:sz w:val="24"/>
              </w:rPr>
              <w:t>品名</w:t>
            </w:r>
          </w:p>
        </w:tc>
        <w:tc>
          <w:tcPr>
            <w:tcW w:type="dxa" w:w="759"/>
            <w:tcBorders>
              <w:top w:val="single" w:color="000000" w:sz="4"/>
              <w:left w:val="none" w:color="000000" w:sz="4"/>
              <w:bottom w:val="single" w:color="000000" w:sz="4"/>
              <w:right w:val="single" w:color="000000" w:sz="4"/>
            </w:tcBorders>
            <w:vAlign w:val="top"/>
          </w:tcPr>
          <w:p>
            <w:pPr>
              <w:jc w:val="center"/>
            </w:pPr>
            <w:r>
              <w:rPr>
                <w:sz w:val="24"/>
              </w:rPr>
              <w:t>规格</w:t>
            </w:r>
          </w:p>
          <w:p>
            <w:pPr>
              <w:jc w:val="center"/>
            </w:pPr>
            <w:r>
              <w:rPr>
                <w:sz w:val="24"/>
              </w:rPr>
              <w:t>型号</w:t>
            </w:r>
          </w:p>
        </w:tc>
        <w:tc>
          <w:tcPr>
            <w:tcW w:type="dxa" w:w="680"/>
            <w:tcBorders>
              <w:top w:val="single" w:color="000000" w:sz="4"/>
              <w:left w:val="none" w:color="000000" w:sz="4"/>
              <w:bottom w:val="single" w:color="000000" w:sz="4"/>
              <w:right w:val="single" w:color="000000" w:sz="4"/>
            </w:tcBorders>
            <w:vAlign w:val="top"/>
          </w:tcPr>
          <w:p>
            <w:pPr>
              <w:jc w:val="center"/>
            </w:pPr>
            <w:r>
              <w:rPr>
                <w:sz w:val="24"/>
              </w:rPr>
              <w:t>产地</w:t>
            </w:r>
          </w:p>
          <w:p>
            <w:pPr>
              <w:jc w:val="center"/>
            </w:pPr>
            <w:r>
              <w:rPr>
                <w:sz w:val="24"/>
              </w:rPr>
              <w:t>厂家</w:t>
            </w:r>
          </w:p>
        </w:tc>
        <w:tc>
          <w:tcPr>
            <w:tcW w:type="dxa" w:w="326"/>
            <w:tcBorders>
              <w:top w:val="single" w:color="000000" w:sz="4"/>
              <w:left w:val="none" w:color="000000" w:sz="4"/>
              <w:bottom w:val="single" w:color="000000" w:sz="4"/>
              <w:right w:val="single" w:color="000000" w:sz="4"/>
            </w:tcBorders>
            <w:vAlign w:val="top"/>
          </w:tcPr>
          <w:p>
            <w:pPr>
              <w:jc w:val="center"/>
            </w:pPr>
            <w:r>
              <w:rPr>
                <w:sz w:val="24"/>
              </w:rPr>
              <w:t>单位</w:t>
            </w:r>
          </w:p>
        </w:tc>
        <w:tc>
          <w:tcPr>
            <w:tcW w:type="dxa" w:w="405"/>
            <w:tcBorders>
              <w:top w:val="single" w:color="000000" w:sz="4"/>
              <w:left w:val="none" w:color="000000" w:sz="4"/>
              <w:bottom w:val="single" w:color="000000" w:sz="4"/>
              <w:right w:val="single" w:color="000000" w:sz="4"/>
            </w:tcBorders>
            <w:vAlign w:val="top"/>
          </w:tcPr>
          <w:p>
            <w:pPr>
              <w:jc w:val="center"/>
            </w:pPr>
            <w:r>
              <w:rPr>
                <w:sz w:val="24"/>
              </w:rPr>
              <w:t>数量</w:t>
            </w:r>
          </w:p>
        </w:tc>
        <w:tc>
          <w:tcPr>
            <w:tcW w:type="dxa" w:w="1117"/>
            <w:tcBorders>
              <w:top w:val="single" w:color="000000" w:sz="4"/>
              <w:left w:val="none" w:color="000000" w:sz="4"/>
              <w:bottom w:val="single" w:color="000000" w:sz="4"/>
              <w:right w:val="single" w:color="000000" w:sz="4"/>
            </w:tcBorders>
            <w:vAlign w:val="top"/>
          </w:tcPr>
          <w:p>
            <w:pPr>
              <w:jc w:val="center"/>
            </w:pPr>
            <w:r>
              <w:rPr>
                <w:sz w:val="24"/>
              </w:rPr>
              <w:t>单价（元）</w:t>
            </w:r>
          </w:p>
        </w:tc>
        <w:tc>
          <w:tcPr>
            <w:tcW w:type="dxa" w:w="1087"/>
            <w:tcBorders>
              <w:top w:val="single" w:color="000000" w:sz="4"/>
              <w:left w:val="none" w:color="000000" w:sz="4"/>
              <w:bottom w:val="single" w:color="000000" w:sz="4"/>
              <w:right w:val="single" w:color="000000" w:sz="4"/>
            </w:tcBorders>
            <w:vAlign w:val="top"/>
          </w:tcPr>
          <w:p>
            <w:pPr>
              <w:jc w:val="center"/>
            </w:pPr>
            <w:r>
              <w:rPr>
                <w:sz w:val="24"/>
              </w:rPr>
              <w:t>总价（元）</w:t>
            </w:r>
          </w:p>
        </w:tc>
        <w:tc>
          <w:tcPr>
            <w:tcW w:type="dxa" w:w="618"/>
            <w:tcBorders>
              <w:top w:val="single" w:color="000000" w:sz="4"/>
              <w:left w:val="none" w:color="000000" w:sz="4"/>
              <w:bottom w:val="single" w:color="000000" w:sz="4"/>
              <w:right w:val="single" w:color="000000" w:sz="4"/>
            </w:tcBorders>
            <w:vAlign w:val="top"/>
          </w:tcPr>
          <w:p>
            <w:pPr>
              <w:jc w:val="center"/>
            </w:pPr>
            <w:r>
              <w:rPr>
                <w:sz w:val="24"/>
              </w:rPr>
              <w:t>随机配件</w:t>
            </w:r>
          </w:p>
        </w:tc>
        <w:tc>
          <w:tcPr>
            <w:tcW w:type="dxa" w:w="869"/>
            <w:tcBorders>
              <w:top w:val="single" w:color="000000" w:sz="4"/>
              <w:left w:val="none" w:color="000000" w:sz="4"/>
              <w:bottom w:val="single" w:color="000000" w:sz="4"/>
              <w:right w:val="single" w:color="000000" w:sz="4"/>
            </w:tcBorders>
            <w:vAlign w:val="top"/>
          </w:tcPr>
          <w:p>
            <w:pPr>
              <w:jc w:val="center"/>
            </w:pPr>
            <w:r>
              <w:rPr>
                <w:sz w:val="24"/>
              </w:rPr>
              <w:t>交货</w:t>
            </w:r>
          </w:p>
          <w:p>
            <w:pPr>
              <w:jc w:val="center"/>
            </w:pPr>
            <w:r>
              <w:rPr>
                <w:sz w:val="24"/>
              </w:rPr>
              <w:t>地点</w:t>
            </w:r>
          </w:p>
        </w:tc>
        <w:tc>
          <w:tcPr>
            <w:tcW w:type="dxa" w:w="798"/>
            <w:tcBorders>
              <w:top w:val="single" w:color="000000" w:sz="4"/>
              <w:left w:val="none" w:color="000000" w:sz="4"/>
              <w:bottom w:val="single" w:color="000000" w:sz="4"/>
              <w:right w:val="single" w:color="000000" w:sz="4"/>
            </w:tcBorders>
            <w:vAlign w:val="top"/>
          </w:tcPr>
          <w:p>
            <w:pPr>
              <w:jc w:val="center"/>
            </w:pPr>
            <w:r>
              <w:rPr>
                <w:sz w:val="24"/>
              </w:rPr>
              <w:t>交货</w:t>
            </w:r>
          </w:p>
          <w:p>
            <w:pPr>
              <w:jc w:val="center"/>
            </w:pPr>
            <w:r>
              <w:rPr>
                <w:sz w:val="24"/>
              </w:rPr>
              <w:t>时间</w:t>
            </w:r>
          </w:p>
        </w:tc>
        <w:tc>
          <w:tcPr>
            <w:tcW w:type="dxa" w:w="798"/>
            <w:tcBorders>
              <w:top w:val="single" w:color="000000" w:sz="4"/>
              <w:left w:val="none" w:color="000000" w:sz="4"/>
              <w:bottom w:val="single" w:color="000000" w:sz="4"/>
              <w:right w:val="single" w:color="000000" w:sz="4"/>
            </w:tcBorders>
            <w:vAlign w:val="top"/>
          </w:tcPr>
          <w:p>
            <w:pPr>
              <w:jc w:val="center"/>
            </w:pPr>
            <w:r>
              <w:rPr>
                <w:sz w:val="24"/>
              </w:rPr>
              <w:t>备注</w:t>
            </w:r>
          </w:p>
        </w:tc>
      </w:tr>
      <w:tr>
        <w:tc>
          <w:tcPr>
            <w:tcW w:type="dxa" w:w="844"/>
            <w:tcBorders>
              <w:top w:val="none" w:color="000000" w:sz="4"/>
              <w:left w:val="single" w:color="000000" w:sz="4"/>
              <w:bottom w:val="single" w:color="000000" w:sz="4"/>
              <w:right w:val="single" w:color="000000" w:sz="4"/>
            </w:tcBorders>
            <w:vAlign w:val="top"/>
          </w:tcPr>
          <w:p>
            <w:pPr>
              <w:ind w:firstLine="2"/>
              <w:jc w:val="center"/>
            </w:pPr>
          </w:p>
        </w:tc>
        <w:tc>
          <w:tcPr>
            <w:tcW w:type="dxa" w:w="759"/>
            <w:tcBorders>
              <w:top w:val="none" w:color="000000" w:sz="4"/>
              <w:left w:val="none" w:color="000000" w:sz="4"/>
              <w:bottom w:val="single" w:color="000000" w:sz="4"/>
              <w:right w:val="single" w:color="000000" w:sz="4"/>
            </w:tcBorders>
            <w:vAlign w:val="top"/>
          </w:tcPr>
          <w:p>
            <w:pPr>
              <w:jc w:val="center"/>
            </w:pPr>
          </w:p>
        </w:tc>
        <w:tc>
          <w:tcPr>
            <w:tcW w:type="dxa" w:w="680"/>
            <w:tcBorders>
              <w:top w:val="none" w:color="000000" w:sz="4"/>
              <w:left w:val="none" w:color="000000" w:sz="4"/>
              <w:bottom w:val="single" w:color="000000" w:sz="4"/>
              <w:right w:val="single" w:color="000000" w:sz="4"/>
            </w:tcBorders>
            <w:vAlign w:val="top"/>
          </w:tcPr>
          <w:p>
            <w:pPr>
              <w:jc w:val="center"/>
            </w:pP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405"/>
            <w:tcBorders>
              <w:top w:val="none" w:color="000000" w:sz="4"/>
              <w:left w:val="none" w:color="000000" w:sz="4"/>
              <w:bottom w:val="single" w:color="000000" w:sz="4"/>
              <w:right w:val="single" w:color="000000" w:sz="4"/>
            </w:tcBorders>
            <w:vAlign w:val="top"/>
          </w:tcPr>
          <w:p>
            <w:pPr>
              <w:jc w:val="center"/>
            </w:pPr>
          </w:p>
        </w:tc>
        <w:tc>
          <w:tcPr>
            <w:tcW w:type="dxa" w:w="1117"/>
            <w:tcBorders>
              <w:top w:val="none" w:color="000000" w:sz="4"/>
              <w:left w:val="none" w:color="000000" w:sz="4"/>
              <w:bottom w:val="single" w:color="000000" w:sz="4"/>
              <w:right w:val="single" w:color="000000" w:sz="4"/>
            </w:tcBorders>
            <w:vAlign w:val="top"/>
          </w:tcPr>
          <w:p>
            <w:pPr>
              <w:jc w:val="center"/>
            </w:pPr>
          </w:p>
        </w:tc>
        <w:tc>
          <w:tcPr>
            <w:tcW w:type="dxa" w:w="1087"/>
            <w:tcBorders>
              <w:top w:val="none" w:color="000000" w:sz="4"/>
              <w:left w:val="none" w:color="000000" w:sz="4"/>
              <w:bottom w:val="single" w:color="000000" w:sz="4"/>
              <w:right w:val="single" w:color="000000" w:sz="4"/>
            </w:tcBorders>
            <w:vAlign w:val="top"/>
          </w:tcPr>
          <w:p>
            <w:pPr>
              <w:jc w:val="center"/>
            </w:pPr>
          </w:p>
        </w:tc>
        <w:tc>
          <w:tcPr>
            <w:tcW w:type="dxa" w:w="618"/>
            <w:tcBorders>
              <w:top w:val="none" w:color="000000" w:sz="4"/>
              <w:left w:val="none" w:color="000000" w:sz="4"/>
              <w:bottom w:val="single" w:color="000000" w:sz="4"/>
              <w:right w:val="single" w:color="000000" w:sz="4"/>
            </w:tcBorders>
            <w:vAlign w:val="top"/>
          </w:tcPr>
          <w:p>
            <w:r>
              <w:rPr>
                <w:sz w:val="19"/>
              </w:rPr>
              <w:t xml:space="preserve"> </w:t>
            </w:r>
          </w:p>
          <w:p>
            <w:pPr>
              <w:jc w:val="center"/>
            </w:pPr>
          </w:p>
        </w:tc>
        <w:tc>
          <w:tcPr>
            <w:tcW w:type="dxa" w:w="869"/>
            <w:tcBorders>
              <w:top w:val="none" w:color="000000" w:sz="4"/>
              <w:left w:val="none" w:color="000000" w:sz="4"/>
              <w:bottom w:val="single" w:color="000000" w:sz="4"/>
              <w:right w:val="single" w:color="000000" w:sz="4"/>
            </w:tcBorders>
            <w:vAlign w:val="top"/>
          </w:tcPr>
          <w:p>
            <w:pPr>
              <w:jc w:val="center"/>
            </w:pPr>
          </w:p>
        </w:tc>
        <w:tc>
          <w:tcPr>
            <w:tcW w:type="dxa" w:w="798"/>
            <w:tcBorders>
              <w:top w:val="none" w:color="000000" w:sz="4"/>
              <w:left w:val="none" w:color="000000" w:sz="4"/>
              <w:bottom w:val="single" w:color="000000" w:sz="4"/>
              <w:right w:val="single" w:color="000000" w:sz="4"/>
            </w:tcBorders>
            <w:vAlign w:val="top"/>
          </w:tcPr>
          <w:p>
            <w:pPr>
              <w:jc w:val="center"/>
            </w:pPr>
          </w:p>
        </w:tc>
        <w:tc>
          <w:tcPr>
            <w:tcW w:type="dxa" w:w="798"/>
            <w:tcBorders>
              <w:top w:val="none" w:color="000000" w:sz="4"/>
              <w:left w:val="none" w:color="000000" w:sz="4"/>
              <w:bottom w:val="single" w:color="000000" w:sz="4"/>
              <w:right w:val="single" w:color="000000" w:sz="4"/>
            </w:tcBorders>
            <w:vAlign w:val="top"/>
          </w:tcPr>
          <w:p>
            <w:pPr>
              <w:jc w:val="center"/>
            </w:pPr>
          </w:p>
        </w:tc>
      </w:tr>
      <w:tr>
        <w:tc>
          <w:tcPr>
            <w:tcW w:type="dxa" w:w="844"/>
            <w:tcBorders>
              <w:top w:val="none" w:color="000000" w:sz="4"/>
              <w:left w:val="single" w:color="000000" w:sz="4"/>
              <w:bottom w:val="single" w:color="000000" w:sz="4"/>
              <w:right w:val="single" w:color="000000" w:sz="4"/>
            </w:tcBorders>
            <w:vAlign w:val="top"/>
          </w:tcPr>
          <w:p>
            <w:pPr>
              <w:ind w:firstLine="2"/>
              <w:jc w:val="center"/>
            </w:pPr>
          </w:p>
        </w:tc>
        <w:tc>
          <w:tcPr>
            <w:tcW w:type="dxa" w:w="759"/>
            <w:tcBorders>
              <w:top w:val="none" w:color="000000" w:sz="4"/>
              <w:left w:val="none" w:color="000000" w:sz="4"/>
              <w:bottom w:val="single" w:color="000000" w:sz="4"/>
              <w:right w:val="single" w:color="000000" w:sz="4"/>
            </w:tcBorders>
            <w:vAlign w:val="top"/>
          </w:tcPr>
          <w:p>
            <w:pPr>
              <w:jc w:val="center"/>
            </w:pPr>
          </w:p>
        </w:tc>
        <w:tc>
          <w:tcPr>
            <w:tcW w:type="dxa" w:w="680"/>
            <w:tcBorders>
              <w:top w:val="none" w:color="000000" w:sz="4"/>
              <w:left w:val="none" w:color="000000" w:sz="4"/>
              <w:bottom w:val="single" w:color="000000" w:sz="4"/>
              <w:right w:val="single" w:color="000000" w:sz="4"/>
            </w:tcBorders>
            <w:vAlign w:val="top"/>
          </w:tcPr>
          <w:p>
            <w:pPr>
              <w:jc w:val="center"/>
            </w:pP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405"/>
            <w:tcBorders>
              <w:top w:val="none" w:color="000000" w:sz="4"/>
              <w:left w:val="none" w:color="000000" w:sz="4"/>
              <w:bottom w:val="single" w:color="000000" w:sz="4"/>
              <w:right w:val="single" w:color="000000" w:sz="4"/>
            </w:tcBorders>
            <w:vAlign w:val="top"/>
          </w:tcPr>
          <w:p>
            <w:pPr>
              <w:jc w:val="center"/>
            </w:pPr>
          </w:p>
        </w:tc>
        <w:tc>
          <w:tcPr>
            <w:tcW w:type="dxa" w:w="1117"/>
            <w:tcBorders>
              <w:top w:val="none" w:color="000000" w:sz="4"/>
              <w:left w:val="none" w:color="000000" w:sz="4"/>
              <w:bottom w:val="single" w:color="000000" w:sz="4"/>
              <w:right w:val="single" w:color="000000" w:sz="4"/>
            </w:tcBorders>
            <w:vAlign w:val="top"/>
          </w:tcPr>
          <w:p>
            <w:pPr>
              <w:jc w:val="center"/>
            </w:pPr>
          </w:p>
        </w:tc>
        <w:tc>
          <w:tcPr>
            <w:tcW w:type="dxa" w:w="1087"/>
            <w:tcBorders>
              <w:top w:val="none" w:color="000000" w:sz="4"/>
              <w:left w:val="none" w:color="000000" w:sz="4"/>
              <w:bottom w:val="single" w:color="000000" w:sz="4"/>
              <w:right w:val="single" w:color="000000" w:sz="4"/>
            </w:tcBorders>
            <w:vAlign w:val="top"/>
          </w:tcPr>
          <w:p>
            <w:pPr>
              <w:jc w:val="center"/>
            </w:pPr>
          </w:p>
        </w:tc>
        <w:tc>
          <w:tcPr>
            <w:tcW w:type="dxa" w:w="618"/>
            <w:tcBorders>
              <w:top w:val="none" w:color="000000" w:sz="4"/>
              <w:left w:val="none" w:color="000000" w:sz="4"/>
              <w:bottom w:val="single" w:color="000000" w:sz="4"/>
              <w:right w:val="single" w:color="000000" w:sz="4"/>
            </w:tcBorders>
            <w:vAlign w:val="top"/>
          </w:tcPr>
          <w:p>
            <w:r>
              <w:rPr>
                <w:sz w:val="19"/>
              </w:rPr>
              <w:t xml:space="preserve"> </w:t>
            </w:r>
          </w:p>
          <w:p>
            <w:pPr>
              <w:jc w:val="center"/>
            </w:pPr>
          </w:p>
        </w:tc>
        <w:tc>
          <w:tcPr>
            <w:tcW w:type="dxa" w:w="869"/>
            <w:tcBorders>
              <w:top w:val="none" w:color="000000" w:sz="4"/>
              <w:left w:val="none" w:color="000000" w:sz="4"/>
              <w:bottom w:val="single" w:color="000000" w:sz="4"/>
              <w:right w:val="single" w:color="000000" w:sz="4"/>
            </w:tcBorders>
            <w:vAlign w:val="top"/>
          </w:tcPr>
          <w:p>
            <w:pPr>
              <w:jc w:val="center"/>
            </w:pPr>
          </w:p>
        </w:tc>
        <w:tc>
          <w:tcPr>
            <w:tcW w:type="dxa" w:w="798"/>
            <w:tcBorders>
              <w:top w:val="none" w:color="000000" w:sz="4"/>
              <w:left w:val="none" w:color="000000" w:sz="4"/>
              <w:bottom w:val="single" w:color="000000" w:sz="4"/>
              <w:right w:val="single" w:color="000000" w:sz="4"/>
            </w:tcBorders>
            <w:vAlign w:val="top"/>
          </w:tcPr>
          <w:p>
            <w:pPr>
              <w:jc w:val="center"/>
            </w:pPr>
          </w:p>
        </w:tc>
        <w:tc>
          <w:tcPr>
            <w:tcW w:type="dxa" w:w="798"/>
            <w:tcBorders>
              <w:top w:val="none" w:color="000000" w:sz="4"/>
              <w:left w:val="none" w:color="000000" w:sz="4"/>
              <w:bottom w:val="single" w:color="000000" w:sz="4"/>
              <w:right w:val="single" w:color="000000" w:sz="4"/>
            </w:tcBorders>
            <w:vAlign w:val="top"/>
          </w:tcPr>
          <w:p>
            <w:pPr>
              <w:jc w:val="center"/>
            </w:pPr>
          </w:p>
        </w:tc>
      </w:tr>
    </w:tbl>
    <w:p>
      <w:pPr>
        <w:jc w:val="both"/>
      </w:pPr>
      <w:r>
        <w:rPr>
          <w:sz w:val="21"/>
        </w:rPr>
        <w:t xml:space="preserve">    </w:t>
      </w:r>
      <w:r>
        <w:rPr>
          <w:b/>
          <w:sz w:val="24"/>
        </w:rPr>
        <w:t xml:space="preserve">  2.</w:t>
      </w:r>
      <w:r>
        <w:rPr>
          <w:b/>
          <w:sz w:val="24"/>
        </w:rPr>
        <w:t>合同总价</w:t>
      </w:r>
    </w:p>
    <w:p>
      <w:pPr>
        <w:ind w:firstLine="523"/>
        <w:jc w:val="both"/>
      </w:pPr>
      <w:r>
        <w:rPr>
          <w:sz w:val="24"/>
        </w:rPr>
        <w:t>合同总价</w:t>
      </w:r>
      <w:r>
        <w:rPr>
          <w:b/>
          <w:sz w:val="24"/>
        </w:rPr>
        <w:t>（含税价）</w:t>
      </w:r>
      <w:r>
        <w:rPr>
          <w:sz w:val="24"/>
        </w:rPr>
        <w:t>为：</w:t>
      </w:r>
      <w:r>
        <w:rPr>
          <w:b/>
          <w:sz w:val="24"/>
        </w:rPr>
        <w:t>人民币</w:t>
      </w:r>
      <w:r>
        <w:rPr>
          <w:b/>
          <w:sz w:val="24"/>
          <w:u w:val="single"/>
        </w:rPr>
        <w:t xml:space="preserve">             </w:t>
      </w:r>
      <w:r>
        <w:rPr>
          <w:b/>
          <w:sz w:val="24"/>
          <w:u w:val="single"/>
        </w:rPr>
        <w:t>元</w:t>
      </w:r>
      <w:r>
        <w:rPr>
          <w:b/>
          <w:sz w:val="24"/>
        </w:rPr>
        <w:t>，即</w:t>
      </w:r>
      <w:r>
        <w:rPr>
          <w:b/>
          <w:sz w:val="24"/>
          <w:u w:val="single"/>
        </w:rPr>
        <w:t>¥</w:t>
      </w:r>
      <w:r>
        <w:rPr>
          <w:b/>
          <w:sz w:val="21"/>
          <w:u w:val="single"/>
        </w:rPr>
        <w:t xml:space="preserve">            </w:t>
      </w:r>
      <w:r>
        <w:rPr>
          <w:sz w:val="24"/>
        </w:rPr>
        <w:t>，税率</w:t>
      </w:r>
      <w:r>
        <w:rPr>
          <w:sz w:val="21"/>
          <w:u w:val="single"/>
        </w:rPr>
        <w:t xml:space="preserve">  </w:t>
      </w:r>
      <w:r>
        <w:rPr>
          <w:sz w:val="24"/>
        </w:rPr>
        <w:t>%</w:t>
      </w:r>
      <w:r>
        <w:rPr>
          <w:sz w:val="24"/>
        </w:rPr>
        <w:t>，不含税价</w:t>
      </w:r>
      <w:r>
        <w:rPr>
          <w:b/>
          <w:sz w:val="24"/>
          <w:u w:val="single"/>
        </w:rPr>
        <w:t xml:space="preserve">      </w:t>
      </w:r>
      <w:r>
        <w:rPr>
          <w:b/>
          <w:sz w:val="24"/>
          <w:u w:val="single"/>
        </w:rPr>
        <w:t>元</w:t>
      </w:r>
      <w:r>
        <w:rPr>
          <w:sz w:val="24"/>
        </w:rPr>
        <w:t>，该合同总金额是设计、设备制造、包装、仓储、运输、安装、培训及验收合格之前及保修期间包括备品备件及合同内所有设备配件和耗材发生的所有含税费用。本合同执行期间合同总金额不变。</w:t>
      </w:r>
    </w:p>
    <w:p>
      <w:pPr>
        <w:jc w:val="both"/>
      </w:pPr>
    </w:p>
    <w:p>
      <w:pPr>
        <w:jc w:val="both"/>
      </w:pPr>
      <w:r>
        <w:rPr>
          <w:b/>
          <w:sz w:val="24"/>
        </w:rPr>
        <w:t>3.</w:t>
      </w:r>
      <w:r>
        <w:rPr>
          <w:b/>
          <w:sz w:val="24"/>
        </w:rPr>
        <w:t>合同组成</w:t>
      </w:r>
    </w:p>
    <w:p>
      <w:pPr>
        <w:ind w:firstLine="607"/>
        <w:jc w:val="both"/>
      </w:pPr>
      <w:r>
        <w:rPr>
          <w:sz w:val="24"/>
        </w:rPr>
        <w:t>详细价格、技术说明及其它有关合同设备的特定信息由合同附件说明。采购项目的招标文件、中标通知、乙方投标文件、所有合同附件及本项目的会议纪要、协议、澄清等均为本合同不可分割之一部分。</w:t>
      </w:r>
    </w:p>
    <w:p>
      <w:pPr>
        <w:jc w:val="both"/>
      </w:pPr>
    </w:p>
    <w:p>
      <w:pPr>
        <w:ind w:firstLine="240"/>
        <w:jc w:val="both"/>
      </w:pPr>
      <w:r>
        <w:rPr>
          <w:b/>
          <w:sz w:val="24"/>
        </w:rPr>
        <w:t>4.</w:t>
      </w:r>
      <w:r>
        <w:rPr>
          <w:b/>
          <w:sz w:val="24"/>
        </w:rPr>
        <w:t>技术要求</w:t>
      </w:r>
    </w:p>
    <w:p>
      <w:pPr>
        <w:ind w:firstLine="597"/>
        <w:jc w:val="both"/>
      </w:pPr>
      <w:r>
        <w:rPr>
          <w:sz w:val="24"/>
        </w:rPr>
        <w:t>乙方所提供设备，必须符合国家有关规范和环保要求及甲方的技术要求，并提供设备的检测报告。</w:t>
      </w:r>
    </w:p>
    <w:p>
      <w:pPr>
        <w:ind w:firstLine="600"/>
        <w:jc w:val="both"/>
      </w:pPr>
    </w:p>
    <w:p>
      <w:pPr>
        <w:ind w:firstLine="180"/>
        <w:jc w:val="both"/>
      </w:pPr>
      <w:r>
        <w:rPr>
          <w:b/>
          <w:sz w:val="24"/>
        </w:rPr>
        <w:t>5.</w:t>
      </w:r>
      <w:r>
        <w:rPr>
          <w:b/>
          <w:sz w:val="21"/>
        </w:rPr>
        <w:t xml:space="preserve"> </w:t>
      </w:r>
      <w:r>
        <w:rPr>
          <w:b/>
          <w:sz w:val="24"/>
        </w:rPr>
        <w:t>合同设备包装、交货、安装、培训及验收</w:t>
      </w:r>
    </w:p>
    <w:p>
      <w:pPr>
        <w:ind w:firstLine="240"/>
        <w:jc w:val="both"/>
      </w:pPr>
      <w:r>
        <w:rPr>
          <w:sz w:val="24"/>
        </w:rPr>
        <w:t>5.1</w:t>
      </w:r>
      <w:r>
        <w:rPr>
          <w:sz w:val="24"/>
        </w:rPr>
        <w:t>合同设备的包装</w:t>
      </w:r>
    </w:p>
    <w:p>
      <w:pPr>
        <w:ind w:firstLine="628"/>
        <w:jc w:val="both"/>
      </w:pPr>
      <w:r>
        <w:rPr>
          <w:sz w:val="24"/>
        </w:rPr>
        <w:t>设备的包装均应有良好的防湿、防锈、防潮、防雨、防腐及防碰撞的措施。凡由于包装不良造成的损失和由此产生的费用均由乙方承担。</w:t>
      </w:r>
    </w:p>
    <w:p>
      <w:pPr>
        <w:jc w:val="both"/>
      </w:pPr>
      <w:r>
        <w:rPr>
          <w:sz w:val="24"/>
        </w:rPr>
        <w:t xml:space="preserve">  5.2  </w:t>
      </w:r>
      <w:r>
        <w:rPr>
          <w:sz w:val="24"/>
        </w:rPr>
        <w:t>合同设备的交货</w:t>
      </w:r>
    </w:p>
    <w:p>
      <w:pPr>
        <w:jc w:val="both"/>
      </w:pPr>
      <w:r>
        <w:rPr>
          <w:sz w:val="24"/>
        </w:rPr>
        <w:t>5.2.1</w:t>
      </w:r>
      <w:r>
        <w:rPr>
          <w:sz w:val="24"/>
        </w:rPr>
        <w:t>乙方交货时间：</w:t>
      </w:r>
      <w:r>
        <w:rPr>
          <w:b/>
          <w:sz w:val="24"/>
          <w:u w:val="single"/>
        </w:rPr>
        <w:t>签订合同后</w:t>
      </w:r>
      <w:r>
        <w:rPr>
          <w:b/>
          <w:sz w:val="24"/>
          <w:u w:val="single"/>
        </w:rPr>
        <w:t xml:space="preserve">  </w:t>
      </w:r>
      <w:r>
        <w:rPr>
          <w:b/>
          <w:sz w:val="24"/>
          <w:u w:val="single"/>
        </w:rPr>
        <w:t>个工作日内</w:t>
      </w:r>
      <w:r>
        <w:rPr>
          <w:sz w:val="21"/>
        </w:rPr>
        <w:t xml:space="preserve"> </w:t>
      </w:r>
      <w:r>
        <w:rPr>
          <w:b/>
          <w:sz w:val="21"/>
        </w:rPr>
        <w:t xml:space="preserve"> </w:t>
      </w:r>
    </w:p>
    <w:p>
      <w:pPr>
        <w:jc w:val="both"/>
      </w:pPr>
      <w:r>
        <w:rPr>
          <w:sz w:val="24"/>
        </w:rPr>
        <w:t>5.2.2</w:t>
      </w:r>
      <w:r>
        <w:rPr>
          <w:sz w:val="24"/>
        </w:rPr>
        <w:t>乙方交货地点：</w:t>
      </w:r>
      <w:r>
        <w:rPr>
          <w:b/>
          <w:sz w:val="24"/>
        </w:rPr>
        <w:t>广州市番禺区中心医院</w:t>
      </w:r>
    </w:p>
    <w:p>
      <w:pPr>
        <w:ind w:firstLine="240"/>
        <w:jc w:val="both"/>
      </w:pPr>
      <w:r>
        <w:rPr>
          <w:sz w:val="24"/>
        </w:rPr>
        <w:t xml:space="preserve">5.3  </w:t>
      </w:r>
      <w:r>
        <w:rPr>
          <w:sz w:val="24"/>
        </w:rPr>
        <w:t>合同设备的安装、培训</w:t>
      </w:r>
    </w:p>
    <w:p>
      <w:pPr>
        <w:ind w:firstLine="240"/>
        <w:jc w:val="both"/>
      </w:pPr>
      <w:r>
        <w:rPr>
          <w:sz w:val="24"/>
        </w:rPr>
        <w:t>5.3.1</w:t>
      </w:r>
      <w:r>
        <w:rPr>
          <w:sz w:val="24"/>
        </w:rPr>
        <w:t>乙方负责合同项下的安装，提供数字输出端口格式文件并输出数字信息，配合甲方与信息管理系统连接，所产生的一切费用由乙方负责。</w:t>
      </w:r>
    </w:p>
    <w:p>
      <w:pPr>
        <w:ind w:firstLine="240"/>
        <w:jc w:val="both"/>
      </w:pPr>
      <w:r>
        <w:rPr>
          <w:sz w:val="24"/>
        </w:rPr>
        <w:t>5.3.2</w:t>
      </w:r>
      <w:r>
        <w:rPr>
          <w:sz w:val="24"/>
        </w:rPr>
        <w:t>乙方安装时须对各安装场地内的其他设备、设施、货物、人员有良好保护措施。</w:t>
      </w:r>
    </w:p>
    <w:p>
      <w:pPr>
        <w:ind w:firstLine="240"/>
        <w:jc w:val="both"/>
      </w:pPr>
      <w:r>
        <w:rPr>
          <w:sz w:val="24"/>
        </w:rPr>
        <w:t>5.3.3</w:t>
      </w:r>
      <w:r>
        <w:rPr>
          <w:sz w:val="24"/>
        </w:rPr>
        <w:t>设备</w:t>
      </w:r>
      <w:r>
        <w:rPr>
          <w:sz w:val="24"/>
        </w:rPr>
        <w:t>安装过程中</w:t>
      </w:r>
      <w:r>
        <w:rPr>
          <w:sz w:val="24"/>
        </w:rPr>
        <w:t>，</w:t>
      </w:r>
      <w:r>
        <w:rPr>
          <w:sz w:val="24"/>
        </w:rPr>
        <w:t>甲方</w:t>
      </w:r>
      <w:r>
        <w:rPr>
          <w:sz w:val="24"/>
        </w:rPr>
        <w:t>可</w:t>
      </w:r>
      <w:r>
        <w:rPr>
          <w:sz w:val="24"/>
        </w:rPr>
        <w:t>提供必要的水、电设施等，相关费用由乙方承担。物品存放期间由乙方负责看护，丢失、损坏由乙方承担损失。</w:t>
      </w:r>
    </w:p>
    <w:p>
      <w:pPr>
        <w:ind w:firstLine="240"/>
        <w:jc w:val="both"/>
      </w:pPr>
      <w:r>
        <w:rPr>
          <w:sz w:val="24"/>
        </w:rPr>
        <w:t>5.3.</w:t>
      </w:r>
      <w:r>
        <w:rPr>
          <w:sz w:val="24"/>
        </w:rPr>
        <w:t>4</w:t>
      </w:r>
      <w:r>
        <w:rPr>
          <w:sz w:val="24"/>
        </w:rPr>
        <w:t>乙方负责对甲方进行操作、保养、维护及简易维修培训。</w:t>
      </w:r>
    </w:p>
    <w:p>
      <w:pPr>
        <w:ind w:firstLine="240"/>
        <w:jc w:val="both"/>
      </w:pPr>
      <w:r>
        <w:rPr>
          <w:sz w:val="24"/>
        </w:rPr>
        <w:t xml:space="preserve">5.4  </w:t>
      </w:r>
      <w:r>
        <w:rPr>
          <w:sz w:val="24"/>
        </w:rPr>
        <w:t>设备的验收</w:t>
      </w:r>
    </w:p>
    <w:p>
      <w:pPr>
        <w:jc w:val="both"/>
      </w:pPr>
      <w:r>
        <w:rPr>
          <w:sz w:val="24"/>
        </w:rPr>
        <w:t>5.4.1</w:t>
      </w:r>
      <w:r>
        <w:rPr>
          <w:sz w:val="24"/>
        </w:rPr>
        <w:t>合同设备安装完成后</w:t>
      </w:r>
      <w:r>
        <w:rPr>
          <w:sz w:val="24"/>
        </w:rPr>
        <w:t xml:space="preserve">  </w:t>
      </w:r>
      <w:r>
        <w:rPr>
          <w:sz w:val="24"/>
        </w:rPr>
        <w:t>个工作日内验收，验收应在甲乙双方共同参加下进行。</w:t>
      </w:r>
    </w:p>
    <w:p>
      <w:pPr>
        <w:jc w:val="both"/>
      </w:pPr>
      <w:r>
        <w:rPr>
          <w:sz w:val="24"/>
        </w:rPr>
        <w:t>5.4.2</w:t>
      </w:r>
      <w:r>
        <w:rPr>
          <w:sz w:val="24"/>
        </w:rPr>
        <w:t>甲方按照采购合同规定的技术、服务、安全标准组织对乙方履约情况进行验收，并出具验收书。验收书应当包括每一项技术、服务、安全标准的履约情况。</w:t>
      </w:r>
    </w:p>
    <w:p>
      <w:pPr>
        <w:jc w:val="both"/>
      </w:pPr>
      <w:r>
        <w:rPr>
          <w:sz w:val="24"/>
        </w:rPr>
        <w:t>5.4.3</w:t>
      </w:r>
      <w:r>
        <w:rPr>
          <w:sz w:val="24"/>
        </w:rPr>
        <w:t>交付验收标准依次序对照适用标准为：①符合中华人民共和国国家安全质量标准、环保标准或行业标准；②符合招标文件和投标承诺中甲方认可的合理最佳配置、参数及各项要求；③货物来源国官方标准。</w:t>
      </w:r>
    </w:p>
    <w:p>
      <w:pPr>
        <w:jc w:val="both"/>
      </w:pPr>
      <w:r>
        <w:rPr>
          <w:sz w:val="24"/>
        </w:rPr>
        <w:t>5.4.4</w:t>
      </w:r>
      <w:r>
        <w:rPr>
          <w:sz w:val="24"/>
        </w:rPr>
        <w:t>货物为原厂商未启封全新包装，具有出厂合格证，序列号、包装箱号与出厂批号一致，并可追索查阅。所有随设备的附件必须齐全。</w:t>
      </w:r>
    </w:p>
    <w:p>
      <w:pPr>
        <w:jc w:val="both"/>
      </w:pPr>
      <w:r>
        <w:rPr>
          <w:sz w:val="24"/>
        </w:rPr>
        <w:t>5.4.5</w:t>
      </w:r>
      <w:r>
        <w:rPr>
          <w:sz w:val="24"/>
        </w:rPr>
        <w:t>乙方将货物的用户手册、保修手册、有关单证资料及备品备件、随机工具等交付给甲方，使用操作及安全须知等重要资料应附有中文说明。</w:t>
      </w:r>
    </w:p>
    <w:p>
      <w:pPr>
        <w:jc w:val="both"/>
      </w:pPr>
      <w:r>
        <w:rPr>
          <w:sz w:val="24"/>
        </w:rPr>
        <w:t>5.4.6</w:t>
      </w:r>
      <w:r>
        <w:rPr>
          <w:sz w:val="24"/>
        </w:rPr>
        <w:t>货物验收所发生的检验费用由乙方负担。</w:t>
      </w:r>
    </w:p>
    <w:p>
      <w:pPr>
        <w:jc w:val="both"/>
      </w:pPr>
      <w:r>
        <w:rPr>
          <w:sz w:val="24"/>
        </w:rPr>
        <w:t>5.4.7</w:t>
      </w:r>
      <w:r>
        <w:rPr>
          <w:sz w:val="24"/>
        </w:rPr>
        <w:t>设备到货并经乙方技术人员安装后，甲方有权委托中国有资格的单位对上述设备进行校准或检验，设备校准或检定所需的费用由乙方负担。</w:t>
      </w:r>
    </w:p>
    <w:p>
      <w:pPr>
        <w:jc w:val="both"/>
      </w:pPr>
      <w:r>
        <w:rPr>
          <w:sz w:val="24"/>
        </w:rPr>
        <w:t>5.4.8</w:t>
      </w:r>
      <w:r>
        <w:rPr>
          <w:sz w:val="24"/>
        </w:rPr>
        <w:t>甲方组成验收小组，按照采购合同规定的技术、服务、安全标准组织对中标供应商履约情况进行验收。因货物质量问题发生争议时，由甲方本地质量技术监督部门鉴定。货物符合质量技术标准的，鉴定费由甲方承担；否则鉴定费由乙方承担。</w:t>
      </w:r>
    </w:p>
    <w:p>
      <w:pPr>
        <w:jc w:val="both"/>
      </w:pPr>
      <w:r>
        <w:rPr>
          <w:sz w:val="24"/>
        </w:rPr>
        <w:t>5.4.9</w:t>
      </w:r>
      <w:r>
        <w:rPr>
          <w:sz w:val="24"/>
        </w:rPr>
        <w:t>中标产品如属国家强制计量产品，需由乙方完成首次计量强检。</w:t>
      </w:r>
    </w:p>
    <w:p>
      <w:pPr>
        <w:jc w:val="both"/>
      </w:pPr>
      <w:r>
        <w:rPr>
          <w:sz w:val="24"/>
        </w:rPr>
        <w:t>5.4.10</w:t>
      </w:r>
      <w:r>
        <w:rPr>
          <w:sz w:val="24"/>
        </w:rPr>
        <w:t>当出现不合格产品时，乙方要无条件更换合格产品。除甲方认可，否则不接受任何形式的降格处理</w:t>
      </w:r>
      <w:r>
        <w:rPr>
          <w:sz w:val="24"/>
        </w:rPr>
        <w:t>。</w:t>
      </w:r>
    </w:p>
    <w:p>
      <w:pPr>
        <w:jc w:val="both"/>
      </w:pPr>
      <w:r>
        <w:rPr>
          <w:sz w:val="24"/>
        </w:rPr>
        <w:t>5.5</w:t>
      </w:r>
      <w:r>
        <w:rPr>
          <w:sz w:val="24"/>
        </w:rPr>
        <w:t>乙方保证合同项下提供的设备不侵犯任何第三方的专利、商标或版权。否则，乙方须承担对第三方的专利或版权的侵权责任并承担因此而发生的所有费用。</w:t>
      </w:r>
    </w:p>
    <w:p>
      <w:pPr>
        <w:jc w:val="both"/>
      </w:pPr>
    </w:p>
    <w:p>
      <w:pPr>
        <w:ind w:firstLine="182"/>
        <w:jc w:val="both"/>
      </w:pPr>
      <w:r>
        <w:rPr>
          <w:b/>
          <w:sz w:val="24"/>
        </w:rPr>
        <w:t>6.</w:t>
      </w:r>
      <w:r>
        <w:rPr>
          <w:b/>
          <w:sz w:val="24"/>
        </w:rPr>
        <w:t>质量保证及售后服务</w:t>
      </w:r>
    </w:p>
    <w:p>
      <w:pPr>
        <w:jc w:val="both"/>
      </w:pPr>
      <w:r>
        <w:rPr>
          <w:sz w:val="24"/>
        </w:rPr>
        <w:t>6.1</w:t>
      </w:r>
      <w:r>
        <w:rPr>
          <w:sz w:val="24"/>
        </w:rPr>
        <w:t>乙方保证合同设备是全新、未曾使用过的，其质量、规格及技术特征符合合同附件的要求，同时提供机型必须同档次的最高端机型，配置最新版本的软件，且具备终身免费升级功能。并保证设备符合国家相关质量标准。设备必须提供出厂合格证</w:t>
      </w:r>
      <w:r>
        <w:rPr>
          <w:sz w:val="24"/>
        </w:rPr>
        <w:t>,</w:t>
      </w:r>
      <w:r>
        <w:rPr>
          <w:sz w:val="24"/>
        </w:rPr>
        <w:t>及根据医疗行业管理法规规定必须具备的其他证照（产品注册证、经营企业许可证、生产企业许可证等证件，复印件必须加盖经销单位公章）。</w:t>
      </w:r>
    </w:p>
    <w:p>
      <w:pPr>
        <w:jc w:val="both"/>
      </w:pPr>
      <w:r>
        <w:rPr>
          <w:sz w:val="24"/>
        </w:rPr>
        <w:t>6.2</w:t>
      </w:r>
      <w:r>
        <w:rPr>
          <w:sz w:val="24"/>
        </w:rPr>
        <w:t>合同设备保质保用期为本项目有关部门验收并在《医院验收表》完成全部签字之日起不少于</w:t>
      </w:r>
      <w:r>
        <w:rPr>
          <w:b/>
          <w:sz w:val="21"/>
          <w:u w:val="single"/>
        </w:rPr>
        <w:t xml:space="preserve">   </w:t>
      </w:r>
      <w:r>
        <w:rPr>
          <w:sz w:val="24"/>
        </w:rPr>
        <w:t>个月，且不少于</w:t>
      </w:r>
      <w:r>
        <w:rPr>
          <w:sz w:val="21"/>
          <w:u w:val="single"/>
        </w:rPr>
        <w:t xml:space="preserve">   </w:t>
      </w:r>
      <w:r>
        <w:rPr>
          <w:sz w:val="24"/>
        </w:rPr>
        <w:t>次</w:t>
      </w:r>
      <w:r>
        <w:rPr>
          <w:sz w:val="24"/>
        </w:rPr>
        <w:t>/</w:t>
      </w:r>
      <w:r>
        <w:rPr>
          <w:sz w:val="24"/>
        </w:rPr>
        <w:t>年的维护保养，每次维护保养需出具保养记录，经甲方工程师现场监管并签字确认。</w:t>
      </w:r>
    </w:p>
    <w:p>
      <w:pPr>
        <w:jc w:val="both"/>
      </w:pPr>
      <w:r>
        <w:rPr>
          <w:sz w:val="24"/>
        </w:rPr>
        <w:t>保质保用期内非因甲方的人为原因而出现产品质量及安装问题，由乙方负责包修、包换或包退，并承担因此而产生的一切费用。乙方应在收到甲方故障通知后</w:t>
      </w:r>
      <w:r>
        <w:rPr>
          <w:sz w:val="21"/>
          <w:u w:val="single"/>
        </w:rPr>
        <w:t xml:space="preserve">  </w:t>
      </w:r>
      <w:r>
        <w:rPr>
          <w:sz w:val="24"/>
        </w:rPr>
        <w:t>小时内响应；</w:t>
      </w:r>
      <w:r>
        <w:rPr>
          <w:sz w:val="24"/>
        </w:rPr>
        <w:t xml:space="preserve"> </w:t>
      </w:r>
      <w:r>
        <w:rPr>
          <w:sz w:val="21"/>
          <w:u w:val="single"/>
        </w:rPr>
        <w:t xml:space="preserve">  </w:t>
      </w:r>
      <w:r>
        <w:rPr>
          <w:b/>
          <w:sz w:val="24"/>
          <w:u w:val="single"/>
        </w:rPr>
        <w:t>小时内到达维修现场</w:t>
      </w:r>
      <w:r>
        <w:rPr>
          <w:sz w:val="24"/>
        </w:rPr>
        <w:t>，保修期内必须保证</w:t>
      </w:r>
      <w:r>
        <w:rPr>
          <w:sz w:val="21"/>
          <w:u w:val="single"/>
        </w:rPr>
        <w:t xml:space="preserve">   </w:t>
      </w:r>
      <w:r>
        <w:rPr>
          <w:sz w:val="24"/>
        </w:rPr>
        <w:t>%</w:t>
      </w:r>
      <w:r>
        <w:rPr>
          <w:sz w:val="24"/>
        </w:rPr>
        <w:t>以上工作日正常工作（以每年</w:t>
      </w:r>
      <w:r>
        <w:rPr>
          <w:sz w:val="24"/>
        </w:rPr>
        <w:t>365</w:t>
      </w:r>
      <w:r>
        <w:rPr>
          <w:sz w:val="24"/>
        </w:rPr>
        <w:t>天计算），如未达到，应按</w:t>
      </w:r>
      <w:r>
        <w:rPr>
          <w:sz w:val="21"/>
          <w:u w:val="single"/>
        </w:rPr>
        <w:t xml:space="preserve">  </w:t>
      </w:r>
      <w:r>
        <w:rPr>
          <w:sz w:val="24"/>
        </w:rPr>
        <w:t>倍时间相应延长保修期。需提供生产厂家售后服务机构提供售后服务承诺，提供免费咨询电话。乙方或厂家负责设备运输及到货或安装调试工作，整机由原厂技术人员提供设备免费应用、操作培训及售后服务。</w:t>
      </w:r>
    </w:p>
    <w:p>
      <w:pPr>
        <w:jc w:val="both"/>
      </w:pPr>
      <w:r>
        <w:rPr>
          <w:sz w:val="24"/>
        </w:rPr>
        <w:t>设备故障需返厂维修时，乙方提供技术、性能指标不低于本合同要求的备用机型，提供维修替换使用。</w:t>
      </w:r>
    </w:p>
    <w:p>
      <w:pPr>
        <w:jc w:val="both"/>
      </w:pPr>
      <w:r>
        <w:rPr>
          <w:sz w:val="24"/>
        </w:rPr>
        <w:t>保质保用期后对乙方合同货物提供终身免费保修服务，如需更换零配件，乙方只收取零配件费。在硬件无改变的情况下，软件终身免费维护、升级。</w:t>
      </w:r>
    </w:p>
    <w:p>
      <w:pPr>
        <w:jc w:val="both"/>
      </w:pPr>
      <w:r>
        <w:rPr>
          <w:sz w:val="24"/>
        </w:rPr>
        <w:t>下列情况乙方不负责免费保修：</w:t>
      </w:r>
    </w:p>
    <w:p>
      <w:pPr>
        <w:ind w:firstLine="567"/>
        <w:jc w:val="both"/>
      </w:pPr>
      <w:r>
        <w:rPr>
          <w:sz w:val="24"/>
        </w:rPr>
        <w:t>（</w:t>
      </w:r>
      <w:r>
        <w:rPr>
          <w:sz w:val="24"/>
        </w:rPr>
        <w:t>1</w:t>
      </w:r>
      <w:r>
        <w:rPr>
          <w:sz w:val="24"/>
        </w:rPr>
        <w:t>）</w:t>
      </w:r>
      <w:r>
        <w:rPr>
          <w:sz w:val="24"/>
        </w:rPr>
        <w:t>不按照乙方提供的正确使用方法而引致设备故障损坏；</w:t>
      </w:r>
    </w:p>
    <w:p>
      <w:pPr>
        <w:ind w:firstLine="600"/>
        <w:jc w:val="both"/>
      </w:pPr>
      <w:r>
        <w:rPr>
          <w:sz w:val="24"/>
        </w:rPr>
        <w:t>（</w:t>
      </w:r>
      <w:r>
        <w:rPr>
          <w:sz w:val="24"/>
        </w:rPr>
        <w:t>2</w:t>
      </w:r>
      <w:r>
        <w:rPr>
          <w:sz w:val="24"/>
        </w:rPr>
        <w:t>）</w:t>
      </w:r>
      <w:r>
        <w:rPr>
          <w:sz w:val="21"/>
        </w:rPr>
        <w:t xml:space="preserve"> </w:t>
      </w:r>
      <w:r>
        <w:rPr>
          <w:sz w:val="24"/>
        </w:rPr>
        <w:t>擅自改装设备；</w:t>
      </w:r>
    </w:p>
    <w:p>
      <w:pPr>
        <w:jc w:val="both"/>
      </w:pPr>
      <w:r>
        <w:rPr>
          <w:sz w:val="24"/>
        </w:rPr>
        <w:t>6.3</w:t>
      </w:r>
      <w:r>
        <w:rPr>
          <w:sz w:val="24"/>
        </w:rPr>
        <w:t>因设备的质量问题而发生争议，由广东省质检部门进行质量鉴定。设备符合质量标准的，鉴定费用由甲方承担；设备不符合质量标准的，鉴定费用由乙方承担。</w:t>
      </w:r>
    </w:p>
    <w:p>
      <w:pPr>
        <w:jc w:val="both"/>
      </w:pPr>
      <w:r>
        <w:rPr>
          <w:sz w:val="24"/>
        </w:rPr>
        <w:t>6.4</w:t>
      </w:r>
      <w:r>
        <w:rPr>
          <w:sz w:val="24"/>
        </w:rPr>
        <w:t>乙方无偿培训甲方维修人员，主要内容为设备的基本结构、性能、主要部件的构造及修理，日常使用保养与管理，常见故障的排除，紧急情况的处理等，培训地点主要在设备安装现场或按甲方安排。</w:t>
      </w:r>
    </w:p>
    <w:p>
      <w:pPr>
        <w:jc w:val="both"/>
      </w:pPr>
      <w:r>
        <w:rPr>
          <w:sz w:val="24"/>
        </w:rPr>
        <w:t>6.5</w:t>
      </w:r>
      <w:r>
        <w:rPr>
          <w:sz w:val="24"/>
        </w:rPr>
        <w:t>产品必须由卖方负责完成首次计量强制检定。</w:t>
      </w:r>
    </w:p>
    <w:p>
      <w:pPr>
        <w:jc w:val="both"/>
      </w:pPr>
    </w:p>
    <w:p>
      <w:pPr>
        <w:ind w:firstLine="180"/>
        <w:jc w:val="both"/>
      </w:pPr>
      <w:r>
        <w:rPr>
          <w:b/>
          <w:sz w:val="24"/>
        </w:rPr>
        <w:t>7.</w:t>
      </w:r>
      <w:r>
        <w:rPr>
          <w:b/>
          <w:sz w:val="21"/>
        </w:rPr>
        <w:t xml:space="preserve"> </w:t>
      </w:r>
      <w:r>
        <w:rPr>
          <w:b/>
          <w:sz w:val="24"/>
        </w:rPr>
        <w:t>付款办法</w:t>
      </w:r>
    </w:p>
    <w:p>
      <w:pPr>
        <w:jc w:val="both"/>
      </w:pPr>
      <w:r>
        <w:rPr>
          <w:sz w:val="24"/>
        </w:rPr>
        <w:t>7.1</w:t>
      </w:r>
      <w:r>
        <w:rPr>
          <w:sz w:val="24"/>
        </w:rPr>
        <w:t>本合同的每笔款项以银行转账方式支付，支付的时间和金额如下：</w:t>
      </w:r>
    </w:p>
    <w:p>
      <w:pPr>
        <w:jc w:val="both"/>
      </w:pPr>
      <w:r>
        <w:rPr>
          <w:sz w:val="24"/>
        </w:rPr>
        <w:t>7.1.1.</w:t>
      </w:r>
      <w:r>
        <w:rPr>
          <w:sz w:val="24"/>
        </w:rPr>
        <w:t>合同签订后，乙方须向甲方提供中小企业预付款</w:t>
      </w:r>
      <w:r>
        <w:rPr>
          <w:sz w:val="24"/>
        </w:rPr>
        <w:t>30%</w:t>
      </w:r>
      <w:r>
        <w:rPr>
          <w:sz w:val="24"/>
        </w:rPr>
        <w:t>的请款函，甲方自收到请款函后</w:t>
      </w:r>
      <w:r>
        <w:rPr>
          <w:sz w:val="24"/>
        </w:rPr>
        <w:t>5</w:t>
      </w:r>
      <w:r>
        <w:rPr>
          <w:sz w:val="24"/>
        </w:rPr>
        <w:t>个工作日内办理支付，支付合同金额</w:t>
      </w:r>
      <w:r>
        <w:rPr>
          <w:sz w:val="24"/>
        </w:rPr>
        <w:t>30%</w:t>
      </w:r>
      <w:r>
        <w:rPr>
          <w:sz w:val="24"/>
        </w:rPr>
        <w:t>的预付款；</w:t>
      </w:r>
    </w:p>
    <w:p>
      <w:pPr>
        <w:jc w:val="both"/>
      </w:pPr>
      <w:r>
        <w:rPr>
          <w:sz w:val="24"/>
        </w:rPr>
        <w:t>7.1.2</w:t>
      </w:r>
      <w:r>
        <w:rPr>
          <w:sz w:val="24"/>
        </w:rPr>
        <w:t>合同设备全部到指定地点交付并完成安装及验收合格后，乙方须向甲方提供以下相应资料和合同全额发票，对于满足合同约定支付条件的，甲方自收到请款函后</w:t>
      </w:r>
      <w:r>
        <w:rPr>
          <w:sz w:val="24"/>
        </w:rPr>
        <w:t>5</w:t>
      </w:r>
      <w:r>
        <w:rPr>
          <w:sz w:val="24"/>
        </w:rPr>
        <w:t>个工作日内办理支付手续，自收到发票后</w:t>
      </w:r>
      <w:r>
        <w:rPr>
          <w:sz w:val="24"/>
        </w:rPr>
        <w:t>15</w:t>
      </w:r>
      <w:r>
        <w:rPr>
          <w:sz w:val="24"/>
        </w:rPr>
        <w:t>日内完成资金支付，支付合同金额的</w:t>
      </w:r>
      <w:r>
        <w:rPr>
          <w:sz w:val="24"/>
        </w:rPr>
        <w:t>70%</w:t>
      </w:r>
      <w:r>
        <w:rPr>
          <w:sz w:val="24"/>
        </w:rPr>
        <w:t>：</w:t>
      </w:r>
    </w:p>
    <w:p>
      <w:pPr>
        <w:jc w:val="both"/>
      </w:pPr>
      <w:r>
        <w:rPr>
          <w:sz w:val="24"/>
        </w:rPr>
        <w:t>（</w:t>
      </w:r>
      <w:r>
        <w:rPr>
          <w:sz w:val="24"/>
        </w:rPr>
        <w:t>1</w:t>
      </w:r>
      <w:r>
        <w:rPr>
          <w:sz w:val="24"/>
        </w:rPr>
        <w:t>）合同复印件；</w:t>
      </w:r>
    </w:p>
    <w:p>
      <w:pPr>
        <w:jc w:val="both"/>
      </w:pPr>
      <w:r>
        <w:rPr>
          <w:sz w:val="24"/>
        </w:rPr>
        <w:t>（</w:t>
      </w:r>
      <w:r>
        <w:rPr>
          <w:sz w:val="24"/>
        </w:rPr>
        <w:t>2</w:t>
      </w:r>
      <w:r>
        <w:rPr>
          <w:sz w:val="24"/>
        </w:rPr>
        <w:t>） 验收合格报告</w:t>
      </w:r>
    </w:p>
    <w:p>
      <w:pPr>
        <w:jc w:val="both"/>
      </w:pPr>
    </w:p>
    <w:p>
      <w:pPr>
        <w:ind w:firstLine="282"/>
        <w:jc w:val="both"/>
      </w:pPr>
      <w:r>
        <w:rPr>
          <w:b/>
          <w:sz w:val="24"/>
        </w:rPr>
        <w:t>8.</w:t>
      </w:r>
      <w:r>
        <w:rPr>
          <w:b/>
          <w:sz w:val="24"/>
        </w:rPr>
        <w:t>技术服务</w:t>
      </w:r>
    </w:p>
    <w:p>
      <w:pPr>
        <w:jc w:val="both"/>
      </w:pPr>
      <w:r>
        <w:rPr>
          <w:sz w:val="24"/>
        </w:rPr>
        <w:t xml:space="preserve">   8.1</w:t>
      </w:r>
      <w:r>
        <w:rPr>
          <w:sz w:val="24"/>
        </w:rPr>
        <w:t>乙方应派员到甲方指定地点配合工作。</w:t>
      </w:r>
    </w:p>
    <w:p>
      <w:pPr>
        <w:jc w:val="both"/>
      </w:pPr>
      <w:r>
        <w:rPr>
          <w:sz w:val="24"/>
        </w:rPr>
        <w:t>8.2</w:t>
      </w:r>
      <w:r>
        <w:rPr>
          <w:sz w:val="24"/>
        </w:rPr>
        <w:t>乙方按甲方提供的合同执行进度计划，再配合甲方及有关单位，以此做好合同执行进度上的配合工作。</w:t>
      </w:r>
    </w:p>
    <w:p>
      <w:pPr>
        <w:jc w:val="both"/>
      </w:pPr>
    </w:p>
    <w:p>
      <w:pPr>
        <w:jc w:val="both"/>
      </w:pPr>
      <w:r>
        <w:rPr>
          <w:b/>
          <w:sz w:val="24"/>
        </w:rPr>
        <w:t>9.</w:t>
      </w:r>
      <w:r>
        <w:rPr>
          <w:b/>
          <w:sz w:val="24"/>
        </w:rPr>
        <w:t>不可抗力</w:t>
      </w:r>
    </w:p>
    <w:p>
      <w:pPr>
        <w:jc w:val="both"/>
      </w:pPr>
      <w:r>
        <w:rPr>
          <w:sz w:val="24"/>
        </w:rPr>
        <w:t>9.1</w:t>
      </w:r>
      <w:r>
        <w:rPr>
          <w:sz w:val="24"/>
        </w:rPr>
        <w:t>不可抗力指战争、严重火灾、洪水、台风、地震等或其它双方认定的不可抗力事件。</w:t>
      </w:r>
    </w:p>
    <w:p>
      <w:pPr>
        <w:jc w:val="both"/>
      </w:pPr>
      <w:r>
        <w:rPr>
          <w:sz w:val="24"/>
        </w:rPr>
        <w:t>9.2</w:t>
      </w:r>
      <w:r>
        <w:rPr>
          <w:sz w:val="24"/>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both"/>
      </w:pPr>
    </w:p>
    <w:p>
      <w:pPr>
        <w:jc w:val="both"/>
      </w:pPr>
      <w:r>
        <w:rPr>
          <w:b/>
          <w:sz w:val="24"/>
        </w:rPr>
        <w:t>10.</w:t>
      </w:r>
      <w:r>
        <w:rPr>
          <w:b/>
          <w:sz w:val="24"/>
        </w:rPr>
        <w:t>索赔</w:t>
      </w:r>
    </w:p>
    <w:p>
      <w:pPr>
        <w:jc w:val="both"/>
      </w:pPr>
      <w:r>
        <w:rPr>
          <w:sz w:val="24"/>
        </w:rPr>
        <w:t>10.1</w:t>
      </w:r>
      <w:r>
        <w:rPr>
          <w:sz w:val="24"/>
        </w:rPr>
        <w:t>如有异议，甲方有权根据有关政府部门的检验结果向乙方提出索赔。</w:t>
      </w:r>
    </w:p>
    <w:p>
      <w:pPr>
        <w:jc w:val="both"/>
      </w:pPr>
      <w:r>
        <w:rPr>
          <w:sz w:val="24"/>
        </w:rPr>
        <w:t>10.2</w:t>
      </w:r>
      <w:r>
        <w:rPr>
          <w:sz w:val="24"/>
        </w:rPr>
        <w:t>在合同执行期间，如果乙方对甲方提出的索赔和差异负有责任，乙方应按照甲方同意的下列一种或多种方式解决索赔事宜：</w:t>
      </w:r>
    </w:p>
    <w:p>
      <w:pPr>
        <w:jc w:val="both"/>
      </w:pPr>
      <w:r>
        <w:rPr>
          <w:sz w:val="24"/>
        </w:rPr>
        <w:t>（</w:t>
      </w:r>
      <w:r>
        <w:rPr>
          <w:sz w:val="24"/>
        </w:rPr>
        <w:t>1</w:t>
      </w:r>
      <w:r>
        <w:rPr>
          <w:sz w:val="24"/>
        </w:rPr>
        <w:t>）</w:t>
      </w:r>
      <w:r>
        <w:rPr>
          <w:sz w:val="24"/>
        </w:rPr>
        <w:t>乙方同意退货，并按合同规定的同种货币将货款退还给甲方，并承担由此发生的一切损失和费用。</w:t>
      </w:r>
    </w:p>
    <w:p>
      <w:pPr>
        <w:jc w:val="both"/>
      </w:pPr>
      <w:r>
        <w:rPr>
          <w:sz w:val="24"/>
        </w:rPr>
        <w:t>（</w:t>
      </w:r>
      <w:r>
        <w:rPr>
          <w:sz w:val="24"/>
        </w:rPr>
        <w:t>2</w:t>
      </w:r>
      <w:r>
        <w:rPr>
          <w:sz w:val="24"/>
        </w:rPr>
        <w:t>）</w:t>
      </w:r>
      <w:r>
        <w:rPr>
          <w:sz w:val="24"/>
        </w:rPr>
        <w:t>根据货物低劣程度、损坏程度以及甲方所遭受损失的数额甲乙双方商定降低货物的价格。</w:t>
      </w:r>
    </w:p>
    <w:p>
      <w:pPr>
        <w:jc w:val="both"/>
      </w:pPr>
      <w:r>
        <w:rPr>
          <w:sz w:val="24"/>
        </w:rPr>
        <w:t>（</w:t>
      </w:r>
      <w:r>
        <w:rPr>
          <w:sz w:val="24"/>
        </w:rPr>
        <w:t>3</w:t>
      </w:r>
      <w:r>
        <w:rPr>
          <w:sz w:val="24"/>
        </w:rPr>
        <w:t>）</w:t>
      </w:r>
      <w:r>
        <w:rPr>
          <w:sz w:val="24"/>
        </w:rPr>
        <w:t>用符合规格、质量和性能要求的新零件、部件或货物来更换有缺陷的部分或修补缺陷的部分，乙方应承担一切费用和风险并负担甲方所发生的一切直接费用。同时，相应延长质量保证期。</w:t>
      </w:r>
    </w:p>
    <w:p>
      <w:pPr>
        <w:jc w:val="both"/>
      </w:pPr>
      <w:r>
        <w:rPr>
          <w:sz w:val="24"/>
        </w:rPr>
        <w:t>10.3</w:t>
      </w:r>
      <w:r>
        <w:rPr>
          <w:sz w:val="24"/>
        </w:rPr>
        <w:t>如果在甲方发出索赔通知后</w:t>
      </w:r>
      <w:r>
        <w:rPr>
          <w:sz w:val="24"/>
        </w:rPr>
        <w:t>30</w:t>
      </w:r>
      <w:r>
        <w:rPr>
          <w:sz w:val="24"/>
        </w:rPr>
        <w:t>天内，乙方未作答复，上述索赔应视为已被乙方接受。甲方将从合同款项中扣回索赔金额。如果这些金额不足以补偿索赔金额，甲方有权向乙方提出不足部分的补偿。</w:t>
      </w:r>
    </w:p>
    <w:p>
      <w:pPr>
        <w:jc w:val="both"/>
      </w:pPr>
    </w:p>
    <w:p>
      <w:pPr>
        <w:jc w:val="both"/>
      </w:pPr>
      <w:r>
        <w:rPr>
          <w:sz w:val="21"/>
        </w:rPr>
        <w:t xml:space="preserve">  </w:t>
      </w:r>
      <w:r>
        <w:rPr>
          <w:b/>
          <w:sz w:val="24"/>
        </w:rPr>
        <w:t>11.</w:t>
      </w:r>
      <w:r>
        <w:rPr>
          <w:b/>
          <w:sz w:val="24"/>
        </w:rPr>
        <w:t>违约与处罚</w:t>
      </w:r>
    </w:p>
    <w:p>
      <w:pPr>
        <w:jc w:val="both"/>
      </w:pPr>
      <w:r>
        <w:rPr>
          <w:sz w:val="24"/>
        </w:rPr>
        <w:t>11.1</w:t>
      </w:r>
      <w:r>
        <w:rPr>
          <w:sz w:val="24"/>
        </w:rPr>
        <w:t>甲方应依合同规定时间内，向乙方支付货款，每拖延一天乙方可向甲方加收合同金额的</w:t>
      </w:r>
      <w:r>
        <w:rPr>
          <w:sz w:val="24"/>
        </w:rPr>
        <w:t>3</w:t>
      </w:r>
      <w:r>
        <w:rPr>
          <w:sz w:val="24"/>
        </w:rPr>
        <w:t>‰的违约金，累计不超过合同金额的</w:t>
      </w:r>
      <w:r>
        <w:rPr>
          <w:sz w:val="24"/>
        </w:rPr>
        <w:t>3%</w:t>
      </w:r>
      <w:r>
        <w:rPr>
          <w:sz w:val="24"/>
        </w:rPr>
        <w:t>。</w:t>
      </w:r>
    </w:p>
    <w:p>
      <w:pPr>
        <w:jc w:val="both"/>
      </w:pPr>
      <w:r>
        <w:rPr>
          <w:sz w:val="24"/>
        </w:rPr>
        <w:t>11.2</w:t>
      </w:r>
      <w:r>
        <w:rPr>
          <w:sz w:val="24"/>
        </w:rPr>
        <w:t xml:space="preserve"> </w:t>
      </w:r>
      <w:r>
        <w:rPr>
          <w:sz w:val="24"/>
        </w:rPr>
        <w:t>乙方未能按本合同规定的交货时间交付货物的，从逾期之日起每日按本合同总价</w:t>
      </w:r>
      <w:r>
        <w:rPr>
          <w:sz w:val="24"/>
        </w:rPr>
        <w:t>3</w:t>
      </w:r>
      <w:r>
        <w:rPr>
          <w:sz w:val="24"/>
        </w:rPr>
        <w:t>‰的数额向甲方支付违约金；逾期半个月以上的，甲方有权终止合同，乙方须支付甲方合同总价</w:t>
      </w:r>
      <w:r>
        <w:rPr>
          <w:sz w:val="24"/>
        </w:rPr>
        <w:t>20%</w:t>
      </w:r>
      <w:r>
        <w:rPr>
          <w:sz w:val="24"/>
        </w:rPr>
        <w:t>的违约金，由此造成的甲方经济损失由乙方承担。</w:t>
      </w:r>
    </w:p>
    <w:p>
      <w:pPr>
        <w:jc w:val="both"/>
      </w:pPr>
      <w:r>
        <w:rPr>
          <w:sz w:val="24"/>
        </w:rPr>
        <w:t>11.3</w:t>
      </w:r>
      <w:r>
        <w:rPr>
          <w:sz w:val="24"/>
        </w:rPr>
        <w:t>乙方交付的货物不符合合同规定的，甲方有权拒收，乙方向甲方支付合同金额的</w:t>
      </w:r>
      <w:r>
        <w:rPr>
          <w:sz w:val="24"/>
        </w:rPr>
        <w:t>5%</w:t>
      </w:r>
      <w:r>
        <w:rPr>
          <w:sz w:val="24"/>
        </w:rPr>
        <w:t>的违约金。</w:t>
      </w:r>
    </w:p>
    <w:p>
      <w:pPr>
        <w:jc w:val="both"/>
      </w:pPr>
      <w:r>
        <w:rPr>
          <w:sz w:val="24"/>
        </w:rPr>
        <w:t>11.4</w:t>
      </w:r>
      <w:r>
        <w:rPr>
          <w:sz w:val="24"/>
        </w:rPr>
        <w:t>甲方无正当理由拒收货物的，甲方向乙方支付合同金额的</w:t>
      </w:r>
      <w:r>
        <w:rPr>
          <w:sz w:val="24"/>
        </w:rPr>
        <w:t>5%</w:t>
      </w:r>
      <w:r>
        <w:rPr>
          <w:sz w:val="24"/>
        </w:rPr>
        <w:t>的违约金。</w:t>
      </w:r>
    </w:p>
    <w:p>
      <w:pPr>
        <w:jc w:val="both"/>
      </w:pPr>
      <w:r>
        <w:rPr>
          <w:sz w:val="24"/>
        </w:rPr>
        <w:t>11.5</w:t>
      </w:r>
      <w:r>
        <w:rPr>
          <w:sz w:val="24"/>
        </w:rPr>
        <w:t>乙方未能交付货物，则向甲方支付合同金额的</w:t>
      </w:r>
      <w:r>
        <w:rPr>
          <w:sz w:val="24"/>
        </w:rPr>
        <w:t>7.5%</w:t>
      </w:r>
      <w:r>
        <w:rPr>
          <w:sz w:val="24"/>
        </w:rPr>
        <w:t>的违约金。所造成的甲方损失超过违约金的，乙方应该补偿损失部分。</w:t>
      </w:r>
    </w:p>
    <w:p>
      <w:pPr>
        <w:jc w:val="left"/>
      </w:pPr>
      <w:r>
        <w:rPr>
          <w:sz w:val="24"/>
        </w:rPr>
        <w:t xml:space="preserve">11.6  </w:t>
      </w:r>
      <w:r>
        <w:rPr>
          <w:sz w:val="24"/>
        </w:rPr>
        <w:t>因货物质量问题或维修、维护不及时造成甲方或第三方财产或人身损害的一切损失，由乙方承担赔偿责任。</w:t>
      </w:r>
    </w:p>
    <w:p>
      <w:pPr>
        <w:jc w:val="left"/>
      </w:pPr>
    </w:p>
    <w:p>
      <w:pPr>
        <w:jc w:val="both"/>
      </w:pPr>
      <w:r>
        <w:rPr>
          <w:b/>
          <w:sz w:val="24"/>
        </w:rPr>
        <w:t>12</w:t>
      </w:r>
      <w:r>
        <w:rPr>
          <w:b/>
          <w:sz w:val="24"/>
        </w:rPr>
        <w:t>合同终止</w:t>
      </w:r>
    </w:p>
    <w:p>
      <w:pPr>
        <w:jc w:val="both"/>
      </w:pPr>
      <w:r>
        <w:rPr>
          <w:sz w:val="24"/>
        </w:rPr>
        <w:t>如果一方严重违反合同，并在收到对方违约通知书后在</w:t>
      </w:r>
      <w:r>
        <w:rPr>
          <w:sz w:val="24"/>
        </w:rPr>
        <w:t>30</w:t>
      </w:r>
      <w:r>
        <w:rPr>
          <w:sz w:val="24"/>
        </w:rPr>
        <w:t>天内仍未能改正违约的另一方可立即终止本合同。</w:t>
      </w:r>
    </w:p>
    <w:p>
      <w:pPr>
        <w:jc w:val="both"/>
      </w:pPr>
    </w:p>
    <w:p>
      <w:pPr>
        <w:ind w:firstLine="207"/>
        <w:jc w:val="both"/>
      </w:pPr>
      <w:r>
        <w:rPr>
          <w:b/>
          <w:sz w:val="24"/>
        </w:rPr>
        <w:t>13.</w:t>
      </w:r>
      <w:r>
        <w:rPr>
          <w:b/>
          <w:sz w:val="24"/>
        </w:rPr>
        <w:t>法律诉讼</w:t>
      </w:r>
    </w:p>
    <w:p>
      <w:pPr>
        <w:jc w:val="both"/>
      </w:pPr>
      <w:r>
        <w:rPr>
          <w:sz w:val="24"/>
        </w:rPr>
        <w:t>签约双方在履约中发生争执和分歧，双方应通过友好协商解决，若经协商不能达成协议时，则可向甲方所在地人民法院提起诉讼。受理期间，双方应继续执行合同其余部分。</w:t>
      </w:r>
    </w:p>
    <w:p>
      <w:pPr>
        <w:jc w:val="both"/>
      </w:pPr>
    </w:p>
    <w:p>
      <w:pPr>
        <w:ind w:firstLine="240"/>
        <w:jc w:val="both"/>
      </w:pPr>
      <w:r>
        <w:rPr>
          <w:b/>
          <w:sz w:val="24"/>
        </w:rPr>
        <w:t>14.</w:t>
      </w:r>
      <w:r>
        <w:rPr>
          <w:b/>
          <w:sz w:val="24"/>
        </w:rPr>
        <w:t>其他</w:t>
      </w:r>
    </w:p>
    <w:p>
      <w:pPr>
        <w:jc w:val="both"/>
      </w:pPr>
      <w:r>
        <w:rPr>
          <w:sz w:val="21"/>
        </w:rPr>
        <w:t>14.1</w:t>
      </w:r>
      <w:r>
        <w:rPr>
          <w:sz w:val="24"/>
        </w:rPr>
        <w:t>本合同正本一式</w:t>
      </w:r>
      <w:r>
        <w:rPr>
          <w:sz w:val="21"/>
          <w:u w:val="single"/>
        </w:rPr>
        <w:t xml:space="preserve">   </w:t>
      </w:r>
      <w:r>
        <w:rPr>
          <w:sz w:val="24"/>
        </w:rPr>
        <w:t>份，具有同等法律效力，甲方</w:t>
      </w:r>
      <w:r>
        <w:rPr>
          <w:sz w:val="21"/>
          <w:u w:val="single"/>
        </w:rPr>
        <w:t xml:space="preserve">  </w:t>
      </w:r>
      <w:r>
        <w:rPr>
          <w:sz w:val="24"/>
        </w:rPr>
        <w:t>份、乙方及招标代理机构各</w:t>
      </w:r>
      <w:r>
        <w:rPr>
          <w:sz w:val="21"/>
          <w:u w:val="single"/>
        </w:rPr>
        <w:t xml:space="preserve">  </w:t>
      </w:r>
      <w:r>
        <w:rPr>
          <w:sz w:val="24"/>
        </w:rPr>
        <w:t>份。合同自双方签字盖章之日起生效。</w:t>
      </w:r>
    </w:p>
    <w:p>
      <w:pPr>
        <w:ind w:firstLine="227"/>
        <w:jc w:val="both"/>
      </w:pPr>
      <w:r>
        <w:rPr>
          <w:sz w:val="24"/>
        </w:rPr>
        <w:t>14.2</w:t>
      </w:r>
      <w:r>
        <w:rPr>
          <w:sz w:val="24"/>
        </w:rPr>
        <w:t>本合同未尽事宜，由双方协商处理，可达成书面补充协议。</w:t>
      </w:r>
    </w:p>
    <w:p>
      <w:pPr>
        <w:jc w:val="both"/>
      </w:pPr>
    </w:p>
    <w:p>
      <w:pPr>
        <w:jc w:val="both"/>
      </w:pPr>
    </w:p>
    <w:p>
      <w:pPr>
        <w:jc w:val="both"/>
      </w:pPr>
      <w:r>
        <w:rPr>
          <w:b/>
          <w:sz w:val="21"/>
        </w:rPr>
        <w:t>甲方：</w:t>
      </w:r>
      <w:r>
        <w:rPr>
          <w:b/>
          <w:sz w:val="21"/>
        </w:rPr>
        <w:t xml:space="preserve">                               </w:t>
      </w:r>
      <w:r>
        <w:rPr>
          <w:b/>
          <w:sz w:val="21"/>
        </w:rPr>
        <w:t xml:space="preserve">                  </w:t>
      </w:r>
      <w:r>
        <w:rPr>
          <w:b/>
          <w:sz w:val="21"/>
        </w:rPr>
        <w:t>乙方：</w:t>
      </w:r>
    </w:p>
    <w:p>
      <w:pPr>
        <w:jc w:val="left"/>
      </w:pPr>
      <w:r>
        <w:rPr>
          <w:b/>
          <w:sz w:val="21"/>
        </w:rPr>
        <w:t>广州市番禺区中心医院</w:t>
      </w:r>
      <w:r>
        <w:rPr>
          <w:b/>
          <w:sz w:val="21"/>
        </w:rPr>
        <w:t xml:space="preserve">                          </w:t>
      </w:r>
      <w:r>
        <w:rPr>
          <w:b/>
          <w:sz w:val="21"/>
        </w:rPr>
        <w:t xml:space="preserve"> </w:t>
      </w:r>
    </w:p>
    <w:p>
      <w:pPr>
        <w:jc w:val="both"/>
      </w:pPr>
      <w:r>
        <w:rPr>
          <w:b/>
          <w:sz w:val="21"/>
        </w:rPr>
        <w:t>法人代表：</w:t>
      </w:r>
      <w:r>
        <w:rPr>
          <w:b/>
          <w:sz w:val="21"/>
        </w:rPr>
        <w:t xml:space="preserve">    </w:t>
      </w:r>
      <w:r>
        <w:rPr>
          <w:b/>
          <w:sz w:val="21"/>
        </w:rPr>
        <w:t>法人代表：</w:t>
      </w:r>
      <w:r>
        <w:rPr>
          <w:b/>
          <w:sz w:val="21"/>
        </w:rPr>
        <w:t xml:space="preserve"> </w:t>
      </w:r>
    </w:p>
    <w:p>
      <w:pPr>
        <w:jc w:val="both"/>
      </w:pPr>
      <w:r>
        <w:rPr>
          <w:b/>
          <w:sz w:val="21"/>
        </w:rPr>
        <w:t>签约代表</w:t>
      </w:r>
      <w:r>
        <w:rPr>
          <w:b/>
          <w:sz w:val="21"/>
        </w:rPr>
        <w:t xml:space="preserve"> </w:t>
      </w:r>
      <w:r>
        <w:rPr>
          <w:b/>
          <w:sz w:val="21"/>
        </w:rPr>
        <w:t>：</w:t>
      </w:r>
      <w:r>
        <w:rPr>
          <w:b/>
          <w:sz w:val="21"/>
        </w:rPr>
        <w:t xml:space="preserve">                               </w:t>
      </w:r>
      <w:r>
        <w:rPr>
          <w:b/>
          <w:sz w:val="21"/>
        </w:rPr>
        <w:t xml:space="preserve">              </w:t>
      </w:r>
      <w:r>
        <w:rPr>
          <w:b/>
          <w:sz w:val="21"/>
        </w:rPr>
        <w:t>签约代表：</w:t>
      </w:r>
      <w:r>
        <w:rPr>
          <w:b/>
          <w:sz w:val="21"/>
        </w:rPr>
        <w:t xml:space="preserve"> </w:t>
      </w:r>
    </w:p>
    <w:p>
      <w:pPr>
        <w:jc w:val="both"/>
      </w:pPr>
      <w:r>
        <w:rPr>
          <w:b/>
          <w:sz w:val="21"/>
        </w:rPr>
        <w:t>地址：广州市番禺区桥南街福愉东路</w:t>
      </w:r>
      <w:r>
        <w:rPr>
          <w:b/>
          <w:sz w:val="21"/>
        </w:rPr>
        <w:t>8</w:t>
      </w:r>
      <w:r>
        <w:rPr>
          <w:b/>
          <w:sz w:val="21"/>
        </w:rPr>
        <w:t>号</w:t>
      </w:r>
      <w:r>
        <w:rPr>
          <w:b/>
          <w:sz w:val="21"/>
        </w:rPr>
        <w:t xml:space="preserve">         </w:t>
      </w:r>
      <w:r>
        <w:rPr>
          <w:b/>
          <w:sz w:val="21"/>
        </w:rPr>
        <w:t>地址：</w:t>
      </w:r>
      <w:r>
        <w:rPr>
          <w:b/>
          <w:sz w:val="21"/>
        </w:rPr>
        <w:t xml:space="preserve"> </w:t>
      </w:r>
    </w:p>
    <w:p>
      <w:pPr>
        <w:jc w:val="both"/>
      </w:pPr>
      <w:r>
        <w:rPr>
          <w:b/>
          <w:sz w:val="21"/>
        </w:rPr>
        <w:t>电话：</w:t>
      </w:r>
      <w:r>
        <w:rPr>
          <w:b/>
          <w:sz w:val="21"/>
        </w:rPr>
        <w:t>020-3485822</w:t>
      </w:r>
      <w:r>
        <w:rPr>
          <w:b/>
          <w:sz w:val="21"/>
        </w:rPr>
        <w:t>3</w:t>
      </w:r>
      <w:r>
        <w:rPr>
          <w:b/>
          <w:sz w:val="21"/>
        </w:rPr>
        <w:t xml:space="preserve">                      </w:t>
      </w:r>
      <w:r>
        <w:rPr>
          <w:b/>
          <w:sz w:val="21"/>
        </w:rPr>
        <w:t>电话：</w:t>
      </w:r>
    </w:p>
    <w:p>
      <w:pPr>
        <w:jc w:val="both"/>
      </w:pPr>
      <w:r>
        <w:rPr>
          <w:b/>
          <w:sz w:val="21"/>
        </w:rPr>
        <w:t>传真</w:t>
      </w:r>
      <w:r>
        <w:rPr>
          <w:b/>
          <w:sz w:val="21"/>
        </w:rPr>
        <w:t xml:space="preserve">:  020-34858220                                         </w:t>
      </w:r>
      <w:r>
        <w:rPr>
          <w:b/>
          <w:sz w:val="21"/>
        </w:rPr>
        <w:t>传真：</w:t>
      </w:r>
    </w:p>
    <w:p>
      <w:pPr>
        <w:jc w:val="both"/>
      </w:pP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 xml:space="preserve">      </w:t>
      </w:r>
      <w:r>
        <w:rPr>
          <w:b/>
          <w:sz w:val="21"/>
        </w:rPr>
        <w:t xml:space="preserve">             </w:t>
      </w:r>
      <w:r>
        <w:rPr>
          <w:b/>
          <w:sz w:val="21"/>
        </w:rPr>
        <w:t>签约日期：</w:t>
      </w:r>
      <w:r>
        <w:rPr>
          <w:b/>
          <w:sz w:val="21"/>
        </w:rPr>
        <w:t xml:space="preserve">  </w:t>
      </w:r>
      <w:r>
        <w:rPr>
          <w:b/>
          <w:sz w:val="21"/>
        </w:rPr>
        <w:t xml:space="preserve">   </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jc w:val="both"/>
      </w:pPr>
      <w:r>
        <w:rPr>
          <w:b/>
          <w:sz w:val="21"/>
        </w:rPr>
        <w:t xml:space="preserve">                                         </w:t>
      </w:r>
      <w:r>
        <w:rPr>
          <w:b/>
          <w:sz w:val="21"/>
        </w:rPr>
        <w:t xml:space="preserve">   </w:t>
      </w:r>
      <w:r>
        <w:rPr>
          <w:b/>
          <w:sz w:val="21"/>
        </w:rPr>
        <w:t xml:space="preserve">                 </w:t>
      </w:r>
      <w:r>
        <w:rPr>
          <w:b/>
          <w:sz w:val="21"/>
        </w:rPr>
        <w:t>开户银行：</w:t>
      </w:r>
      <w:r>
        <w:rPr>
          <w:b/>
          <w:sz w:val="21"/>
        </w:rPr>
        <w:t xml:space="preserve"> </w:t>
      </w:r>
    </w:p>
    <w:p>
      <w:pPr>
        <w:jc w:val="both"/>
      </w:pPr>
      <w:r>
        <w:rPr>
          <w:sz w:val="21"/>
        </w:rPr>
        <w:t xml:space="preserve">                                             </w:t>
      </w:r>
      <w:r>
        <w:rPr>
          <w:b/>
          <w:sz w:val="21"/>
        </w:rPr>
        <w:t xml:space="preserve">                               </w:t>
      </w:r>
      <w:r>
        <w:rPr>
          <w:b/>
          <w:sz w:val="21"/>
        </w:rPr>
        <w:t xml:space="preserve"> </w:t>
      </w:r>
      <w:r>
        <w:rPr>
          <w:b/>
          <w:sz w:val="21"/>
        </w:rPr>
        <w:t>账</w:t>
      </w:r>
      <w:r>
        <w:rPr>
          <w:b/>
          <w:sz w:val="21"/>
        </w:rPr>
        <w:t xml:space="preserve"> </w:t>
      </w:r>
      <w:r>
        <w:rPr>
          <w:b/>
          <w:sz w:val="21"/>
        </w:rPr>
        <w:t>号：</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440113-2023-08223</w:t>
      </w:r>
    </w:p>
    <w:p>
      <w:pPr>
        <w:jc w:val="center"/>
      </w:pPr>
      <w:r>
        <w:rPr>
          <w:b/>
          <w:sz w:val="24"/>
        </w:rPr>
        <w:t>采购项目编号：</w:t>
      </w:r>
      <w:r>
        <w:rPr>
          <w:b/>
          <w:sz w:val="24"/>
        </w:rPr>
        <w:t>GZGK23D295A0931Z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广州市番禺区中心医院医疗设备采购项目（八）(二次)</w:t>
      </w:r>
      <w:r>
        <w:rPr>
          <w:u w:val="single"/>
        </w:rPr>
        <w:t>”</w:t>
      </w:r>
      <w:r>
        <w:rPr/>
        <w:t>项目的招标[采购项目编号为：</w:t>
      </w:r>
      <w:r>
        <w:rPr>
          <w:u w:val="single"/>
        </w:rPr>
        <w:t>GZGK23D295A0931Z</w:t>
      </w:r>
      <w:r>
        <w:rPr/>
        <w:t>]，我方愿参与投标。</w:t>
      </w:r>
    </w:p>
    <w:p>
      <w:pPr>
        <w:ind w:firstLine="480"/>
      </w:pPr>
      <w:r>
        <w:rPr/>
        <w:t>我方确认收到贵方提供的</w:t>
      </w:r>
      <w:r>
        <w:rPr>
          <w:u w:val="single"/>
        </w:rPr>
        <w:t>“</w:t>
      </w:r>
      <w:r>
        <w:rPr>
          <w:u w:val="single"/>
        </w:rPr>
        <w:t>广州市番禺区中心医院医疗设备采购项目（八）(二次)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广州市番禺区中心医院医疗设备采购项目（八）(二次)</w:t>
      </w:r>
      <w:r>
        <w:rPr/>
        <w:t>”项目采购[采购项目编号为</w:t>
      </w:r>
      <w:r>
        <w:rPr/>
        <w:t>GZGK23D295A0931Z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广州市番禺区中心医院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广州市番禺区中心医院医疗设备采购项目（八）(二次)</w:t>
      </w:r>
      <w:r>
        <w:rPr/>
        <w:t>招标中获中标（采购项目编号：</w:t>
      </w:r>
      <w:r>
        <w:rPr/>
        <w:t>GZGK23D295A0931Z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