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440118-2022-06302</w:t>
      </w:r>
    </w:p>
    <w:p>
      <w:pPr>
        <w:jc w:val="center"/>
      </w:pPr>
      <w:r>
        <w:rPr>
          <w:b/>
          <w:sz w:val="24"/>
        </w:rPr>
        <w:t>采购项目编号：</w:t>
      </w:r>
      <w:r>
        <w:rPr>
          <w:b/>
          <w:sz w:val="24"/>
        </w:rPr>
        <w:t>GZGK22D233C0732C</w:t>
      </w:r>
    </w:p>
    <w:p>
      <w:pPr>
        <w:jc w:val="center"/>
      </w:pPr>
      <w:r>
        <w:rPr>
          <w:b/>
          <w:sz w:val="24"/>
        </w:rPr>
        <w:t>项目名称：</w:t>
      </w:r>
      <w:r>
        <w:rPr>
          <w:b/>
          <w:sz w:val="24"/>
        </w:rPr>
        <w:t>广州市增城区石滩镇人民政府租用工作用车采购项目</w:t>
      </w:r>
    </w:p>
    <w:p>
      <w:pPr>
        <w:jc w:val="center"/>
      </w:pPr>
      <w:r>
        <w:rPr>
          <w:b/>
          <w:sz w:val="24"/>
        </w:rPr>
        <w:t>采购人：</w:t>
      </w:r>
      <w:r>
        <w:rPr>
          <w:b/>
          <w:sz w:val="24"/>
        </w:rPr>
        <w:t>广州市增城区石滩镇人民政府</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广州市增城区石滩镇人民政府</w:t>
      </w:r>
      <w:r>
        <w:rPr/>
        <w:t>的委托，采用</w:t>
      </w:r>
      <w:r>
        <w:rPr/>
        <w:t>竞争性磋商</w:t>
      </w:r>
      <w:r>
        <w:rPr/>
        <w:t>方式组织采购</w:t>
      </w:r>
      <w:r>
        <w:rPr/>
        <w:t>广州市增城区石滩镇人民政府租用工作用车采购项目</w:t>
      </w:r>
      <w:r>
        <w:rPr/>
        <w:t>。欢迎符合资格条件的供应商参加。</w:t>
      </w:r>
    </w:p>
    <w:p>
      <w:r>
        <w:rPr>
          <w:b/>
          <w:sz w:val="28"/>
        </w:rPr>
        <w:t>一.项目概述</w:t>
      </w:r>
    </w:p>
    <w:p>
      <w:r>
        <w:rPr>
          <w:b/>
          <w:sz w:val="24"/>
        </w:rPr>
        <w:t>1.名称与编号</w:t>
      </w:r>
    </w:p>
    <w:p>
      <w:pPr>
        <w:ind w:firstLine="480"/>
      </w:pPr>
      <w:r>
        <w:rPr/>
        <w:t>采购项目名称：</w:t>
      </w:r>
      <w:r>
        <w:rPr/>
        <w:t>广州市增城区石滩镇人民政府租用工作用车采购项目</w:t>
      </w:r>
    </w:p>
    <w:p>
      <w:pPr>
        <w:ind w:firstLine="480"/>
      </w:pPr>
      <w:r>
        <w:rPr/>
        <w:t>采购计划编号：</w:t>
      </w:r>
      <w:r>
        <w:rPr/>
        <w:t>440118-2022-06302</w:t>
      </w:r>
    </w:p>
    <w:p>
      <w:pPr>
        <w:ind w:firstLine="480"/>
      </w:pPr>
      <w:r>
        <w:rPr/>
        <w:t>采购项目编号：</w:t>
      </w:r>
      <w:r>
        <w:rPr/>
        <w:t>GZGK22D233C0732C</w:t>
      </w:r>
    </w:p>
    <w:p>
      <w:pPr>
        <w:ind w:firstLine="480"/>
      </w:pPr>
      <w:r>
        <w:rPr/>
        <w:t>采购方式：</w:t>
      </w:r>
      <w:r>
        <w:rPr/>
        <w:t>竞争性磋商</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采购包1(公务保障用车):</w:t>
      </w:r>
    </w:p>
    <w:p>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车辆及其他运输机械租赁服务</w:t>
            </w:r>
          </w:p>
        </w:tc>
        <w:tc>
          <w:tcPr>
            <w:tcW w:type="dxa" w:w="2052"/>
          </w:tcPr>
          <w:p>
            <w:r>
              <w:rPr/>
              <w:t>公务保障用车</w:t>
            </w:r>
          </w:p>
        </w:tc>
        <w:tc>
          <w:tcPr>
            <w:tcW w:type="dxa" w:w="977"/>
          </w:tcPr>
          <w:p>
            <w:r>
              <w:rPr/>
              <w:t>1.00(项)</w:t>
            </w:r>
          </w:p>
        </w:tc>
        <w:tc>
          <w:tcPr>
            <w:tcW w:type="dxa" w:w="977"/>
          </w:tcPr>
          <w:p>
            <w:r>
              <w:rPr/>
              <w:t>详见第二章</w:t>
            </w:r>
          </w:p>
        </w:tc>
        <w:tc>
          <w:tcPr>
            <w:tcW w:type="dxa" w:w="977"/>
          </w:tcPr>
          <w:p>
            <w:r>
              <w:rPr/>
              <w:t>2,400,000.00</w:t>
            </w:r>
          </w:p>
        </w:tc>
        <w:tc>
          <w:tcPr>
            <w:tcW w:type="dxa" w:w="977"/>
          </w:tcPr>
          <w:p>
            <w:r>
              <w:rPr/>
              <w:t>否</w:t>
            </w:r>
          </w:p>
        </w:tc>
      </w:tr>
    </w:tbl>
    <w:p/>
    <w:p>
      <w:r>
        <w:rPr/>
        <w:t>本采购包不接受联合体响应</w:t>
      </w:r>
    </w:p>
    <w:p/>
    <w:p>
      <w:r>
        <w:rPr/>
        <w:t>合同履行期限：见“标的提供时间”要求。</w:t>
      </w:r>
    </w:p>
    <w:p/>
    <w:p>
      <w:r>
        <w:rPr/>
        <w:t>采购包2(干部职工上下班接送用车):</w:t>
      </w:r>
    </w:p>
    <w:p>
      <w:r>
        <w:rPr/>
        <w:t>采购包预算金额：336,000.00元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出租车客运服务</w:t>
            </w:r>
          </w:p>
        </w:tc>
        <w:tc>
          <w:tcPr>
            <w:tcW w:type="dxa" w:w="2052"/>
          </w:tcPr>
          <w:p>
            <w:r>
              <w:rPr/>
              <w:t>干部职工上下班接送用车</w:t>
            </w:r>
          </w:p>
        </w:tc>
        <w:tc>
          <w:tcPr>
            <w:tcW w:type="dxa" w:w="977"/>
          </w:tcPr>
          <w:p>
            <w:r>
              <w:rPr/>
              <w:t>1.00(项)</w:t>
            </w:r>
          </w:p>
        </w:tc>
        <w:tc>
          <w:tcPr>
            <w:tcW w:type="dxa" w:w="977"/>
          </w:tcPr>
          <w:p>
            <w:r>
              <w:rPr/>
              <w:t>详见第二章</w:t>
            </w:r>
          </w:p>
        </w:tc>
        <w:tc>
          <w:tcPr>
            <w:tcW w:type="dxa" w:w="977"/>
          </w:tcPr>
          <w:p>
            <w:r>
              <w:rPr/>
              <w:t>336,000.00</w:t>
            </w:r>
          </w:p>
        </w:tc>
        <w:tc>
          <w:tcPr>
            <w:tcW w:type="dxa" w:w="977"/>
          </w:tcPr>
          <w:p>
            <w:r>
              <w:rPr/>
              <w:t>否</w:t>
            </w:r>
          </w:p>
        </w:tc>
      </w:tr>
    </w:tbl>
    <w:p/>
    <w:p>
      <w:r>
        <w:rPr/>
        <w:t>本采购包不接受联合体响应</w:t>
      </w:r>
    </w:p>
    <w:p/>
    <w:p>
      <w:r>
        <w:rPr/>
        <w:t>合同履行期限：见“标的提供时间”要求。</w:t>
      </w:r>
    </w:p>
    <w:p/>
    <w:p>
      <w:r>
        <w:rPr/>
        <w:t>采购包3(专项行动临时保障用车):</w:t>
      </w:r>
    </w:p>
    <w:p>
      <w:r>
        <w:rPr/>
        <w:t>采购包预算金额：264,000.00元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出租车客运服务</w:t>
            </w:r>
          </w:p>
        </w:tc>
        <w:tc>
          <w:tcPr>
            <w:tcW w:type="dxa" w:w="2052"/>
          </w:tcPr>
          <w:p>
            <w:r>
              <w:rPr/>
              <w:t>专项行动临时保障用车</w:t>
            </w:r>
          </w:p>
        </w:tc>
        <w:tc>
          <w:tcPr>
            <w:tcW w:type="dxa" w:w="977"/>
          </w:tcPr>
          <w:p>
            <w:r>
              <w:rPr/>
              <w:t>1.00(项)</w:t>
            </w:r>
          </w:p>
        </w:tc>
        <w:tc>
          <w:tcPr>
            <w:tcW w:type="dxa" w:w="977"/>
          </w:tcPr>
          <w:p>
            <w:r>
              <w:rPr/>
              <w:t>详见第二章</w:t>
            </w:r>
          </w:p>
        </w:tc>
        <w:tc>
          <w:tcPr>
            <w:tcW w:type="dxa" w:w="977"/>
          </w:tcPr>
          <w:p>
            <w:r>
              <w:rPr/>
              <w:t>264,000.00</w:t>
            </w:r>
          </w:p>
        </w:tc>
        <w:tc>
          <w:tcPr>
            <w:tcW w:type="dxa" w:w="97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4）履行合同所必需的设备和专业技术能力：按响应文件格式填报设备及专业技术能力情况。</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采购包1（公务保障用车）：</w:t>
      </w:r>
      <w:r>
        <w:rPr/>
        <w:t>参与的供应商（联合体）服务全部由符合政策要求的中小企业承接。</w:t>
      </w:r>
    </w:p>
    <w:p>
      <w:pPr>
        <w:jc w:val="left"/>
      </w:pPr>
    </w:p>
    <w:p>
      <w:r>
        <w:rPr/>
        <w:t>采购包2（干部职工上下班接送用车）：</w:t>
      </w:r>
      <w:r>
        <w:rPr/>
        <w:t>参与的供应商（联合体）服务全部由符合政策要求的中小企业承接。</w:t>
      </w:r>
    </w:p>
    <w:p>
      <w:pPr>
        <w:jc w:val="left"/>
      </w:pPr>
    </w:p>
    <w:p>
      <w:r>
        <w:rPr/>
        <w:t>采购包3（专项行动临时保障用车）：</w:t>
      </w:r>
      <w:r>
        <w:rPr/>
        <w:t>参与的供应商（联合体）服务全部由符合政策要求的中小企业承接。</w:t>
      </w:r>
    </w:p>
    <w:p/>
    <w:p>
      <w:r>
        <w:rPr>
          <w:b/>
          <w:sz w:val="24"/>
        </w:rPr>
        <w:t>3.本项目特定的资格要求：</w:t>
      </w:r>
    </w:p>
    <w:p>
      <w:pPr>
        <w:ind w:firstLine="480"/>
      </w:pPr>
    </w:p>
    <w:p/>
    <w:p>
      <w:r>
        <w:rPr/>
        <w:t>采购包1（公务保障用车）：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p/>
    <w:p>
      <w:r>
        <w:rPr/>
        <w:t>3)已获取本项目采购文件。</w:t>
      </w:r>
    </w:p>
    <w:p/>
    <w:p>
      <w:r>
        <w:rPr/>
        <w:t>采购包2（干部职工上下班接送用车）：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p/>
    <w:p>
      <w:r>
        <w:rPr/>
        <w:t>3)具有交通行政主管部门核发有效的《道路运输经营许可证》。</w:t>
      </w:r>
    </w:p>
    <w:p/>
    <w:p>
      <w:r>
        <w:rPr/>
        <w:t>4)已获取本项目采购文件。</w:t>
      </w:r>
    </w:p>
    <w:p/>
    <w:p>
      <w:r>
        <w:rPr/>
        <w:t>采购包3（专项行动临时保障用车）：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p/>
    <w:p>
      <w:r>
        <w:rPr/>
        <w:t>3)具有交通行政主管部门核发有效的《道路运输经营许可证》。</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广州市增城区石滩镇人民政府</w:t>
      </w:r>
    </w:p>
    <w:p>
      <w:pPr>
        <w:ind w:firstLine="480"/>
      </w:pPr>
      <w:r>
        <w:rPr/>
        <w:t>地址：</w:t>
      </w:r>
      <w:r>
        <w:rPr/>
        <w:t>广州市增城区石滩镇解放南路38号</w:t>
      </w:r>
    </w:p>
    <w:p>
      <w:pPr>
        <w:ind w:firstLine="480"/>
      </w:pPr>
      <w:r>
        <w:rPr/>
        <w:t>联系方式：</w:t>
      </w:r>
      <w:r>
        <w:rPr/>
        <w:t>020-82923326</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项目概况内容（各采购包适用）</w:t>
      </w:r>
      <w:r>
        <w:br/>
      </w:r>
      <w:r>
        <w:rPr>
          <w:b/>
        </w:rPr>
        <w:t>（一）项目编号：</w:t>
      </w:r>
      <w:r>
        <w:rPr/>
        <w:t>GZGK22D233C0732C</w:t>
      </w:r>
      <w:r>
        <w:br/>
      </w:r>
      <w:r>
        <w:rPr>
          <w:b/>
        </w:rPr>
        <w:t>（二）项目名称：</w:t>
      </w:r>
      <w:r>
        <w:rPr/>
        <w:t>广州市增城区石滩镇人民政府租用工作用车采购项目</w:t>
      </w:r>
      <w:r>
        <w:br/>
      </w:r>
      <w:r>
        <w:rPr>
          <w:b/>
        </w:rPr>
        <w:t>（三）总体要求说明：</w:t>
      </w:r>
      <w:r>
        <w:br/>
      </w:r>
      <w:r>
        <w:rPr/>
        <w:t>1、标有“★”的条款为必须完全满足的实质性要求，响应供应商如有一项带“★”的条款未响应或负偏离，将按无效响应处理。</w:t>
      </w:r>
      <w:r>
        <w:br/>
      </w:r>
      <w:r>
        <w:rPr/>
        <w:t>2、标有“▲”的条款为重要性要求，响应供应商如有“▲”的条款未响应或负偏离的将被严重扣分。</w:t>
      </w:r>
      <w:r>
        <w:br/>
      </w:r>
      <w:r>
        <w:rPr/>
        <w:t>3、响应供应商应对采购需求中的服务指标在响应详细内容中列出明确承诺。如果响应供应商只注明“正偏离”或“无偏离”，将可能被视为“负偏离”，从而可能导致严重影响评标结果。</w:t>
      </w:r>
      <w:r>
        <w:br/>
      </w:r>
      <w:r>
        <w:rPr/>
        <w:t>4、响应供应商没有在响应文件中注明偏离（文字说明或在响应表注明）的参数、配置、条款视为被响应供应商完全接受。</w:t>
      </w:r>
      <w:r>
        <w:br/>
      </w:r>
      <w:r>
        <w:rPr/>
        <w:t>5、响应供应商应保证，采购人在中华人民共和国使用该服务或服务的任何一部分时，免受第三方提出的侵犯其专利权、商标权、著作权或其它知识产权的起诉。</w:t>
      </w:r>
      <w:r>
        <w:br/>
      </w:r>
      <w:r>
        <w:rPr/>
        <w:t>6、不允许成交供应商转包、分包成交采购包的内容。</w:t>
      </w:r>
      <w:r>
        <w:br/>
      </w:r>
      <w:r>
        <w:rPr/>
        <w:t>7、小型和微型企业、监狱企业和残疾人福利性单位必须按照投标须知的内容提供相应的资料。</w:t>
      </w:r>
      <w:r>
        <w:br/>
      </w:r>
      <w:r>
        <w:rPr/>
        <w:t>8、需落实政府采购政策为：促进中小企业发展政策、支持监狱企业发展政策、支持残疾人福利性单位发展政策、优先采购节能产品、环境标志产品相关政策等。</w:t>
      </w:r>
      <w:r>
        <w:br/>
      </w:r>
      <w:r>
        <w:rPr>
          <w:b/>
        </w:rPr>
        <w:t>（四）其他说明：</w:t>
      </w:r>
      <w:r>
        <w:br/>
      </w:r>
      <w:r>
        <w:rPr/>
        <w:t>1、本项目开标方式为远程开标。参与全流程云平台采购项目的供应商登录云平台通过“新供应商开标大厅”进行签到及响应文件的解密，签到需在开标时间前30分钟内完成，不需要委派代表前往开标现场。</w:t>
      </w:r>
      <w:r>
        <w:br/>
      </w:r>
      <w:r>
        <w:rPr/>
        <w:t>但为了保证开标程序顺利、高效地完成，在疫情防控政策允许的前提下，响应供应商亦可委派代表携带CA-key、存储有非加密响应文件的U盘及纸质响应文件前往开标现场进行签到、解密。供应商递交响应资料的法定代表人或授权代表须凭“健康码”绿码到达开标现场递交响应资料，否则采购人与采购代理机构有权拒绝接收其响应资料,由此产生的后果由供应商自行承担。</w:t>
      </w:r>
      <w:r>
        <w:br/>
      </w:r>
      <w:r>
        <w:rPr/>
        <w:t>2、纸质响应文件邮寄地址（邮寄地址：广州市增城区增城低碳总部园新城创业中心A15号楼208单元），收件人及电话：详见项目公告的项目联系人）。响应供应商如选择邮寄响应文件，请提前安排时间邮寄，务必保证响应文件于提交响应文件截止时间前到达上述地址（以签收时间为准），并及时将快递单号发送至招标代理机构邮箱：gzgk@gzgkbidding.com。</w:t>
      </w:r>
      <w:r>
        <w:br/>
      </w:r>
      <w:r>
        <w:rPr/>
        <w:t>3、采用竞争性谈判、竞争性磋商或单一来源采购方式的项目，进入评标阶段时，如需进行谈判或磋商的，供应商登录云平台通过“等候大厅”对专家发起的谈判或磋商进行响应。</w:t>
      </w:r>
      <w:r>
        <w:br/>
      </w:r>
      <w:r>
        <w:rPr/>
        <w:t>4、上述流程中供应商电脑需提前安装CA签章客户端，并运行CA证书。</w:t>
      </w:r>
      <w:r>
        <w:br/>
      </w:r>
      <w:r>
        <w:rPr>
          <w:b/>
        </w:rPr>
        <w:t>5、请各响应供应商在编制响应文件时注意，涉及到签字或签章的地方，请按要求签字或签章后再上传系统。响应文件加密前请注意所有需要签字、签章、盖章的地方是否齐全无缺漏。请保管好CA证书的密码，如遗忘，请及时重置，以免影响响应文件的解密。</w:t>
      </w:r>
      <w:r>
        <w:br/>
      </w:r>
      <w:r>
        <w:rPr>
          <w:b/>
        </w:rPr>
        <w:t>（五）响应报价说明：</w:t>
      </w:r>
      <w:r>
        <w:br/>
      </w:r>
      <w:r>
        <w:rPr/>
        <w:t>1.优惠率报价在以下范围内取值：0.00%≤优惠率＜100.00%。优惠率必须为固定、唯一报价，不接受区间报价，若报价超出此范围则响应无效。实际租车费用=（租价×天数）×（1-成交优惠率）。所有车型均采用同一个成交优惠率。</w:t>
      </w:r>
      <w:r>
        <w:br/>
      </w:r>
      <w:r>
        <w:rPr/>
        <w:t>例如，某车型的单价基准价为 100 元，响应供应商的实际结算价为 80 元，拟优惠 20 元，则其响应优惠率为[（100-80）/100]×100%=20%。</w:t>
      </w:r>
      <w:r>
        <w:br/>
      </w:r>
      <w:r>
        <w:rPr/>
        <w:t>2.响应报价包括：车辆使用费、司机费用、保管费、营运费、车辆维修保养费、油费、消洗费、发票税、车船税、司机餐费、年审养路费、保险费、各项税费及合同实施过程中不可预见费用等。（在车辆使用过程中产生的路桥费、停车费由成交供应商垫付，每月支付服务费时由采购人按实结算。）</w:t>
      </w:r>
      <w:r>
        <w:br/>
      </w:r>
      <w:r>
        <w:rPr/>
        <w:t>3.本项目执行的结束时间以“采购金额累计达到项目各采购包预算金额”或“合同履约期限”先到者结束。本项目以实际租用车辆的价格及次数进行结算，结算金额不得超出对应采购包的预算金额。</w:t>
      </w:r>
      <w:r>
        <w:br/>
      </w:r>
      <w:r>
        <w:rPr/>
        <w:t>4.响应供应商必须清楚理解：本服务采购项目的取得并不意味着必然获得本项目服务的机会，采购人无法预计也无法保证成交供应商所能获得的服务项目数量。在服务期内成交供应商不得因采购人实际委托项目数量的减少或增加而要求提供任何形式的补偿或者赔偿。响应供应商需充分考虑响应的风险。</w:t>
      </w:r>
      <w:r>
        <w:br/>
      </w:r>
      <w:r>
        <w:rPr>
          <w:b/>
        </w:rPr>
        <w:t>（六）实现的目标</w:t>
      </w:r>
      <w:r>
        <w:br/>
      </w:r>
      <w:r>
        <w:rPr/>
        <w:t>采购包1：为广州市增城区石滩镇人民政府的公务保障用车提供车辆租赁服务。</w:t>
      </w:r>
      <w:r>
        <w:br/>
      </w:r>
      <w:r>
        <w:rPr/>
        <w:t>采购包2：为广州市增城区石滩镇人民政府的员工上下班提供用车服务。</w:t>
      </w:r>
      <w:r>
        <w:br/>
      </w:r>
      <w:r>
        <w:rPr/>
        <w:t>采购包3：为广州市增城区石滩镇人民政府的专项行动临时保障用车提供车辆租赁服务。</w:t>
      </w:r>
      <w:r>
        <w:br/>
      </w:r>
      <w:r>
        <w:rPr>
          <w:b/>
        </w:rPr>
        <w:t>（七）需执行国家相关标准、行业标准、地方标准或者其他标准、规范</w:t>
      </w:r>
    </w:p>
    <w:p/>
    <w:p>
      <w:pPr>
        <w:ind w:firstLine="480"/>
      </w:pPr>
    </w:p>
    <w:p/>
    <w:p>
      <w:r>
        <w:rPr/>
        <w:t>采购包1（公务保障用车）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自合同签订之日起一年或累计租赁费用达到采购包采购预算，以先到者为准。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合同生效后，中标人5个工作日内向采购人提供本合同总额的30%预付款发票，采购人在5个工作日内办理支付手续；因本项目为以实际租用车辆结算，当实际租车费用累计达到预付款30%后，每个月结算一次。结算按每个月内的实际租用车辆结算，日租：实际租车费用=（租价×天数）×（1-成交下浮率）；每个月结算汇总相加以上实际产生的全部费用。（二）采购人根据成交供应商报价与每个月实际用车情况进行结算（租车以实际产生费用结算）。（三）成交供应商须在结束每个月后的5个工作日内向采购人提供以下材料以便采购人办理付款手续：1.合同；2.成交供应商开具的正式发票；3.每个月内实际租车费用明细及车辆使用记录台账；4.本项目结算最多至预算限额。（四）双方核对确认无误后，采购人收到正式发票之日起5个工作日内办理支付手续，电子支付等支付租车费用。（五）支付方式：采用银行转账，电子支付等形式。</w:t>
            </w:r>
          </w:p>
        </w:tc>
      </w:tr>
      <w:tr>
        <w:tc>
          <w:tcPr>
            <w:tcW w:type="dxa" w:w="4153"/>
          </w:tcPr>
          <w:p>
            <w:r>
              <w:rPr/>
              <w:t>验收要求</w:t>
            </w:r>
          </w:p>
        </w:tc>
        <w:tc>
          <w:tcPr>
            <w:tcW w:type="dxa" w:w="4153"/>
          </w:tcPr>
          <w:p/>
          <w:p/>
          <w:p/>
          <w:p>
            <w:r>
              <w:rPr/>
              <w:t>1期：1.服务期内，采购人每月对成交供应商的按时出车情况和车辆整备情况进行考核（详见附表1：考核表），出现车辆迟到、用车中途故障的，不超过2次成交供应商应提交整改方案并按方案进行整改；超过2次但未达5次的，成交供应商除整改外并扣除当月应结算费用的5%；超过5次的，采购人有权终止合同，由此造成的损失由成交供应商承担。造成违法的，成交供应商承担相应法律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公务保障用车</w:t>
            </w:r>
          </w:p>
        </w:tc>
        <w:tc>
          <w:tcPr>
            <w:tcW w:type="dxa" w:w="831"/>
          </w:tcPr>
          <w:p>
            <w:pPr>
              <w:jc w:val="left"/>
            </w:pPr>
            <w:r>
              <w:rPr/>
              <w:t>项</w:t>
            </w:r>
          </w:p>
        </w:tc>
        <w:tc>
          <w:tcPr>
            <w:tcW w:type="dxa" w:w="831"/>
          </w:tcPr>
          <w:p>
            <w:pPr>
              <w:jc w:val="right"/>
            </w:pPr>
            <w:r>
              <w:rPr/>
              <w:t>1.00</w:t>
            </w:r>
          </w:p>
        </w:tc>
        <w:tc>
          <w:tcPr>
            <w:tcW w:type="dxa" w:w="831"/>
          </w:tcPr>
          <w:p>
            <w:pPr>
              <w:jc w:val="right"/>
            </w:pPr>
            <w:r>
              <w:rPr/>
              <w:t>2,400,000.00</w:t>
            </w:r>
          </w:p>
        </w:tc>
        <w:tc>
          <w:tcPr>
            <w:tcW w:type="dxa" w:w="831"/>
          </w:tcPr>
          <w:p>
            <w:pPr>
              <w:jc w:val="right"/>
            </w:pPr>
            <w:r>
              <w:rPr/>
              <w:t>2,400,000.00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公务保障用车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Grid>
              <w:gridCol w:w="571"/>
              <w:gridCol w:w="1599"/>
              <w:gridCol w:w="514"/>
              <w:gridCol w:w="1314"/>
              <w:gridCol w:w="1599"/>
            </w:tblGrid>
            <w:tr>
              <w:tc>
                <w:tcPr>
                  <w:tcW w:type="dxa" w:w="571"/>
                  <w:tcBorders>
                    <w:top w:val="single" w:color="000000" w:sz="4"/>
                    <w:left w:val="single" w:color="000000" w:sz="4"/>
                    <w:bottom w:val="single" w:color="000000" w:sz="4"/>
                    <w:right w:val="single" w:color="000000" w:sz="4"/>
                  </w:tcBorders>
                  <w:shd w:fill="FFFFFF"/>
                </w:tcPr>
                <w:p>
                  <w:pPr>
                    <w:jc w:val="center"/>
                  </w:pPr>
                  <w:r>
                    <w:rPr>
                      <w:b/>
                      <w:sz w:val="21"/>
                    </w:rPr>
                    <w:t>序号</w:t>
                  </w:r>
                </w:p>
              </w:tc>
              <w:tc>
                <w:tcPr>
                  <w:tcW w:type="dxa" w:w="1599"/>
                  <w:tcBorders>
                    <w:top w:val="single" w:color="000000" w:sz="4"/>
                    <w:left w:val="none" w:color="000000" w:sz="4"/>
                    <w:bottom w:val="single" w:color="000000" w:sz="4"/>
                    <w:right w:val="single" w:color="000000" w:sz="4"/>
                  </w:tcBorders>
                  <w:shd w:fill="FFFFFF"/>
                </w:tcPr>
                <w:p>
                  <w:pPr>
                    <w:jc w:val="center"/>
                  </w:pPr>
                  <w:r>
                    <w:rPr>
                      <w:b/>
                      <w:sz w:val="21"/>
                    </w:rPr>
                    <w:t>车型</w:t>
                  </w:r>
                </w:p>
              </w:tc>
              <w:tc>
                <w:tcPr>
                  <w:tcW w:type="dxa" w:w="514"/>
                  <w:tcBorders>
                    <w:top w:val="single" w:color="000000" w:sz="4"/>
                    <w:left w:val="none" w:color="000000" w:sz="4"/>
                    <w:bottom w:val="single" w:color="000000" w:sz="4"/>
                    <w:right w:val="single" w:color="000000" w:sz="4"/>
                  </w:tcBorders>
                  <w:shd w:fill="FFFFFF"/>
                </w:tcPr>
                <w:p>
                  <w:pPr>
                    <w:jc w:val="center"/>
                  </w:pPr>
                  <w:r>
                    <w:rPr>
                      <w:b/>
                      <w:color w:val="000000"/>
                      <w:sz w:val="21"/>
                    </w:rPr>
                    <w:t>参数</w:t>
                  </w:r>
                </w:p>
              </w:tc>
              <w:tc>
                <w:tcPr>
                  <w:tcW w:type="dxa" w:w="1314"/>
                  <w:tcBorders>
                    <w:top w:val="single" w:color="000000" w:sz="4"/>
                    <w:left w:val="none" w:color="000000" w:sz="4"/>
                    <w:bottom w:val="single" w:color="000000" w:sz="4"/>
                    <w:right w:val="single" w:color="000000" w:sz="4"/>
                  </w:tcBorders>
                  <w:shd w:fill="FFFFFF"/>
                </w:tcPr>
                <w:p>
                  <w:pPr>
                    <w:jc w:val="center"/>
                  </w:pPr>
                  <w:r>
                    <w:rPr>
                      <w:b/>
                      <w:sz w:val="21"/>
                    </w:rPr>
                    <w:t>区用车日租价单价基准价</w:t>
                  </w:r>
                </w:p>
                <w:p>
                  <w:pPr>
                    <w:jc w:val="center"/>
                  </w:pPr>
                  <w:r>
                    <w:rPr>
                      <w:b/>
                      <w:sz w:val="21"/>
                    </w:rPr>
                    <w:t>（元/辆/天</w:t>
                  </w:r>
                  <w:r>
                    <w:rPr>
                      <w:color w:val="676767"/>
                      <w:sz w:val="21"/>
                    </w:rPr>
                    <w:t>）</w:t>
                  </w:r>
                </w:p>
              </w:tc>
              <w:tc>
                <w:tcPr>
                  <w:tcW w:type="dxa" w:w="1599"/>
                  <w:tcBorders>
                    <w:top w:val="single" w:color="000000" w:sz="4"/>
                    <w:left w:val="none" w:color="000000" w:sz="4"/>
                    <w:bottom w:val="single" w:color="000000" w:sz="4"/>
                    <w:right w:val="single" w:color="000000" w:sz="4"/>
                  </w:tcBorders>
                  <w:shd w:fill="FFFFFF"/>
                </w:tcPr>
                <w:p>
                  <w:pPr>
                    <w:jc w:val="center"/>
                  </w:pPr>
                  <w:r>
                    <w:rPr>
                      <w:b/>
                      <w:sz w:val="21"/>
                    </w:rPr>
                    <w:t>备注</w:t>
                  </w:r>
                </w:p>
              </w:tc>
            </w:tr>
            <w:tr>
              <w:tc>
                <w:tcPr>
                  <w:tcW w:type="dxa" w:w="571"/>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1599"/>
                  <w:tcBorders>
                    <w:top w:val="none" w:color="000000" w:sz="4"/>
                    <w:left w:val="none" w:color="000000" w:sz="4"/>
                    <w:bottom w:val="single" w:color="000000" w:sz="4"/>
                    <w:right w:val="single" w:color="000000" w:sz="4"/>
                  </w:tcBorders>
                  <w:shd w:fill="FFFFFF"/>
                </w:tcPr>
                <w:p>
                  <w:pPr>
                    <w:jc w:val="center"/>
                  </w:pPr>
                  <w:r>
                    <w:rPr>
                      <w:color w:val="000000"/>
                      <w:sz w:val="21"/>
                    </w:rPr>
                    <w:t>皮卡</w:t>
                  </w:r>
                </w:p>
              </w:tc>
              <w:tc>
                <w:tcPr>
                  <w:tcW w:type="dxa" w:w="514"/>
                  <w:tcBorders>
                    <w:top w:val="none" w:color="000000" w:sz="4"/>
                    <w:left w:val="none" w:color="000000" w:sz="4"/>
                    <w:bottom w:val="single" w:color="000000" w:sz="4"/>
                    <w:right w:val="single" w:color="000000" w:sz="4"/>
                  </w:tcBorders>
                  <w:shd w:fill="FFFFFF"/>
                </w:tcPr>
                <w:p>
                  <w:pPr>
                    <w:jc w:val="center"/>
                  </w:pPr>
                  <w:r>
                    <w:rPr>
                      <w:color w:val="000000"/>
                      <w:sz w:val="21"/>
                    </w:rPr>
                    <w:t>5</w:t>
                  </w:r>
                  <w:r>
                    <w:rPr>
                      <w:color w:val="000000"/>
                      <w:sz w:val="21"/>
                    </w:rPr>
                    <w:t>座</w:t>
                  </w:r>
                </w:p>
              </w:tc>
              <w:tc>
                <w:tcPr>
                  <w:tcW w:type="dxa" w:w="1314"/>
                  <w:tcBorders>
                    <w:top w:val="none" w:color="000000" w:sz="4"/>
                    <w:left w:val="none" w:color="000000" w:sz="4"/>
                    <w:bottom w:val="single" w:color="000000" w:sz="4"/>
                    <w:right w:val="single" w:color="000000" w:sz="4"/>
                  </w:tcBorders>
                  <w:shd w:fill="FFFFFF"/>
                </w:tcPr>
                <w:p>
                  <w:pPr>
                    <w:jc w:val="center"/>
                  </w:pPr>
                  <w:r>
                    <w:rPr>
                      <w:color w:val="000000"/>
                      <w:sz w:val="21"/>
                    </w:rPr>
                    <w:t>250</w:t>
                  </w:r>
                </w:p>
              </w:tc>
              <w:tc>
                <w:tcPr>
                  <w:tcW w:type="dxa" w:w="1599"/>
                  <w:vMerge w:val="restart"/>
                  <w:tcBorders>
                    <w:top w:val="none" w:color="000000" w:sz="4"/>
                    <w:left w:val="none" w:color="000000" w:sz="4"/>
                    <w:bottom w:val="single" w:color="000000" w:sz="4"/>
                    <w:right w:val="single" w:color="000000" w:sz="4"/>
                  </w:tcBorders>
                  <w:shd w:fill="FFFFFF"/>
                </w:tcPr>
                <w:p>
                  <w:pPr>
                    <w:jc w:val="center"/>
                  </w:pPr>
                  <w:r>
                    <w:rPr>
                      <w:color w:val="000000"/>
                      <w:sz w:val="21"/>
                    </w:rPr>
                    <w:t>不含司机</w:t>
                  </w:r>
                </w:p>
              </w:tc>
            </w:tr>
            <w:tr>
              <w:tc>
                <w:tcPr>
                  <w:tcW w:type="dxa" w:w="571"/>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1599"/>
                  <w:tcBorders>
                    <w:top w:val="none" w:color="000000" w:sz="4"/>
                    <w:left w:val="none" w:color="000000" w:sz="4"/>
                    <w:bottom w:val="single" w:color="000000" w:sz="4"/>
                    <w:right w:val="single" w:color="000000" w:sz="4"/>
                  </w:tcBorders>
                  <w:shd w:fill="FFFFFF"/>
                </w:tcPr>
                <w:p>
                  <w:pPr>
                    <w:jc w:val="center"/>
                  </w:pPr>
                  <w:r>
                    <w:rPr>
                      <w:color w:val="000000"/>
                      <w:sz w:val="21"/>
                    </w:rPr>
                    <w:t>新能源轿车（续航300公里）</w:t>
                  </w:r>
                </w:p>
              </w:tc>
              <w:tc>
                <w:tcPr>
                  <w:tcW w:type="dxa" w:w="514"/>
                  <w:tcBorders>
                    <w:top w:val="none" w:color="000000" w:sz="4"/>
                    <w:left w:val="none" w:color="000000" w:sz="4"/>
                    <w:bottom w:val="single" w:color="000000" w:sz="4"/>
                    <w:right w:val="single" w:color="000000" w:sz="4"/>
                  </w:tcBorders>
                  <w:shd w:fill="FFFFFF"/>
                </w:tcPr>
                <w:p>
                  <w:pPr>
                    <w:jc w:val="center"/>
                  </w:pPr>
                  <w:r>
                    <w:rPr>
                      <w:sz w:val="21"/>
                    </w:rPr>
                    <w:t>5</w:t>
                  </w:r>
                  <w:r>
                    <w:rPr>
                      <w:color w:val="000000"/>
                      <w:sz w:val="21"/>
                    </w:rPr>
                    <w:t>座</w:t>
                  </w:r>
                </w:p>
              </w:tc>
              <w:tc>
                <w:tcPr>
                  <w:tcW w:type="dxa" w:w="1314"/>
                  <w:tcBorders>
                    <w:top w:val="none" w:color="000000" w:sz="4"/>
                    <w:left w:val="none" w:color="000000" w:sz="4"/>
                    <w:bottom w:val="single" w:color="000000" w:sz="4"/>
                    <w:right w:val="single" w:color="000000" w:sz="4"/>
                  </w:tcBorders>
                  <w:shd w:fill="FFFFFF"/>
                </w:tcPr>
                <w:p>
                  <w:pPr>
                    <w:jc w:val="center"/>
                  </w:pPr>
                  <w:r>
                    <w:rPr>
                      <w:color w:val="000000"/>
                      <w:sz w:val="21"/>
                    </w:rPr>
                    <w:t>190</w:t>
                  </w:r>
                </w:p>
              </w:tc>
            </w:tr>
            <w:tr>
              <w:tc>
                <w:tcPr>
                  <w:tcW w:type="dxa" w:w="571"/>
                  <w:tcBorders>
                    <w:top w:val="none" w:color="000000" w:sz="4"/>
                    <w:left w:val="single" w:color="000000" w:sz="4"/>
                    <w:bottom w:val="single" w:color="000000" w:sz="4"/>
                    <w:right w:val="single" w:color="000000" w:sz="4"/>
                  </w:tcBorders>
                  <w:shd w:fill="FFFFFF"/>
                </w:tcPr>
                <w:p>
                  <w:pPr>
                    <w:jc w:val="center"/>
                  </w:pPr>
                  <w:r>
                    <w:rPr>
                      <w:color w:val="000000"/>
                      <w:sz w:val="21"/>
                    </w:rPr>
                    <w:t>3</w:t>
                  </w:r>
                </w:p>
              </w:tc>
              <w:tc>
                <w:tcPr>
                  <w:tcW w:type="dxa" w:w="1599"/>
                  <w:tcBorders>
                    <w:top w:val="none" w:color="000000" w:sz="4"/>
                    <w:left w:val="none" w:color="000000" w:sz="4"/>
                    <w:bottom w:val="single" w:color="000000" w:sz="4"/>
                    <w:right w:val="single" w:color="000000" w:sz="4"/>
                  </w:tcBorders>
                  <w:shd w:fill="FFFFFF"/>
                </w:tcPr>
                <w:p>
                  <w:pPr>
                    <w:jc w:val="center"/>
                  </w:pPr>
                  <w:r>
                    <w:rPr>
                      <w:color w:val="000000"/>
                      <w:sz w:val="21"/>
                    </w:rPr>
                    <w:t>新能源</w:t>
                  </w:r>
                  <w:r>
                    <w:rPr>
                      <w:color w:val="000000"/>
                      <w:sz w:val="21"/>
                    </w:rPr>
                    <w:t>SUV</w:t>
                  </w:r>
                  <w:r>
                    <w:rPr>
                      <w:color w:val="000000"/>
                      <w:sz w:val="21"/>
                    </w:rPr>
                    <w:t>（续航300公里）</w:t>
                  </w:r>
                </w:p>
              </w:tc>
              <w:tc>
                <w:tcPr>
                  <w:tcW w:type="dxa" w:w="514"/>
                  <w:tcBorders>
                    <w:top w:val="none" w:color="000000" w:sz="4"/>
                    <w:left w:val="none" w:color="000000" w:sz="4"/>
                    <w:bottom w:val="single" w:color="000000" w:sz="4"/>
                    <w:right w:val="single" w:color="000000" w:sz="4"/>
                  </w:tcBorders>
                  <w:shd w:fill="FFFFFF"/>
                </w:tcPr>
                <w:p>
                  <w:pPr>
                    <w:jc w:val="center"/>
                  </w:pPr>
                  <w:r>
                    <w:rPr>
                      <w:sz w:val="21"/>
                    </w:rPr>
                    <w:t>5</w:t>
                  </w:r>
                  <w:r>
                    <w:rPr>
                      <w:color w:val="000000"/>
                      <w:sz w:val="21"/>
                    </w:rPr>
                    <w:t>座</w:t>
                  </w:r>
                </w:p>
              </w:tc>
              <w:tc>
                <w:tcPr>
                  <w:tcW w:type="dxa" w:w="1314"/>
                  <w:tcBorders>
                    <w:top w:val="none" w:color="000000" w:sz="4"/>
                    <w:left w:val="none" w:color="000000" w:sz="4"/>
                    <w:bottom w:val="single" w:color="000000" w:sz="4"/>
                    <w:right w:val="single" w:color="000000" w:sz="4"/>
                  </w:tcBorders>
                  <w:shd w:fill="FFFFFF"/>
                </w:tcPr>
                <w:p>
                  <w:pPr>
                    <w:jc w:val="center"/>
                  </w:pPr>
                  <w:r>
                    <w:rPr>
                      <w:color w:val="000000"/>
                      <w:sz w:val="21"/>
                    </w:rPr>
                    <w:t>200</w:t>
                  </w:r>
                </w:p>
              </w:tc>
            </w:tr>
            <w:tr>
              <w:tc>
                <w:tcPr>
                  <w:tcW w:type="dxa" w:w="571"/>
                  <w:tcBorders>
                    <w:top w:val="none" w:color="000000" w:sz="4"/>
                    <w:left w:val="single" w:color="000000" w:sz="4"/>
                    <w:bottom w:val="single" w:color="000000" w:sz="4"/>
                    <w:right w:val="single" w:color="000000" w:sz="4"/>
                  </w:tcBorders>
                  <w:shd w:fill="FFFFFF"/>
                </w:tcPr>
                <w:p>
                  <w:pPr>
                    <w:jc w:val="center"/>
                  </w:pPr>
                  <w:r>
                    <w:rPr>
                      <w:color w:val="000000"/>
                      <w:sz w:val="21"/>
                    </w:rPr>
                    <w:t>4</w:t>
                  </w:r>
                </w:p>
              </w:tc>
              <w:tc>
                <w:tcPr>
                  <w:tcW w:type="dxa" w:w="1599"/>
                  <w:tcBorders>
                    <w:top w:val="none" w:color="000000" w:sz="4"/>
                    <w:left w:val="none" w:color="000000" w:sz="4"/>
                    <w:bottom w:val="single" w:color="000000" w:sz="4"/>
                    <w:right w:val="single" w:color="000000" w:sz="4"/>
                  </w:tcBorders>
                  <w:shd w:fill="FFFFFF"/>
                </w:tcPr>
                <w:p>
                  <w:pPr>
                    <w:jc w:val="center"/>
                  </w:pPr>
                  <w:r>
                    <w:rPr>
                      <w:color w:val="000000"/>
                      <w:sz w:val="21"/>
                    </w:rPr>
                    <w:t>新能源</w:t>
                  </w:r>
                  <w:r>
                    <w:rPr>
                      <w:color w:val="000000"/>
                      <w:sz w:val="21"/>
                    </w:rPr>
                    <w:t>SUV</w:t>
                  </w:r>
                  <w:r>
                    <w:rPr>
                      <w:color w:val="000000"/>
                      <w:sz w:val="21"/>
                    </w:rPr>
                    <w:t>（续航310公里）</w:t>
                  </w:r>
                </w:p>
              </w:tc>
              <w:tc>
                <w:tcPr>
                  <w:tcW w:type="dxa" w:w="514"/>
                  <w:tcBorders>
                    <w:top w:val="none" w:color="000000" w:sz="4"/>
                    <w:left w:val="none" w:color="000000" w:sz="4"/>
                    <w:bottom w:val="single" w:color="000000" w:sz="4"/>
                    <w:right w:val="single" w:color="000000" w:sz="4"/>
                  </w:tcBorders>
                  <w:shd w:fill="FFFFFF"/>
                </w:tcPr>
                <w:p>
                  <w:pPr>
                    <w:jc w:val="center"/>
                  </w:pPr>
                  <w:r>
                    <w:rPr>
                      <w:color w:val="000000"/>
                      <w:sz w:val="21"/>
                    </w:rPr>
                    <w:t>5</w:t>
                  </w:r>
                  <w:r>
                    <w:rPr>
                      <w:color w:val="000000"/>
                      <w:sz w:val="21"/>
                    </w:rPr>
                    <w:t>座</w:t>
                  </w:r>
                </w:p>
              </w:tc>
              <w:tc>
                <w:tcPr>
                  <w:tcW w:type="dxa" w:w="1314"/>
                  <w:tcBorders>
                    <w:top w:val="none" w:color="000000" w:sz="4"/>
                    <w:left w:val="none" w:color="000000" w:sz="4"/>
                    <w:bottom w:val="single" w:color="000000" w:sz="4"/>
                    <w:right w:val="single" w:color="000000" w:sz="4"/>
                  </w:tcBorders>
                  <w:shd w:fill="FFFFFF"/>
                </w:tcPr>
                <w:p>
                  <w:pPr>
                    <w:jc w:val="center"/>
                  </w:pPr>
                  <w:r>
                    <w:rPr>
                      <w:color w:val="000000"/>
                      <w:sz w:val="21"/>
                    </w:rPr>
                    <w:t>220</w:t>
                  </w:r>
                </w:p>
              </w:tc>
            </w:tr>
            <w:tr>
              <w:tc>
                <w:tcPr>
                  <w:tcW w:type="dxa" w:w="571"/>
                  <w:tcBorders>
                    <w:top w:val="none" w:color="000000" w:sz="4"/>
                    <w:left w:val="single" w:color="000000" w:sz="4"/>
                    <w:bottom w:val="single" w:color="000000" w:sz="4"/>
                    <w:right w:val="single" w:color="000000" w:sz="4"/>
                  </w:tcBorders>
                  <w:shd w:fill="FFFFFF"/>
                </w:tcPr>
                <w:p>
                  <w:pPr>
                    <w:jc w:val="center"/>
                  </w:pPr>
                  <w:r>
                    <w:rPr>
                      <w:color w:val="000000"/>
                      <w:sz w:val="21"/>
                    </w:rPr>
                    <w:t>5</w:t>
                  </w:r>
                </w:p>
              </w:tc>
              <w:tc>
                <w:tcPr>
                  <w:tcW w:type="dxa" w:w="1599"/>
                  <w:tcBorders>
                    <w:top w:val="none" w:color="000000" w:sz="4"/>
                    <w:left w:val="none" w:color="000000" w:sz="4"/>
                    <w:bottom w:val="single" w:color="000000" w:sz="4"/>
                    <w:right w:val="single" w:color="000000" w:sz="4"/>
                  </w:tcBorders>
                  <w:shd w:fill="FFFFFF"/>
                </w:tcPr>
                <w:p>
                  <w:pPr>
                    <w:jc w:val="center"/>
                  </w:pPr>
                  <w:r>
                    <w:rPr>
                      <w:color w:val="000000"/>
                      <w:sz w:val="21"/>
                    </w:rPr>
                    <w:t>新能源</w:t>
                  </w:r>
                  <w:r>
                    <w:rPr>
                      <w:color w:val="000000"/>
                      <w:sz w:val="21"/>
                    </w:rPr>
                    <w:t>SUV</w:t>
                  </w:r>
                  <w:r>
                    <w:rPr>
                      <w:color w:val="000000"/>
                      <w:sz w:val="21"/>
                    </w:rPr>
                    <w:t>（续航350公里）</w:t>
                  </w:r>
                </w:p>
              </w:tc>
              <w:tc>
                <w:tcPr>
                  <w:tcW w:type="dxa" w:w="514"/>
                  <w:tcBorders>
                    <w:top w:val="none" w:color="000000" w:sz="4"/>
                    <w:left w:val="none" w:color="000000" w:sz="4"/>
                    <w:bottom w:val="single" w:color="000000" w:sz="4"/>
                    <w:right w:val="single" w:color="000000" w:sz="4"/>
                  </w:tcBorders>
                  <w:shd w:fill="FFFFFF"/>
                </w:tcPr>
                <w:p>
                  <w:pPr>
                    <w:jc w:val="center"/>
                  </w:pPr>
                  <w:r>
                    <w:rPr>
                      <w:color w:val="000000"/>
                      <w:sz w:val="21"/>
                    </w:rPr>
                    <w:t>5</w:t>
                  </w:r>
                  <w:r>
                    <w:rPr>
                      <w:color w:val="000000"/>
                      <w:sz w:val="21"/>
                    </w:rPr>
                    <w:t>座</w:t>
                  </w:r>
                </w:p>
              </w:tc>
              <w:tc>
                <w:tcPr>
                  <w:tcW w:type="dxa" w:w="1314"/>
                  <w:tcBorders>
                    <w:top w:val="none" w:color="000000" w:sz="4"/>
                    <w:left w:val="none" w:color="000000" w:sz="4"/>
                    <w:bottom w:val="single" w:color="000000" w:sz="4"/>
                    <w:right w:val="single" w:color="000000" w:sz="4"/>
                  </w:tcBorders>
                  <w:shd w:fill="FFFFFF"/>
                </w:tcPr>
                <w:p>
                  <w:pPr>
                    <w:jc w:val="center"/>
                  </w:pPr>
                  <w:r>
                    <w:rPr>
                      <w:color w:val="000000"/>
                      <w:sz w:val="21"/>
                    </w:rPr>
                    <w:t>260</w:t>
                  </w:r>
                </w:p>
              </w:tc>
            </w:tr>
            <w:tr>
              <w:tc>
                <w:tcPr>
                  <w:tcW w:type="dxa" w:w="571"/>
                  <w:tcBorders>
                    <w:top w:val="none" w:color="000000" w:sz="4"/>
                    <w:left w:val="single" w:color="000000" w:sz="4"/>
                    <w:bottom w:val="single" w:color="000000" w:sz="4"/>
                    <w:right w:val="single" w:color="000000" w:sz="4"/>
                  </w:tcBorders>
                  <w:shd w:fill="FFFFFF"/>
                </w:tcPr>
                <w:p>
                  <w:pPr>
                    <w:jc w:val="center"/>
                  </w:pPr>
                  <w:r>
                    <w:rPr>
                      <w:color w:val="000000"/>
                      <w:sz w:val="21"/>
                    </w:rPr>
                    <w:t>6</w:t>
                  </w:r>
                </w:p>
              </w:tc>
              <w:tc>
                <w:tcPr>
                  <w:tcW w:type="dxa" w:w="1599"/>
                  <w:tcBorders>
                    <w:top w:val="none" w:color="000000" w:sz="4"/>
                    <w:left w:val="none" w:color="000000" w:sz="4"/>
                    <w:bottom w:val="single" w:color="000000" w:sz="4"/>
                    <w:right w:val="single" w:color="000000" w:sz="4"/>
                  </w:tcBorders>
                  <w:shd w:fill="FFFFFF"/>
                </w:tcPr>
                <w:p>
                  <w:pPr>
                    <w:jc w:val="center"/>
                  </w:pPr>
                  <w:r>
                    <w:rPr>
                      <w:color w:val="000000"/>
                      <w:sz w:val="21"/>
                    </w:rPr>
                    <w:t>新能源</w:t>
                  </w:r>
                  <w:r>
                    <w:rPr>
                      <w:color w:val="000000"/>
                      <w:sz w:val="21"/>
                    </w:rPr>
                    <w:t>SUV</w:t>
                  </w:r>
                  <w:r>
                    <w:rPr>
                      <w:color w:val="000000"/>
                      <w:sz w:val="21"/>
                    </w:rPr>
                    <w:t>（续航410公里）</w:t>
                  </w:r>
                </w:p>
              </w:tc>
              <w:tc>
                <w:tcPr>
                  <w:tcW w:type="dxa" w:w="514"/>
                  <w:tcBorders>
                    <w:top w:val="none" w:color="000000" w:sz="4"/>
                    <w:left w:val="none" w:color="000000" w:sz="4"/>
                    <w:bottom w:val="single" w:color="000000" w:sz="4"/>
                    <w:right w:val="single" w:color="000000" w:sz="4"/>
                  </w:tcBorders>
                  <w:shd w:fill="FFFFFF"/>
                </w:tcPr>
                <w:p>
                  <w:pPr>
                    <w:jc w:val="center"/>
                  </w:pPr>
                  <w:r>
                    <w:rPr>
                      <w:color w:val="000000"/>
                      <w:sz w:val="21"/>
                    </w:rPr>
                    <w:t>5</w:t>
                  </w:r>
                  <w:r>
                    <w:rPr>
                      <w:color w:val="000000"/>
                      <w:sz w:val="21"/>
                    </w:rPr>
                    <w:t>座</w:t>
                  </w:r>
                </w:p>
              </w:tc>
              <w:tc>
                <w:tcPr>
                  <w:tcW w:type="dxa" w:w="1314"/>
                  <w:tcBorders>
                    <w:top w:val="none" w:color="000000" w:sz="4"/>
                    <w:left w:val="none" w:color="000000" w:sz="4"/>
                    <w:bottom w:val="single" w:color="000000" w:sz="4"/>
                    <w:right w:val="single" w:color="000000" w:sz="4"/>
                  </w:tcBorders>
                  <w:shd w:fill="FFFFFF"/>
                </w:tcPr>
                <w:p>
                  <w:pPr>
                    <w:jc w:val="center"/>
                  </w:pPr>
                  <w:r>
                    <w:rPr>
                      <w:color w:val="000000"/>
                      <w:sz w:val="21"/>
                    </w:rPr>
                    <w:t>280</w:t>
                  </w:r>
                </w:p>
              </w:tc>
            </w:tr>
            <w:tr>
              <w:tc>
                <w:tcPr>
                  <w:tcW w:type="dxa" w:w="571"/>
                  <w:tcBorders>
                    <w:top w:val="none" w:color="000000" w:sz="4"/>
                    <w:left w:val="single" w:color="000000" w:sz="4"/>
                    <w:bottom w:val="single" w:color="000000" w:sz="4"/>
                    <w:right w:val="single" w:color="000000" w:sz="4"/>
                  </w:tcBorders>
                  <w:shd w:fill="FFFFFF"/>
                </w:tcPr>
                <w:p>
                  <w:pPr>
                    <w:jc w:val="center"/>
                  </w:pPr>
                  <w:r>
                    <w:rPr>
                      <w:color w:val="000000"/>
                      <w:sz w:val="21"/>
                    </w:rPr>
                    <w:t>7</w:t>
                  </w:r>
                </w:p>
              </w:tc>
              <w:tc>
                <w:tcPr>
                  <w:tcW w:type="dxa" w:w="1599"/>
                  <w:tcBorders>
                    <w:top w:val="none" w:color="000000" w:sz="4"/>
                    <w:left w:val="none" w:color="000000" w:sz="4"/>
                    <w:bottom w:val="single" w:color="000000" w:sz="4"/>
                    <w:right w:val="single" w:color="000000" w:sz="4"/>
                  </w:tcBorders>
                  <w:shd w:fill="FFFFFF"/>
                </w:tcPr>
                <w:p>
                  <w:pPr>
                    <w:jc w:val="center"/>
                  </w:pPr>
                  <w:r>
                    <w:rPr>
                      <w:color w:val="000000"/>
                      <w:sz w:val="21"/>
                    </w:rPr>
                    <w:t>轿车</w:t>
                  </w:r>
                  <w:r>
                    <w:rPr>
                      <w:color w:val="000000"/>
                      <w:sz w:val="21"/>
                    </w:rPr>
                    <w:t>（油电混合）</w:t>
                  </w:r>
                </w:p>
              </w:tc>
              <w:tc>
                <w:tcPr>
                  <w:tcW w:type="dxa" w:w="514"/>
                  <w:tcBorders>
                    <w:top w:val="none" w:color="000000" w:sz="4"/>
                    <w:left w:val="none" w:color="000000" w:sz="4"/>
                    <w:bottom w:val="single" w:color="000000" w:sz="4"/>
                    <w:right w:val="single" w:color="000000" w:sz="4"/>
                  </w:tcBorders>
                  <w:shd w:fill="FFFFFF"/>
                </w:tcPr>
                <w:p>
                  <w:pPr>
                    <w:jc w:val="center"/>
                  </w:pPr>
                  <w:r>
                    <w:rPr>
                      <w:color w:val="000000"/>
                      <w:sz w:val="21"/>
                    </w:rPr>
                    <w:t>5</w:t>
                  </w:r>
                  <w:r>
                    <w:rPr>
                      <w:color w:val="000000"/>
                      <w:sz w:val="21"/>
                    </w:rPr>
                    <w:t>座</w:t>
                  </w:r>
                </w:p>
              </w:tc>
              <w:tc>
                <w:tcPr>
                  <w:tcW w:type="dxa" w:w="1314"/>
                  <w:tcBorders>
                    <w:top w:val="none" w:color="000000" w:sz="4"/>
                    <w:left w:val="none" w:color="000000" w:sz="4"/>
                    <w:bottom w:val="single" w:color="000000" w:sz="4"/>
                    <w:right w:val="single" w:color="000000" w:sz="4"/>
                  </w:tcBorders>
                  <w:shd w:fill="FFFFFF"/>
                </w:tcPr>
                <w:p>
                  <w:pPr>
                    <w:jc w:val="center"/>
                  </w:pPr>
                  <w:r>
                    <w:rPr>
                      <w:color w:val="000000"/>
                      <w:sz w:val="21"/>
                    </w:rPr>
                    <w:t>260</w:t>
                  </w:r>
                </w:p>
              </w:tc>
            </w:tr>
            <w:tr>
              <w:tc>
                <w:tcPr>
                  <w:tcW w:type="dxa" w:w="571"/>
                  <w:tcBorders>
                    <w:top w:val="none" w:color="000000" w:sz="4"/>
                    <w:left w:val="single" w:color="000000" w:sz="4"/>
                    <w:bottom w:val="single" w:color="000000" w:sz="4"/>
                    <w:right w:val="single" w:color="000000" w:sz="4"/>
                  </w:tcBorders>
                  <w:shd w:fill="FFFFFF"/>
                </w:tcPr>
                <w:p>
                  <w:pPr>
                    <w:jc w:val="center"/>
                  </w:pPr>
                  <w:r>
                    <w:rPr>
                      <w:color w:val="000000"/>
                      <w:sz w:val="21"/>
                    </w:rPr>
                    <w:t>8</w:t>
                  </w:r>
                </w:p>
              </w:tc>
              <w:tc>
                <w:tcPr>
                  <w:tcW w:type="dxa" w:w="1599"/>
                  <w:tcBorders>
                    <w:top w:val="none" w:color="000000" w:sz="4"/>
                    <w:left w:val="none" w:color="000000" w:sz="4"/>
                    <w:bottom w:val="single" w:color="000000" w:sz="4"/>
                    <w:right w:val="single" w:color="000000" w:sz="4"/>
                  </w:tcBorders>
                  <w:shd w:fill="FFFFFF"/>
                </w:tcPr>
                <w:p>
                  <w:pPr>
                    <w:jc w:val="center"/>
                  </w:pPr>
                  <w:r>
                    <w:rPr>
                      <w:color w:val="000000"/>
                      <w:sz w:val="21"/>
                    </w:rPr>
                    <w:t>SUV</w:t>
                  </w:r>
                  <w:r>
                    <w:rPr>
                      <w:color w:val="000000"/>
                      <w:sz w:val="21"/>
                    </w:rPr>
                    <w:t>（油电混合）</w:t>
                  </w:r>
                </w:p>
              </w:tc>
              <w:tc>
                <w:tcPr>
                  <w:tcW w:type="dxa" w:w="514"/>
                  <w:tcBorders>
                    <w:top w:val="none" w:color="000000" w:sz="4"/>
                    <w:left w:val="none" w:color="000000" w:sz="4"/>
                    <w:bottom w:val="single" w:color="000000" w:sz="4"/>
                    <w:right w:val="single" w:color="000000" w:sz="4"/>
                  </w:tcBorders>
                  <w:shd w:fill="FFFFFF"/>
                </w:tcPr>
                <w:p>
                  <w:pPr>
                    <w:jc w:val="center"/>
                  </w:pPr>
                  <w:r>
                    <w:rPr>
                      <w:color w:val="000000"/>
                      <w:sz w:val="21"/>
                    </w:rPr>
                    <w:t>5</w:t>
                  </w:r>
                  <w:r>
                    <w:rPr>
                      <w:color w:val="000000"/>
                      <w:sz w:val="21"/>
                    </w:rPr>
                    <w:t>座</w:t>
                  </w:r>
                </w:p>
              </w:tc>
              <w:tc>
                <w:tcPr>
                  <w:tcW w:type="dxa" w:w="1314"/>
                  <w:tcBorders>
                    <w:top w:val="none" w:color="000000" w:sz="4"/>
                    <w:left w:val="none" w:color="000000" w:sz="4"/>
                    <w:bottom w:val="single" w:color="000000" w:sz="4"/>
                    <w:right w:val="single" w:color="000000" w:sz="4"/>
                  </w:tcBorders>
                  <w:shd w:fill="FFFFFF"/>
                </w:tcPr>
                <w:p>
                  <w:pPr>
                    <w:jc w:val="center"/>
                  </w:pPr>
                  <w:r>
                    <w:rPr>
                      <w:color w:val="000000"/>
                      <w:sz w:val="21"/>
                    </w:rPr>
                    <w:t>330</w:t>
                  </w:r>
                </w:p>
              </w:tc>
            </w:tr>
          </w:tbl>
          <w:p>
            <w:pPr>
              <w:jc w:val="both"/>
            </w:pPr>
            <w:r>
              <w:rPr>
                <w:b/>
                <w:sz w:val="21"/>
              </w:rPr>
              <w:t>一、基本要求：</w:t>
            </w:r>
          </w:p>
          <w:p>
            <w:pPr>
              <w:ind w:firstLine="420"/>
              <w:jc w:val="both"/>
            </w:pPr>
            <w:r>
              <w:rPr>
                <w:color w:val="000000"/>
                <w:sz w:val="21"/>
              </w:rPr>
              <w:t>（1）车数总量不低于60辆，其中新能源型车辆不低于50辆，皮卡车（5座）不少于3辆，油电混合轿车不低于3辆，油电混合SUV不低于4辆。</w:t>
            </w:r>
          </w:p>
          <w:p>
            <w:pPr>
              <w:ind w:firstLine="420"/>
              <w:jc w:val="both"/>
            </w:pPr>
            <w:r>
              <w:rPr>
                <w:color w:val="000000"/>
                <w:sz w:val="21"/>
              </w:rPr>
              <w:t>（</w:t>
            </w:r>
            <w:r>
              <w:rPr>
                <w:color w:val="000000"/>
                <w:sz w:val="21"/>
              </w:rPr>
              <w:t>2</w:t>
            </w:r>
            <w:r>
              <w:rPr>
                <w:color w:val="000000"/>
                <w:sz w:val="21"/>
              </w:rPr>
              <w:t>）成交供应商提供的车辆须安装全球卫星定位系统（</w:t>
            </w:r>
            <w:r>
              <w:rPr>
                <w:color w:val="000000"/>
                <w:sz w:val="21"/>
              </w:rPr>
              <w:t>GPS</w:t>
            </w:r>
            <w:r>
              <w:rPr>
                <w:color w:val="000000"/>
                <w:sz w:val="21"/>
              </w:rPr>
              <w:t>）车载终端，车辆定位数据须保存≥</w:t>
            </w:r>
            <w:r>
              <w:rPr>
                <w:color w:val="000000"/>
                <w:sz w:val="21"/>
              </w:rPr>
              <w:t>3</w:t>
            </w:r>
            <w:r>
              <w:rPr>
                <w:color w:val="000000"/>
                <w:sz w:val="21"/>
              </w:rPr>
              <w:t>个月，并可按照需求随时向采购人提供。</w:t>
            </w:r>
          </w:p>
          <w:p>
            <w:pPr>
              <w:ind w:firstLine="420"/>
              <w:jc w:val="both"/>
            </w:pPr>
            <w:r>
              <w:rPr>
                <w:color w:val="000000"/>
                <w:sz w:val="21"/>
              </w:rPr>
              <w:t>（</w:t>
            </w:r>
            <w:r>
              <w:rPr>
                <w:color w:val="000000"/>
                <w:sz w:val="21"/>
              </w:rPr>
              <w:t>3</w:t>
            </w:r>
            <w:r>
              <w:rPr>
                <w:color w:val="000000"/>
                <w:sz w:val="21"/>
              </w:rPr>
              <w:t>）成交供应商须在响应文件中附上拟提供服务车辆的最新照片（包括外型、车厢环境和车牌号码等），提供服务车辆必须车身整洁，并提供车辆的行驶证、机动车购买商业保险相关证件的扫描件。</w:t>
            </w:r>
          </w:p>
          <w:p>
            <w:pPr>
              <w:ind w:firstLine="420"/>
              <w:jc w:val="both"/>
            </w:pPr>
            <w:r>
              <w:rPr>
                <w:color w:val="000000"/>
                <w:sz w:val="21"/>
              </w:rPr>
              <w:t>（</w:t>
            </w:r>
            <w:r>
              <w:rPr>
                <w:color w:val="000000"/>
                <w:sz w:val="21"/>
              </w:rPr>
              <w:t>4</w:t>
            </w:r>
            <w:r>
              <w:rPr>
                <w:color w:val="000000"/>
                <w:sz w:val="21"/>
              </w:rPr>
              <w:t>）提供服务的车辆使用年限不得超过</w:t>
            </w:r>
            <w:r>
              <w:rPr>
                <w:color w:val="000000"/>
                <w:sz w:val="21"/>
              </w:rPr>
              <w:t>5</w:t>
            </w:r>
            <w:r>
              <w:rPr>
                <w:color w:val="000000"/>
                <w:sz w:val="21"/>
              </w:rPr>
              <w:t>年，行驶里程数不得超过</w:t>
            </w:r>
            <w:r>
              <w:rPr>
                <w:color w:val="000000"/>
                <w:sz w:val="21"/>
              </w:rPr>
              <w:t>20</w:t>
            </w:r>
            <w:r>
              <w:rPr>
                <w:color w:val="000000"/>
                <w:sz w:val="21"/>
              </w:rPr>
              <w:t>万公里，具有合法的营运资格，符合年审、环保要求，车辆性能状况良好。提供服务期间，严禁车辆带故障上车。</w:t>
            </w:r>
          </w:p>
          <w:p>
            <w:pPr>
              <w:ind w:firstLine="420"/>
              <w:jc w:val="both"/>
            </w:pPr>
            <w:r>
              <w:rPr>
                <w:color w:val="000000"/>
                <w:sz w:val="21"/>
              </w:rPr>
              <w:t>（</w:t>
            </w:r>
            <w:r>
              <w:rPr>
                <w:color w:val="000000"/>
                <w:sz w:val="21"/>
              </w:rPr>
              <w:t>5</w:t>
            </w:r>
            <w:r>
              <w:rPr>
                <w:color w:val="000000"/>
                <w:sz w:val="21"/>
              </w:rPr>
              <w:t>）合同执行期间，成交供应商应保证为提供服务的车辆进行正常保养、修理与磨损零配件的更换，车辆每行驶</w:t>
            </w:r>
            <w:r>
              <w:rPr>
                <w:color w:val="000000"/>
                <w:sz w:val="21"/>
              </w:rPr>
              <w:t>6000</w:t>
            </w:r>
            <w:r>
              <w:rPr>
                <w:color w:val="000000"/>
                <w:sz w:val="21"/>
              </w:rPr>
              <w:t>～</w:t>
            </w:r>
            <w:r>
              <w:rPr>
                <w:color w:val="000000"/>
                <w:sz w:val="21"/>
              </w:rPr>
              <w:t>10000</w:t>
            </w:r>
            <w:r>
              <w:rPr>
                <w:color w:val="000000"/>
                <w:sz w:val="21"/>
              </w:rPr>
              <w:t>公里需进行保养维修一次，轮胎每正常行驶</w:t>
            </w:r>
            <w:r>
              <w:rPr>
                <w:color w:val="000000"/>
                <w:sz w:val="21"/>
              </w:rPr>
              <w:t>50000</w:t>
            </w:r>
            <w:r>
              <w:rPr>
                <w:color w:val="000000"/>
                <w:sz w:val="21"/>
              </w:rPr>
              <w:t>公里更换一次，所发生的费用须包含在本次响应报价当中，采购人不再另行支付。</w:t>
            </w:r>
          </w:p>
          <w:p>
            <w:pPr>
              <w:ind w:firstLine="420"/>
              <w:jc w:val="both"/>
            </w:pPr>
            <w:r>
              <w:rPr>
                <w:color w:val="000000"/>
                <w:sz w:val="21"/>
              </w:rPr>
              <w:t>（</w:t>
            </w:r>
            <w:r>
              <w:rPr>
                <w:color w:val="000000"/>
                <w:sz w:val="21"/>
              </w:rPr>
              <w:t>6</w:t>
            </w:r>
            <w:r>
              <w:rPr>
                <w:color w:val="000000"/>
                <w:sz w:val="21"/>
              </w:rPr>
              <w:t>）提供服务的车辆在使用期间如因保养、故障维修、接受定期检审或其他经采购人认可的合理因素而造成需要调整车辆的，成交供应商应调派使用年限</w:t>
            </w:r>
            <w:r>
              <w:rPr>
                <w:color w:val="000000"/>
                <w:sz w:val="21"/>
              </w:rPr>
              <w:t>5</w:t>
            </w:r>
            <w:r>
              <w:rPr>
                <w:color w:val="000000"/>
                <w:sz w:val="21"/>
              </w:rPr>
              <w:t>年以内的备用车辆，经采购人认可后提供服务。在服务过程中，如采购人发现提供服务的车辆不是响应时承诺的车辆，采购人有权终止合同，并上报财政监管部门及追究成交供应商违约责任。</w:t>
            </w:r>
          </w:p>
          <w:p>
            <w:pPr>
              <w:ind w:firstLine="420"/>
              <w:jc w:val="both"/>
            </w:pPr>
            <w:r>
              <w:rPr>
                <w:color w:val="000000"/>
                <w:sz w:val="21"/>
              </w:rPr>
              <w:t>（</w:t>
            </w:r>
            <w:r>
              <w:rPr>
                <w:color w:val="000000"/>
                <w:sz w:val="21"/>
              </w:rPr>
              <w:t>7</w:t>
            </w:r>
            <w:r>
              <w:rPr>
                <w:color w:val="000000"/>
                <w:sz w:val="21"/>
              </w:rPr>
              <w:t>）采购人可以在服务每满一个季度以后对成交供应商的服务进行一次满意度调查，连续两次总体评价为负面情况的，采购人可以提前终止合同。</w:t>
            </w:r>
          </w:p>
          <w:p>
            <w:pPr>
              <w:jc w:val="left"/>
            </w:pPr>
            <w:r>
              <w:rPr>
                <w:b/>
                <w:sz w:val="21"/>
              </w:rPr>
              <w:t>二、服务要求：</w:t>
            </w:r>
          </w:p>
          <w:p>
            <w:pPr>
              <w:ind w:firstLine="420"/>
              <w:jc w:val="both"/>
            </w:pPr>
            <w:r>
              <w:rPr>
                <w:color w:val="000000"/>
                <w:sz w:val="21"/>
              </w:rPr>
              <w:t>（1）成交供应商负责向保险公司购买交强险、车辆损失险、第三者责任险、司机责任险/车上责任险等。</w:t>
            </w:r>
          </w:p>
          <w:p>
            <w:pPr>
              <w:ind w:firstLine="420"/>
              <w:jc w:val="both"/>
            </w:pPr>
            <w:r>
              <w:rPr>
                <w:color w:val="000000"/>
                <w:sz w:val="21"/>
              </w:rPr>
              <w:t>（2）上述保险、不计免赔服务仅免除保险范围内的有关损失，但不免除如因采购人违法违规、事故等导致车辆被扣而产生的停运损失。</w:t>
            </w:r>
          </w:p>
          <w:p>
            <w:pPr>
              <w:ind w:firstLine="420"/>
              <w:jc w:val="both"/>
            </w:pPr>
            <w:r>
              <w:rPr>
                <w:color w:val="000000"/>
                <w:sz w:val="21"/>
              </w:rPr>
              <w:t>（3）如发生车损或其它保险事故，成交供应商负责承担保险公司免赔额及保险责任内的全部损失，采购人负责保险公司免赔额及保险责任外的损失，成交供应商有负责处理事故和办理保险索赔的义务，</w:t>
            </w:r>
            <w:r>
              <w:rPr>
                <w:color w:val="000000"/>
                <w:sz w:val="21"/>
              </w:rPr>
              <w:t>成交供应商需为车辆司乘人员购买保额≥</w:t>
            </w:r>
            <w:r>
              <w:rPr>
                <w:color w:val="000000"/>
                <w:sz w:val="21"/>
              </w:rPr>
              <w:t>10</w:t>
            </w:r>
            <w:r>
              <w:rPr>
                <w:color w:val="000000"/>
                <w:sz w:val="21"/>
              </w:rPr>
              <w:t>万元</w:t>
            </w:r>
            <w:r>
              <w:rPr>
                <w:color w:val="000000"/>
                <w:sz w:val="21"/>
              </w:rPr>
              <w:t>/</w:t>
            </w:r>
            <w:r>
              <w:rPr>
                <w:color w:val="000000"/>
                <w:sz w:val="21"/>
              </w:rPr>
              <w:t>人，第三者责任险保额≥</w:t>
            </w:r>
            <w:r>
              <w:rPr>
                <w:color w:val="000000"/>
                <w:sz w:val="21"/>
              </w:rPr>
              <w:t>200</w:t>
            </w:r>
            <w:r>
              <w:rPr>
                <w:color w:val="000000"/>
                <w:sz w:val="21"/>
              </w:rPr>
              <w:t>万元的保险。</w:t>
            </w:r>
          </w:p>
          <w:p>
            <w:pPr>
              <w:ind w:firstLine="420"/>
              <w:jc w:val="both"/>
            </w:pPr>
            <w:r>
              <w:rPr>
                <w:color w:val="000000"/>
                <w:sz w:val="21"/>
              </w:rPr>
              <w:t>（4）如发生交通事故或其它保险事故，采购人应通知成交供应商处理。</w:t>
            </w:r>
          </w:p>
          <w:p>
            <w:pPr>
              <w:ind w:firstLine="420"/>
              <w:jc w:val="both"/>
            </w:pPr>
            <w:r>
              <w:rPr>
                <w:color w:val="000000"/>
                <w:sz w:val="21"/>
              </w:rPr>
              <w:t>（5）如发生车损需维修，由成交供应商负责对受损的车辆进行维修，采购人不能自行维修或自行选择维修厂维修。</w:t>
            </w:r>
          </w:p>
          <w:p>
            <w:pPr>
              <w:ind w:firstLine="420"/>
              <w:jc w:val="both"/>
            </w:pPr>
            <w:r>
              <w:rPr>
                <w:color w:val="000000"/>
                <w:sz w:val="21"/>
              </w:rPr>
              <w:t>（</w:t>
            </w:r>
            <w:r>
              <w:rPr>
                <w:color w:val="000000"/>
                <w:sz w:val="21"/>
              </w:rPr>
              <w:t>6</w:t>
            </w:r>
            <w:r>
              <w:rPr>
                <w:color w:val="000000"/>
                <w:sz w:val="21"/>
              </w:rPr>
              <w:t>）</w:t>
            </w:r>
            <w:r>
              <w:rPr>
                <w:color w:val="000000"/>
                <w:sz w:val="21"/>
              </w:rPr>
              <w:t>成交供应商如没有依时完成合约规定任务或服务质量达不到要求，经采购人三次提出书面批评意见后，仍无改进，采购人有权终止合同并上报财政监管部门，且采购人不承担违约责任。</w:t>
            </w:r>
          </w:p>
          <w:p>
            <w:pPr>
              <w:ind w:firstLine="420"/>
              <w:jc w:val="both"/>
            </w:pPr>
            <w:r>
              <w:rPr>
                <w:color w:val="000000"/>
                <w:sz w:val="21"/>
              </w:rPr>
              <w:t>（</w:t>
            </w:r>
            <w:r>
              <w:rPr>
                <w:color w:val="000000"/>
                <w:sz w:val="21"/>
              </w:rPr>
              <w:t>7</w:t>
            </w:r>
            <w:r>
              <w:rPr>
                <w:color w:val="000000"/>
                <w:sz w:val="21"/>
              </w:rPr>
              <w:t>）签订服务合同前或采购人使用车辆前，成交供应商提供的服务车辆须经采购人检验合格，成交供应商可酌情邀请采购人人员到成交供应商单位核实查验车辆品牌型号、车辆质量、使用年限等内容，成交供应商应为采购人进行上述检查提供便利的条件，其费用应包含在本次响应报价当中。</w:t>
            </w:r>
          </w:p>
          <w:p>
            <w:pPr>
              <w:ind w:firstLine="420"/>
              <w:jc w:val="both"/>
            </w:pPr>
            <w:r>
              <w:rPr>
                <w:color w:val="000000"/>
                <w:sz w:val="21"/>
              </w:rPr>
              <w:t>（</w:t>
            </w:r>
            <w:r>
              <w:rPr>
                <w:color w:val="000000"/>
                <w:sz w:val="21"/>
              </w:rPr>
              <w:t>8</w:t>
            </w:r>
            <w:r>
              <w:rPr>
                <w:color w:val="000000"/>
                <w:sz w:val="21"/>
              </w:rPr>
              <w:t>）本采购包成交供应商只负责提供车辆，不需要提供驾驶人员。交通违章产生的费用由驾驶车辆违章人员负责支付。成交供应商应每</w:t>
            </w:r>
            <w:r>
              <w:rPr>
                <w:color w:val="000000"/>
                <w:sz w:val="21"/>
              </w:rPr>
              <w:t>15</w:t>
            </w:r>
            <w:r>
              <w:rPr>
                <w:color w:val="000000"/>
                <w:sz w:val="21"/>
              </w:rPr>
              <w:t>天及时提供租赁车辆的交通违法情况表，超过</w:t>
            </w:r>
            <w:r>
              <w:rPr>
                <w:color w:val="000000"/>
                <w:sz w:val="21"/>
              </w:rPr>
              <w:t>30</w:t>
            </w:r>
            <w:r>
              <w:rPr>
                <w:color w:val="000000"/>
                <w:sz w:val="21"/>
              </w:rPr>
              <w:t>天未及时提供交通违法情况表，如导致采购人无法确定租赁车辆的交通违法责任人，采购人将不承担未及时通报的交通违法责任。</w:t>
            </w:r>
          </w:p>
          <w:p>
            <w:r>
              <w:rPr>
                <w:b/>
                <w:sz w:val="21"/>
              </w:rPr>
              <w:t>三 、日常工作管理</w:t>
            </w:r>
          </w:p>
          <w:p>
            <w:r>
              <w:rPr>
                <w:sz w:val="21"/>
              </w:rPr>
              <w:t>（1）日常工作由成交供应商负责，安排专人24小时监控车辆动态值班，电话24小时开通。</w:t>
            </w:r>
          </w:p>
          <w:p>
            <w:r>
              <w:rPr>
                <w:sz w:val="21"/>
              </w:rPr>
              <w:t>（2）公司值班人员第一时间安排人员抢修，如维修时间超过2小时的，应及时派出预备车辆后落实修理人员。</w:t>
            </w:r>
          </w:p>
          <w:p>
            <w:r>
              <w:rPr>
                <w:sz w:val="21"/>
              </w:rPr>
              <w:t>（3）精心组织、合理调度安排。</w:t>
            </w:r>
          </w:p>
          <w:p>
            <w:r>
              <w:rPr>
                <w:sz w:val="21"/>
              </w:rPr>
              <w:t>（4）督促及培训服务人员认真做好定期维修保养工作，确保车辆技术状况完好。</w:t>
            </w:r>
          </w:p>
          <w:p>
            <w:r>
              <w:rPr>
                <w:b/>
                <w:sz w:val="21"/>
              </w:rPr>
              <w:t>四、车辆维护</w:t>
            </w:r>
          </w:p>
          <w:p>
            <w:r>
              <w:rPr>
                <w:sz w:val="21"/>
              </w:rPr>
              <w:t>（1）车辆维护包括整备维护和定程维护定期每两个星期派遣两名车辆专管员负责。整备维护，是指对车辆进行安全技术检查，并根据检查状况进行必要的调试、紧固、润滑、清洁、补给，使车辆恢复完好的状态。定程维护，是指按租赁汽车使用说明书规定的间隔里程（间隔时间）及相应的维护项目、标准，对车辆进行周期性的技术维护，以恢复和保持其完好的安全技术状态。</w:t>
            </w:r>
          </w:p>
          <w:p>
            <w:r>
              <w:rPr>
                <w:sz w:val="21"/>
              </w:rPr>
              <w:t>（2）严格按规定的周期组织车辆定程维护，车辆使用环境恶劣或使用强度较大的，应当相应缩短维护间隔里程或时间。定程维护由车辆由成交供应商承担。</w:t>
            </w:r>
          </w:p>
          <w:p>
            <w:r>
              <w:rPr>
                <w:sz w:val="21"/>
              </w:rPr>
              <w:t>2.</w:t>
            </w:r>
            <w:r>
              <w:rPr>
                <w:sz w:val="21"/>
              </w:rPr>
              <w:t>车辆修理与检验</w:t>
            </w:r>
          </w:p>
          <w:p>
            <w:r>
              <w:rPr>
                <w:sz w:val="21"/>
              </w:rPr>
              <w:t>（1）根据租赁车辆运行故障、事故损伤、机件磨损致功能失效等状况，分别进行整车、总成修理和小修、专项修理，及时恢复车辆的完好技术状况。</w:t>
            </w:r>
          </w:p>
          <w:p>
            <w:r>
              <w:rPr>
                <w:sz w:val="21"/>
              </w:rPr>
              <w:t>（2）汽车修理由成交供应商承担。</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采购包2（干部职工上下班接送用车）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自合同签订之日起一年或累计租赁费用达到采购包采购预算，以先到者为准。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1期：支付比例100%,（一）结算方式：每个月结算一次。结算按月实际租用车辆结算，日租：实际租车费用=（租价×天数）×（1-成交下浮率）；月度结算汇总相加以上实际产生的全部费用。 （二）采购人根据成交供应商报价与每月实际用车情况进行结算（租车以实际产生费用结算）。 （三）成交供应商须在每月初向采购人提供上个月的以下材料以便采购人办理付款手续： 1.合同； 2.成交供应商开具的正式发票； 3.月实际租车费用明细； 4.成交通知书。 5.本项目结算最多至预算限额。 （四）双方核对确认无误后，采购人收到正式发票之日起5个工作日内通过转账、支票等方式支付上月的租车费用。 （五）支付方式：采用支票、银行汇付（含电汇）等形式。</w:t>
            </w:r>
          </w:p>
        </w:tc>
      </w:tr>
      <w:tr>
        <w:tc>
          <w:tcPr>
            <w:tcW w:type="dxa" w:w="4153"/>
          </w:tcPr>
          <w:p>
            <w:r>
              <w:rPr/>
              <w:t>验收要求</w:t>
            </w:r>
          </w:p>
        </w:tc>
        <w:tc>
          <w:tcPr>
            <w:tcW w:type="dxa" w:w="4153"/>
          </w:tcPr>
          <w:p/>
          <w:p/>
          <w:p/>
          <w:p>
            <w:r>
              <w:rPr/>
              <w:t>1期：1.服务期内，采购人每月对成交供应商的按时出车情况和车辆整备情况进行考核（详见附表1：考核表），出现车辆迟到、用车中途故障的，不超过2次成交供应商应提交整改方案并按方案进行整改；超过2次但未达5次的，成交供应商除整改外并扣除当月应结算费用的5%；超过5次的，采购人有权终止合同，由此造成的损失由成交供应商承担。造成违法的，成交供应商承担相应法律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出租车客运服务</w:t>
            </w:r>
          </w:p>
        </w:tc>
        <w:tc>
          <w:tcPr>
            <w:tcW w:type="dxa" w:w="831"/>
          </w:tcPr>
          <w:p>
            <w:pPr>
              <w:jc w:val="left"/>
            </w:pPr>
            <w:r>
              <w:rPr/>
              <w:t>干部职工上下班接送用车</w:t>
            </w:r>
          </w:p>
        </w:tc>
        <w:tc>
          <w:tcPr>
            <w:tcW w:type="dxa" w:w="831"/>
          </w:tcPr>
          <w:p>
            <w:pPr>
              <w:jc w:val="left"/>
            </w:pPr>
            <w:r>
              <w:rPr/>
              <w:t>项</w:t>
            </w:r>
          </w:p>
        </w:tc>
        <w:tc>
          <w:tcPr>
            <w:tcW w:type="dxa" w:w="831"/>
          </w:tcPr>
          <w:p>
            <w:pPr>
              <w:jc w:val="right"/>
            </w:pPr>
            <w:r>
              <w:rPr/>
              <w:t>1.00</w:t>
            </w:r>
          </w:p>
        </w:tc>
        <w:tc>
          <w:tcPr>
            <w:tcW w:type="dxa" w:w="831"/>
          </w:tcPr>
          <w:p>
            <w:pPr>
              <w:jc w:val="right"/>
            </w:pPr>
            <w:r>
              <w:rPr/>
              <w:t>336,000.00</w:t>
            </w:r>
          </w:p>
        </w:tc>
        <w:tc>
          <w:tcPr>
            <w:tcW w:type="dxa" w:w="831"/>
          </w:tcPr>
          <w:p>
            <w:pPr>
              <w:jc w:val="right"/>
            </w:pPr>
            <w:r>
              <w:rPr/>
              <w:t>336,000.00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干部职工上下班接送用车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57"/>
              <w:gridCol w:w="1085"/>
              <w:gridCol w:w="2913"/>
              <w:gridCol w:w="1142"/>
            </w:tblGrid>
            <w:tr>
              <w:tc>
                <w:tcPr>
                  <w:tcW w:type="dxa" w:w="457"/>
                  <w:tcBorders>
                    <w:top w:val="single" w:color="000000" w:sz="4"/>
                    <w:left w:val="single" w:color="000000" w:sz="4"/>
                    <w:bottom w:val="single" w:color="000000" w:sz="4"/>
                    <w:right w:val="single" w:color="000000" w:sz="4"/>
                  </w:tcBorders>
                </w:tcPr>
                <w:p>
                  <w:pPr>
                    <w:ind w:firstLine="63"/>
                    <w:jc w:val="both"/>
                  </w:pPr>
                  <w:r>
                    <w:rPr>
                      <w:b/>
                      <w:sz w:val="21"/>
                    </w:rPr>
                    <w:t>序号</w:t>
                  </w:r>
                </w:p>
              </w:tc>
              <w:tc>
                <w:tcPr>
                  <w:tcW w:type="dxa" w:w="1085"/>
                  <w:tcBorders>
                    <w:top w:val="single" w:color="000000" w:sz="4"/>
                    <w:left w:val="none" w:color="000000" w:sz="4"/>
                    <w:bottom w:val="single" w:color="000000" w:sz="4"/>
                    <w:right w:val="single" w:color="000000" w:sz="4"/>
                  </w:tcBorders>
                </w:tcPr>
                <w:p>
                  <w:pPr>
                    <w:jc w:val="center"/>
                  </w:pPr>
                  <w:r>
                    <w:rPr>
                      <w:b/>
                      <w:sz w:val="21"/>
                    </w:rPr>
                    <w:t>车型</w:t>
                  </w:r>
                </w:p>
              </w:tc>
              <w:tc>
                <w:tcPr>
                  <w:tcW w:type="dxa" w:w="2913"/>
                  <w:tcBorders>
                    <w:top w:val="single" w:color="000000" w:sz="4"/>
                    <w:left w:val="none" w:color="000000" w:sz="4"/>
                    <w:bottom w:val="single" w:color="000000" w:sz="4"/>
                    <w:right w:val="single" w:color="000000" w:sz="4"/>
                  </w:tcBorders>
                </w:tcPr>
                <w:p>
                  <w:pPr>
                    <w:ind w:firstLine="78"/>
                    <w:jc w:val="center"/>
                  </w:pPr>
                  <w:r>
                    <w:rPr>
                      <w:b/>
                      <w:sz w:val="21"/>
                    </w:rPr>
                    <w:t>区内用车日租价单价基准价</w:t>
                  </w:r>
                  <w:r>
                    <w:rPr>
                      <w:b/>
                      <w:sz w:val="21"/>
                    </w:rPr>
                    <w:t>（元/辆/天）</w:t>
                  </w:r>
                </w:p>
              </w:tc>
              <w:tc>
                <w:tcPr>
                  <w:tcW w:type="dxa" w:w="1142"/>
                  <w:tcBorders>
                    <w:top w:val="single" w:color="000000" w:sz="4"/>
                    <w:left w:val="none" w:color="000000" w:sz="4"/>
                    <w:bottom w:val="single" w:color="000000" w:sz="4"/>
                    <w:right w:val="single" w:color="000000" w:sz="4"/>
                  </w:tcBorders>
                </w:tcPr>
                <w:p>
                  <w:pPr>
                    <w:ind w:firstLine="506"/>
                    <w:jc w:val="both"/>
                  </w:pPr>
                  <w:r>
                    <w:rPr>
                      <w:b/>
                      <w:sz w:val="21"/>
                    </w:rPr>
                    <w:t>备注</w:t>
                  </w:r>
                </w:p>
              </w:tc>
            </w:tr>
            <w:tr>
              <w:tc>
                <w:tcPr>
                  <w:tcW w:type="dxa" w:w="457"/>
                  <w:tcBorders>
                    <w:top w:val="none" w:color="000000" w:sz="4"/>
                    <w:left w:val="single" w:color="000000" w:sz="4"/>
                    <w:bottom w:val="single" w:color="000000" w:sz="4"/>
                    <w:right w:val="single" w:color="000000" w:sz="4"/>
                  </w:tcBorders>
                </w:tcPr>
                <w:p>
                  <w:pPr>
                    <w:jc w:val="center"/>
                  </w:pPr>
                  <w:r>
                    <w:rPr>
                      <w:sz w:val="21"/>
                    </w:rPr>
                    <w:t>1</w:t>
                  </w:r>
                </w:p>
              </w:tc>
              <w:tc>
                <w:tcPr>
                  <w:tcW w:type="dxa" w:w="1085"/>
                  <w:tcBorders>
                    <w:top w:val="none" w:color="000000" w:sz="4"/>
                    <w:left w:val="none" w:color="000000" w:sz="4"/>
                    <w:bottom w:val="single" w:color="000000" w:sz="4"/>
                    <w:right w:val="single" w:color="000000" w:sz="4"/>
                  </w:tcBorders>
                </w:tcPr>
                <w:p>
                  <w:pPr>
                    <w:jc w:val="center"/>
                  </w:pPr>
                  <w:r>
                    <w:rPr>
                      <w:sz w:val="21"/>
                    </w:rPr>
                    <w:t>9</w:t>
                  </w:r>
                  <w:r>
                    <w:rPr>
                      <w:sz w:val="21"/>
                    </w:rPr>
                    <w:t>座面包车</w:t>
                  </w:r>
                </w:p>
              </w:tc>
              <w:tc>
                <w:tcPr>
                  <w:tcW w:type="dxa" w:w="2913"/>
                  <w:tcBorders>
                    <w:top w:val="none" w:color="000000" w:sz="4"/>
                    <w:left w:val="none" w:color="000000" w:sz="4"/>
                    <w:bottom w:val="single" w:color="000000" w:sz="4"/>
                    <w:right w:val="single" w:color="000000" w:sz="4"/>
                  </w:tcBorders>
                </w:tcPr>
                <w:p>
                  <w:pPr>
                    <w:jc w:val="center"/>
                  </w:pPr>
                  <w:r>
                    <w:rPr>
                      <w:sz w:val="21"/>
                    </w:rPr>
                    <w:t>650</w:t>
                  </w:r>
                </w:p>
              </w:tc>
              <w:tc>
                <w:tcPr>
                  <w:tcW w:type="dxa" w:w="1142"/>
                  <w:vMerge w:val="restart"/>
                  <w:tcBorders>
                    <w:top w:val="none" w:color="000000" w:sz="4"/>
                    <w:left w:val="none" w:color="000000" w:sz="4"/>
                    <w:bottom w:val="single" w:color="000000" w:sz="4"/>
                    <w:right w:val="single" w:color="000000" w:sz="4"/>
                  </w:tcBorders>
                </w:tcPr>
                <w:p>
                  <w:pPr>
                    <w:jc w:val="center"/>
                  </w:pPr>
                  <w:r>
                    <w:rPr>
                      <w:sz w:val="21"/>
                    </w:rPr>
                    <w:t>含司机</w:t>
                  </w:r>
                </w:p>
              </w:tc>
            </w:tr>
            <w:tr>
              <w:tc>
                <w:tcPr>
                  <w:tcW w:type="dxa" w:w="457"/>
                  <w:tcBorders>
                    <w:top w:val="none" w:color="000000" w:sz="4"/>
                    <w:left w:val="single" w:color="000000" w:sz="4"/>
                    <w:bottom w:val="single" w:color="000000" w:sz="4"/>
                    <w:right w:val="single" w:color="000000" w:sz="4"/>
                  </w:tcBorders>
                </w:tcPr>
                <w:p>
                  <w:pPr>
                    <w:jc w:val="center"/>
                  </w:pPr>
                  <w:r>
                    <w:rPr>
                      <w:sz w:val="21"/>
                    </w:rPr>
                    <w:t>2</w:t>
                  </w:r>
                </w:p>
              </w:tc>
              <w:tc>
                <w:tcPr>
                  <w:tcW w:type="dxa" w:w="1085"/>
                  <w:tcBorders>
                    <w:top w:val="none" w:color="000000" w:sz="4"/>
                    <w:left w:val="none" w:color="000000" w:sz="4"/>
                    <w:bottom w:val="single" w:color="000000" w:sz="4"/>
                    <w:right w:val="single" w:color="000000" w:sz="4"/>
                  </w:tcBorders>
                </w:tcPr>
                <w:p>
                  <w:pPr>
                    <w:jc w:val="center"/>
                  </w:pPr>
                  <w:r>
                    <w:rPr>
                      <w:sz w:val="21"/>
                    </w:rPr>
                    <w:t>20</w:t>
                  </w:r>
                  <w:r>
                    <w:rPr>
                      <w:sz w:val="21"/>
                    </w:rPr>
                    <w:t>座以上中巴</w:t>
                  </w:r>
                </w:p>
              </w:tc>
              <w:tc>
                <w:tcPr>
                  <w:tcW w:type="dxa" w:w="2913"/>
                  <w:tcBorders>
                    <w:top w:val="none" w:color="000000" w:sz="4"/>
                    <w:left w:val="none" w:color="000000" w:sz="4"/>
                    <w:bottom w:val="single" w:color="000000" w:sz="4"/>
                    <w:right w:val="single" w:color="000000" w:sz="4"/>
                  </w:tcBorders>
                </w:tcPr>
                <w:p>
                  <w:pPr>
                    <w:jc w:val="center"/>
                  </w:pPr>
                  <w:r>
                    <w:rPr>
                      <w:sz w:val="21"/>
                    </w:rPr>
                    <w:t>750</w:t>
                  </w:r>
                </w:p>
              </w:tc>
            </w:tr>
            <w:tr>
              <w:tc>
                <w:tcPr>
                  <w:tcW w:type="dxa" w:w="457"/>
                  <w:tcBorders>
                    <w:top w:val="none" w:color="000000" w:sz="4"/>
                    <w:left w:val="single" w:color="000000" w:sz="4"/>
                    <w:bottom w:val="single" w:color="000000" w:sz="4"/>
                    <w:right w:val="single" w:color="000000" w:sz="4"/>
                  </w:tcBorders>
                </w:tcPr>
                <w:p>
                  <w:pPr>
                    <w:jc w:val="center"/>
                  </w:pPr>
                  <w:r>
                    <w:rPr>
                      <w:sz w:val="21"/>
                    </w:rPr>
                    <w:t>3</w:t>
                  </w:r>
                </w:p>
              </w:tc>
              <w:tc>
                <w:tcPr>
                  <w:tcW w:type="dxa" w:w="1085"/>
                  <w:tcBorders>
                    <w:top w:val="none" w:color="000000" w:sz="4"/>
                    <w:left w:val="none" w:color="000000" w:sz="4"/>
                    <w:bottom w:val="single" w:color="000000" w:sz="4"/>
                    <w:right w:val="single" w:color="000000" w:sz="4"/>
                  </w:tcBorders>
                </w:tcPr>
                <w:p>
                  <w:pPr>
                    <w:jc w:val="center"/>
                  </w:pPr>
                  <w:r>
                    <w:rPr>
                      <w:sz w:val="21"/>
                    </w:rPr>
                    <w:t>30</w:t>
                  </w:r>
                  <w:r>
                    <w:rPr>
                      <w:sz w:val="21"/>
                    </w:rPr>
                    <w:t>座以上大巴</w:t>
                  </w:r>
                </w:p>
              </w:tc>
              <w:tc>
                <w:tcPr>
                  <w:tcW w:type="dxa" w:w="2913"/>
                  <w:tcBorders>
                    <w:top w:val="none" w:color="000000" w:sz="4"/>
                    <w:left w:val="none" w:color="000000" w:sz="4"/>
                    <w:bottom w:val="single" w:color="000000" w:sz="4"/>
                    <w:right w:val="single" w:color="000000" w:sz="4"/>
                  </w:tcBorders>
                </w:tcPr>
                <w:p>
                  <w:pPr>
                    <w:jc w:val="center"/>
                  </w:pPr>
                  <w:r>
                    <w:rPr>
                      <w:sz w:val="21"/>
                    </w:rPr>
                    <w:t>1000</w:t>
                  </w:r>
                </w:p>
              </w:tc>
            </w:tr>
            <w:tr>
              <w:tc>
                <w:tcPr>
                  <w:tcW w:type="dxa" w:w="457"/>
                  <w:tcBorders>
                    <w:top w:val="none" w:color="000000" w:sz="4"/>
                    <w:left w:val="single" w:color="000000" w:sz="4"/>
                    <w:bottom w:val="single" w:color="000000" w:sz="4"/>
                    <w:right w:val="single" w:color="000000" w:sz="4"/>
                  </w:tcBorders>
                </w:tcPr>
                <w:p>
                  <w:pPr>
                    <w:jc w:val="center"/>
                  </w:pPr>
                  <w:r>
                    <w:rPr>
                      <w:sz w:val="21"/>
                    </w:rPr>
                    <w:t>4</w:t>
                  </w:r>
                </w:p>
              </w:tc>
              <w:tc>
                <w:tcPr>
                  <w:tcW w:type="dxa" w:w="1085"/>
                  <w:tcBorders>
                    <w:top w:val="none" w:color="000000" w:sz="4"/>
                    <w:left w:val="none" w:color="000000" w:sz="4"/>
                    <w:bottom w:val="single" w:color="000000" w:sz="4"/>
                    <w:right w:val="single" w:color="000000" w:sz="4"/>
                  </w:tcBorders>
                </w:tcPr>
                <w:p>
                  <w:pPr>
                    <w:jc w:val="center"/>
                  </w:pPr>
                  <w:r>
                    <w:rPr>
                      <w:sz w:val="21"/>
                    </w:rPr>
                    <w:t>45</w:t>
                  </w:r>
                  <w:r>
                    <w:rPr>
                      <w:sz w:val="21"/>
                    </w:rPr>
                    <w:t>座大巴</w:t>
                  </w:r>
                </w:p>
              </w:tc>
              <w:tc>
                <w:tcPr>
                  <w:tcW w:type="dxa" w:w="2913"/>
                  <w:tcBorders>
                    <w:top w:val="none" w:color="000000" w:sz="4"/>
                    <w:left w:val="none" w:color="000000" w:sz="4"/>
                    <w:bottom w:val="single" w:color="000000" w:sz="4"/>
                    <w:right w:val="single" w:color="000000" w:sz="4"/>
                  </w:tcBorders>
                </w:tcPr>
                <w:p>
                  <w:pPr>
                    <w:jc w:val="center"/>
                  </w:pPr>
                  <w:r>
                    <w:rPr>
                      <w:sz w:val="21"/>
                    </w:rPr>
                    <w:t>1200</w:t>
                  </w:r>
                </w:p>
              </w:tc>
            </w:tr>
            <w:tr>
              <w:tc>
                <w:tcPr>
                  <w:tcW w:type="dxa" w:w="457"/>
                  <w:tcBorders>
                    <w:top w:val="none" w:color="000000" w:sz="4"/>
                    <w:left w:val="single" w:color="000000" w:sz="4"/>
                    <w:bottom w:val="single" w:color="000000" w:sz="4"/>
                    <w:right w:val="single" w:color="000000" w:sz="4"/>
                  </w:tcBorders>
                </w:tcPr>
                <w:p>
                  <w:pPr>
                    <w:jc w:val="center"/>
                  </w:pPr>
                  <w:r>
                    <w:rPr>
                      <w:sz w:val="21"/>
                    </w:rPr>
                    <w:t>5</w:t>
                  </w:r>
                </w:p>
              </w:tc>
              <w:tc>
                <w:tcPr>
                  <w:tcW w:type="dxa" w:w="1085"/>
                  <w:tcBorders>
                    <w:top w:val="none" w:color="000000" w:sz="4"/>
                    <w:left w:val="none" w:color="000000" w:sz="4"/>
                    <w:bottom w:val="single" w:color="000000" w:sz="4"/>
                    <w:right w:val="single" w:color="000000" w:sz="4"/>
                  </w:tcBorders>
                </w:tcPr>
                <w:p>
                  <w:pPr>
                    <w:jc w:val="center"/>
                  </w:pPr>
                  <w:r>
                    <w:rPr>
                      <w:sz w:val="21"/>
                    </w:rPr>
                    <w:t>50</w:t>
                  </w:r>
                  <w:r>
                    <w:rPr>
                      <w:sz w:val="21"/>
                    </w:rPr>
                    <w:t>座以上大巴</w:t>
                  </w:r>
                </w:p>
              </w:tc>
              <w:tc>
                <w:tcPr>
                  <w:tcW w:type="dxa" w:w="2913"/>
                  <w:tcBorders>
                    <w:top w:val="none" w:color="000000" w:sz="4"/>
                    <w:left w:val="none" w:color="000000" w:sz="4"/>
                    <w:bottom w:val="single" w:color="000000" w:sz="4"/>
                    <w:right w:val="single" w:color="000000" w:sz="4"/>
                  </w:tcBorders>
                </w:tcPr>
                <w:p>
                  <w:pPr>
                    <w:jc w:val="center"/>
                  </w:pPr>
                  <w:r>
                    <w:rPr>
                      <w:sz w:val="21"/>
                    </w:rPr>
                    <w:t>1300</w:t>
                  </w:r>
                </w:p>
              </w:tc>
            </w:tr>
            <w:tr>
              <w:tc>
                <w:tcPr>
                  <w:tcW w:type="dxa" w:w="5597"/>
                  <w:gridSpan w:val="4"/>
                  <w:tcBorders>
                    <w:top w:val="none" w:color="000000" w:sz="4"/>
                    <w:left w:val="single" w:color="000000" w:sz="4"/>
                    <w:bottom w:val="single" w:color="000000" w:sz="4"/>
                    <w:right w:val="single" w:color="000000" w:sz="4"/>
                  </w:tcBorders>
                </w:tcPr>
                <w:p>
                  <w:pPr>
                    <w:jc w:val="left"/>
                  </w:pPr>
                  <w:r>
                    <w:rPr>
                      <w:sz w:val="21"/>
                    </w:rPr>
                    <w:t>备注：按实际租赁天数结算。</w:t>
                  </w:r>
                </w:p>
              </w:tc>
            </w:tr>
          </w:tbl>
          <w:p>
            <w:pPr>
              <w:jc w:val="both"/>
            </w:pPr>
            <w:r>
              <w:rPr>
                <w:b/>
                <w:sz w:val="21"/>
              </w:rPr>
              <w:t>一、租赁要求</w:t>
            </w:r>
          </w:p>
          <w:p>
            <w:pPr>
              <w:jc w:val="both"/>
            </w:pPr>
            <w:r>
              <w:rPr>
                <w:sz w:val="21"/>
              </w:rPr>
              <w:t>1.</w:t>
            </w:r>
            <w:r>
              <w:rPr>
                <w:sz w:val="21"/>
              </w:rPr>
              <w:t>采购包2成交供应商负责提供车辆与指派司机驾驶车辆，成交供应商须承担司机劳动报酬。</w:t>
            </w:r>
          </w:p>
          <w:p>
            <w:pPr>
              <w:jc w:val="both"/>
            </w:pPr>
            <w:r>
              <w:rPr>
                <w:b/>
                <w:sz w:val="21"/>
              </w:rPr>
              <w:t>二、服务要求</w:t>
            </w:r>
          </w:p>
          <w:p>
            <w:pPr>
              <w:jc w:val="both"/>
            </w:pPr>
            <w:r>
              <w:rPr>
                <w:sz w:val="21"/>
              </w:rPr>
              <w:t>（一）基本要求</w:t>
            </w:r>
          </w:p>
          <w:p>
            <w:pPr>
              <w:jc w:val="both"/>
            </w:pPr>
            <w:r>
              <w:rPr>
                <w:sz w:val="21"/>
              </w:rPr>
              <w:t>（1）成交供应商须有一套完善的管理体制、有优质服务精神、有较高的安全意识、有丰富的运营及应对路面突发事件的经验。</w:t>
            </w:r>
          </w:p>
          <w:p>
            <w:pPr>
              <w:jc w:val="both"/>
            </w:pPr>
            <w:r>
              <w:rPr>
                <w:sz w:val="21"/>
              </w:rPr>
              <w:t>（2）成交供应商所提供租赁的车辆须为成交供应商自有或合法租赁的车辆，并且具备在广州市任何区域合法行驶的资格。</w:t>
            </w:r>
          </w:p>
          <w:p>
            <w:pPr>
              <w:jc w:val="both"/>
            </w:pPr>
            <w:r>
              <w:rPr>
                <w:sz w:val="21"/>
              </w:rPr>
              <w:t>（3）成交供应商须有完善的车辆管理及安全管理制度，有一支较高职业质素和驾驶技能的驾驶员队伍，能做到遵章守法，执行管理制度，自觉对车辆进行日常检查和保养工作。</w:t>
            </w:r>
          </w:p>
          <w:p>
            <w:pPr>
              <w:jc w:val="both"/>
            </w:pPr>
            <w:r>
              <w:rPr>
                <w:sz w:val="21"/>
              </w:rPr>
              <w:t>（4）成交供应商需按照国家有关规定，支付驾驶员的工资、社会保险等福利待遇。成交供应商如因此发生劳资纠纷，造成的责任和损失由成交供应商负责，一切与采购人无关，如导致采购人损失的，应当予以赔偿。</w:t>
            </w:r>
          </w:p>
          <w:p>
            <w:pPr>
              <w:jc w:val="both"/>
            </w:pPr>
            <w:r>
              <w:rPr>
                <w:sz w:val="21"/>
              </w:rPr>
              <w:t>（二）安全方面要求</w:t>
            </w:r>
          </w:p>
          <w:p>
            <w:pPr>
              <w:jc w:val="both"/>
            </w:pPr>
            <w:r>
              <w:rPr>
                <w:sz w:val="21"/>
              </w:rPr>
              <w:t>（1）驾驶员必须为成交供应商的签约员工，具备丰富的驾驶经验，5年以内无重大交通事故记录、5年以上驾龄、年龄为25～55周岁、熟悉珠江三角洲交通道路（需提供驾驶员的驾驶证、签约合同、社保记录等佐证文件）。</w:t>
            </w:r>
          </w:p>
          <w:p>
            <w:pPr>
              <w:jc w:val="both"/>
            </w:pPr>
            <w:r>
              <w:rPr>
                <w:sz w:val="21"/>
              </w:rPr>
              <w:t>（2）驾驶员必须服从采购人的管理，安全、文明驾驶。若采购人对驾驶员服务质量不满意，成交供应商须按照采购人的要求更换合格的驾驶员。</w:t>
            </w:r>
          </w:p>
          <w:p>
            <w:pPr>
              <w:jc w:val="both"/>
            </w:pPr>
            <w:r>
              <w:rPr>
                <w:sz w:val="21"/>
              </w:rPr>
              <w:t>★（3）驾驶员在服务过程中应携带驾驶执照，并保持通讯畅通，服从采购人调遣，按要求时间提前到达指定地点等候。驾驶员应做好车辆的日常检查、卫生保洁工作，遵守交通规则，不随意停车、停靠、接听电话，不吸烟，使用礼貌用语。（须在响应文件中提供承诺函）</w:t>
            </w:r>
          </w:p>
          <w:p>
            <w:pPr>
              <w:jc w:val="both"/>
            </w:pPr>
            <w:r>
              <w:rPr>
                <w:sz w:val="21"/>
              </w:rPr>
              <w:t>（三）车况方面要求</w:t>
            </w:r>
          </w:p>
          <w:p>
            <w:pPr>
              <w:jc w:val="both"/>
            </w:pPr>
            <w:r>
              <w:rPr>
                <w:sz w:val="21"/>
              </w:rPr>
              <w:t>（1）成交供应商提供的租赁车辆每辆车总行驶里程15万公里以下,提供保险、行驶证及机动车登记证书复印件。所提供租赁车辆需经采购人检查认可，本项目服务期内不得无故更换，确因特殊情况需要更换的，需提前5个工作日向采购人递交申请，并征得采购人同意。</w:t>
            </w:r>
          </w:p>
          <w:p>
            <w:pPr>
              <w:jc w:val="both"/>
            </w:pPr>
            <w:r>
              <w:rPr>
                <w:sz w:val="21"/>
              </w:rPr>
              <w:t>（2）成交供应商提供的车辆必须符合国家规定的安全、环保等要求，必须配置合格的安全带、安全锤等安全装置。</w:t>
            </w:r>
          </w:p>
          <w:p>
            <w:pPr>
              <w:jc w:val="both"/>
            </w:pPr>
            <w:r>
              <w:rPr>
                <w:sz w:val="21"/>
              </w:rPr>
              <w:t>（3）成交供应商的车辆车容要求“三洁”--车头清洁、车身光洁、车厢和座位干净整洁，车内无异味（含“新车味”）、无垃圾、无蟑螂昆虫。</w:t>
            </w:r>
          </w:p>
          <w:p>
            <w:pPr>
              <w:jc w:val="both"/>
            </w:pPr>
            <w:r>
              <w:rPr>
                <w:sz w:val="21"/>
              </w:rPr>
              <w:t>（四）保险方面</w:t>
            </w:r>
          </w:p>
          <w:p>
            <w:pPr>
              <w:jc w:val="both"/>
            </w:pPr>
            <w:r>
              <w:rPr>
                <w:sz w:val="21"/>
              </w:rPr>
              <w:t>（1）成交供应商负责向保险公司购买交强险、车辆损失险、第三者责任险、司机责任险/车上责任险等.</w:t>
            </w:r>
          </w:p>
          <w:p>
            <w:pPr>
              <w:jc w:val="both"/>
            </w:pPr>
            <w:r>
              <w:rPr>
                <w:sz w:val="21"/>
              </w:rPr>
              <w:t>（2）上述保险、不计免赔服务仅免除保险范围内的有关损失，但不免除如因采购人违法违规、事故等导致车辆被扣而产生的停运损失，。</w:t>
            </w:r>
          </w:p>
          <w:p>
            <w:pPr>
              <w:jc w:val="both"/>
            </w:pPr>
            <w:r>
              <w:rPr>
                <w:sz w:val="21"/>
              </w:rPr>
              <w:t>（3）如发生车损或其它保险事故，成交供应商负责承担保险公司免赔额及保险责任内的全部损失，采购人负责保险公司免赔额及保险责任外的损失，成交供应商有负责处理事故和办理保险索赔的义务。</w:t>
            </w:r>
          </w:p>
          <w:p>
            <w:pPr>
              <w:jc w:val="both"/>
            </w:pPr>
            <w:r>
              <w:rPr>
                <w:sz w:val="21"/>
              </w:rPr>
              <w:t>（4）如发生交通事故或其它保险事故，采购人应通知成交供应商处理。</w:t>
            </w:r>
          </w:p>
          <w:p>
            <w:pPr>
              <w:jc w:val="both"/>
            </w:pPr>
            <w:r>
              <w:rPr>
                <w:sz w:val="21"/>
              </w:rPr>
              <w:t>（5）如发生车损需维修，由成交供应商负责对受损的车辆进行维修，采购人不能自行维修或自行选择维修厂维修。</w:t>
            </w:r>
          </w:p>
          <w:p>
            <w:pPr>
              <w:jc w:val="both"/>
            </w:pPr>
            <w:r>
              <w:rPr>
                <w:sz w:val="21"/>
              </w:rPr>
              <w:t>（五）保养维修</w:t>
            </w:r>
          </w:p>
          <w:p>
            <w:pPr>
              <w:jc w:val="both"/>
            </w:pPr>
            <w:r>
              <w:rPr>
                <w:sz w:val="21"/>
              </w:rPr>
              <w:t>（1）定期保养：在采购包服务期内，车辆需在有资质的修理厂定期保养、正常损耗件维修及更换（包括雨刮片、启动电池、制动片等），费用由成交供应商负责（需包含在本次响应报价当中，采购人不再另行支付）；车辆使用期间的轮胎损耗（除正常行驶磨平外），由采购人自行负责维修，并承担相关费用，如因采购人操作不当或违规驾驶导致车辆损坏且不在保险理赔范围的需由采购人自行负责维修。</w:t>
            </w:r>
          </w:p>
          <w:p>
            <w:pPr>
              <w:jc w:val="both"/>
            </w:pPr>
            <w:r>
              <w:rPr>
                <w:sz w:val="21"/>
              </w:rPr>
              <w:t>（2）如车辆发生故障或异常，采购人应通知成交供应商，由成交供应商负责处理。故障车辆须到成交供应商指定或认可的维修厂维修，采购人不能自行维修或自行选择维修厂维修。</w:t>
            </w:r>
          </w:p>
          <w:p>
            <w:pPr>
              <w:jc w:val="both"/>
            </w:pPr>
            <w:r>
              <w:rPr>
                <w:sz w:val="21"/>
              </w:rPr>
              <w:t>（3）成交供应商对每一租赁车辆只提供一套钥匙给采购人，如钥匙遗失，采购人应承担整个车锁系统（包括车门锁、点火开关、旅行箱盖锁）的更换费用。</w:t>
            </w:r>
          </w:p>
          <w:p>
            <w:pPr>
              <w:jc w:val="both"/>
            </w:pPr>
            <w:r>
              <w:rPr>
                <w:b/>
                <w:sz w:val="21"/>
              </w:rPr>
              <w:t>三、其他要求</w:t>
            </w:r>
          </w:p>
          <w:p>
            <w:pPr>
              <w:jc w:val="both"/>
            </w:pPr>
            <w:r>
              <w:rPr>
                <w:sz w:val="21"/>
              </w:rPr>
              <w:t>成交供应商与采购人签订合同后，应与采购人配合做好检查验证工作，确保车辆符合运营条件和采购人的要求。</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采购包3（专项行动临时保障用车）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自合同签订之日起一年或累计租赁费用达到采购包采购预算，以先到者为准。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1期：支付比例100%,（一）结算方式：每个月结算一次。结算按月实际租用车辆结算，日租：实际租车费用=（租价×天数）×（1-成交下浮率）；月度结算汇总相加以上实际产生的全部费用。 （二）采购人根据成交供应商报价与每月实际用车情况进行结算（租车以实际产生费用结算）。 （三）成交供应商须在每月初向采购人提供上个月的以下材料以便采购人办理付款手续： 1.合同； 2.成交供应商开具的正式发票； 3.月实际租车费用明细； 4.成交通知书。 5.本项目结算最多至预算限额。 （四）双方核对确认无误后，采购人收到正式发票之日起5个工作日内通过转账、支票等方式支付上月的租车费用。 （五）支付方式：采用支票、银行汇付（含电汇）等形式。</w:t>
            </w:r>
          </w:p>
        </w:tc>
      </w:tr>
      <w:tr>
        <w:tc>
          <w:tcPr>
            <w:tcW w:type="dxa" w:w="4153"/>
          </w:tcPr>
          <w:p>
            <w:r>
              <w:rPr/>
              <w:t>验收要求</w:t>
            </w:r>
          </w:p>
        </w:tc>
        <w:tc>
          <w:tcPr>
            <w:tcW w:type="dxa" w:w="4153"/>
          </w:tcPr>
          <w:p/>
          <w:p/>
          <w:p/>
          <w:p>
            <w:r>
              <w:rPr/>
              <w:t>1期：1.服务期内，采购人每月对成交供应商的按时出车情况和车辆整备情况进行考核（详见附表1：考核表），出现车辆迟到、用车中途故障的，不超过2次成交供应商应提交整改方案并按方案进行整改；超过2次但未达5次的，成交供应商除整改外并扣除当月应结算费用的5%；超过5次的，采购人有权终止合同，由此造成的损失由成交供应商承担。造成违法的，成交供应商承担相应法律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出租车客运服务</w:t>
            </w:r>
          </w:p>
        </w:tc>
        <w:tc>
          <w:tcPr>
            <w:tcW w:type="dxa" w:w="831"/>
          </w:tcPr>
          <w:p>
            <w:pPr>
              <w:jc w:val="left"/>
            </w:pPr>
            <w:r>
              <w:rPr/>
              <w:t>专项行动临时保障用车</w:t>
            </w:r>
          </w:p>
        </w:tc>
        <w:tc>
          <w:tcPr>
            <w:tcW w:type="dxa" w:w="831"/>
          </w:tcPr>
          <w:p>
            <w:pPr>
              <w:jc w:val="left"/>
            </w:pPr>
            <w:r>
              <w:rPr/>
              <w:t>项</w:t>
            </w:r>
          </w:p>
        </w:tc>
        <w:tc>
          <w:tcPr>
            <w:tcW w:type="dxa" w:w="831"/>
          </w:tcPr>
          <w:p>
            <w:pPr>
              <w:jc w:val="right"/>
            </w:pPr>
            <w:r>
              <w:rPr/>
              <w:t>1.00</w:t>
            </w:r>
          </w:p>
        </w:tc>
        <w:tc>
          <w:tcPr>
            <w:tcW w:type="dxa" w:w="831"/>
          </w:tcPr>
          <w:p>
            <w:pPr>
              <w:jc w:val="right"/>
            </w:pPr>
            <w:r>
              <w:rPr/>
              <w:t>264,000.00</w:t>
            </w:r>
          </w:p>
        </w:tc>
        <w:tc>
          <w:tcPr>
            <w:tcW w:type="dxa" w:w="831"/>
          </w:tcPr>
          <w:p>
            <w:pPr>
              <w:jc w:val="right"/>
            </w:pPr>
            <w:r>
              <w:rPr/>
              <w:t>264,000.00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专项行动临时保障用车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50"/>
              <w:gridCol w:w="641"/>
              <w:gridCol w:w="933"/>
              <w:gridCol w:w="933"/>
              <w:gridCol w:w="933"/>
              <w:gridCol w:w="933"/>
              <w:gridCol w:w="875"/>
            </w:tblGrid>
            <w:tr>
              <w:tc>
                <w:tcPr>
                  <w:tcW w:type="dxa" w:w="350"/>
                  <w:tcBorders>
                    <w:top w:val="single" w:color="000000" w:sz="4"/>
                    <w:left w:val="single" w:color="000000" w:sz="4"/>
                    <w:bottom w:val="single" w:color="000000" w:sz="4"/>
                    <w:right w:val="single" w:color="000000" w:sz="4"/>
                  </w:tcBorders>
                </w:tcPr>
                <w:p>
                  <w:pPr>
                    <w:ind w:firstLine="63"/>
                    <w:jc w:val="both"/>
                  </w:pPr>
                  <w:r>
                    <w:rPr>
                      <w:b/>
                      <w:sz w:val="21"/>
                    </w:rPr>
                    <w:t>序号</w:t>
                  </w:r>
                </w:p>
              </w:tc>
              <w:tc>
                <w:tcPr>
                  <w:tcW w:type="dxa" w:w="641"/>
                  <w:tcBorders>
                    <w:top w:val="single" w:color="000000" w:sz="4"/>
                    <w:left w:val="none" w:color="000000" w:sz="4"/>
                    <w:bottom w:val="single" w:color="000000" w:sz="4"/>
                    <w:right w:val="single" w:color="000000" w:sz="4"/>
                  </w:tcBorders>
                </w:tcPr>
                <w:p>
                  <w:pPr>
                    <w:ind w:firstLine="414"/>
                    <w:jc w:val="both"/>
                  </w:pPr>
                  <w:r>
                    <w:rPr>
                      <w:b/>
                      <w:sz w:val="21"/>
                    </w:rPr>
                    <w:t>车型</w:t>
                  </w:r>
                </w:p>
              </w:tc>
              <w:tc>
                <w:tcPr>
                  <w:tcW w:type="dxa" w:w="933"/>
                  <w:tcBorders>
                    <w:top w:val="single" w:color="000000" w:sz="4"/>
                    <w:left w:val="none" w:color="000000" w:sz="4"/>
                    <w:bottom w:val="single" w:color="000000" w:sz="4"/>
                    <w:right w:val="single" w:color="000000" w:sz="4"/>
                  </w:tcBorders>
                </w:tcPr>
                <w:p>
                  <w:pPr>
                    <w:ind w:firstLine="78"/>
                    <w:jc w:val="center"/>
                  </w:pPr>
                  <w:r>
                    <w:rPr>
                      <w:b/>
                      <w:sz w:val="21"/>
                    </w:rPr>
                    <w:t>区内用车日租价单价基准价</w:t>
                  </w:r>
                  <w:r>
                    <w:rPr>
                      <w:b/>
                      <w:sz w:val="21"/>
                    </w:rPr>
                    <w:t>（元/辆/天）</w:t>
                  </w:r>
                </w:p>
              </w:tc>
              <w:tc>
                <w:tcPr>
                  <w:tcW w:type="dxa" w:w="933"/>
                  <w:tcBorders>
                    <w:top w:val="single" w:color="000000" w:sz="4"/>
                    <w:left w:val="none" w:color="000000" w:sz="4"/>
                    <w:bottom w:val="single" w:color="000000" w:sz="4"/>
                    <w:right w:val="single" w:color="000000" w:sz="4"/>
                  </w:tcBorders>
                </w:tcPr>
                <w:p>
                  <w:pPr>
                    <w:ind w:firstLine="78"/>
                    <w:jc w:val="center"/>
                  </w:pPr>
                  <w:r>
                    <w:rPr>
                      <w:b/>
                      <w:sz w:val="21"/>
                    </w:rPr>
                    <w:t>广州市内用车日租价单价基准价</w:t>
                  </w:r>
                  <w:r>
                    <w:rPr>
                      <w:b/>
                      <w:sz w:val="21"/>
                    </w:rPr>
                    <w:t>（元/辆/天）</w:t>
                  </w:r>
                </w:p>
              </w:tc>
              <w:tc>
                <w:tcPr>
                  <w:tcW w:type="dxa" w:w="933"/>
                  <w:tcBorders>
                    <w:top w:val="single" w:color="000000" w:sz="4"/>
                    <w:left w:val="none" w:color="000000" w:sz="4"/>
                    <w:bottom w:val="single" w:color="000000" w:sz="4"/>
                    <w:right w:val="single" w:color="000000" w:sz="4"/>
                  </w:tcBorders>
                </w:tcPr>
                <w:p>
                  <w:pPr>
                    <w:ind w:firstLine="78"/>
                    <w:jc w:val="center"/>
                  </w:pPr>
                  <w:r>
                    <w:rPr>
                      <w:b/>
                      <w:sz w:val="21"/>
                    </w:rPr>
                    <w:t>广东省内用车日租价单价基准价</w:t>
                  </w:r>
                  <w:r>
                    <w:rPr>
                      <w:b/>
                      <w:sz w:val="21"/>
                    </w:rPr>
                    <w:t>（元/辆/天）</w:t>
                  </w:r>
                </w:p>
              </w:tc>
              <w:tc>
                <w:tcPr>
                  <w:tcW w:type="dxa" w:w="933"/>
                  <w:tcBorders>
                    <w:top w:val="single" w:color="000000" w:sz="4"/>
                    <w:left w:val="none" w:color="000000" w:sz="4"/>
                    <w:bottom w:val="single" w:color="000000" w:sz="4"/>
                    <w:right w:val="single" w:color="000000" w:sz="4"/>
                  </w:tcBorders>
                </w:tcPr>
                <w:p>
                  <w:pPr>
                    <w:ind w:firstLine="78"/>
                    <w:jc w:val="center"/>
                  </w:pPr>
                  <w:r>
                    <w:rPr>
                      <w:b/>
                      <w:sz w:val="21"/>
                    </w:rPr>
                    <w:t>广东省外用车日租价单价基准价</w:t>
                  </w:r>
                  <w:r>
                    <w:rPr>
                      <w:b/>
                      <w:sz w:val="21"/>
                    </w:rPr>
                    <w:t>（元/辆/天）</w:t>
                  </w:r>
                </w:p>
              </w:tc>
              <w:tc>
                <w:tcPr>
                  <w:tcW w:type="dxa" w:w="875"/>
                  <w:tcBorders>
                    <w:top w:val="single" w:color="000000" w:sz="4"/>
                    <w:left w:val="none" w:color="000000" w:sz="4"/>
                    <w:bottom w:val="single" w:color="000000" w:sz="4"/>
                    <w:right w:val="single" w:color="000000" w:sz="4"/>
                  </w:tcBorders>
                </w:tcPr>
                <w:p>
                  <w:pPr>
                    <w:jc w:val="center"/>
                  </w:pPr>
                  <w:r>
                    <w:rPr>
                      <w:b/>
                      <w:sz w:val="21"/>
                    </w:rPr>
                    <w:t>备注</w:t>
                  </w:r>
                </w:p>
              </w:tc>
            </w:tr>
            <w:tr>
              <w:tc>
                <w:tcPr>
                  <w:tcW w:type="dxa" w:w="350"/>
                  <w:tcBorders>
                    <w:top w:val="none" w:color="000000" w:sz="4"/>
                    <w:left w:val="singl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color w:val="000000"/>
                      <w:sz w:val="21"/>
                    </w:rPr>
                    <w:t>5</w:t>
                  </w:r>
                  <w:r>
                    <w:rPr>
                      <w:color w:val="000000"/>
                      <w:sz w:val="21"/>
                    </w:rPr>
                    <w:t>座新能源</w:t>
                  </w:r>
                  <w:r>
                    <w:rPr>
                      <w:color w:val="000000"/>
                      <w:sz w:val="21"/>
                    </w:rPr>
                    <w:t>SUV</w:t>
                  </w:r>
                  <w:r>
                    <w:rPr>
                      <w:color w:val="000000"/>
                      <w:sz w:val="21"/>
                    </w:rPr>
                    <w:t>（续航350公里）</w:t>
                  </w:r>
                </w:p>
              </w:tc>
              <w:tc>
                <w:tcPr>
                  <w:tcW w:type="dxa" w:w="933"/>
                  <w:tcBorders>
                    <w:top w:val="none" w:color="000000" w:sz="4"/>
                    <w:left w:val="none" w:color="000000" w:sz="4"/>
                    <w:bottom w:val="single" w:color="000000" w:sz="4"/>
                    <w:right w:val="single" w:color="000000" w:sz="4"/>
                  </w:tcBorders>
                </w:tcPr>
                <w:p>
                  <w:pPr>
                    <w:jc w:val="center"/>
                  </w:pPr>
                  <w:r>
                    <w:rPr>
                      <w:sz w:val="21"/>
                    </w:rPr>
                    <w:t>260</w:t>
                  </w:r>
                </w:p>
              </w:tc>
              <w:tc>
                <w:tcPr>
                  <w:tcW w:type="dxa" w:w="933"/>
                  <w:tcBorders>
                    <w:top w:val="none" w:color="000000" w:sz="4"/>
                    <w:left w:val="none" w:color="000000" w:sz="4"/>
                    <w:bottom w:val="single" w:color="000000" w:sz="4"/>
                    <w:right w:val="single" w:color="000000" w:sz="4"/>
                  </w:tcBorders>
                </w:tcPr>
                <w:p>
                  <w:pPr>
                    <w:jc w:val="center"/>
                  </w:pPr>
                  <w:r>
                    <w:rPr>
                      <w:sz w:val="21"/>
                    </w:rPr>
                    <w:t>310</w:t>
                  </w:r>
                </w:p>
              </w:tc>
              <w:tc>
                <w:tcPr>
                  <w:tcW w:type="dxa" w:w="933"/>
                  <w:tcBorders>
                    <w:top w:val="none" w:color="000000" w:sz="4"/>
                    <w:left w:val="none" w:color="000000" w:sz="4"/>
                    <w:bottom w:val="single" w:color="000000" w:sz="4"/>
                    <w:right w:val="single" w:color="000000" w:sz="4"/>
                  </w:tcBorders>
                </w:tcPr>
                <w:p>
                  <w:pPr>
                    <w:jc w:val="center"/>
                  </w:pPr>
                  <w:r>
                    <w:rPr>
                      <w:sz w:val="21"/>
                    </w:rPr>
                    <w:t>360</w:t>
                  </w:r>
                </w:p>
              </w:tc>
              <w:tc>
                <w:tcPr>
                  <w:tcW w:type="dxa" w:w="933"/>
                  <w:tcBorders>
                    <w:top w:val="none" w:color="000000" w:sz="4"/>
                    <w:left w:val="none" w:color="000000" w:sz="4"/>
                    <w:bottom w:val="single" w:color="000000" w:sz="4"/>
                    <w:right w:val="single" w:color="000000" w:sz="4"/>
                  </w:tcBorders>
                </w:tcPr>
                <w:p>
                  <w:pPr>
                    <w:jc w:val="center"/>
                  </w:pPr>
                  <w:r>
                    <w:rPr>
                      <w:sz w:val="21"/>
                    </w:rPr>
                    <w:t>460</w:t>
                  </w:r>
                </w:p>
              </w:tc>
              <w:tc>
                <w:tcPr>
                  <w:tcW w:type="dxa" w:w="875"/>
                  <w:vMerge w:val="restart"/>
                  <w:tcBorders>
                    <w:top w:val="none" w:color="000000" w:sz="4"/>
                    <w:left w:val="none" w:color="000000" w:sz="4"/>
                    <w:bottom w:val="single" w:color="000000" w:sz="4"/>
                    <w:right w:val="single" w:color="000000" w:sz="4"/>
                  </w:tcBorders>
                </w:tcPr>
                <w:p>
                  <w:pPr>
                    <w:jc w:val="center"/>
                  </w:pPr>
                  <w:r>
                    <w:rPr>
                      <w:sz w:val="21"/>
                    </w:rPr>
                    <w:t>不含司机</w:t>
                  </w:r>
                </w:p>
              </w:tc>
            </w:tr>
            <w:tr>
              <w:tc>
                <w:tcPr>
                  <w:tcW w:type="dxa" w:w="350"/>
                  <w:tcBorders>
                    <w:top w:val="none" w:color="000000" w:sz="4"/>
                    <w:left w:val="singl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color w:val="000000"/>
                      <w:sz w:val="21"/>
                    </w:rPr>
                    <w:t>5</w:t>
                  </w:r>
                  <w:r>
                    <w:rPr>
                      <w:color w:val="000000"/>
                      <w:sz w:val="21"/>
                    </w:rPr>
                    <w:t>座普通汽车（燃油）</w:t>
                  </w:r>
                </w:p>
              </w:tc>
              <w:tc>
                <w:tcPr>
                  <w:tcW w:type="dxa" w:w="933"/>
                  <w:tcBorders>
                    <w:top w:val="none" w:color="000000" w:sz="4"/>
                    <w:left w:val="none" w:color="000000" w:sz="4"/>
                    <w:bottom w:val="single" w:color="000000" w:sz="4"/>
                    <w:right w:val="single" w:color="000000" w:sz="4"/>
                  </w:tcBorders>
                </w:tcPr>
                <w:p>
                  <w:pPr>
                    <w:jc w:val="center"/>
                  </w:pPr>
                  <w:r>
                    <w:rPr>
                      <w:color w:val="000000"/>
                      <w:sz w:val="21"/>
                    </w:rPr>
                    <w:t>300</w:t>
                  </w:r>
                </w:p>
              </w:tc>
              <w:tc>
                <w:tcPr>
                  <w:tcW w:type="dxa" w:w="933"/>
                  <w:tcBorders>
                    <w:top w:val="none" w:color="000000" w:sz="4"/>
                    <w:left w:val="none" w:color="000000" w:sz="4"/>
                    <w:bottom w:val="single" w:color="000000" w:sz="4"/>
                    <w:right w:val="single" w:color="000000" w:sz="4"/>
                  </w:tcBorders>
                </w:tcPr>
                <w:p>
                  <w:pPr>
                    <w:jc w:val="center"/>
                  </w:pPr>
                  <w:r>
                    <w:rPr>
                      <w:color w:val="000000"/>
                      <w:sz w:val="21"/>
                    </w:rPr>
                    <w:t>350</w:t>
                  </w:r>
                </w:p>
              </w:tc>
              <w:tc>
                <w:tcPr>
                  <w:tcW w:type="dxa" w:w="933"/>
                  <w:tcBorders>
                    <w:top w:val="none" w:color="000000" w:sz="4"/>
                    <w:left w:val="none" w:color="000000" w:sz="4"/>
                    <w:bottom w:val="single" w:color="000000" w:sz="4"/>
                    <w:right w:val="single" w:color="000000" w:sz="4"/>
                  </w:tcBorders>
                </w:tcPr>
                <w:p>
                  <w:pPr>
                    <w:jc w:val="center"/>
                  </w:pPr>
                  <w:r>
                    <w:rPr>
                      <w:sz w:val="21"/>
                    </w:rPr>
                    <w:t>400</w:t>
                  </w:r>
                </w:p>
              </w:tc>
              <w:tc>
                <w:tcPr>
                  <w:tcW w:type="dxa" w:w="933"/>
                  <w:tcBorders>
                    <w:top w:val="none" w:color="000000" w:sz="4"/>
                    <w:left w:val="none" w:color="000000" w:sz="4"/>
                    <w:bottom w:val="single" w:color="000000" w:sz="4"/>
                    <w:right w:val="single" w:color="000000" w:sz="4"/>
                  </w:tcBorders>
                </w:tcPr>
                <w:p>
                  <w:pPr>
                    <w:jc w:val="center"/>
                  </w:pPr>
                  <w:r>
                    <w:rPr>
                      <w:sz w:val="21"/>
                    </w:rPr>
                    <w:t>500</w:t>
                  </w:r>
                </w:p>
              </w:tc>
            </w:tr>
            <w:tr>
              <w:tc>
                <w:tcPr>
                  <w:tcW w:type="dxa" w:w="350"/>
                  <w:tcBorders>
                    <w:top w:val="none" w:color="000000" w:sz="4"/>
                    <w:left w:val="singl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color w:val="000000"/>
                      <w:sz w:val="21"/>
                    </w:rPr>
                    <w:t>7</w:t>
                  </w:r>
                  <w:r>
                    <w:rPr>
                      <w:color w:val="000000"/>
                      <w:sz w:val="21"/>
                    </w:rPr>
                    <w:t>座商务车</w:t>
                  </w:r>
                </w:p>
              </w:tc>
              <w:tc>
                <w:tcPr>
                  <w:tcW w:type="dxa" w:w="933"/>
                  <w:tcBorders>
                    <w:top w:val="none" w:color="000000" w:sz="4"/>
                    <w:left w:val="none" w:color="000000" w:sz="4"/>
                    <w:bottom w:val="single" w:color="000000" w:sz="4"/>
                    <w:right w:val="single" w:color="000000" w:sz="4"/>
                  </w:tcBorders>
                </w:tcPr>
                <w:p>
                  <w:pPr>
                    <w:jc w:val="center"/>
                  </w:pPr>
                  <w:r>
                    <w:rPr>
                      <w:sz w:val="21"/>
                    </w:rPr>
                    <w:t>320</w:t>
                  </w:r>
                </w:p>
              </w:tc>
              <w:tc>
                <w:tcPr>
                  <w:tcW w:type="dxa" w:w="933"/>
                  <w:tcBorders>
                    <w:top w:val="none" w:color="000000" w:sz="4"/>
                    <w:left w:val="none" w:color="000000" w:sz="4"/>
                    <w:bottom w:val="single" w:color="000000" w:sz="4"/>
                    <w:right w:val="single" w:color="000000" w:sz="4"/>
                  </w:tcBorders>
                </w:tcPr>
                <w:p>
                  <w:pPr>
                    <w:jc w:val="center"/>
                  </w:pPr>
                  <w:r>
                    <w:rPr>
                      <w:sz w:val="21"/>
                    </w:rPr>
                    <w:t>370</w:t>
                  </w:r>
                </w:p>
              </w:tc>
              <w:tc>
                <w:tcPr>
                  <w:tcW w:type="dxa" w:w="933"/>
                  <w:tcBorders>
                    <w:top w:val="none" w:color="000000" w:sz="4"/>
                    <w:left w:val="none" w:color="000000" w:sz="4"/>
                    <w:bottom w:val="single" w:color="000000" w:sz="4"/>
                    <w:right w:val="single" w:color="000000" w:sz="4"/>
                  </w:tcBorders>
                </w:tcPr>
                <w:p>
                  <w:pPr>
                    <w:jc w:val="center"/>
                  </w:pPr>
                  <w:r>
                    <w:rPr>
                      <w:sz w:val="21"/>
                    </w:rPr>
                    <w:t>420</w:t>
                  </w:r>
                </w:p>
              </w:tc>
              <w:tc>
                <w:tcPr>
                  <w:tcW w:type="dxa" w:w="933"/>
                  <w:tcBorders>
                    <w:top w:val="none" w:color="000000" w:sz="4"/>
                    <w:left w:val="none" w:color="000000" w:sz="4"/>
                    <w:bottom w:val="single" w:color="000000" w:sz="4"/>
                    <w:right w:val="single" w:color="000000" w:sz="4"/>
                  </w:tcBorders>
                </w:tcPr>
                <w:p>
                  <w:pPr>
                    <w:jc w:val="center"/>
                  </w:pPr>
                  <w:r>
                    <w:rPr>
                      <w:sz w:val="21"/>
                    </w:rPr>
                    <w:t>520</w:t>
                  </w:r>
                </w:p>
              </w:tc>
            </w:tr>
            <w:tr>
              <w:tc>
                <w:tcPr>
                  <w:tcW w:type="dxa" w:w="350"/>
                  <w:tcBorders>
                    <w:top w:val="none" w:color="000000" w:sz="4"/>
                    <w:left w:val="singl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9</w:t>
                  </w:r>
                  <w:r>
                    <w:rPr>
                      <w:sz w:val="21"/>
                    </w:rPr>
                    <w:t>座面包车</w:t>
                  </w:r>
                </w:p>
              </w:tc>
              <w:tc>
                <w:tcPr>
                  <w:tcW w:type="dxa" w:w="933"/>
                  <w:tcBorders>
                    <w:top w:val="none" w:color="000000" w:sz="4"/>
                    <w:left w:val="none" w:color="000000" w:sz="4"/>
                    <w:bottom w:val="single" w:color="000000" w:sz="4"/>
                    <w:right w:val="single" w:color="000000" w:sz="4"/>
                  </w:tcBorders>
                </w:tcPr>
                <w:p>
                  <w:pPr>
                    <w:jc w:val="center"/>
                  </w:pPr>
                  <w:r>
                    <w:rPr>
                      <w:sz w:val="21"/>
                    </w:rPr>
                    <w:t>650</w:t>
                  </w:r>
                </w:p>
              </w:tc>
              <w:tc>
                <w:tcPr>
                  <w:tcW w:type="dxa" w:w="933"/>
                  <w:tcBorders>
                    <w:top w:val="none" w:color="000000" w:sz="4"/>
                    <w:left w:val="none" w:color="000000" w:sz="4"/>
                    <w:bottom w:val="single" w:color="000000" w:sz="4"/>
                    <w:right w:val="single" w:color="000000" w:sz="4"/>
                  </w:tcBorders>
                </w:tcPr>
                <w:p>
                  <w:pPr>
                    <w:jc w:val="center"/>
                  </w:pPr>
                  <w:r>
                    <w:rPr>
                      <w:sz w:val="21"/>
                    </w:rPr>
                    <w:t>850</w:t>
                  </w:r>
                </w:p>
              </w:tc>
              <w:tc>
                <w:tcPr>
                  <w:tcW w:type="dxa" w:w="933"/>
                  <w:tcBorders>
                    <w:top w:val="none" w:color="000000" w:sz="4"/>
                    <w:left w:val="none" w:color="000000" w:sz="4"/>
                    <w:bottom w:val="single" w:color="000000" w:sz="4"/>
                    <w:right w:val="single" w:color="000000" w:sz="4"/>
                  </w:tcBorders>
                </w:tcPr>
                <w:p>
                  <w:pPr>
                    <w:jc w:val="center"/>
                  </w:pPr>
                  <w:r>
                    <w:rPr>
                      <w:sz w:val="21"/>
                    </w:rPr>
                    <w:t>950</w:t>
                  </w:r>
                </w:p>
              </w:tc>
              <w:tc>
                <w:tcPr>
                  <w:tcW w:type="dxa" w:w="933"/>
                  <w:tcBorders>
                    <w:top w:val="none" w:color="000000" w:sz="4"/>
                    <w:left w:val="none" w:color="000000" w:sz="4"/>
                    <w:bottom w:val="single" w:color="000000" w:sz="4"/>
                    <w:right w:val="single" w:color="000000" w:sz="4"/>
                  </w:tcBorders>
                </w:tcPr>
                <w:p>
                  <w:pPr>
                    <w:jc w:val="center"/>
                  </w:pPr>
                  <w:r>
                    <w:rPr>
                      <w:sz w:val="21"/>
                    </w:rPr>
                    <w:t>1050</w:t>
                  </w:r>
                </w:p>
              </w:tc>
              <w:tc>
                <w:tcPr>
                  <w:tcW w:type="dxa" w:w="875"/>
                  <w:vMerge w:val="restart"/>
                  <w:tcBorders>
                    <w:top w:val="none" w:color="000000" w:sz="4"/>
                    <w:left w:val="none" w:color="000000" w:sz="4"/>
                    <w:bottom w:val="single" w:color="000000" w:sz="4"/>
                    <w:right w:val="single" w:color="000000" w:sz="4"/>
                  </w:tcBorders>
                </w:tcPr>
                <w:p>
                  <w:pPr>
                    <w:jc w:val="center"/>
                  </w:pPr>
                  <w:r>
                    <w:rPr>
                      <w:sz w:val="21"/>
                    </w:rPr>
                    <w:t>含司机</w:t>
                  </w:r>
                </w:p>
              </w:tc>
            </w:tr>
            <w:tr>
              <w:tc>
                <w:tcPr>
                  <w:tcW w:type="dxa" w:w="350"/>
                  <w:tcBorders>
                    <w:top w:val="none" w:color="000000" w:sz="4"/>
                    <w:left w:val="single" w:color="000000" w:sz="4"/>
                    <w:bottom w:val="single" w:color="000000" w:sz="4"/>
                    <w:right w:val="single" w:color="000000" w:sz="4"/>
                  </w:tcBorders>
                </w:tcPr>
                <w:p>
                  <w:pPr>
                    <w:jc w:val="center"/>
                  </w:pPr>
                  <w:r>
                    <w:rPr>
                      <w:sz w:val="21"/>
                    </w:rPr>
                    <w:t>5</w:t>
                  </w:r>
                </w:p>
              </w:tc>
              <w:tc>
                <w:tcPr>
                  <w:tcW w:type="dxa" w:w="641"/>
                  <w:tcBorders>
                    <w:top w:val="none" w:color="000000" w:sz="4"/>
                    <w:left w:val="none" w:color="000000" w:sz="4"/>
                    <w:bottom w:val="single" w:color="000000" w:sz="4"/>
                    <w:right w:val="single" w:color="000000" w:sz="4"/>
                  </w:tcBorders>
                </w:tcPr>
                <w:p>
                  <w:pPr>
                    <w:jc w:val="center"/>
                  </w:pPr>
                  <w:r>
                    <w:rPr>
                      <w:sz w:val="21"/>
                    </w:rPr>
                    <w:t>20</w:t>
                  </w:r>
                  <w:r>
                    <w:rPr>
                      <w:sz w:val="21"/>
                    </w:rPr>
                    <w:t>座以上中巴</w:t>
                  </w:r>
                </w:p>
              </w:tc>
              <w:tc>
                <w:tcPr>
                  <w:tcW w:type="dxa" w:w="933"/>
                  <w:tcBorders>
                    <w:top w:val="none" w:color="000000" w:sz="4"/>
                    <w:left w:val="none" w:color="000000" w:sz="4"/>
                    <w:bottom w:val="single" w:color="000000" w:sz="4"/>
                    <w:right w:val="single" w:color="000000" w:sz="4"/>
                  </w:tcBorders>
                </w:tcPr>
                <w:p>
                  <w:pPr>
                    <w:jc w:val="center"/>
                  </w:pPr>
                  <w:r>
                    <w:rPr>
                      <w:sz w:val="21"/>
                    </w:rPr>
                    <w:t>900</w:t>
                  </w:r>
                </w:p>
              </w:tc>
              <w:tc>
                <w:tcPr>
                  <w:tcW w:type="dxa" w:w="933"/>
                  <w:tcBorders>
                    <w:top w:val="none" w:color="000000" w:sz="4"/>
                    <w:left w:val="none" w:color="000000" w:sz="4"/>
                    <w:bottom w:val="single" w:color="000000" w:sz="4"/>
                    <w:right w:val="single" w:color="000000" w:sz="4"/>
                  </w:tcBorders>
                </w:tcPr>
                <w:p>
                  <w:pPr>
                    <w:jc w:val="center"/>
                  </w:pPr>
                  <w:r>
                    <w:rPr>
                      <w:sz w:val="21"/>
                    </w:rPr>
                    <w:t>1000</w:t>
                  </w:r>
                </w:p>
              </w:tc>
              <w:tc>
                <w:tcPr>
                  <w:tcW w:type="dxa" w:w="933"/>
                  <w:tcBorders>
                    <w:top w:val="none" w:color="000000" w:sz="4"/>
                    <w:left w:val="none" w:color="000000" w:sz="4"/>
                    <w:bottom w:val="single" w:color="000000" w:sz="4"/>
                    <w:right w:val="single" w:color="000000" w:sz="4"/>
                  </w:tcBorders>
                </w:tcPr>
                <w:p>
                  <w:pPr>
                    <w:jc w:val="center"/>
                  </w:pPr>
                  <w:r>
                    <w:rPr>
                      <w:sz w:val="21"/>
                    </w:rPr>
                    <w:t>1100</w:t>
                  </w:r>
                </w:p>
              </w:tc>
              <w:tc>
                <w:tcPr>
                  <w:tcW w:type="dxa" w:w="933"/>
                  <w:tcBorders>
                    <w:top w:val="none" w:color="000000" w:sz="4"/>
                    <w:left w:val="none" w:color="000000" w:sz="4"/>
                    <w:bottom w:val="single" w:color="000000" w:sz="4"/>
                    <w:right w:val="single" w:color="000000" w:sz="4"/>
                  </w:tcBorders>
                </w:tcPr>
                <w:p>
                  <w:pPr>
                    <w:jc w:val="center"/>
                  </w:pPr>
                  <w:r>
                    <w:rPr>
                      <w:sz w:val="21"/>
                    </w:rPr>
                    <w:t>1200</w:t>
                  </w:r>
                </w:p>
              </w:tc>
            </w:tr>
            <w:tr>
              <w:tc>
                <w:tcPr>
                  <w:tcW w:type="dxa" w:w="350"/>
                  <w:tcBorders>
                    <w:top w:val="none" w:color="000000" w:sz="4"/>
                    <w:left w:val="singl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30</w:t>
                  </w:r>
                  <w:r>
                    <w:rPr>
                      <w:sz w:val="21"/>
                    </w:rPr>
                    <w:t>座以上大巴</w:t>
                  </w:r>
                </w:p>
              </w:tc>
              <w:tc>
                <w:tcPr>
                  <w:tcW w:type="dxa" w:w="933"/>
                  <w:tcBorders>
                    <w:top w:val="none" w:color="000000" w:sz="4"/>
                    <w:left w:val="none" w:color="000000" w:sz="4"/>
                    <w:bottom w:val="single" w:color="000000" w:sz="4"/>
                    <w:right w:val="single" w:color="000000" w:sz="4"/>
                  </w:tcBorders>
                </w:tcPr>
                <w:p>
                  <w:pPr>
                    <w:jc w:val="center"/>
                  </w:pPr>
                  <w:r>
                    <w:rPr>
                      <w:sz w:val="21"/>
                    </w:rPr>
                    <w:t>1200</w:t>
                  </w:r>
                </w:p>
              </w:tc>
              <w:tc>
                <w:tcPr>
                  <w:tcW w:type="dxa" w:w="933"/>
                  <w:tcBorders>
                    <w:top w:val="none" w:color="000000" w:sz="4"/>
                    <w:left w:val="none" w:color="000000" w:sz="4"/>
                    <w:bottom w:val="single" w:color="000000" w:sz="4"/>
                    <w:right w:val="single" w:color="000000" w:sz="4"/>
                  </w:tcBorders>
                </w:tcPr>
                <w:p>
                  <w:pPr>
                    <w:jc w:val="center"/>
                  </w:pPr>
                  <w:r>
                    <w:rPr>
                      <w:sz w:val="21"/>
                    </w:rPr>
                    <w:t>1300</w:t>
                  </w:r>
                </w:p>
              </w:tc>
              <w:tc>
                <w:tcPr>
                  <w:tcW w:type="dxa" w:w="933"/>
                  <w:tcBorders>
                    <w:top w:val="none" w:color="000000" w:sz="4"/>
                    <w:left w:val="none" w:color="000000" w:sz="4"/>
                    <w:bottom w:val="single" w:color="000000" w:sz="4"/>
                    <w:right w:val="single" w:color="000000" w:sz="4"/>
                  </w:tcBorders>
                </w:tcPr>
                <w:p>
                  <w:pPr>
                    <w:jc w:val="center"/>
                  </w:pPr>
                  <w:r>
                    <w:rPr>
                      <w:sz w:val="21"/>
                    </w:rPr>
                    <w:t>1400</w:t>
                  </w:r>
                </w:p>
              </w:tc>
              <w:tc>
                <w:tcPr>
                  <w:tcW w:type="dxa" w:w="933"/>
                  <w:tcBorders>
                    <w:top w:val="none" w:color="000000" w:sz="4"/>
                    <w:left w:val="none" w:color="000000" w:sz="4"/>
                    <w:bottom w:val="single" w:color="000000" w:sz="4"/>
                    <w:right w:val="single" w:color="000000" w:sz="4"/>
                  </w:tcBorders>
                </w:tcPr>
                <w:p>
                  <w:pPr>
                    <w:jc w:val="center"/>
                  </w:pPr>
                  <w:r>
                    <w:rPr>
                      <w:sz w:val="21"/>
                    </w:rPr>
                    <w:t>1500</w:t>
                  </w:r>
                </w:p>
              </w:tc>
            </w:tr>
            <w:tr>
              <w:tc>
                <w:tcPr>
                  <w:tcW w:type="dxa" w:w="350"/>
                  <w:tcBorders>
                    <w:top w:val="none" w:color="000000" w:sz="4"/>
                    <w:left w:val="single" w:color="000000" w:sz="4"/>
                    <w:bottom w:val="single" w:color="000000" w:sz="4"/>
                    <w:right w:val="single" w:color="000000" w:sz="4"/>
                  </w:tcBorders>
                </w:tcPr>
                <w:p>
                  <w:pPr>
                    <w:jc w:val="center"/>
                  </w:pPr>
                  <w:r>
                    <w:rPr>
                      <w:sz w:val="21"/>
                    </w:rPr>
                    <w:t>7</w:t>
                  </w:r>
                </w:p>
              </w:tc>
              <w:tc>
                <w:tcPr>
                  <w:tcW w:type="dxa" w:w="641"/>
                  <w:tcBorders>
                    <w:top w:val="none" w:color="000000" w:sz="4"/>
                    <w:left w:val="none" w:color="000000" w:sz="4"/>
                    <w:bottom w:val="single" w:color="000000" w:sz="4"/>
                    <w:right w:val="single" w:color="000000" w:sz="4"/>
                  </w:tcBorders>
                </w:tcPr>
                <w:p>
                  <w:pPr>
                    <w:jc w:val="center"/>
                  </w:pPr>
                  <w:r>
                    <w:rPr>
                      <w:sz w:val="21"/>
                    </w:rPr>
                    <w:t>45</w:t>
                  </w:r>
                  <w:r>
                    <w:rPr>
                      <w:sz w:val="21"/>
                    </w:rPr>
                    <w:t>座大巴</w:t>
                  </w:r>
                </w:p>
              </w:tc>
              <w:tc>
                <w:tcPr>
                  <w:tcW w:type="dxa" w:w="933"/>
                  <w:tcBorders>
                    <w:top w:val="none" w:color="000000" w:sz="4"/>
                    <w:left w:val="none" w:color="000000" w:sz="4"/>
                    <w:bottom w:val="single" w:color="000000" w:sz="4"/>
                    <w:right w:val="single" w:color="000000" w:sz="4"/>
                  </w:tcBorders>
                </w:tcPr>
                <w:p>
                  <w:pPr>
                    <w:jc w:val="center"/>
                  </w:pPr>
                  <w:r>
                    <w:rPr>
                      <w:sz w:val="21"/>
                    </w:rPr>
                    <w:t>1300</w:t>
                  </w:r>
                </w:p>
              </w:tc>
              <w:tc>
                <w:tcPr>
                  <w:tcW w:type="dxa" w:w="933"/>
                  <w:tcBorders>
                    <w:top w:val="none" w:color="000000" w:sz="4"/>
                    <w:left w:val="none" w:color="000000" w:sz="4"/>
                    <w:bottom w:val="single" w:color="000000" w:sz="4"/>
                    <w:right w:val="single" w:color="000000" w:sz="4"/>
                  </w:tcBorders>
                </w:tcPr>
                <w:p>
                  <w:pPr>
                    <w:jc w:val="center"/>
                  </w:pPr>
                  <w:r>
                    <w:rPr>
                      <w:sz w:val="21"/>
                    </w:rPr>
                    <w:t>1400</w:t>
                  </w:r>
                </w:p>
              </w:tc>
              <w:tc>
                <w:tcPr>
                  <w:tcW w:type="dxa" w:w="933"/>
                  <w:tcBorders>
                    <w:top w:val="none" w:color="000000" w:sz="4"/>
                    <w:left w:val="none" w:color="000000" w:sz="4"/>
                    <w:bottom w:val="single" w:color="000000" w:sz="4"/>
                    <w:right w:val="single" w:color="000000" w:sz="4"/>
                  </w:tcBorders>
                </w:tcPr>
                <w:p>
                  <w:pPr>
                    <w:jc w:val="center"/>
                  </w:pPr>
                  <w:r>
                    <w:rPr>
                      <w:sz w:val="21"/>
                    </w:rPr>
                    <w:t>1500</w:t>
                  </w:r>
                </w:p>
              </w:tc>
              <w:tc>
                <w:tcPr>
                  <w:tcW w:type="dxa" w:w="933"/>
                  <w:tcBorders>
                    <w:top w:val="none" w:color="000000" w:sz="4"/>
                    <w:left w:val="none" w:color="000000" w:sz="4"/>
                    <w:bottom w:val="single" w:color="000000" w:sz="4"/>
                    <w:right w:val="single" w:color="000000" w:sz="4"/>
                  </w:tcBorders>
                </w:tcPr>
                <w:p>
                  <w:pPr>
                    <w:jc w:val="center"/>
                  </w:pPr>
                  <w:r>
                    <w:rPr>
                      <w:sz w:val="21"/>
                    </w:rPr>
                    <w:t>1600</w:t>
                  </w:r>
                </w:p>
              </w:tc>
            </w:tr>
            <w:tr>
              <w:tc>
                <w:tcPr>
                  <w:tcW w:type="dxa" w:w="350"/>
                  <w:tcBorders>
                    <w:top w:val="none" w:color="000000" w:sz="4"/>
                    <w:left w:val="single" w:color="000000" w:sz="4"/>
                    <w:bottom w:val="single" w:color="000000" w:sz="4"/>
                    <w:right w:val="single" w:color="000000" w:sz="4"/>
                  </w:tcBorders>
                </w:tcPr>
                <w:p>
                  <w:pPr>
                    <w:jc w:val="center"/>
                  </w:pPr>
                  <w:r>
                    <w:rPr>
                      <w:sz w:val="21"/>
                    </w:rPr>
                    <w:t>8</w:t>
                  </w:r>
                </w:p>
              </w:tc>
              <w:tc>
                <w:tcPr>
                  <w:tcW w:type="dxa" w:w="641"/>
                  <w:tcBorders>
                    <w:top w:val="none" w:color="000000" w:sz="4"/>
                    <w:left w:val="none" w:color="000000" w:sz="4"/>
                    <w:bottom w:val="single" w:color="000000" w:sz="4"/>
                    <w:right w:val="single" w:color="000000" w:sz="4"/>
                  </w:tcBorders>
                </w:tcPr>
                <w:p>
                  <w:pPr>
                    <w:jc w:val="center"/>
                  </w:pPr>
                  <w:r>
                    <w:rPr>
                      <w:sz w:val="21"/>
                    </w:rPr>
                    <w:t>50</w:t>
                  </w:r>
                  <w:r>
                    <w:rPr>
                      <w:sz w:val="21"/>
                    </w:rPr>
                    <w:t>座以上大巴</w:t>
                  </w:r>
                </w:p>
              </w:tc>
              <w:tc>
                <w:tcPr>
                  <w:tcW w:type="dxa" w:w="933"/>
                  <w:tcBorders>
                    <w:top w:val="none" w:color="000000" w:sz="4"/>
                    <w:left w:val="none" w:color="000000" w:sz="4"/>
                    <w:bottom w:val="single" w:color="000000" w:sz="4"/>
                    <w:right w:val="single" w:color="000000" w:sz="4"/>
                  </w:tcBorders>
                </w:tcPr>
                <w:p>
                  <w:pPr>
                    <w:jc w:val="center"/>
                  </w:pPr>
                  <w:r>
                    <w:rPr>
                      <w:sz w:val="21"/>
                    </w:rPr>
                    <w:t>1400</w:t>
                  </w:r>
                </w:p>
              </w:tc>
              <w:tc>
                <w:tcPr>
                  <w:tcW w:type="dxa" w:w="933"/>
                  <w:tcBorders>
                    <w:top w:val="none" w:color="000000" w:sz="4"/>
                    <w:left w:val="none" w:color="000000" w:sz="4"/>
                    <w:bottom w:val="single" w:color="000000" w:sz="4"/>
                    <w:right w:val="single" w:color="000000" w:sz="4"/>
                  </w:tcBorders>
                </w:tcPr>
                <w:p>
                  <w:pPr>
                    <w:jc w:val="center"/>
                  </w:pPr>
                  <w:r>
                    <w:rPr>
                      <w:sz w:val="21"/>
                    </w:rPr>
                    <w:t>1500</w:t>
                  </w:r>
                </w:p>
              </w:tc>
              <w:tc>
                <w:tcPr>
                  <w:tcW w:type="dxa" w:w="933"/>
                  <w:tcBorders>
                    <w:top w:val="none" w:color="000000" w:sz="4"/>
                    <w:left w:val="none" w:color="000000" w:sz="4"/>
                    <w:bottom w:val="single" w:color="000000" w:sz="4"/>
                    <w:right w:val="single" w:color="000000" w:sz="4"/>
                  </w:tcBorders>
                </w:tcPr>
                <w:p>
                  <w:pPr>
                    <w:jc w:val="center"/>
                  </w:pPr>
                  <w:r>
                    <w:rPr>
                      <w:sz w:val="21"/>
                    </w:rPr>
                    <w:t>1600</w:t>
                  </w:r>
                </w:p>
              </w:tc>
              <w:tc>
                <w:tcPr>
                  <w:tcW w:type="dxa" w:w="933"/>
                  <w:tcBorders>
                    <w:top w:val="none" w:color="000000" w:sz="4"/>
                    <w:left w:val="none" w:color="000000" w:sz="4"/>
                    <w:bottom w:val="single" w:color="000000" w:sz="4"/>
                    <w:right w:val="single" w:color="000000" w:sz="4"/>
                  </w:tcBorders>
                </w:tcPr>
                <w:p>
                  <w:pPr>
                    <w:jc w:val="center"/>
                  </w:pPr>
                  <w:r>
                    <w:rPr>
                      <w:sz w:val="21"/>
                    </w:rPr>
                    <w:t>1700</w:t>
                  </w:r>
                </w:p>
              </w:tc>
            </w:tr>
            <w:tr>
              <w:tc>
                <w:tcPr>
                  <w:tcW w:type="dxa" w:w="5598"/>
                  <w:gridSpan w:val="7"/>
                  <w:tcBorders>
                    <w:top w:val="none" w:color="000000" w:sz="4"/>
                    <w:left w:val="single" w:color="000000" w:sz="4"/>
                    <w:bottom w:val="single" w:color="000000" w:sz="4"/>
                    <w:right w:val="single" w:color="000000" w:sz="4"/>
                  </w:tcBorders>
                </w:tcPr>
                <w:p>
                  <w:pPr>
                    <w:jc w:val="left"/>
                  </w:pPr>
                  <w:r>
                    <w:rPr>
                      <w:sz w:val="21"/>
                    </w:rPr>
                    <w:t>备注：以实际租赁天数结算。</w:t>
                  </w:r>
                </w:p>
              </w:tc>
            </w:tr>
          </w:tbl>
          <w:p>
            <w:r>
              <w:rPr/>
              <w:t xml:space="preserve"> </w:t>
            </w:r>
          </w:p>
          <w:p>
            <w:pPr>
              <w:jc w:val="both"/>
            </w:pPr>
            <w:r>
              <w:rPr>
                <w:b/>
                <w:sz w:val="21"/>
              </w:rPr>
              <w:t>一、租赁要求</w:t>
            </w:r>
          </w:p>
          <w:p>
            <w:pPr>
              <w:jc w:val="both"/>
            </w:pPr>
            <w:r>
              <w:rPr>
                <w:sz w:val="21"/>
              </w:rPr>
              <w:t>1.</w:t>
            </w:r>
            <w:r>
              <w:rPr>
                <w:sz w:val="21"/>
              </w:rPr>
              <w:t>采购包3成交供应商负责提供车辆与指派司机驾驶车辆，成交供应商须承担司机劳动报酬。</w:t>
            </w:r>
          </w:p>
          <w:p>
            <w:pPr>
              <w:jc w:val="both"/>
            </w:pPr>
            <w:r>
              <w:rPr>
                <w:b/>
                <w:sz w:val="21"/>
              </w:rPr>
              <w:t>二、服务要求</w:t>
            </w:r>
          </w:p>
          <w:p>
            <w:pPr>
              <w:jc w:val="both"/>
            </w:pPr>
            <w:r>
              <w:rPr>
                <w:sz w:val="21"/>
              </w:rPr>
              <w:t>（一）基本要求</w:t>
            </w:r>
          </w:p>
          <w:p>
            <w:pPr>
              <w:jc w:val="both"/>
            </w:pPr>
            <w:r>
              <w:rPr>
                <w:sz w:val="21"/>
              </w:rPr>
              <w:t>（1）成交供应商须有一套完善的管理体制、有优质服务精神、有较高的安全意识、有丰富的运营及应对路面突发事件的经验。</w:t>
            </w:r>
          </w:p>
          <w:p>
            <w:pPr>
              <w:jc w:val="both"/>
            </w:pPr>
            <w:r>
              <w:rPr>
                <w:sz w:val="21"/>
              </w:rPr>
              <w:t>（2）成交供应商所提供租赁的车辆须为成交供应商自有或合法租赁的车辆，并且具备在广州市任何区域合法行驶的资格。</w:t>
            </w:r>
          </w:p>
          <w:p>
            <w:pPr>
              <w:jc w:val="both"/>
            </w:pPr>
            <w:r>
              <w:rPr>
                <w:sz w:val="21"/>
              </w:rPr>
              <w:t>（3）成交供应商须有完善的车辆管理及安全管理制度，有一支较高职业质素和驾驶技能的驾驶员队伍，能做到遵章守法，执行管理制度，自觉对车辆进行日常检查和保养工作。</w:t>
            </w:r>
          </w:p>
          <w:p>
            <w:pPr>
              <w:jc w:val="both"/>
            </w:pPr>
            <w:r>
              <w:rPr>
                <w:sz w:val="21"/>
              </w:rPr>
              <w:t>（4）成交供应商需按照国家有关规定，支付驾驶员的工资、社会保险等福利待遇。成交供应商如因此发生劳资纠纷，造成的责任和损失由成交供应商负责，一切与采购人无关，如导致采购人损失的，应当予以赔偿。</w:t>
            </w:r>
          </w:p>
          <w:p>
            <w:pPr>
              <w:jc w:val="both"/>
            </w:pPr>
            <w:r>
              <w:rPr>
                <w:sz w:val="21"/>
              </w:rPr>
              <w:t>（二）安全方面要求</w:t>
            </w:r>
          </w:p>
          <w:p>
            <w:pPr>
              <w:jc w:val="both"/>
            </w:pPr>
            <w:r>
              <w:rPr>
                <w:sz w:val="21"/>
              </w:rPr>
              <w:t>（1）驾驶员须为成交供应商的签约员工，具备丰富的驾驶经验，5年以内无重大交通事故记录、5年以上驾龄、年龄为25～55周岁、熟悉珠江三角洲交通道路（需提供驾驶员的驾驶证、签约合同、社保记录等佐证文件）。</w:t>
            </w:r>
          </w:p>
          <w:p>
            <w:pPr>
              <w:jc w:val="both"/>
            </w:pPr>
            <w:r>
              <w:rPr>
                <w:sz w:val="21"/>
              </w:rPr>
              <w:t>（2）驾驶员必须服从采购人的管理，安全、文明驾驶。若采购人对驾驶员服务质量不满意，成交供应商须按照采购人的要求更换合格的驾驶员。</w:t>
            </w:r>
          </w:p>
          <w:p>
            <w:pPr>
              <w:jc w:val="both"/>
            </w:pPr>
            <w:r>
              <w:rPr>
                <w:sz w:val="21"/>
              </w:rPr>
              <w:t>★（3）驾驶员在服务过程中应携带驾驶执照，并保持通讯畅通，服从采购人调遣，按要求时间提前到达指定地点等候。驾驶员应做好车辆的日常检查、卫生保洁工作，遵守交通规则，不随意停车、停靠、接听电话，不吸烟，使用礼貌用语。（须在响应文件中提供承诺函）</w:t>
            </w:r>
          </w:p>
          <w:p>
            <w:pPr>
              <w:jc w:val="both"/>
            </w:pPr>
            <w:r>
              <w:rPr>
                <w:sz w:val="21"/>
              </w:rPr>
              <w:t>（三）车况方面要求</w:t>
            </w:r>
          </w:p>
          <w:p>
            <w:pPr>
              <w:jc w:val="both"/>
            </w:pPr>
            <w:r>
              <w:rPr>
                <w:sz w:val="21"/>
              </w:rPr>
              <w:t>（1）成交供应商提供的租赁车辆每辆车总行驶里程15万公里以下,提供保险、行驶证及机动车登记证书复印件。所提供租赁车辆需经采购人检查认可，本项目服务期内不得无故更换，确因特殊情况需要更换的，需提前5个工作日向采购人递交申请，并征得采购人同意。</w:t>
            </w:r>
          </w:p>
          <w:p>
            <w:pPr>
              <w:jc w:val="both"/>
            </w:pPr>
            <w:r>
              <w:rPr>
                <w:sz w:val="21"/>
              </w:rPr>
              <w:t>（2）成交供应商提供的车辆必须符合国家规定的安全、环保等要求，必须配置合格的安全带、安全锤等安全装置。</w:t>
            </w:r>
          </w:p>
          <w:p>
            <w:pPr>
              <w:jc w:val="both"/>
            </w:pPr>
            <w:r>
              <w:rPr>
                <w:sz w:val="21"/>
              </w:rPr>
              <w:t>（3）成交供应商的车辆车容要求“三洁”--车头清洁、车身光洁、车厢和座位干净整洁，车内无异味（含“新车味”）、无垃圾、无蟑螂昆虫。</w:t>
            </w:r>
          </w:p>
          <w:p>
            <w:pPr>
              <w:jc w:val="both"/>
            </w:pPr>
            <w:r>
              <w:rPr>
                <w:sz w:val="21"/>
              </w:rPr>
              <w:t>（四）保险方面</w:t>
            </w:r>
          </w:p>
          <w:p>
            <w:pPr>
              <w:jc w:val="both"/>
            </w:pPr>
            <w:r>
              <w:rPr>
                <w:sz w:val="21"/>
              </w:rPr>
              <w:t>（1）成交供应商负责向保险公司购买交强险、车辆损失险、第三者责任险、司机责任险/车上责任险等。</w:t>
            </w:r>
          </w:p>
          <w:p>
            <w:pPr>
              <w:jc w:val="both"/>
            </w:pPr>
            <w:r>
              <w:rPr>
                <w:sz w:val="21"/>
              </w:rPr>
              <w:t>（2）上述保险、不计免赔服务仅免除保险范围内的有关损失，但不免除如因采购人违法违规、事故等导致车辆被扣而产生的停运损失。</w:t>
            </w:r>
          </w:p>
          <w:p>
            <w:pPr>
              <w:jc w:val="both"/>
            </w:pPr>
            <w:r>
              <w:rPr>
                <w:sz w:val="21"/>
              </w:rPr>
              <w:t>（3）如发生车损或其它保险事故，成交供应商负责承担保险公司免赔额及保险责任内的全部损失，采购人负责保险公司免赔额及保险责任外的损失，成交供应商有负责处理事故和办理保险索赔的义务。</w:t>
            </w:r>
          </w:p>
          <w:p>
            <w:pPr>
              <w:jc w:val="both"/>
            </w:pPr>
            <w:r>
              <w:rPr>
                <w:sz w:val="21"/>
              </w:rPr>
              <w:t>（4）如发生交通事故或其它保险事故，采购人应通知成交供应商处理。2</w:t>
            </w:r>
          </w:p>
          <w:p>
            <w:pPr>
              <w:jc w:val="both"/>
            </w:pPr>
            <w:r>
              <w:rPr>
                <w:sz w:val="21"/>
              </w:rPr>
              <w:t>（5）如发生车损需维修，由成交供应商负责对受损的车辆进行维修，采购人不能自行维修或自行选择维修厂维修。</w:t>
            </w:r>
          </w:p>
          <w:p>
            <w:pPr>
              <w:jc w:val="both"/>
            </w:pPr>
            <w:r>
              <w:rPr>
                <w:sz w:val="21"/>
              </w:rPr>
              <w:t>（五）保养维修</w:t>
            </w:r>
          </w:p>
          <w:p>
            <w:pPr>
              <w:jc w:val="both"/>
            </w:pPr>
            <w:r>
              <w:rPr>
                <w:sz w:val="21"/>
              </w:rPr>
              <w:t>（1）定期保养：在采购包服务期内，车辆需在有资质的修理厂定期保养、正常损耗件维修及更换（包括雨刮片、启动电池、制动片等），费用由成交供应商负责（需包含在本次响应报价当中，采购人不再另行支付）；车辆使用期间的轮胎损耗（除正常行驶磨平外），由采购人自行负责维修，并承担相关费用，如因采购人操作不当或违规驾驶导致车辆损坏且不在保险理赔范围的需由采购人自行负责维修。</w:t>
            </w:r>
          </w:p>
          <w:p>
            <w:pPr>
              <w:jc w:val="both"/>
            </w:pPr>
            <w:r>
              <w:rPr>
                <w:sz w:val="21"/>
              </w:rPr>
              <w:t>（2）如车辆发生故障或异常，采购人应通知成交供应商，由成交供应商负责处理。故障车辆须到成交供应商指定或认可的维修厂维修，采购人不能自行维修或自行选择维修厂维修。</w:t>
            </w:r>
          </w:p>
          <w:p>
            <w:pPr>
              <w:jc w:val="both"/>
            </w:pPr>
            <w:r>
              <w:rPr>
                <w:sz w:val="21"/>
              </w:rPr>
              <w:t>（3）成交供应商对每一租赁车辆只提供一套钥匙给采购人，如钥匙遗失，采购人应承担整个车锁系统（包括车门锁、点火开关、旅行箱盖锁）的更换费用。</w:t>
            </w:r>
          </w:p>
          <w:p>
            <w:pPr>
              <w:jc w:val="both"/>
            </w:pPr>
            <w:r>
              <w:rPr>
                <w:b/>
                <w:sz w:val="21"/>
              </w:rPr>
              <w:t>三、其他要求</w:t>
            </w:r>
          </w:p>
          <w:p>
            <w:pPr>
              <w:jc w:val="both"/>
            </w:pPr>
            <w:r>
              <w:rPr>
                <w:sz w:val="21"/>
              </w:rPr>
              <w:t>成交供应商与采购人签订合同后，应与采购人配合做好检查验证工作，确保车辆符合运营条件和采购人的要求。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广州市增城区石滩镇人民政府</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3</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p>
            <w:r>
              <w:rPr/>
              <w:t>采购包3：综合评分法</w:t>
            </w:r>
          </w:p>
        </w:tc>
      </w:tr>
      <w:tr>
        <w:tc>
          <w:tcPr>
            <w:tcW w:type="dxa" w:w="1051"/>
          </w:tcPr>
          <w:p>
            <w:pPr>
              <w:jc w:val="center"/>
            </w:pPr>
            <w:r>
              <w:rPr/>
              <w:t>5</w:t>
            </w:r>
          </w:p>
        </w:tc>
        <w:tc>
          <w:tcPr>
            <w:tcW w:type="dxa" w:w="2252"/>
          </w:tcPr>
          <w:p>
            <w:r>
              <w:rPr/>
              <w:t>报价形式</w:t>
            </w:r>
          </w:p>
        </w:tc>
        <w:tc>
          <w:tcPr>
            <w:tcW w:type="dxa" w:w="5004"/>
          </w:tcPr>
          <w:p/>
          <w:p>
            <w:r>
              <w:rPr/>
              <w:t>采购包1：优惠率</w:t>
            </w:r>
          </w:p>
          <w:p/>
          <w:p>
            <w:r>
              <w:rPr/>
              <w:t>采购包2：优惠率</w:t>
            </w:r>
          </w:p>
          <w:p/>
          <w:p>
            <w:r>
              <w:rPr/>
              <w:t>采购包3：优惠率</w:t>
            </w:r>
          </w:p>
        </w:tc>
      </w:tr>
      <w:tr>
        <w:tc>
          <w:tcPr>
            <w:tcW w:type="dxa" w:w="1051"/>
          </w:tcPr>
          <w:p>
            <w:pPr>
              <w:jc w:val="center"/>
            </w:pPr>
            <w:r>
              <w:rPr/>
              <w:t>6</w:t>
            </w:r>
          </w:p>
        </w:tc>
        <w:tc>
          <w:tcPr>
            <w:tcW w:type="dxa" w:w="2252"/>
          </w:tcPr>
          <w:p>
            <w:r>
              <w:rPr/>
              <w:t>报价要求</w:t>
            </w:r>
          </w:p>
        </w:tc>
        <w:tc>
          <w:tcPr>
            <w:tcW w:type="dxa" w:w="5004"/>
          </w:tcPr>
          <w:p/>
          <w:p>
            <w:r>
              <w:rPr/>
              <w:t>采购包1：0% - 100%</w:t>
            </w:r>
          </w:p>
          <w:p/>
          <w:p>
            <w:r>
              <w:rPr/>
              <w:t>采购包2：0% - 100%</w:t>
            </w:r>
          </w:p>
          <w:p/>
          <w:p>
            <w:r>
              <w:rPr/>
              <w:t>采购包3：0%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p>
            <w:r>
              <w:rPr/>
              <w:t>采购包3：</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p>
            <w:r>
              <w:rPr/>
              <w:t>采购包3：</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Pr>
              <w:jc w:val="left"/>
            </w:pPr>
          </w:p>
          <w:p>
            <w:r>
              <w:rPr/>
              <w:t>采购包3：3家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收费标准以各采购包采购预算金额为计算基数参照国家计委颁布的（计价格【2002】1980号）及国家发改委颁布的（发改办价格【2003】857号）收费标准的80%（即下浮20%）进行计算收取。招标代理服务费由成交供应商在领取《成交通知书》前一次性向采购代理机构交纳以下金额：采购包1：￥20,960.00元（大写：人民币贰万零玖佰陆拾元整）；采购包2：￥4,032.00元（大写：人民币肆仟零叁拾贰元整）；采购包3：￥3,168.00元（大写：人民币叁仟壹佰陆拾捌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2</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020-37656571、020-32162326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采购包1(公务保障用车)：综合评分法,是指响应文件满足磋商文件全部实质性要求，且按照评审因素的量化指标评审得分最高的投标人为成交候选人的评标方法。（最低报价不是成交的唯一依据。）</w:t>
      </w:r>
    </w:p>
    <w:p/>
    <w:p>
      <w:r>
        <w:rPr/>
        <w:t>采购包2(干部职工上下班接送用车)：综合评分法,是指响应文件满足磋商文件全部实质性要求，且按照评审因素的量化指标评审得分最高的投标人为成交候选人的评标方法。（最低报价不是成交的唯一依据。）</w:t>
      </w:r>
    </w:p>
    <w:p/>
    <w:p>
      <w:r>
        <w:rPr/>
        <w:t>采购包3(专项行动临时保障用车)：综合评分法,是指响应文件满足磋商文件全部实质性要求，且按照评审因素的量化指标评审得分最高的投标人为成交候选人的评标方法。（最低报价不是成交的唯一依据。）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采购包1（公务保障用车）：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采购包2（干部职工上下班接送用车）：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采购包3（专项行动临时保障用车）：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采购包1（公务保障用车）：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参与的供应商（联合体）服务全部由符合政策要求的中小企业承接。</w:t>
            </w:r>
          </w:p>
        </w:tc>
      </w:tr>
    </w:tbl>
    <w:p/>
    <w:p>
      <w:r>
        <w:rPr/>
        <w:t>采购包2（干部职工上下班接送用车）：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w:t>
            </w:r>
          </w:p>
        </w:tc>
        <w:tc>
          <w:tcPr>
            <w:tcW w:type="dxa" w:w="4238"/>
          </w:tcPr>
          <w:p>
            <w:r>
              <w:rPr/>
              <w:t>具有交通行政主管部门核发有效的《道路运输经营许可证》。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参与的供应商（联合体）服务全部由符合政策要求的中小企业承接。</w:t>
            </w:r>
          </w:p>
        </w:tc>
      </w:tr>
    </w:tbl>
    <w:p/>
    <w:p>
      <w:r>
        <w:rPr/>
        <w:t>采购包3（专项行动临时保障用车）：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w:t>
            </w:r>
          </w:p>
        </w:tc>
        <w:tc>
          <w:tcPr>
            <w:tcW w:type="dxa" w:w="4238"/>
          </w:tcPr>
          <w:p>
            <w:r>
              <w:rPr/>
              <w:t>具有交通行政主管部门核发有效的《道路运输经营许可证》。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采购包1（公务保障用车）：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响应优惠率是固定唯一的，且0.00%≤优惠率＜100.00%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采购包2（干部职工上下班接送用车）：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响应优惠率是固定唯一的，且0.00%≤优惠率＜100.00%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采购包3（专项行动临时保障用车）：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响应优惠率是固定唯一的，且0.00%≤优惠率＜100.00%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采购包1公务保障用车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需求响应情况 (10.0分)</w:t>
            </w:r>
          </w:p>
        </w:tc>
        <w:tc>
          <w:tcPr>
            <w:tcW w:type="dxa" w:w="5076"/>
          </w:tcPr>
          <w:p>
            <w:pPr>
              <w:jc w:val="left"/>
            </w:pPr>
            <w:r>
              <w:rPr/>
              <w:t>1.完全满足并优于“具体技术(参数)要求”的要求，得10 分； 2.完全满足“具体技术(参数)要求”的要求，得 7分； 3.有负偏离“具体技术(参数)要求”的，得 3分； 4.无响应或不提供的，得 0 分</w:t>
            </w:r>
          </w:p>
        </w:tc>
      </w:tr>
      <w:tr>
        <w:tc>
          <w:tcPr>
            <w:tcW w:type="dxa" w:w="922"/>
            <w:gridSpan w:val="2"/>
            <w:vMerge/>
          </w:tcPr>
          <w:p/>
        </w:tc>
        <w:tc>
          <w:tcPr>
            <w:tcW w:type="dxa" w:w="2307"/>
          </w:tcPr>
          <w:p>
            <w:pPr>
              <w:jc w:val="left"/>
            </w:pPr>
            <w:r>
              <w:rPr/>
              <w:t>车辆租赁服务方案  (15.0分)</w:t>
            </w:r>
          </w:p>
        </w:tc>
        <w:tc>
          <w:tcPr>
            <w:tcW w:type="dxa" w:w="5076"/>
          </w:tcPr>
          <w:p>
            <w:pPr>
              <w:jc w:val="left"/>
            </w:pPr>
            <w:r>
              <w:rPr/>
              <w:t>1.服务方案的制定具体、详细、合理可行，运作流程规范、具有可操作性，得15分； 2.服务方案制定基本合理可行，运作流程较规范，得10分； 3.服务方案一般，运作流程基本得当，得7分； 4.服务方案有欠缺，运作流程不当得2分； 5.不提供不得分。</w:t>
            </w:r>
          </w:p>
        </w:tc>
      </w:tr>
      <w:tr>
        <w:tc>
          <w:tcPr>
            <w:tcW w:type="dxa" w:w="922"/>
            <w:gridSpan w:val="2"/>
            <w:vMerge/>
          </w:tcPr>
          <w:p/>
        </w:tc>
        <w:tc>
          <w:tcPr>
            <w:tcW w:type="dxa" w:w="2307"/>
          </w:tcPr>
          <w:p>
            <w:pPr>
              <w:jc w:val="left"/>
            </w:pPr>
            <w:r>
              <w:rPr/>
              <w:t>后续保障服务方案 (5.0分)</w:t>
            </w:r>
          </w:p>
        </w:tc>
        <w:tc>
          <w:tcPr>
            <w:tcW w:type="dxa" w:w="5076"/>
          </w:tcPr>
          <w:p>
            <w:pPr>
              <w:jc w:val="left"/>
            </w:pPr>
            <w:r>
              <w:rPr/>
              <w:t>根据响应供应商提供的后续服务方案，包括技术支持程度、跟踪服务能力等方案进行综合评审： 1.后续保障服务方案明确，实施方法可行，得5分； 2.后续保障服务方案较明确，实施方法较可行，得7分 3.后续保障服务方案基本明确，实施方法基本可行，得3分； 4.后续保障服务方案不明确，实施方法不当，得1分。 5.不提供不得分。</w:t>
            </w:r>
          </w:p>
        </w:tc>
      </w:tr>
      <w:tr>
        <w:tc>
          <w:tcPr>
            <w:tcW w:type="dxa" w:w="922"/>
            <w:gridSpan w:val="2"/>
            <w:vMerge/>
          </w:tcPr>
          <w:p/>
        </w:tc>
        <w:tc>
          <w:tcPr>
            <w:tcW w:type="dxa" w:w="2307"/>
          </w:tcPr>
          <w:p>
            <w:pPr>
              <w:jc w:val="left"/>
            </w:pPr>
            <w:r>
              <w:rPr/>
              <w:t>应急方案 (5.0分)</w:t>
            </w:r>
          </w:p>
        </w:tc>
        <w:tc>
          <w:tcPr>
            <w:tcW w:type="dxa" w:w="5076"/>
          </w:tcPr>
          <w:p>
            <w:pPr>
              <w:jc w:val="left"/>
            </w:pPr>
            <w:r>
              <w:rPr/>
              <w:t>针对本项目提供的突发事件应急保障方案进行评审： 1.突发事件应急保障方案全面、情形丰富，应对措施详细，可实施且优于采购人需求的得 5 分；  2.突发事件应急保障方案基本全面、情形较丰富，应对措施较详细，可实施且满足采购人需求的得3分； 3.突发事件应急保障方案简洁，情形、应对措施较简单，可实施性较差且不大符合采购人需求的得2分； 4.有提供突发事件应急保障方案，情形、应对措施简单，可实施性差且不符合采购人需求的得1分； 5.不提供不得分。</w:t>
            </w:r>
          </w:p>
        </w:tc>
      </w:tr>
      <w:tr>
        <w:tc>
          <w:tcPr>
            <w:tcW w:type="dxa" w:w="922"/>
            <w:gridSpan w:val="2"/>
            <w:vMerge/>
          </w:tcPr>
          <w:p/>
        </w:tc>
        <w:tc>
          <w:tcPr>
            <w:tcW w:type="dxa" w:w="2307"/>
          </w:tcPr>
          <w:p>
            <w:pPr>
              <w:jc w:val="left"/>
            </w:pPr>
            <w:r>
              <w:rPr/>
              <w:t>车辆设施设备的配备情况 (15.0分)</w:t>
            </w:r>
          </w:p>
        </w:tc>
        <w:tc>
          <w:tcPr>
            <w:tcW w:type="dxa" w:w="5076"/>
          </w:tcPr>
          <w:p>
            <w:pPr>
              <w:jc w:val="left"/>
            </w:pPr>
            <w:r>
              <w:rPr/>
              <w:t>根据响应供应商拟投车辆设施设备的配备情况（是否具有完善的监控设施、事故逃生设备，是否配备完善的GPS定位系统、路径跟踪系统）进行评审：  1.设施设备的配备完善，和项目匹配程度高，得15分； 2.设施设备的配备较为完善，能够较好的支撑项目工作，得10分； 3.设施设备的配备一般，对项目工作支撑度一般，得5分； 4.设施设备的配备较差，对项目工作支撑度较差，得1分； 5.未提供配备情况不得分。 注：供应商须提供设施配备情况清单及相关配套设施现场照片进行评审，不提供或磋商小组无法认定的不得分。</w:t>
            </w:r>
          </w:p>
        </w:tc>
      </w:tr>
      <w:tr>
        <w:tc>
          <w:tcPr>
            <w:tcW w:type="dxa" w:w="922"/>
            <w:gridSpan w:val="2"/>
            <w:vMerge/>
          </w:tcPr>
          <w:p/>
        </w:tc>
        <w:tc>
          <w:tcPr>
            <w:tcW w:type="dxa" w:w="2307"/>
          </w:tcPr>
          <w:p>
            <w:pPr>
              <w:jc w:val="left"/>
            </w:pPr>
            <w:r>
              <w:rPr/>
              <w:t>服务质量保障 (10.0分)</w:t>
            </w:r>
          </w:p>
        </w:tc>
        <w:tc>
          <w:tcPr>
            <w:tcW w:type="dxa" w:w="5076"/>
          </w:tcPr>
          <w:p>
            <w:pPr>
              <w:jc w:val="left"/>
            </w:pPr>
            <w:r>
              <w:rPr/>
              <w:t>根据供应商提供的服务质量保障措施进行评分：  1.服务质量保障措施内容完整、科学合理，可行性高，得10分；   2.服务质量保障措施内容较完整、较科学合理、可行性较高，得5分； 3.服务质量保障措施内容基本完整、基本科学合理、具备一定可行性，得3分；  4.服务质量保障措施内容不够完整、不够科学合理、可行性较低，得1分；   5.无或其他不得分。</w:t>
            </w:r>
          </w:p>
        </w:tc>
      </w:tr>
      <w:tr>
        <w:tc>
          <w:tcPr>
            <w:tcW w:type="dxa" w:w="922"/>
            <w:gridSpan w:val="2"/>
            <w:vMerge w:val="restart"/>
          </w:tcPr>
          <w:p>
            <w:pPr>
              <w:jc w:val="center"/>
            </w:pPr>
            <w:r>
              <w:rPr/>
              <w:t>商务部分</w:t>
            </w:r>
          </w:p>
        </w:tc>
        <w:tc>
          <w:tcPr>
            <w:tcW w:type="dxa" w:w="2307"/>
          </w:tcPr>
          <w:p>
            <w:pPr>
              <w:jc w:val="left"/>
            </w:pPr>
            <w:r>
              <w:rPr/>
              <w:t>同类项目业绩 (7.0分)</w:t>
            </w:r>
          </w:p>
        </w:tc>
        <w:tc>
          <w:tcPr>
            <w:tcW w:type="dxa" w:w="5076"/>
          </w:tcPr>
          <w:p>
            <w:pPr>
              <w:jc w:val="left"/>
            </w:pPr>
            <w:r>
              <w:rPr/>
              <w:t>供应商每提供一份 2019 年 1 月 1 月以来完成的或在服务期内的同类项目业绩得 1 分，满分7 分。注：项目同类业绩为车辆租赁项目，需提供该类项目的合同复印件，不提供不得分</w:t>
            </w:r>
          </w:p>
        </w:tc>
      </w:tr>
      <w:tr>
        <w:tc>
          <w:tcPr>
            <w:tcW w:type="dxa" w:w="922"/>
            <w:gridSpan w:val="2"/>
            <w:vMerge/>
          </w:tcPr>
          <w:p/>
        </w:tc>
        <w:tc>
          <w:tcPr>
            <w:tcW w:type="dxa" w:w="2307"/>
          </w:tcPr>
          <w:p>
            <w:pPr>
              <w:jc w:val="left"/>
            </w:pPr>
            <w:r>
              <w:rPr/>
              <w:t>客户评价 (7.0分)</w:t>
            </w:r>
          </w:p>
        </w:tc>
        <w:tc>
          <w:tcPr>
            <w:tcW w:type="dxa" w:w="5076"/>
          </w:tcPr>
          <w:p>
            <w:pPr>
              <w:jc w:val="left"/>
            </w:pPr>
            <w:r>
              <w:rPr/>
              <w:t>供应商提供“同类项目业绩”对应的客户评价，客户评价须为良好或以上（含同等意义的评价，如 85 分或以上、满意或以上等），每提供 1 个得 1 分，最高得 7分。 注：须提供证明材料复印件，未提交证明材料或者磋商小组无法认定的不得分。</w:t>
            </w:r>
          </w:p>
        </w:tc>
      </w:tr>
      <w:tr>
        <w:tc>
          <w:tcPr>
            <w:tcW w:type="dxa" w:w="922"/>
            <w:gridSpan w:val="2"/>
            <w:vMerge/>
          </w:tcPr>
          <w:p/>
        </w:tc>
        <w:tc>
          <w:tcPr>
            <w:tcW w:type="dxa" w:w="2307"/>
          </w:tcPr>
          <w:p>
            <w:pPr>
              <w:jc w:val="left"/>
            </w:pPr>
            <w:r>
              <w:rPr/>
              <w:t>维修点情况 (6.0分)</w:t>
            </w:r>
          </w:p>
        </w:tc>
        <w:tc>
          <w:tcPr>
            <w:tcW w:type="dxa" w:w="5076"/>
          </w:tcPr>
          <w:p>
            <w:pPr>
              <w:jc w:val="left"/>
            </w:pPr>
            <w:r>
              <w:rPr/>
              <w:t>供应商有固定的维修地点，并且能提供维修点图片和营业执照（或合作协议或产权证明）复印件的，得6分；无或其他不得分。</w:t>
            </w:r>
          </w:p>
        </w:tc>
      </w:tr>
      <w:tr>
        <w:tc>
          <w:tcPr>
            <w:tcW w:type="dxa" w:w="922"/>
            <w:gridSpan w:val="2"/>
            <w:vMerge/>
          </w:tcPr>
          <w:p/>
        </w:tc>
        <w:tc>
          <w:tcPr>
            <w:tcW w:type="dxa" w:w="2307"/>
          </w:tcPr>
          <w:p>
            <w:pPr>
              <w:jc w:val="left"/>
            </w:pPr>
            <w:r>
              <w:rPr/>
              <w:t>紧急用车响应时间 (10.0分)</w:t>
            </w:r>
          </w:p>
        </w:tc>
        <w:tc>
          <w:tcPr>
            <w:tcW w:type="dxa" w:w="5076"/>
          </w:tcPr>
          <w:p>
            <w:pPr>
              <w:jc w:val="left"/>
            </w:pPr>
            <w:r>
              <w:rPr/>
              <w:t>根据供应商针对本项目的紧急用车响应时间进行评分：  1.当采购人出现紧急的用车需求时，供应商响应时间≤40分钟，得10分；  2.当采购人出现紧急的用车需求时，40分钟&lt;供应商响应时间≤50分钟，得7分；  3.当采购人出现紧急的用车需求时，50 分钟&lt;供应商响应时间≤60分钟，得4分；  4.其他情况或不提供不得分。  注：须提供投标人或其指定的服务机构工商登记地址到采购人地址（广州市增城区石滩镇解放南路38号）的百度地图截图，以百度地图上显示的时间为准，不提供不得分。如承诺成交后设置服务机构的，提供格式自拟的承诺函，得相应分数。</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各响应供应商的评标价=1-优惠率，满足磋商文件要求且评标价最低的为评标基准价。 响应报价得分=（评标基准价/评标价）×价格分分值 评标过程中，不得去掉报价中的最高报价和最低报价。 因落实政府采购政策进行价格调整的，以调整后的价格计算评标基准价和评标价。</w:t>
            </w:r>
          </w:p>
        </w:tc>
      </w:tr>
    </w:tbl>
    <w:p/>
    <w:p>
      <w:r>
        <w:rPr/>
        <w:t>采购包2干部职工上下班接送用车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后续保障服务方案 (15.0分)</w:t>
            </w:r>
          </w:p>
        </w:tc>
        <w:tc>
          <w:tcPr>
            <w:tcW w:type="dxa" w:w="5076"/>
          </w:tcPr>
          <w:p>
            <w:pPr>
              <w:jc w:val="left"/>
            </w:pPr>
            <w:r>
              <w:rPr/>
              <w:t>根据响应供应商提供的后续服务方案，包括技术支持程度、跟踪服务能力等方案进行综合评审： 1.后续保障服务方案明确，实施方法可行，得15分； 2.后续保障服务方案较明确，实施方法较可行，得10分 3.后续保障服务方案基本明确，实施方法基本可行，得5分； 4.后续保障服务方案不明确，实施方法不当，得2分。 5.不提供不得分。</w:t>
            </w:r>
          </w:p>
        </w:tc>
      </w:tr>
      <w:tr>
        <w:tc>
          <w:tcPr>
            <w:tcW w:type="dxa" w:w="922"/>
            <w:gridSpan w:val="2"/>
            <w:vMerge/>
          </w:tcPr>
          <w:p/>
        </w:tc>
        <w:tc>
          <w:tcPr>
            <w:tcW w:type="dxa" w:w="2307"/>
          </w:tcPr>
          <w:p>
            <w:pPr>
              <w:jc w:val="left"/>
            </w:pPr>
            <w:r>
              <w:rPr/>
              <w:t>服务方案、运作流程 (10.0分)</w:t>
            </w:r>
          </w:p>
        </w:tc>
        <w:tc>
          <w:tcPr>
            <w:tcW w:type="dxa" w:w="5076"/>
          </w:tcPr>
          <w:p>
            <w:pPr>
              <w:jc w:val="left"/>
            </w:pPr>
            <w:r>
              <w:rPr/>
              <w:t>1.服务方案的制定具体、详细、合理可行，运作流程规范、具有可操作性，得 10 分； 2.服务方案制定基本合理可行，运作流程较规范，得5分； 3.服务方案一般，运作流程基本得当，得3 分； 4.服务方案有欠缺，运作流程不当，得1 分； 5.不提供不得分。</w:t>
            </w:r>
          </w:p>
        </w:tc>
      </w:tr>
      <w:tr>
        <w:tc>
          <w:tcPr>
            <w:tcW w:type="dxa" w:w="922"/>
            <w:gridSpan w:val="2"/>
            <w:vMerge/>
          </w:tcPr>
          <w:p/>
        </w:tc>
        <w:tc>
          <w:tcPr>
            <w:tcW w:type="dxa" w:w="2307"/>
          </w:tcPr>
          <w:p>
            <w:pPr>
              <w:jc w:val="left"/>
            </w:pPr>
            <w:r>
              <w:rPr/>
              <w:t>拟投入车辆的配备方案 (10.0分)</w:t>
            </w:r>
          </w:p>
        </w:tc>
        <w:tc>
          <w:tcPr>
            <w:tcW w:type="dxa" w:w="5076"/>
          </w:tcPr>
          <w:p>
            <w:pPr>
              <w:jc w:val="left"/>
            </w:pPr>
            <w:r>
              <w:rPr/>
              <w:t>1.拟投入车辆的性能优越、投入使用时间短、便民设施可靠，得 10 分； 2.拟投入车辆的性能较好、投入使用时间较短、便民设施较可靠，得 7分； 3.拟投入车辆的性能一般、投入使用时间较长、车内有基本便民设施，得 3 分； 4.拟投入车辆的性能较差、投入使用时间长、车内便民设施较差，得 1 分 5. 不提供不得分。</w:t>
            </w:r>
          </w:p>
        </w:tc>
      </w:tr>
      <w:tr>
        <w:tc>
          <w:tcPr>
            <w:tcW w:type="dxa" w:w="922"/>
            <w:gridSpan w:val="2"/>
            <w:vMerge/>
          </w:tcPr>
          <w:p/>
        </w:tc>
        <w:tc>
          <w:tcPr>
            <w:tcW w:type="dxa" w:w="2307"/>
          </w:tcPr>
          <w:p>
            <w:pPr>
              <w:jc w:val="left"/>
            </w:pPr>
            <w:r>
              <w:rPr/>
              <w:t>车辆设施设备的配备情况 (10.0分)</w:t>
            </w:r>
          </w:p>
        </w:tc>
        <w:tc>
          <w:tcPr>
            <w:tcW w:type="dxa" w:w="5076"/>
          </w:tcPr>
          <w:p>
            <w:pPr>
              <w:jc w:val="left"/>
            </w:pPr>
            <w:r>
              <w:rPr/>
              <w:t>根据响应供应商拟投车辆设施设备的配备情况（是否具有完善的监控设施、事故逃生设备，是否配备完善的GPS定位系统、路径跟踪系统）进行评审： 1.设施设备的配备完善，和项目匹配程度高，得10分； 2.设施设备的配备较为完善，能够较好的支撑项目工作，得5分； 3.设施设备的配备一般，对项目工作支撑度一般，得3分； 4.设施设备的配备较差，对项目工作支撑度较差，得1分； 5.未提供配备情况不得分。 注：供应商须提供设施配备情况清单及相关配套设施现场照片进行评审，不提供或磋商小组无法认定的不得分。</w:t>
            </w:r>
          </w:p>
        </w:tc>
      </w:tr>
      <w:tr>
        <w:tc>
          <w:tcPr>
            <w:tcW w:type="dxa" w:w="922"/>
            <w:gridSpan w:val="2"/>
            <w:vMerge/>
          </w:tcPr>
          <w:p/>
        </w:tc>
        <w:tc>
          <w:tcPr>
            <w:tcW w:type="dxa" w:w="2307"/>
          </w:tcPr>
          <w:p>
            <w:pPr>
              <w:jc w:val="left"/>
            </w:pPr>
            <w:r>
              <w:rPr/>
              <w:t>管理服务方案 (10.0分)</w:t>
            </w:r>
          </w:p>
        </w:tc>
        <w:tc>
          <w:tcPr>
            <w:tcW w:type="dxa" w:w="5076"/>
          </w:tcPr>
          <w:p>
            <w:pPr>
              <w:jc w:val="left"/>
            </w:pPr>
            <w:r>
              <w:rPr/>
              <w:t>根据各响应供应商的管理服务架构（包括但不限于整体管理服务架构、组织管理协调水平、车辆投入运行前后的服务运作方案等）进行综合评审： 1.方案合理、科学、可操作性高的，得10分； 2.方案较合理、较科学、可操作性较高的，得7分； 3.方案欠缺合理性、欠缺科学性、可操作性低的，得5分；  4.不提供不得分。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2.能结合本项目实际情况，提供特色服务或亮点服务，较科学、较合理的，得3分； 3.基本能结合本项目实际情况，提供特色服务或亮点服务，科学、合理性一般，得1分； 4.不提供不得分。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响应供应商 2019 年 1 月 1 日至今的同类项目业绩，每提供 1 个得1.5分，最高得 6分。 注：需要提供合同关键页（合同关键页必须有用户单位名称、合同项目名称、合同标的主要采购内容、签订合同双方的落款盖章、合同签订日期）复印件，以合同的签订日期为准，不提供或磋商小组无法认定的不得分。</w:t>
            </w:r>
          </w:p>
        </w:tc>
      </w:tr>
      <w:tr>
        <w:tc>
          <w:tcPr>
            <w:tcW w:type="dxa" w:w="922"/>
            <w:gridSpan w:val="2"/>
            <w:vMerge/>
          </w:tcPr>
          <w:p/>
        </w:tc>
        <w:tc>
          <w:tcPr>
            <w:tcW w:type="dxa" w:w="2307"/>
          </w:tcPr>
          <w:p>
            <w:pPr>
              <w:jc w:val="left"/>
            </w:pPr>
            <w:r>
              <w:rPr/>
              <w:t>驾驶员配备情况 (10.0分)</w:t>
            </w:r>
          </w:p>
        </w:tc>
        <w:tc>
          <w:tcPr>
            <w:tcW w:type="dxa" w:w="5076"/>
          </w:tcPr>
          <w:p>
            <w:pPr>
              <w:jc w:val="left"/>
            </w:pPr>
            <w:r>
              <w:rPr/>
              <w:t>根据响应供应商拟投入本项目的驾驶员情况进行评审：驾驶员年龄在55周岁以下且具有5年以上驾驶经验（以取得驾驶证时间开始计算）的，每提供一名得0.5分，满分10分。 注：须提供上述人员机动车驾驶证复印件、从业人员资格证复印件（客运）、从事驾驶车辆工作经验的相关证明材料及响应供应商为其缴纳近半年内（不含开标当月）任意三个月的社保证明或代缴个人所得税等证明材料复印件并加盖响应供应商公章。</w:t>
            </w:r>
          </w:p>
        </w:tc>
      </w:tr>
      <w:tr>
        <w:tc>
          <w:tcPr>
            <w:tcW w:type="dxa" w:w="922"/>
            <w:gridSpan w:val="2"/>
            <w:vMerge/>
          </w:tcPr>
          <w:p/>
        </w:tc>
        <w:tc>
          <w:tcPr>
            <w:tcW w:type="dxa" w:w="2307"/>
          </w:tcPr>
          <w:p>
            <w:pPr>
              <w:jc w:val="left"/>
            </w:pPr>
            <w:r>
              <w:rPr/>
              <w:t>紧急用车情况 (10.0分)</w:t>
            </w:r>
          </w:p>
        </w:tc>
        <w:tc>
          <w:tcPr>
            <w:tcW w:type="dxa" w:w="5076"/>
          </w:tcPr>
          <w:p>
            <w:pPr>
              <w:jc w:val="left"/>
            </w:pPr>
            <w:r>
              <w:rPr/>
              <w:t>根据供应商针对本项目的紧急用车响应时间进行评分：  1.当采购人出现紧急的用车需求时，供应商响应时间≤70 分钟，得 10 分；  2.当采购人出现紧急的用车需求时，70分钟&lt;供应商响应时间≤80 分钟，得 7 分；  3.当采购人出现紧急的用车需求时，80 分钟&lt;供应商响应时间≤90 分钟， 得 4 分；  4.其他情况或不提供不得分。  注：须提供投标人或其指定的服务机构工商登记地址到采购人地址(广州市增城区石滩镇解放南路38号)的百度地图截图，以百度地图上显示的时间为准，不提供不得分。如承诺成交后设置服务机构的，提供格式自拟的承诺函，得相应分数。</w:t>
            </w:r>
          </w:p>
        </w:tc>
      </w:tr>
      <w:tr>
        <w:tc>
          <w:tcPr>
            <w:tcW w:type="dxa" w:w="922"/>
            <w:gridSpan w:val="2"/>
            <w:vMerge/>
          </w:tcPr>
          <w:p/>
        </w:tc>
        <w:tc>
          <w:tcPr>
            <w:tcW w:type="dxa" w:w="2307"/>
          </w:tcPr>
          <w:p>
            <w:pPr>
              <w:jc w:val="left"/>
            </w:pPr>
            <w:r>
              <w:rPr/>
              <w:t>保险保障情况 (4.0分)</w:t>
            </w:r>
          </w:p>
        </w:tc>
        <w:tc>
          <w:tcPr>
            <w:tcW w:type="dxa" w:w="5076"/>
          </w:tcPr>
          <w:p>
            <w:pPr>
              <w:jc w:val="left"/>
            </w:pPr>
            <w:r>
              <w:rPr/>
              <w:t>对响应供应商承诺购买乘客人身意外伤害险的最高赔付额进行评审： （1）机动车第三者责任保险≥200万/辆， 得4分； （2）150万/辆≤机动车第三者责任保险＜200万/辆，得2分。 （3）机动车第三者责任保险＜100万/辆，不得分。 注：响应文件中须提供采购需求中涉及车型的保险投保单复印件、发票复印件并加盖从响应供应商公章，保险有效期应覆盖本项目合同履约期限，如不能覆盖的，响应供应商还应提交承诺函(格式自拟)，承诺保险到期后将继续购买机动车第三者责任保险，可有效覆盖合同期且保额不低于响应时保险保额。</w:t>
            </w:r>
          </w:p>
        </w:tc>
      </w:tr>
      <w:tr>
        <w:tc>
          <w:tcPr>
            <w:tcW w:type="dxa" w:w="922"/>
            <w:gridSpan w:val="2"/>
          </w:tcPr>
          <w:p>
            <w:pPr>
              <w:jc w:val="center"/>
            </w:pPr>
            <w:r>
              <w:rPr/>
              <w:t>投标报价</w:t>
            </w:r>
          </w:p>
        </w:tc>
        <w:tc>
          <w:tcPr>
            <w:tcW w:type="dxa" w:w="2307"/>
          </w:tcPr>
          <w:p>
            <w:pPr>
              <w:jc w:val="left"/>
            </w:pPr>
            <w:r>
              <w:rPr/>
              <w:t>投标价格得分 (10.0分)</w:t>
            </w:r>
          </w:p>
        </w:tc>
        <w:tc>
          <w:tcPr>
            <w:tcW w:type="dxa" w:w="5076"/>
          </w:tcPr>
          <w:p>
            <w:pPr>
              <w:jc w:val="left"/>
            </w:pPr>
            <w:r>
              <w:rPr/>
              <w:t>各响应供应商的评标价=1-优惠率，满足磋商文件要求且评标价最低的为评标基准价。 响应报价得分=（评标基准价/评标价）×价格分分值 评标过程中，不得去掉报价中的最高报价和最低报价。 因落实政府采购政策进行价格调整的，以调整后的价格计算评标基准价和评标价。</w:t>
            </w:r>
          </w:p>
        </w:tc>
      </w:tr>
    </w:tbl>
    <w:p/>
    <w:p>
      <w:r>
        <w:rPr/>
        <w:t>采购包3专项行动临时保障用车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后续保障服务方案 (15.0分)</w:t>
            </w:r>
          </w:p>
        </w:tc>
        <w:tc>
          <w:tcPr>
            <w:tcW w:type="dxa" w:w="5076"/>
          </w:tcPr>
          <w:p>
            <w:pPr>
              <w:jc w:val="left"/>
            </w:pPr>
            <w:r>
              <w:rPr/>
              <w:t>根据响应供应商提供的后续服务方案，包括技术支持程度、跟踪服务能力等方案进行综合评审： 1.后续保障服务方案明确，实施方法可行，得15分； 2.后续保障服务方案较明确，实施方法较可行，得10分 3.后续保障服务方案基本明确，实施方法基本可行，得5分； 4.后续保障服务方案不明确，实施方法不当，得2分。 5.不提供不得分。</w:t>
            </w:r>
          </w:p>
        </w:tc>
      </w:tr>
      <w:tr>
        <w:tc>
          <w:tcPr>
            <w:tcW w:type="dxa" w:w="922"/>
            <w:gridSpan w:val="2"/>
            <w:vMerge/>
          </w:tcPr>
          <w:p/>
        </w:tc>
        <w:tc>
          <w:tcPr>
            <w:tcW w:type="dxa" w:w="2307"/>
          </w:tcPr>
          <w:p>
            <w:pPr>
              <w:jc w:val="left"/>
            </w:pPr>
            <w:r>
              <w:rPr/>
              <w:t>服务方案、运作流程 (10.0分)</w:t>
            </w:r>
          </w:p>
        </w:tc>
        <w:tc>
          <w:tcPr>
            <w:tcW w:type="dxa" w:w="5076"/>
          </w:tcPr>
          <w:p>
            <w:pPr>
              <w:jc w:val="left"/>
            </w:pPr>
            <w:r>
              <w:rPr/>
              <w:t>1.服务方案的制定具体、详细、合理可行，运作流程规范、具有可操作性，得 10 分； 2.服务方案制定基本合理可行，运作流程较规范，得5分； 3.服务方案一般，运作流程基本得当，得3分； 4.服务方案有欠缺，运作流程不当，得1分； 5.不提供不得分。</w:t>
            </w:r>
          </w:p>
        </w:tc>
      </w:tr>
      <w:tr>
        <w:tc>
          <w:tcPr>
            <w:tcW w:type="dxa" w:w="922"/>
            <w:gridSpan w:val="2"/>
            <w:vMerge/>
          </w:tcPr>
          <w:p/>
        </w:tc>
        <w:tc>
          <w:tcPr>
            <w:tcW w:type="dxa" w:w="2307"/>
          </w:tcPr>
          <w:p>
            <w:pPr>
              <w:jc w:val="left"/>
            </w:pPr>
            <w:r>
              <w:rPr/>
              <w:t>拟投入车辆的配备方案 (10.0分)</w:t>
            </w:r>
          </w:p>
        </w:tc>
        <w:tc>
          <w:tcPr>
            <w:tcW w:type="dxa" w:w="5076"/>
          </w:tcPr>
          <w:p>
            <w:pPr>
              <w:jc w:val="left"/>
            </w:pPr>
            <w:r>
              <w:rPr/>
              <w:t>1.拟投入车辆的性能优越、投入使用时间短、便民设施可靠，得 10 分； 2.拟投入车辆的性能较好、投入使用时间较短、便民设施较可靠，得 7分； 3.拟投入车辆的性能一般、投入使用时间较长、车内有基本便民设施，得 3 分； 4.拟投入车辆的性能较差、投入使用时间长、车内便民设施较差，得 1 分 5. 不提供不得分。</w:t>
            </w:r>
          </w:p>
        </w:tc>
      </w:tr>
      <w:tr>
        <w:tc>
          <w:tcPr>
            <w:tcW w:type="dxa" w:w="922"/>
            <w:gridSpan w:val="2"/>
            <w:vMerge/>
          </w:tcPr>
          <w:p/>
        </w:tc>
        <w:tc>
          <w:tcPr>
            <w:tcW w:type="dxa" w:w="2307"/>
          </w:tcPr>
          <w:p>
            <w:pPr>
              <w:jc w:val="left"/>
            </w:pPr>
            <w:r>
              <w:rPr/>
              <w:t>车辆设施设备的配备情况 (10.0分)</w:t>
            </w:r>
          </w:p>
        </w:tc>
        <w:tc>
          <w:tcPr>
            <w:tcW w:type="dxa" w:w="5076"/>
          </w:tcPr>
          <w:p>
            <w:pPr>
              <w:jc w:val="left"/>
            </w:pPr>
            <w:r>
              <w:rPr/>
              <w:t>根据响应供应商拟投车辆设施设备的配备情况（是否具有完善的监控设施、事故逃生设备，是否配备完善的GPS定位系统、路径跟踪系统）进行评审： 1.设施设备的配备完善，和项目匹配程度高，得10分； 2.设施设备的配备较为完善，能够较好的支撑项目工作，得5分； 3.设施设备的配备一般，对项目工作支撑度一般，得3分； 4.设施设备的配备较差，对项目工作支撑度较差，得1分； 5.未提供配备情况不得分。 注：供应商须提供设施配备情况清单及相关配套设施现场照片进行评审，不提供或磋商小组无法认定的不得分。</w:t>
            </w:r>
          </w:p>
        </w:tc>
      </w:tr>
      <w:tr>
        <w:tc>
          <w:tcPr>
            <w:tcW w:type="dxa" w:w="922"/>
            <w:gridSpan w:val="2"/>
            <w:vMerge/>
          </w:tcPr>
          <w:p/>
        </w:tc>
        <w:tc>
          <w:tcPr>
            <w:tcW w:type="dxa" w:w="2307"/>
          </w:tcPr>
          <w:p>
            <w:pPr>
              <w:jc w:val="left"/>
            </w:pPr>
            <w:r>
              <w:rPr/>
              <w:t>管理服务方案 (10.0分)</w:t>
            </w:r>
          </w:p>
        </w:tc>
        <w:tc>
          <w:tcPr>
            <w:tcW w:type="dxa" w:w="5076"/>
          </w:tcPr>
          <w:p>
            <w:pPr>
              <w:jc w:val="left"/>
            </w:pPr>
            <w:r>
              <w:rPr/>
              <w:t>根据各响应供应商的管理服务架构（包括但不限于整体管理服务架构、组织管理协调水平、车辆投入运行前后的服务运作方案等）进行综合评审： 1.方案合理、科学、可操作性高的，得10分； 2.方案较合理、较科学、可操作性较高的，得7分； 3.方案欠缺合理性、欠缺科学性、可操作性低的，得5分；  4.不提供不得分。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2.能结合本项目实际情况，提供特色服务或亮点服务，较科学、较合理的，得3分； 3.基本能结合本项目实际情况，提供特色服务或亮点服务，科学、合理性一般，得1分； 4.不提供不得分。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响应供应商 2019 年 1 月 1 日至今的同类项目业绩，每提供 1 个得1.5分，最高得 6分。 注：需要提供合同关键页（合同关键页必须有用户单位名称、合同项目名称、合同标的主要采购内容、签订合同双方的落款盖章、合同签订日期）复印件，以合同的签订日期为准，不提供或磋商小组无法认定的不得分。</w:t>
            </w:r>
          </w:p>
        </w:tc>
      </w:tr>
      <w:tr>
        <w:tc>
          <w:tcPr>
            <w:tcW w:type="dxa" w:w="922"/>
            <w:gridSpan w:val="2"/>
            <w:vMerge/>
          </w:tcPr>
          <w:p/>
        </w:tc>
        <w:tc>
          <w:tcPr>
            <w:tcW w:type="dxa" w:w="2307"/>
          </w:tcPr>
          <w:p>
            <w:pPr>
              <w:jc w:val="left"/>
            </w:pPr>
            <w:r>
              <w:rPr/>
              <w:t>驾驶员配备情况 (10.0分)</w:t>
            </w:r>
          </w:p>
        </w:tc>
        <w:tc>
          <w:tcPr>
            <w:tcW w:type="dxa" w:w="5076"/>
          </w:tcPr>
          <w:p>
            <w:pPr>
              <w:jc w:val="left"/>
            </w:pPr>
            <w:r>
              <w:rPr/>
              <w:t>根据响应供应商拟投入本项目的驾驶员情况进行评审：驾驶员年龄在55周岁以下且具有5年以上驾驶经验（以取得驾驶证时间开始计算）的，每提供一名得0.5分，满分10分。 注：须提供上述人员机动车驾驶证复印件、从业人员资格证复印件（客运）、从事驾驶车辆工作经验的相关证明材料及响应供应商为其缴纳近半年内（不含开标当月）任意三个月的社保证明或代缴个人所得税等证明材料复印件并加盖响应供应商公章。</w:t>
            </w:r>
          </w:p>
        </w:tc>
      </w:tr>
      <w:tr>
        <w:tc>
          <w:tcPr>
            <w:tcW w:type="dxa" w:w="922"/>
            <w:gridSpan w:val="2"/>
            <w:vMerge/>
          </w:tcPr>
          <w:p/>
        </w:tc>
        <w:tc>
          <w:tcPr>
            <w:tcW w:type="dxa" w:w="2307"/>
          </w:tcPr>
          <w:p>
            <w:pPr>
              <w:jc w:val="left"/>
            </w:pPr>
            <w:r>
              <w:rPr/>
              <w:t>紧急用车情况 (10.0分)</w:t>
            </w:r>
          </w:p>
        </w:tc>
        <w:tc>
          <w:tcPr>
            <w:tcW w:type="dxa" w:w="5076"/>
          </w:tcPr>
          <w:p>
            <w:pPr>
              <w:jc w:val="left"/>
            </w:pPr>
            <w:r>
              <w:rPr/>
              <w:t>根据供应商针对本项目的紧急用车响应时间进行评分：  1.当采购人出现紧急的用车需求时，供应商响应时间≤70 分钟，得 10 分；  2.当采购人出现紧急的用车需求时，70分钟&lt;供应商响应时间≤80 分钟，得 7 分；  3.当采购人出现紧急的用车需求时，80 分钟&lt;供应商响应时间≤90 分钟， 得 4 分；  4.其他情况或不提供不得分。  注：须提供投标人或其指定的服务机构工商登记地址到采购人地址(广州市增城区石滩镇解放南路38号)的百度地图截图，以百度地图上显示的时间为准，不提供不得分。如承诺成交后设置服务机构的，提供格式自拟的承诺函，得相应分数。</w:t>
            </w:r>
          </w:p>
        </w:tc>
      </w:tr>
      <w:tr>
        <w:tc>
          <w:tcPr>
            <w:tcW w:type="dxa" w:w="922"/>
            <w:gridSpan w:val="2"/>
            <w:vMerge/>
          </w:tcPr>
          <w:p/>
        </w:tc>
        <w:tc>
          <w:tcPr>
            <w:tcW w:type="dxa" w:w="2307"/>
          </w:tcPr>
          <w:p>
            <w:pPr>
              <w:jc w:val="left"/>
            </w:pPr>
            <w:r>
              <w:rPr/>
              <w:t>保险保障情况 (4.0分)</w:t>
            </w:r>
          </w:p>
        </w:tc>
        <w:tc>
          <w:tcPr>
            <w:tcW w:type="dxa" w:w="5076"/>
          </w:tcPr>
          <w:p>
            <w:pPr>
              <w:jc w:val="left"/>
            </w:pPr>
            <w:r>
              <w:rPr/>
              <w:t>对响应供应商承诺购买乘客人身意外伤害险的最高赔付额进行评审： （1）机动车第三者责任保险≥200万/辆， 得4分； （2）150万/辆≤机动车第三者责任保险＜200万/辆，得2分。 （3）机动车第三者责任保险＜100万/辆，不得分。 注：响应文件中须提供采购需求中涉及车型的保险投保单复印件、发票复印件并加盖从响应供应商公章，保险有效期应覆盖本项目合同履约期限，如不能覆盖的，响应供应商还应提交承诺函(格式自拟)，承诺保险到期后将继续购买机动车第三者责任保险，可有效覆盖合同期且保额不低于响应时保险保额。</w:t>
            </w:r>
          </w:p>
        </w:tc>
      </w:tr>
      <w:tr>
        <w:tc>
          <w:tcPr>
            <w:tcW w:type="dxa" w:w="922"/>
            <w:gridSpan w:val="2"/>
          </w:tcPr>
          <w:p>
            <w:pPr>
              <w:jc w:val="center"/>
            </w:pPr>
            <w:r>
              <w:rPr/>
              <w:t>投标报价</w:t>
            </w:r>
          </w:p>
        </w:tc>
        <w:tc>
          <w:tcPr>
            <w:tcW w:type="dxa" w:w="2307"/>
          </w:tcPr>
          <w:p>
            <w:pPr>
              <w:jc w:val="left"/>
            </w:pPr>
            <w:r>
              <w:rPr/>
              <w:t>投标价格得分 (10.0分)</w:t>
            </w:r>
          </w:p>
        </w:tc>
        <w:tc>
          <w:tcPr>
            <w:tcW w:type="dxa" w:w="5076"/>
          </w:tcPr>
          <w:p>
            <w:pPr>
              <w:jc w:val="left"/>
            </w:pPr>
            <w:r>
              <w:rPr/>
              <w:t>各响应供应商的评标价=1-优惠率，满足磋商文件要求且评标价最低的为评标基准价。 响应报价得分=（评标基准价/评标价）×价格分分值 评标过程中，不得去掉报价中的最高报价和最低报价。 因落实政府采购政策进行价格调整的，以调整后的价格计算评标基准价和评标价。</w:t>
            </w:r>
          </w:p>
        </w:tc>
      </w:tr>
    </w:tbl>
    <w:p/>
    <w:p>
      <w:r>
        <w:rPr>
          <w:b/>
          <w:sz w:val="24"/>
        </w:rPr>
        <w:t>6.汇总、排序</w:t>
      </w:r>
    </w:p>
    <w:p>
      <w:pPr>
        <w:ind w:firstLine="480"/>
      </w:pPr>
    </w:p>
    <w:p/>
    <w:p>
      <w:r>
        <w:rPr/>
        <w:t>采购包1：</w:t>
      </w:r>
    </w:p>
    <w:p/>
    <w:p>
      <w:r>
        <w:rPr/>
        <w:t>评标结果按评审后总得分由高到低顺序排列。总得分相同的按投标报价由低到高顺序排列。得分且投标报价相同的，由磋商小组采取随机抽取的方式确定。排名第一的响应供应商为第一成交候选供应商，排名第二的响应供应商为第二成交候选供应商，排名第三的响应供应商为第三成交候选供应商；评审得分相同的，由采购人或者采购人委托磋商小组采取随机抽取方式确定）。</w:t>
      </w:r>
    </w:p>
    <w:p/>
    <w:p>
      <w:r>
        <w:rPr/>
        <w:t>采购包2：</w:t>
      </w:r>
    </w:p>
    <w:p/>
    <w:p>
      <w:r>
        <w:rPr/>
        <w:t>评标结果按评审后总得分由高到低顺序排列。总得分相同的按投标报价由低到高顺序排列。得分且投标报价相同的，由磋商小组采取随机抽取的方式确定。排名第一的响应供应商为第一成交候选供应商，排名第二的响应供应商为第二成交候选供应商，排名第三的响应供应商为第三成交候选供应商；评审得分相同的，由采购人或者采购人委托磋商小组采取随机抽取方式确定）。</w:t>
      </w:r>
    </w:p>
    <w:p/>
    <w:p>
      <w:r>
        <w:rPr/>
        <w:t>采购包3：</w:t>
      </w:r>
    </w:p>
    <w:p/>
    <w:p>
      <w:r>
        <w:rPr/>
        <w:t>评标结果按评审后总得分由高到低顺序排列。总得分相同的按投标报价由低到高顺序排列。得分且投标报价相同的，由磋商小组采取随机抽取的方式确定。排名第一的响应供应商为第一成交候选供应商，排名第二的响应供应商为第二成交候选供应商，排名第三的响应供应商为第三成交候选供应商；评审得分相同的，由采购人或者采购人委托磋商小组采取随机抽取方式确定）。</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color w:val="000000"/>
          <w:sz w:val="21"/>
        </w:rPr>
        <w:t>广东省广州市增城区</w:t>
      </w:r>
    </w:p>
    <w:p>
      <w:pPr>
        <w:jc w:val="center"/>
      </w:pPr>
      <w:r>
        <w:rPr>
          <w:b/>
          <w:color w:val="000000"/>
          <w:sz w:val="21"/>
        </w:rPr>
        <w:t>公务行政事业单位汽车租赁合同</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Pr>
        <w:jc w:val="center"/>
      </w:pPr>
    </w:p>
    <w:p>
      <w:pPr>
        <w:jc w:val="both"/>
      </w:pPr>
    </w:p>
    <w:p>
      <w:pPr>
        <w:jc w:val="both"/>
      </w:pPr>
    </w:p>
    <w:p>
      <w:pPr>
        <w:jc w:val="both"/>
      </w:pPr>
    </w:p>
    <w:p>
      <w:pPr>
        <w:jc w:val="both"/>
      </w:pP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jc w:val="both"/>
            </w:pPr>
            <w:r>
              <w:rPr>
                <w:color w:val="000000"/>
                <w:sz w:val="21"/>
              </w:rPr>
              <w:t>甲方：</w:t>
            </w:r>
            <w:r>
              <w:rPr>
                <w:sz w:val="21"/>
                <w:u w:val="single"/>
              </w:rPr>
              <w:t xml:space="preserve">广州市增城区石滩镇人民政府  </w:t>
            </w:r>
          </w:p>
        </w:tc>
      </w:tr>
      <w:tr>
        <w:tc>
          <w:tcPr>
            <w:tcW w:type="dxa" w:w="8306"/>
            <w:tcBorders>
              <w:top w:val="none" w:color="000000" w:sz="4"/>
              <w:left w:val="none" w:color="000000" w:sz="4"/>
              <w:bottom w:val="none" w:color="000000" w:sz="4"/>
              <w:right w:val="none" w:color="000000" w:sz="4"/>
            </w:tcBorders>
            <w:vAlign w:val="top"/>
          </w:tcPr>
          <w:p>
            <w:pPr>
              <w:jc w:val="both"/>
            </w:pPr>
          </w:p>
        </w:tc>
      </w:tr>
      <w:tr>
        <w:tc>
          <w:tcPr>
            <w:tcW w:type="dxa" w:w="8306"/>
            <w:tcBorders>
              <w:top w:val="none" w:color="000000" w:sz="4"/>
              <w:left w:val="none" w:color="000000" w:sz="4"/>
              <w:bottom w:val="none" w:color="000000" w:sz="4"/>
              <w:right w:val="none" w:color="000000" w:sz="4"/>
            </w:tcBorders>
            <w:vAlign w:val="top"/>
          </w:tcPr>
          <w:p>
            <w:pPr>
              <w:jc w:val="both"/>
            </w:pPr>
            <w:r>
              <w:rPr>
                <w:color w:val="000000"/>
                <w:sz w:val="21"/>
              </w:rPr>
              <w:t>乙方：</w:t>
            </w:r>
            <w:r>
              <w:rPr>
                <w:sz w:val="21"/>
                <w:u w:val="single"/>
              </w:rPr>
              <w:t xml:space="preserve">                                   </w:t>
            </w:r>
          </w:p>
        </w:tc>
      </w:tr>
    </w:tbl>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color w:val="000000"/>
          <w:sz w:val="21"/>
        </w:rPr>
        <w:t>本合同根据《中华人民共和国合同法》等有关法律、法规制订，并经双方协商一致，双方在自愿平等基础上，就乙方向甲方出租车辆之事宜签订本合同，双方应共同遵守。合同条款如下：</w:t>
      </w:r>
      <w:r>
        <w:rPr>
          <w:sz w:val="21"/>
        </w:rPr>
        <w:t xml:space="preserve"> </w:t>
      </w:r>
    </w:p>
    <w:p>
      <w:pPr>
        <w:ind w:firstLine="419"/>
        <w:jc w:val="both"/>
      </w:pPr>
      <w:r>
        <w:rPr>
          <w:b/>
          <w:color w:val="000000"/>
          <w:sz w:val="21"/>
        </w:rPr>
        <w:t>一、租赁车辆</w:t>
      </w:r>
    </w:p>
    <w:p>
      <w:pPr>
        <w:ind w:firstLine="365"/>
        <w:jc w:val="both"/>
      </w:pPr>
      <w:r>
        <w:rPr>
          <w:color w:val="000000"/>
          <w:sz w:val="21"/>
        </w:rPr>
        <w:t>1.</w:t>
      </w:r>
      <w:r>
        <w:rPr>
          <w:color w:val="000000"/>
          <w:sz w:val="21"/>
        </w:rPr>
        <w:t>乙方按甲方需求提供租赁车辆，具体车况、出租形式详见下述。</w:t>
      </w:r>
    </w:p>
    <w:p>
      <w:pPr>
        <w:ind w:firstLine="365"/>
        <w:jc w:val="both"/>
      </w:pPr>
      <w:r>
        <w:rPr>
          <w:color w:val="000000"/>
          <w:sz w:val="21"/>
        </w:rPr>
        <w:t>2.</w:t>
      </w:r>
      <w:r>
        <w:rPr>
          <w:color w:val="000000"/>
          <w:sz w:val="21"/>
        </w:rPr>
        <w:t>在同等条件下甲方对车辆有优先续租权，但甲方须在租赁期满之前与乙方重新签订合同并结算先前租赁的租金。</w:t>
      </w:r>
    </w:p>
    <w:p>
      <w:pPr>
        <w:ind w:firstLine="419"/>
        <w:jc w:val="both"/>
      </w:pPr>
      <w:r>
        <w:rPr>
          <w:b/>
          <w:color w:val="000000"/>
          <w:sz w:val="21"/>
        </w:rPr>
        <w:t>二、租赁期限及租金标准</w:t>
      </w:r>
    </w:p>
    <w:p>
      <w:pPr>
        <w:ind w:firstLine="420"/>
        <w:jc w:val="both"/>
      </w:pPr>
      <w:r>
        <w:rPr>
          <w:color w:val="000000"/>
          <w:sz w:val="21"/>
        </w:rPr>
        <w:t>1.</w:t>
      </w:r>
      <w:r>
        <w:rPr>
          <w:color w:val="000000"/>
          <w:sz w:val="21"/>
        </w:rPr>
        <w:t>本合同有效期</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日至</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w:t>
      </w:r>
    </w:p>
    <w:p>
      <w:pPr>
        <w:ind w:firstLine="420"/>
        <w:jc w:val="both"/>
      </w:pPr>
      <w:r>
        <w:rPr>
          <w:color w:val="000000"/>
          <w:sz w:val="21"/>
        </w:rPr>
        <w:t>2.</w:t>
      </w:r>
      <w:r>
        <w:rPr>
          <w:color w:val="000000"/>
          <w:sz w:val="21"/>
        </w:rPr>
        <w:t>政务分时租赁的车型、收费标准详见附件（报价单）。</w:t>
      </w:r>
    </w:p>
    <w:p>
      <w:pPr>
        <w:ind w:firstLine="419"/>
        <w:jc w:val="both"/>
      </w:pPr>
      <w:r>
        <w:rPr>
          <w:b/>
          <w:color w:val="000000"/>
          <w:sz w:val="21"/>
        </w:rPr>
        <w:t>三、付款方式</w:t>
      </w:r>
    </w:p>
    <w:p>
      <w:pPr>
        <w:ind w:firstLine="365"/>
        <w:jc w:val="both"/>
      </w:pPr>
      <w:r>
        <w:rPr>
          <w:color w:val="000000"/>
          <w:sz w:val="21"/>
        </w:rPr>
        <w:t>1.</w:t>
      </w:r>
      <w:r>
        <w:rPr>
          <w:color w:val="000000"/>
          <w:sz w:val="21"/>
        </w:rPr>
        <w:t>政务分时租赁服务实施先租赁后结算制度，依据甲方出具的有效函件或签订的合同、协议实施租赁。</w:t>
      </w:r>
    </w:p>
    <w:p>
      <w:pPr>
        <w:ind w:firstLine="365"/>
        <w:jc w:val="both"/>
      </w:pPr>
      <w:r>
        <w:rPr>
          <w:color w:val="000000"/>
          <w:sz w:val="21"/>
        </w:rPr>
        <w:t>2.</w:t>
      </w:r>
      <w:r>
        <w:rPr>
          <w:color w:val="000000"/>
          <w:sz w:val="21"/>
        </w:rPr>
        <w:t>乙方每月提供用车金额对账单，用车费用以刷卡明细表为准，甲方按验收标准进行验收，审核无误后在对账单上签字盖章，按照月度进行账目结算。</w:t>
      </w:r>
    </w:p>
    <w:p>
      <w:pPr>
        <w:ind w:firstLine="365"/>
        <w:jc w:val="both"/>
      </w:pPr>
      <w:r>
        <w:rPr>
          <w:color w:val="000000"/>
          <w:sz w:val="21"/>
        </w:rPr>
        <w:t>3.</w:t>
      </w:r>
      <w:r>
        <w:rPr>
          <w:color w:val="000000"/>
          <w:sz w:val="21"/>
        </w:rPr>
        <w:t>乙方应具备公务卡或转账支票结算的能力，乙方应依据经甲方审核的分时租赁对账单向甲方提供等额的正式发票。</w:t>
      </w:r>
    </w:p>
    <w:p>
      <w:pPr>
        <w:ind w:firstLine="419"/>
        <w:jc w:val="both"/>
      </w:pPr>
      <w:r>
        <w:rPr>
          <w:b/>
          <w:color w:val="000000"/>
          <w:sz w:val="21"/>
        </w:rPr>
        <w:t>四、交通违法行为处理</w:t>
      </w:r>
    </w:p>
    <w:p>
      <w:pPr>
        <w:ind w:firstLine="365"/>
        <w:jc w:val="both"/>
      </w:pPr>
      <w:r>
        <w:rPr>
          <w:color w:val="000000"/>
          <w:sz w:val="21"/>
        </w:rPr>
        <w:t>1.</w:t>
      </w:r>
      <w:r>
        <w:rPr>
          <w:color w:val="000000"/>
          <w:sz w:val="21"/>
        </w:rPr>
        <w:t>承租人应当对租赁期限内发生的交通违法行为承担全部责任，及时、主动处理交通违法记分，缴纳交通违法罚款，并在处理完毕后及时通知出租人。</w:t>
      </w:r>
    </w:p>
    <w:p>
      <w:pPr>
        <w:ind w:firstLine="365"/>
        <w:jc w:val="both"/>
      </w:pPr>
      <w:r>
        <w:rPr>
          <w:color w:val="000000"/>
          <w:sz w:val="21"/>
        </w:rPr>
        <w:t>2.</w:t>
      </w:r>
      <w:r>
        <w:rPr>
          <w:color w:val="000000"/>
          <w:sz w:val="21"/>
        </w:rPr>
        <w:t>出租人发现租赁车辆在租赁期限内有尚未处理完毕的交通违法行为的，承租人应当在接到出租人通知后15日内处理完毕。</w:t>
      </w:r>
    </w:p>
    <w:p>
      <w:pPr>
        <w:ind w:firstLine="365"/>
        <w:jc w:val="both"/>
      </w:pPr>
      <w:r>
        <w:rPr>
          <w:color w:val="000000"/>
          <w:sz w:val="21"/>
        </w:rPr>
        <w:t>3</w:t>
      </w:r>
      <w:r>
        <w:rPr>
          <w:color w:val="000000"/>
          <w:sz w:val="21"/>
        </w:rPr>
        <w:t>、承租人未在上述期限内处理完毕的，出租人有权将承租人或合同登记的驾驶员作为责任人提交公安机关处理，并将该等信息列入汽车租赁行业承租人失信记录。</w:t>
      </w:r>
    </w:p>
    <w:p>
      <w:pPr>
        <w:ind w:firstLine="419"/>
        <w:jc w:val="both"/>
      </w:pPr>
      <w:r>
        <w:rPr>
          <w:b/>
          <w:color w:val="000000"/>
          <w:sz w:val="21"/>
        </w:rPr>
        <w:t>五、交车事宜</w:t>
      </w:r>
    </w:p>
    <w:p>
      <w:pPr>
        <w:ind w:firstLine="365"/>
        <w:jc w:val="both"/>
      </w:pPr>
      <w:r>
        <w:rPr>
          <w:color w:val="000000"/>
          <w:sz w:val="21"/>
        </w:rPr>
        <w:t>乙方须在与甲方签订合同后及时办好相关手续，为甲方提供车辆租赁服务，双方以正式的车辆交接单为交接车凭据。</w:t>
      </w:r>
    </w:p>
    <w:p>
      <w:pPr>
        <w:ind w:firstLine="419"/>
        <w:jc w:val="both"/>
      </w:pPr>
      <w:r>
        <w:rPr>
          <w:b/>
          <w:color w:val="000000"/>
          <w:sz w:val="21"/>
        </w:rPr>
        <w:t>六、保险条款</w:t>
      </w:r>
    </w:p>
    <w:p>
      <w:pPr>
        <w:ind w:firstLine="365"/>
        <w:jc w:val="both"/>
      </w:pPr>
      <w:r>
        <w:rPr>
          <w:color w:val="000000"/>
          <w:sz w:val="21"/>
        </w:rPr>
        <w:t>1.</w:t>
      </w:r>
      <w:r>
        <w:rPr>
          <w:color w:val="000000"/>
          <w:sz w:val="21"/>
        </w:rPr>
        <w:t>乙方负责向保险公司购买以乙方为受益人的交强险、车辆损失险、第三者责任险、赔偿限额不少于100万元，不计免赔特约险。</w:t>
      </w:r>
    </w:p>
    <w:p>
      <w:pPr>
        <w:ind w:firstLine="365"/>
        <w:jc w:val="both"/>
      </w:pPr>
      <w:r>
        <w:rPr>
          <w:color w:val="000000"/>
          <w:sz w:val="21"/>
        </w:rPr>
        <w:t>2.</w:t>
      </w:r>
      <w:r>
        <w:rPr>
          <w:color w:val="000000"/>
          <w:sz w:val="21"/>
        </w:rPr>
        <w:t>上述保险、不计免赔服务仅免除保险范围内的有关损失，但不免除如因甲方违法违规、事故等导致车辆被扣而产生的停运损失。</w:t>
      </w:r>
    </w:p>
    <w:p>
      <w:pPr>
        <w:ind w:firstLine="365"/>
        <w:jc w:val="both"/>
      </w:pPr>
      <w:r>
        <w:rPr>
          <w:color w:val="000000"/>
          <w:sz w:val="21"/>
        </w:rPr>
        <w:t>3.</w:t>
      </w:r>
      <w:r>
        <w:rPr>
          <w:color w:val="000000"/>
          <w:sz w:val="21"/>
        </w:rPr>
        <w:t>如发生车损或其它保险事故，乙方负责承担保险公司免赔额及保险责任内的全部损失，甲方负责保险公司免赔额及保险责任外的损失，乙方有负责处理事故和办理保险索赔的义务。</w:t>
      </w:r>
    </w:p>
    <w:p>
      <w:pPr>
        <w:ind w:firstLine="365"/>
        <w:jc w:val="both"/>
      </w:pPr>
      <w:r>
        <w:rPr>
          <w:color w:val="000000"/>
          <w:sz w:val="21"/>
        </w:rPr>
        <w:t>4.</w:t>
      </w:r>
      <w:r>
        <w:rPr>
          <w:color w:val="000000"/>
          <w:sz w:val="21"/>
        </w:rPr>
        <w:t>如发生交通事故或其它保险事故，甲方应通知乙方处理。</w:t>
      </w:r>
    </w:p>
    <w:p>
      <w:pPr>
        <w:ind w:firstLine="365"/>
        <w:jc w:val="both"/>
      </w:pPr>
      <w:r>
        <w:rPr>
          <w:color w:val="000000"/>
          <w:sz w:val="21"/>
        </w:rPr>
        <w:t>5.</w:t>
      </w:r>
      <w:r>
        <w:rPr>
          <w:color w:val="000000"/>
          <w:sz w:val="21"/>
        </w:rPr>
        <w:t>如发生车损需维修，由乙方负责对受损的车辆进行维修，甲方不能自行维修或自行选择维修厂维修，否则所发生的一切费用由甲方负责。</w:t>
      </w:r>
    </w:p>
    <w:p>
      <w:pPr>
        <w:jc w:val="both"/>
      </w:pPr>
      <w:r>
        <w:rPr>
          <w:b/>
          <w:color w:val="000000"/>
          <w:sz w:val="21"/>
        </w:rPr>
        <w:t>七、保养维修</w:t>
      </w:r>
    </w:p>
    <w:p>
      <w:pPr>
        <w:jc w:val="both"/>
      </w:pPr>
      <w:r>
        <w:rPr>
          <w:color w:val="000000"/>
          <w:sz w:val="21"/>
        </w:rPr>
        <w:t>1.</w:t>
      </w:r>
      <w:r>
        <w:rPr>
          <w:color w:val="000000"/>
          <w:sz w:val="21"/>
        </w:rPr>
        <w:t>定期保养：在租赁期间，车辆需按保养手册在属下的4S销售店定期保养、正常损耗件维修及更换（包括雨刮片、启动电池、制动片等），费用由乙方负责；车辆使用期间的轮胎损耗（除正常行驶磨平外），由甲方自行负责维修，并承担相关费用，如因甲方操作不当或违规驾驶导致车辆损坏且不在保险理赔范围的需由甲方自行负责维修。</w:t>
      </w:r>
    </w:p>
    <w:p>
      <w:pPr>
        <w:jc w:val="both"/>
      </w:pPr>
      <w:r>
        <w:rPr>
          <w:color w:val="000000"/>
          <w:sz w:val="21"/>
        </w:rPr>
        <w:t>2.</w:t>
      </w:r>
      <w:r>
        <w:rPr>
          <w:color w:val="000000"/>
          <w:sz w:val="21"/>
        </w:rPr>
        <w:t>如车辆发生故障或异常，甲方应通知乙方，由乙方负责处理。故障车辆须到乙方指定或认可的维修厂维修，甲方不能自行维修或自行选择维修厂维修。</w:t>
      </w:r>
    </w:p>
    <w:p>
      <w:pPr>
        <w:ind w:firstLine="365"/>
        <w:jc w:val="both"/>
      </w:pPr>
      <w:r>
        <w:rPr>
          <w:color w:val="000000"/>
          <w:sz w:val="21"/>
        </w:rPr>
        <w:t>3.</w:t>
      </w:r>
      <w:r>
        <w:rPr>
          <w:color w:val="000000"/>
          <w:sz w:val="21"/>
        </w:rPr>
        <w:t>乙方对每一租赁车辆只提供一套钥匙给甲方，如钥匙遗失，甲方应承担整个车锁系统（包括车门锁、点火开关、旅行箱盖锁）的更换费用。</w:t>
      </w:r>
    </w:p>
    <w:p>
      <w:pPr>
        <w:ind w:firstLine="419"/>
        <w:jc w:val="both"/>
      </w:pPr>
      <w:r>
        <w:rPr>
          <w:b/>
          <w:color w:val="000000"/>
          <w:sz w:val="21"/>
        </w:rPr>
        <w:t>八、甲方的权利和义务</w:t>
      </w:r>
    </w:p>
    <w:p>
      <w:pPr>
        <w:ind w:firstLine="365"/>
        <w:jc w:val="both"/>
      </w:pPr>
      <w:r>
        <w:rPr>
          <w:color w:val="000000"/>
          <w:sz w:val="21"/>
        </w:rPr>
        <w:t>1.</w:t>
      </w:r>
      <w:r>
        <w:rPr>
          <w:color w:val="000000"/>
          <w:sz w:val="21"/>
        </w:rPr>
        <w:t>甲方同意在本合同范围内，甲乙双方可再签订短期或单次汽车租赁服务协议，并约定服务时间、服务方式、服务质量、收费标准、付款方式、生活保障、事故处理、违约责任等具体事项。</w:t>
      </w:r>
    </w:p>
    <w:p>
      <w:pPr>
        <w:ind w:firstLine="365"/>
        <w:jc w:val="both"/>
      </w:pPr>
      <w:r>
        <w:rPr>
          <w:color w:val="000000"/>
          <w:sz w:val="21"/>
        </w:rPr>
        <w:t>2.</w:t>
      </w:r>
      <w:r>
        <w:rPr>
          <w:color w:val="000000"/>
          <w:sz w:val="21"/>
        </w:rPr>
        <w:t>甲方在协议期间享受无需担保、无需押金等优质服务，有权享受乙方在合同有效期内的特定时间内对社会举办的优惠活动政策和优惠价格。</w:t>
      </w:r>
    </w:p>
    <w:p>
      <w:pPr>
        <w:ind w:firstLine="365"/>
        <w:jc w:val="both"/>
      </w:pPr>
      <w:r>
        <w:rPr>
          <w:color w:val="000000"/>
          <w:sz w:val="21"/>
        </w:rPr>
        <w:t>3.</w:t>
      </w:r>
      <w:r>
        <w:rPr>
          <w:color w:val="000000"/>
          <w:sz w:val="21"/>
        </w:rPr>
        <w:t>甲方有权对乙方承诺的协议价格、服务承诺等履约情况进行监督。</w:t>
      </w:r>
    </w:p>
    <w:p>
      <w:pPr>
        <w:ind w:firstLine="365"/>
        <w:jc w:val="both"/>
      </w:pPr>
      <w:r>
        <w:rPr>
          <w:color w:val="000000"/>
          <w:sz w:val="21"/>
        </w:rPr>
        <w:t>4.</w:t>
      </w:r>
      <w:r>
        <w:rPr>
          <w:color w:val="000000"/>
          <w:sz w:val="21"/>
        </w:rPr>
        <w:t>甲方有义务协调乙方在租赁业务开展中的关系和矛盾，与有关部门一起解决、处理汽车租赁服务过程中所发生的纠纷。</w:t>
      </w:r>
    </w:p>
    <w:p>
      <w:pPr>
        <w:ind w:firstLine="365"/>
        <w:jc w:val="both"/>
      </w:pPr>
      <w:r>
        <w:rPr>
          <w:color w:val="000000"/>
          <w:sz w:val="21"/>
        </w:rPr>
        <w:t>5.</w:t>
      </w:r>
      <w:r>
        <w:rPr>
          <w:color w:val="000000"/>
          <w:sz w:val="21"/>
        </w:rPr>
        <w:t>甲方自行驾驶发生事故，应根据交通管理部门出具的事故认定书确定责任，如因甲方原因造成车辆损坏，甲方承担保险赔付以外的损失及由此事故造成的相应责任。</w:t>
      </w:r>
    </w:p>
    <w:p>
      <w:pPr>
        <w:ind w:firstLine="365"/>
        <w:jc w:val="both"/>
      </w:pPr>
      <w:r>
        <w:rPr>
          <w:color w:val="000000"/>
          <w:sz w:val="21"/>
        </w:rPr>
        <w:t>6.</w:t>
      </w:r>
      <w:r>
        <w:rPr>
          <w:color w:val="000000"/>
          <w:sz w:val="21"/>
        </w:rPr>
        <w:t>甲方应按本合同约定的范围内合法使用车辆，甲方不得私自调改车辆里程表，应保证所承租车辆的原态，不得自行改动、安装、替换或拆除租赁车辆上的零件、仪表或其它设备。</w:t>
      </w:r>
    </w:p>
    <w:p>
      <w:pPr>
        <w:ind w:firstLine="365"/>
        <w:jc w:val="both"/>
      </w:pPr>
      <w:r>
        <w:rPr>
          <w:color w:val="000000"/>
          <w:sz w:val="21"/>
        </w:rPr>
        <w:t>7.</w:t>
      </w:r>
      <w:r>
        <w:rPr>
          <w:color w:val="000000"/>
          <w:sz w:val="21"/>
        </w:rPr>
        <w:t>甲方驾驶人须持中华人民共和国认可的有效驾驶证，须合法驾驶和使用租赁车辆，如因违法、违章而负民事或刑事法律责任，或导致被执法部门扣车及罚没的，甲方需自行承担相应的法律责任。</w:t>
      </w:r>
    </w:p>
    <w:p>
      <w:pPr>
        <w:ind w:firstLine="365"/>
        <w:jc w:val="both"/>
      </w:pPr>
      <w:r>
        <w:rPr>
          <w:color w:val="000000"/>
          <w:sz w:val="21"/>
        </w:rPr>
        <w:t>8.</w:t>
      </w:r>
      <w:r>
        <w:rPr>
          <w:color w:val="000000"/>
          <w:sz w:val="21"/>
        </w:rPr>
        <w:t>车辆在租用期间发生的违章、路桥费、停车费、充电费或者加油费，均由甲方自行承担。</w:t>
      </w:r>
    </w:p>
    <w:p>
      <w:pPr>
        <w:ind w:firstLine="419"/>
        <w:jc w:val="both"/>
      </w:pPr>
      <w:r>
        <w:rPr>
          <w:b/>
          <w:color w:val="000000"/>
          <w:sz w:val="21"/>
        </w:rPr>
        <w:t>九、乙方的权利和义务</w:t>
      </w:r>
    </w:p>
    <w:p>
      <w:pPr>
        <w:ind w:firstLine="365"/>
        <w:jc w:val="both"/>
      </w:pPr>
      <w:r>
        <w:rPr>
          <w:color w:val="000000"/>
          <w:sz w:val="21"/>
        </w:rPr>
        <w:t>1.</w:t>
      </w:r>
      <w:r>
        <w:rPr>
          <w:color w:val="000000"/>
          <w:sz w:val="21"/>
        </w:rPr>
        <w:t>乙方应严格遵守国家法律、法规和相关规定，诚实、守信，合法经营，自觉维护用户的利益，全面履行报价承诺，自觉接受甲方考核评定、监督和管理，优先为甲方提供符合党政机关公务用车使用标准的汽车租车服务，确保高标准服务质量，以维护双方的信誉和利益。</w:t>
      </w:r>
    </w:p>
    <w:p>
      <w:pPr>
        <w:ind w:firstLine="365"/>
        <w:jc w:val="both"/>
      </w:pPr>
      <w:r>
        <w:rPr>
          <w:color w:val="000000"/>
          <w:sz w:val="21"/>
        </w:rPr>
        <w:t>2.</w:t>
      </w:r>
      <w:r>
        <w:rPr>
          <w:color w:val="000000"/>
          <w:sz w:val="21"/>
        </w:rPr>
        <w:t>乙方有权拒绝甲方提出的汽车租赁服务业务范围和乙方承诺以外的其它要求，确因工作需要，乙方有权收取甲方要求协议以外服务的合理费用。</w:t>
      </w:r>
    </w:p>
    <w:p>
      <w:pPr>
        <w:ind w:firstLine="365"/>
        <w:jc w:val="both"/>
      </w:pPr>
      <w:r>
        <w:rPr>
          <w:color w:val="000000"/>
          <w:sz w:val="21"/>
        </w:rPr>
        <w:t>3.</w:t>
      </w:r>
      <w:r>
        <w:rPr>
          <w:color w:val="000000"/>
          <w:sz w:val="21"/>
        </w:rPr>
        <w:t>乙方有权对甲方在租赁汽车过程中的不正当要求和违规行为进行投诉，并要求有关部门做出处理。</w:t>
      </w:r>
    </w:p>
    <w:p>
      <w:pPr>
        <w:ind w:firstLine="365"/>
        <w:jc w:val="both"/>
      </w:pPr>
      <w:r>
        <w:rPr>
          <w:color w:val="000000"/>
          <w:sz w:val="21"/>
        </w:rPr>
        <w:t>4.</w:t>
      </w:r>
      <w:r>
        <w:rPr>
          <w:color w:val="000000"/>
          <w:sz w:val="21"/>
        </w:rPr>
        <w:t>在协议有效期内，乙方应按报价文件承诺向保险公司投保的险种及保额为用户承租的车辆投保，并承担全部保险费用；承租的车辆发生保险事故时，由乙方负责索赔事宜。</w:t>
      </w:r>
    </w:p>
    <w:p>
      <w:pPr>
        <w:ind w:firstLine="365"/>
        <w:jc w:val="both"/>
      </w:pPr>
      <w:r>
        <w:rPr>
          <w:color w:val="000000"/>
          <w:sz w:val="21"/>
        </w:rPr>
        <w:t>5.</w:t>
      </w:r>
      <w:r>
        <w:rPr>
          <w:color w:val="000000"/>
          <w:sz w:val="21"/>
        </w:rPr>
        <w:t>乙方除应投保法定的各种强制保险外，还应投保乘客的人身伤害保险，如事故对甲方造成伤害或损失，由保险公司根据保险相关政策和规定对甲方进行赔偿。</w:t>
      </w:r>
    </w:p>
    <w:p>
      <w:pPr>
        <w:ind w:firstLine="365"/>
        <w:jc w:val="both"/>
      </w:pPr>
      <w:r>
        <w:rPr>
          <w:color w:val="000000"/>
          <w:sz w:val="21"/>
        </w:rPr>
        <w:t>6.</w:t>
      </w:r>
      <w:r>
        <w:rPr>
          <w:color w:val="000000"/>
          <w:sz w:val="21"/>
        </w:rPr>
        <w:t>乙方应保证车辆租赁系统中各经营门店联系人、联系电话、预订电话真实有效，乙方的名称、地址等发生变化时，要及时通知甲方，如果未能及时告知所造成的不利影响由乙方承担。</w:t>
      </w:r>
    </w:p>
    <w:p>
      <w:pPr>
        <w:ind w:firstLine="419"/>
        <w:jc w:val="both"/>
      </w:pPr>
      <w:r>
        <w:rPr>
          <w:b/>
          <w:color w:val="000000"/>
          <w:sz w:val="21"/>
        </w:rPr>
        <w:t>十、违约责任</w:t>
      </w:r>
    </w:p>
    <w:p>
      <w:pPr>
        <w:ind w:firstLine="365"/>
        <w:jc w:val="both"/>
      </w:pPr>
      <w:r>
        <w:rPr>
          <w:color w:val="000000"/>
          <w:sz w:val="21"/>
        </w:rPr>
        <w:t>1.</w:t>
      </w:r>
      <w:r>
        <w:rPr>
          <w:color w:val="000000"/>
          <w:sz w:val="21"/>
        </w:rPr>
        <w:t>甲、乙任何一方违反本协议的约定，应当承担违约责任，并赔偿对方的实际损失。</w:t>
      </w:r>
    </w:p>
    <w:p>
      <w:pPr>
        <w:ind w:firstLine="365"/>
        <w:jc w:val="both"/>
      </w:pPr>
      <w:r>
        <w:rPr>
          <w:color w:val="000000"/>
          <w:sz w:val="21"/>
        </w:rPr>
        <w:t>2.</w:t>
      </w:r>
      <w:r>
        <w:rPr>
          <w:color w:val="000000"/>
          <w:sz w:val="21"/>
        </w:rPr>
        <w:t>因乙方责任造成合同终止时，对于由此给乙方造成的损失甲方不承担赔偿责任，对于由此给甲方造成的损失，乙方应负赔偿责任。</w:t>
      </w:r>
    </w:p>
    <w:p>
      <w:pPr>
        <w:ind w:firstLine="365"/>
        <w:jc w:val="both"/>
      </w:pPr>
      <w:r>
        <w:rPr>
          <w:color w:val="000000"/>
          <w:sz w:val="21"/>
        </w:rPr>
        <w:t>3.</w:t>
      </w:r>
      <w:r>
        <w:rPr>
          <w:color w:val="000000"/>
          <w:sz w:val="21"/>
        </w:rPr>
        <w:t>乙方与甲方签订的分时租赁协议中，乙方的义务不得低于乙方在报价文件中的承诺，否则相应的条款无效。</w:t>
      </w:r>
    </w:p>
    <w:p>
      <w:pPr>
        <w:ind w:firstLine="365"/>
        <w:jc w:val="both"/>
      </w:pPr>
      <w:r>
        <w:rPr>
          <w:color w:val="000000"/>
          <w:sz w:val="21"/>
        </w:rPr>
        <w:t>4.</w:t>
      </w:r>
      <w:r>
        <w:rPr>
          <w:color w:val="000000"/>
          <w:sz w:val="21"/>
        </w:rPr>
        <w:t>乙方承诺向保险公司投保，但实际协议履行过程中并未向保险公司投保，致使发生保险事故后无法向保险公司要求赔付，则乙方承担全部保险责任。</w:t>
      </w:r>
    </w:p>
    <w:p>
      <w:pPr>
        <w:ind w:firstLine="365"/>
        <w:jc w:val="both"/>
      </w:pPr>
      <w:r>
        <w:rPr>
          <w:color w:val="000000"/>
          <w:sz w:val="21"/>
        </w:rPr>
        <w:t>5.</w:t>
      </w:r>
      <w:r>
        <w:rPr>
          <w:color w:val="000000"/>
          <w:sz w:val="21"/>
        </w:rPr>
        <w:t>乙方保证所提供的服务的车辆所有权完全属于乙方且无任何抵押、查封等产权瑕疵。如有产权瑕疵的，视为乙方违约。乙方应负担由此而产生的一切损失。</w:t>
      </w:r>
    </w:p>
    <w:p>
      <w:pPr>
        <w:ind w:firstLine="365"/>
        <w:jc w:val="both"/>
      </w:pPr>
      <w:r>
        <w:rPr>
          <w:color w:val="000000"/>
          <w:sz w:val="21"/>
        </w:rPr>
        <w:t>6.</w:t>
      </w:r>
      <w:r>
        <w:rPr>
          <w:color w:val="000000"/>
          <w:sz w:val="21"/>
        </w:rPr>
        <w:t>合同任一方由于受诸如战争、骚乱、瘟疫、严重火灾、洪水、台风、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pPr>
        <w:ind w:firstLine="365"/>
        <w:jc w:val="both"/>
      </w:pPr>
      <w:r>
        <w:rPr>
          <w:color w:val="000000"/>
          <w:sz w:val="21"/>
        </w:rPr>
        <w:t>7.</w:t>
      </w:r>
      <w:r>
        <w:rPr>
          <w:color w:val="000000"/>
          <w:sz w:val="21"/>
        </w:rPr>
        <w:t>遭受不可抗力一方应在不可抗力事故发生后尽快以书面形式通知对方，并于事故发生后14天内将有关部门出具的证明文件、详细情况报告以及不可抗力对履行合同影响程度的说明送达对方。</w:t>
      </w:r>
    </w:p>
    <w:p>
      <w:pPr>
        <w:ind w:firstLine="365"/>
        <w:jc w:val="both"/>
      </w:pPr>
      <w:r>
        <w:rPr>
          <w:color w:val="000000"/>
          <w:sz w:val="21"/>
        </w:rPr>
        <w:t>8.</w:t>
      </w:r>
      <w:r>
        <w:rPr>
          <w:color w:val="000000"/>
          <w:sz w:val="21"/>
        </w:rPr>
        <w:t>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pPr>
        <w:ind w:firstLine="365"/>
        <w:jc w:val="both"/>
      </w:pPr>
      <w:r>
        <w:rPr>
          <w:color w:val="000000"/>
          <w:sz w:val="21"/>
        </w:rPr>
        <w:t>9.</w:t>
      </w:r>
      <w:r>
        <w:rPr>
          <w:color w:val="000000"/>
          <w:sz w:val="21"/>
        </w:rPr>
        <w:t>一旦不可抗力事故的影响持续120天以上，甲乙双方通过友好协商，在合理的时间内达成进一步履行合同或终止合同。</w:t>
      </w:r>
    </w:p>
    <w:p>
      <w:pPr>
        <w:ind w:firstLine="419"/>
        <w:jc w:val="both"/>
      </w:pPr>
      <w:r>
        <w:rPr>
          <w:b/>
          <w:color w:val="000000"/>
          <w:sz w:val="21"/>
        </w:rPr>
        <w:t>十一、保密条款</w:t>
      </w:r>
    </w:p>
    <w:p>
      <w:pPr>
        <w:ind w:firstLine="365"/>
        <w:jc w:val="both"/>
      </w:pPr>
      <w:r>
        <w:rPr>
          <w:color w:val="000000"/>
          <w:sz w:val="21"/>
        </w:rPr>
        <w:t>1.</w:t>
      </w:r>
      <w:r>
        <w:rPr>
          <w:color w:val="000000"/>
          <w:sz w:val="21"/>
        </w:rPr>
        <w:t>任何一方对其获知的本合同涉及的所有有形、无形的信息及资料（包括但不限于甲乙双方的往来书面文字文件、电子邮件及信息、软盘资料等）中另一方的商业秘密或国家秘密负有保密义务。</w:t>
      </w:r>
    </w:p>
    <w:p>
      <w:pPr>
        <w:ind w:firstLine="365"/>
        <w:jc w:val="both"/>
      </w:pPr>
      <w:r>
        <w:rPr>
          <w:color w:val="000000"/>
          <w:sz w:val="21"/>
        </w:rPr>
        <w:t>2.</w:t>
      </w:r>
      <w:r>
        <w:rPr>
          <w:color w:val="000000"/>
          <w:sz w:val="21"/>
        </w:rPr>
        <w:t>除非法律、法规另有规定或得到本合同之另一方的书面许可，任何一方不得向第三人泄露前款规定的商业秘密或国家秘密。保密期限自任何一方获知该商业秘密或国家秘密之日起至本条规定的秘密成为公众信息之日止。</w:t>
      </w:r>
    </w:p>
    <w:p>
      <w:pPr>
        <w:ind w:firstLine="419"/>
        <w:jc w:val="both"/>
      </w:pPr>
      <w:r>
        <w:rPr>
          <w:b/>
          <w:color w:val="000000"/>
          <w:sz w:val="21"/>
        </w:rPr>
        <w:t>十二、争议的解决</w:t>
      </w:r>
    </w:p>
    <w:p>
      <w:pPr>
        <w:ind w:firstLine="365"/>
        <w:jc w:val="both"/>
      </w:pPr>
      <w:r>
        <w:rPr>
          <w:color w:val="000000"/>
          <w:sz w:val="21"/>
        </w:rPr>
        <w:t>1.</w:t>
      </w:r>
      <w:r>
        <w:rPr>
          <w:color w:val="000000"/>
          <w:sz w:val="21"/>
        </w:rPr>
        <w:t>在执行本合同中发生的与本合同有关的争端，甲乙双方应通过友好协商解决，经协商在30日内不能达成协议时，任一方均有权向广州市增城区人民法院起诉。</w:t>
      </w:r>
    </w:p>
    <w:p>
      <w:pPr>
        <w:ind w:firstLine="419"/>
        <w:jc w:val="both"/>
      </w:pPr>
      <w:r>
        <w:rPr>
          <w:b/>
          <w:color w:val="000000"/>
          <w:sz w:val="21"/>
        </w:rPr>
        <w:t>十三、权利的保留</w:t>
      </w:r>
    </w:p>
    <w:p>
      <w:pPr>
        <w:ind w:firstLine="365"/>
        <w:jc w:val="both"/>
      </w:pPr>
      <w:r>
        <w:rPr>
          <w:color w:val="000000"/>
          <w:sz w:val="21"/>
        </w:rPr>
        <w:t>1.</w:t>
      </w:r>
      <w:r>
        <w:rPr>
          <w:color w:val="000000"/>
          <w:sz w:val="21"/>
        </w:rPr>
        <w:t>任何一方没有行使其权利或没有就违约方的违约行为采取任何行动，不应被视为是对其权利的放弃或对追究其他各方违约责任权利的放弃。任何一方放弃针对违约方的某种权利，或放弃追究违约方的某种责任，不应视为对其他权利或追究其他责任的放弃。</w:t>
      </w:r>
    </w:p>
    <w:p>
      <w:pPr>
        <w:ind w:firstLine="365"/>
        <w:jc w:val="both"/>
      </w:pPr>
      <w:r>
        <w:rPr>
          <w:color w:val="000000"/>
          <w:sz w:val="21"/>
        </w:rPr>
        <w:t>2.</w:t>
      </w:r>
      <w:r>
        <w:rPr>
          <w:color w:val="000000"/>
          <w:sz w:val="21"/>
        </w:rPr>
        <w:t>如果本合同部分条款依据现行有关法律、法规被确认为无效或无法履行，且该部分无效或无法履行的条款不影响本合同其他条款效力的，本合同其他条款继续有效；同时，合同各方应根据现行有关法律、法规对该部分无效或无法履行的条款进行调整，使其依法成为有效条款，并尽量符合本合同所体现的原则和精神。</w:t>
      </w:r>
    </w:p>
    <w:p>
      <w:pPr>
        <w:ind w:firstLine="419"/>
        <w:jc w:val="both"/>
      </w:pPr>
      <w:r>
        <w:rPr>
          <w:b/>
          <w:color w:val="000000"/>
          <w:sz w:val="21"/>
        </w:rPr>
        <w:t>十四、合同的解释</w:t>
      </w:r>
    </w:p>
    <w:p>
      <w:pPr>
        <w:ind w:firstLine="365"/>
        <w:jc w:val="both"/>
      </w:pPr>
      <w:r>
        <w:rPr>
          <w:color w:val="000000"/>
          <w:sz w:val="21"/>
        </w:rPr>
        <w:t>1.</w:t>
      </w:r>
      <w:r>
        <w:rPr>
          <w:color w:val="000000"/>
          <w:sz w:val="21"/>
        </w:rPr>
        <w:t>任何一方对本合同及其附件的解释均应遵循诚实信用原则，依照本合同签订时有效的中华人民共和国的法律、法规以及人们通常的理解进行。</w:t>
      </w:r>
    </w:p>
    <w:p>
      <w:pPr>
        <w:ind w:firstLine="365"/>
        <w:jc w:val="both"/>
      </w:pPr>
      <w:r>
        <w:rPr>
          <w:color w:val="000000"/>
          <w:sz w:val="21"/>
        </w:rPr>
        <w:t>2.</w:t>
      </w:r>
      <w:r>
        <w:rPr>
          <w:color w:val="000000"/>
          <w:sz w:val="21"/>
        </w:rPr>
        <w:t>本合同标题仅供查阅方便，并非对本合同的诠释或解释，本合同中以日表述的时间期限均指公历日。对本合同的任何解释均应以书面做出。</w:t>
      </w:r>
    </w:p>
    <w:p>
      <w:pPr>
        <w:ind w:firstLine="419"/>
        <w:jc w:val="both"/>
      </w:pPr>
      <w:r>
        <w:rPr>
          <w:b/>
          <w:color w:val="000000"/>
          <w:sz w:val="21"/>
        </w:rPr>
        <w:t>十五、合同修改</w:t>
      </w:r>
    </w:p>
    <w:p>
      <w:pPr>
        <w:ind w:firstLine="365"/>
        <w:jc w:val="both"/>
      </w:pPr>
      <w:r>
        <w:rPr>
          <w:color w:val="000000"/>
          <w:sz w:val="21"/>
        </w:rPr>
        <w:t>对于本合同的未尽事宜，需进行修改、补充或完善的，甲乙双方必须就所修改的内容签订书面的合同修改书，作为本合同的补充协议，补充协议与本合同具有同等法律效力。</w:t>
      </w:r>
    </w:p>
    <w:p>
      <w:pPr>
        <w:ind w:firstLine="365"/>
        <w:jc w:val="both"/>
      </w:pPr>
      <w:r>
        <w:rPr>
          <w:color w:val="000000"/>
          <w:sz w:val="21"/>
        </w:rPr>
        <w:t>在本合同履行期间，因中国法律、法规、政策的变化致使本合同的部分条款相冲突、无效或失去可强制执行效力时，甲乙双方应尽快修改本合同中相冲突或无效或失去可强制执行效力的条款。</w:t>
      </w:r>
    </w:p>
    <w:p>
      <w:pPr>
        <w:ind w:firstLine="419"/>
        <w:jc w:val="both"/>
      </w:pPr>
      <w:r>
        <w:rPr>
          <w:b/>
          <w:color w:val="000000"/>
          <w:sz w:val="21"/>
        </w:rPr>
        <w:t>十六、合同的终止</w:t>
      </w:r>
    </w:p>
    <w:p>
      <w:pPr>
        <w:ind w:firstLine="365"/>
        <w:jc w:val="both"/>
      </w:pPr>
      <w:r>
        <w:rPr>
          <w:color w:val="000000"/>
          <w:sz w:val="21"/>
        </w:rPr>
        <w:t>1.</w:t>
      </w:r>
      <w:r>
        <w:rPr>
          <w:color w:val="000000"/>
          <w:sz w:val="21"/>
        </w:rPr>
        <w:t>在合同期内任何一方不得擅自终止合同，否则应负担所造成的一切损失。如一方因故需终止合同，必须提前1个月书面通知另一方，经双方达成一致意见后，方可终止。</w:t>
      </w:r>
    </w:p>
    <w:p>
      <w:pPr>
        <w:ind w:firstLine="365"/>
        <w:jc w:val="both"/>
      </w:pPr>
      <w:r>
        <w:rPr>
          <w:color w:val="000000"/>
          <w:sz w:val="21"/>
        </w:rPr>
        <w:t>2.</w:t>
      </w:r>
      <w:r>
        <w:rPr>
          <w:color w:val="000000"/>
          <w:sz w:val="21"/>
        </w:rPr>
        <w:t>本合同正常履行完毕、甲乙双方协商同意终止合同、因不可抗力导致本合同无法履行或履行不必要时协议自行终止。</w:t>
      </w:r>
    </w:p>
    <w:p>
      <w:pPr>
        <w:ind w:firstLine="365"/>
        <w:jc w:val="both"/>
      </w:pPr>
      <w:r>
        <w:rPr>
          <w:color w:val="000000"/>
          <w:sz w:val="21"/>
        </w:rPr>
        <w:t>3.</w:t>
      </w:r>
      <w:r>
        <w:rPr>
          <w:color w:val="000000"/>
          <w:sz w:val="21"/>
        </w:rPr>
        <w:t>一方不履行合同条款，协商又不能解决的，赔偿对方损失后，协议终止。</w:t>
      </w:r>
    </w:p>
    <w:p>
      <w:pPr>
        <w:ind w:firstLine="419"/>
        <w:jc w:val="both"/>
      </w:pPr>
      <w:r>
        <w:rPr>
          <w:b/>
          <w:color w:val="000000"/>
          <w:sz w:val="21"/>
        </w:rPr>
        <w:t>十七、合同生效</w:t>
      </w:r>
    </w:p>
    <w:p>
      <w:pPr>
        <w:ind w:firstLine="365"/>
        <w:jc w:val="both"/>
      </w:pPr>
      <w:r>
        <w:rPr>
          <w:color w:val="000000"/>
          <w:sz w:val="21"/>
        </w:rPr>
        <w:t>1.</w:t>
      </w:r>
      <w:r>
        <w:rPr>
          <w:color w:val="000000"/>
          <w:sz w:val="21"/>
        </w:rPr>
        <w:t>本合同经甲乙双方签字盖章即开始生效。</w:t>
      </w:r>
    </w:p>
    <w:p>
      <w:pPr>
        <w:ind w:firstLine="365"/>
        <w:jc w:val="both"/>
      </w:pPr>
      <w:r>
        <w:rPr>
          <w:color w:val="000000"/>
          <w:sz w:val="21"/>
        </w:rPr>
        <w:t>2.</w:t>
      </w:r>
      <w:r>
        <w:rPr>
          <w:color w:val="000000"/>
          <w:sz w:val="21"/>
        </w:rPr>
        <w:t>本合同中的附件均为本合同不可分割的部分，与本合同具有同等的法律效力。</w:t>
      </w:r>
    </w:p>
    <w:p>
      <w:pPr>
        <w:jc w:val="both"/>
      </w:pPr>
      <w:r>
        <w:rPr>
          <w:color w:val="000000"/>
          <w:sz w:val="21"/>
        </w:rPr>
        <w:t>3.</w:t>
      </w:r>
      <w:r>
        <w:rPr>
          <w:color w:val="000000"/>
          <w:sz w:val="21"/>
        </w:rPr>
        <w:t>本合同正本一式四份，甲乙双方各执两份，每份正本具有同等法律效力。</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440118-2022-06302</w:t>
      </w:r>
    </w:p>
    <w:p>
      <w:pPr>
        <w:jc w:val="center"/>
      </w:pPr>
      <w:r>
        <w:rPr>
          <w:b/>
          <w:sz w:val="24"/>
        </w:rPr>
        <w:t>采购项目编号：</w:t>
      </w:r>
      <w:r>
        <w:rPr>
          <w:b/>
          <w:sz w:val="24"/>
        </w:rPr>
        <w:t>GZGK22D233C0732C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广州市增城区石滩镇人民政府租用工作用车采购项目</w:t>
      </w:r>
      <w:r>
        <w:rPr>
          <w:u w:val="single"/>
        </w:rPr>
        <w:t>”</w:t>
      </w:r>
      <w:r>
        <w:rPr/>
        <w:t>项目的竞争性磋商[采购项目编号为：</w:t>
      </w:r>
      <w:r>
        <w:rPr>
          <w:u w:val="single"/>
        </w:rPr>
        <w:t>GZGK22D233C0732C</w:t>
      </w:r>
      <w:r>
        <w:rPr/>
        <w:t>]，我方愿参与响应。</w:t>
      </w:r>
    </w:p>
    <w:p>
      <w:pPr>
        <w:ind w:firstLine="480"/>
      </w:pPr>
      <w:r>
        <w:rPr/>
        <w:t>我方确认收到贵方提供的</w:t>
      </w:r>
      <w:r>
        <w:rPr>
          <w:u w:val="single"/>
        </w:rPr>
        <w:t>“</w:t>
      </w:r>
      <w:r>
        <w:rPr>
          <w:u w:val="single"/>
        </w:rPr>
        <w:t>广州市增城区石滩镇人民政府租用工作用车采购项目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广州市增城区石滩镇人民政府租用工作用车采购项目</w:t>
      </w:r>
      <w:r>
        <w:rPr/>
        <w:t>”项目采购[采购项目编号为</w:t>
      </w:r>
      <w:r>
        <w:rPr/>
        <w:t>GZGK22D233C0732C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广州市增城区石滩镇人民政府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广州市增城区石滩镇人民政府租用工作用车采购项目</w:t>
      </w:r>
      <w:r>
        <w:rPr/>
        <w:t>（采购项目编号：</w:t>
      </w:r>
      <w:r>
        <w:rPr/>
        <w:t>GZGK22D233C0732C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