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440001-2023-61756</w:t>
      </w:r>
    </w:p>
    <w:p>
      <w:pPr>
        <w:jc w:val="center"/>
      </w:pPr>
      <w:r>
        <w:rPr>
          <w:b/>
          <w:sz w:val="24"/>
        </w:rPr>
        <w:t>采购项目编号：</w:t>
      </w:r>
      <w:r>
        <w:rPr>
          <w:b/>
          <w:sz w:val="24"/>
        </w:rPr>
        <w:t>GZGK23P289A0961Z</w:t>
      </w:r>
    </w:p>
    <w:p>
      <w:pPr>
        <w:jc w:val="center"/>
      </w:pPr>
      <w:r>
        <w:rPr>
          <w:b/>
          <w:sz w:val="24"/>
        </w:rPr>
        <w:t>项目名称：</w:t>
      </w:r>
      <w:r>
        <w:rPr>
          <w:b/>
          <w:sz w:val="24"/>
        </w:rPr>
        <w:t>广东省科学院生态环境与土壤研究所液相色谱-四极杆静电场轨道阱高分辨质谱联用仪采购项目</w:t>
      </w:r>
    </w:p>
    <w:p>
      <w:pPr>
        <w:jc w:val="center"/>
      </w:pPr>
      <w:r>
        <w:rPr>
          <w:b/>
          <w:sz w:val="24"/>
        </w:rPr>
        <w:t>采购人：</w:t>
      </w:r>
      <w:r>
        <w:rPr>
          <w:b/>
          <w:sz w:val="24"/>
        </w:rPr>
        <w:t>广东省科学院生态环境与土壤研究所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广东省科学院生态环境与土壤研究所</w:t>
      </w:r>
      <w:r>
        <w:rPr/>
        <w:t>的委托，采用</w:t>
      </w:r>
      <w:r>
        <w:rPr/>
        <w:t>公开招标</w:t>
      </w:r>
      <w:r>
        <w:rPr/>
        <w:t>方式组织采购</w:t>
      </w:r>
      <w:r>
        <w:rPr/>
        <w:t>广东省科学院生态环境与土壤研究所液相色谱-四极杆静电场轨道阱高分辨质谱联用仪采购项目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广东省科学院生态环境与土壤研究所液相色谱-四极杆静电场轨道阱高分辨质谱联用仪采购项目</w:t>
      </w:r>
    </w:p>
    <w:p>
      <w:pPr>
        <w:ind w:firstLine="480"/>
      </w:pPr>
      <w:r>
        <w:rPr/>
        <w:t>采购计划编号：</w:t>
      </w:r>
      <w:r>
        <w:rPr/>
        <w:t>440001-2023-61756</w:t>
      </w:r>
    </w:p>
    <w:p>
      <w:pPr>
        <w:ind w:firstLine="480"/>
      </w:pPr>
      <w:r>
        <w:rPr/>
        <w:t>采购项目编号：</w:t>
      </w:r>
      <w:r>
        <w:rPr/>
        <w:t>GZGK23P289A0961Z</w:t>
      </w:r>
    </w:p>
    <w:p>
      <w:pPr>
        <w:ind w:firstLine="480"/>
      </w:pPr>
      <w:r>
        <w:rPr/>
        <w:t>采购方式：</w:t>
      </w:r>
      <w:r>
        <w:rPr/>
        <w:t>公开招标</w:t>
      </w:r>
    </w:p>
    <w:p>
      <w:pPr>
        <w:ind w:firstLine="480"/>
      </w:pPr>
      <w:r>
        <w:rPr/>
        <w:t>预算金额：</w:t>
      </w:r>
      <w:r>
        <w:rPr/>
        <w:t>5,700,000.00</w:t>
      </w:r>
      <w:r>
        <w:rPr/>
        <w:t>元</w:t>
      </w:r>
    </w:p>
    <w:p>
      <w:r>
        <w:rPr>
          <w:b/>
          <w:sz w:val="24"/>
        </w:rPr>
        <w:t>2.项目内容及需求情况（采购项目技术规格、参数及要求）</w:t>
      </w:r>
    </w:p>
    <w:p>
      <w:pPr>
        <w:ind w:firstLine="480"/>
      </w:pPr>
    </w:p>
    <w:p/>
    <w:p>
      <w:r>
        <w:rPr/>
        <w:t>采购包1(液相色谱-四极杆静电场轨道阱高分辨质谱联用仪):</w:t>
      </w:r>
    </w:p>
    <w:p>
      <w:r>
        <w:rPr/>
        <w:t>采购包预算金额：5,700,000.00元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质谱仪</w:t>
            </w:r>
          </w:p>
        </w:tc>
        <w:tc>
          <w:tcPr>
            <w:tcW w:type="dxa" w:w="2136"/>
          </w:tcPr>
          <w:p>
            <w:r>
              <w:rPr/>
              <w:t>液相色谱-四极杆静电场轨道阱高分辨质谱联用仪</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采购包1（液相色谱-四极杆静电场轨道阱高分辨质谱联用仪）：</w:t>
      </w:r>
      <w:r>
        <w:rPr/>
        <w:t>本采购包不属于专门面向中小企业采购的项目。</w:t>
      </w:r>
    </w:p>
    <w:p/>
    <w:p>
      <w:r>
        <w:rPr>
          <w:b/>
          <w:sz w:val="24"/>
        </w:rPr>
        <w:t>3.本项目特定的资格要求：</w:t>
      </w:r>
    </w:p>
    <w:p>
      <w:pPr>
        <w:ind w:firstLine="480"/>
      </w:pPr>
    </w:p>
    <w:p/>
    <w:p>
      <w:r>
        <w:rPr/>
        <w:t>采购包1（液相色谱-四极杆静电场轨道阱高分辨质谱联用仪）：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广东省科学院生态环境与土壤研究所</w:t>
      </w:r>
    </w:p>
    <w:p>
      <w:pPr>
        <w:ind w:firstLine="480"/>
      </w:pPr>
      <w:r>
        <w:rPr/>
        <w:t>地址：</w:t>
      </w:r>
      <w:r>
        <w:rPr/>
        <w:t>广州市天河区天源路808号</w:t>
      </w:r>
    </w:p>
    <w:p>
      <w:pPr>
        <w:ind w:firstLine="480"/>
      </w:pPr>
      <w:r>
        <w:rPr/>
        <w:t>联系方式：</w:t>
      </w:r>
      <w:r>
        <w:rPr/>
        <w:t>13392131860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020-31603842、020-87687030</w:t>
      </w:r>
    </w:p>
    <w:p>
      <w:r>
        <w:rPr>
          <w:b/>
          <w:sz w:val="24"/>
        </w:rPr>
        <w:t>3.项目联系方式</w:t>
      </w:r>
    </w:p>
    <w:p>
      <w:pPr>
        <w:ind w:firstLine="480"/>
      </w:pPr>
      <w:r>
        <w:rPr/>
        <w:t>项目联系人：</w:t>
      </w:r>
      <w:r>
        <w:rPr/>
        <w:t>李国晨、伍梁敏</w:t>
      </w:r>
    </w:p>
    <w:p>
      <w:pPr>
        <w:ind w:firstLine="480"/>
      </w:pPr>
      <w:r>
        <w:rPr/>
        <w:t>电话：</w:t>
      </w:r>
      <w:r>
        <w:rPr/>
        <w:t>020-31603842、020-87687030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GZGK23P289A0961Z</w:t>
      </w:r>
      <w:r>
        <w:br/>
      </w:r>
      <w:r>
        <w:rPr>
          <w:b/>
        </w:rPr>
        <w:t>（二）项目名称：</w:t>
      </w:r>
      <w:r>
        <w:rPr/>
        <w:t>广东省科学院生态环境与土壤研究所液相色谱-四极杆静电场轨道阱高分辨质谱联用仪采购项目</w:t>
      </w:r>
      <w:r>
        <w:br/>
      </w:r>
      <w:r>
        <w:rPr>
          <w:b/>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13、不允许中标供应商转包、分包项目内容。</w:t>
      </w:r>
      <w:r>
        <w:br/>
      </w:r>
      <w:r>
        <w:rPr/>
        <w:t>14、小型和微型企业、监狱企业和残疾人福利性单位必须按照招标文件第三章的内容提供相应的资料。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★17、投标人非生产厂家或制造商的，且所投产品为中华人民共和国境外提供的货物，须提供投标产品来源渠道合法的证明文件（原厂授权销售协议、代理协议、授权书、原产地证明等其中之一）。</w:t>
      </w:r>
      <w:r>
        <w:br/>
      </w:r>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一）采购人为科研单位，享受进口设备免税优惠政策，投标人如提供中华人民共和国关境外货物的报免进口环节税的价格（采购预算中单独注明为含税价格的除外）。在合同履行过程中，如遇国家政策变动，无法办理免税事宜的，该部分税费由采购人承担。</w:t>
      </w:r>
      <w:r>
        <w:br/>
      </w:r>
      <w:r>
        <w:rPr/>
        <w:t>（二）报价方式：</w:t>
      </w:r>
      <w:r>
        <w:br/>
      </w:r>
      <w:r>
        <w:rPr>
          <w:b/>
        </w:rPr>
        <w:t>1、中华人民共和国关境内提供的货物以人民币报价。</w:t>
      </w:r>
      <w:r>
        <w:br/>
      </w:r>
      <w:r>
        <w:rPr/>
        <w:t>价格包括：货款、设计、安装、随机零配件、标配工具、运输保险、调试、培训、质保期服务、各项税费及合同实施过程中不可预见费用等。</w:t>
      </w:r>
      <w:r>
        <w:br/>
      </w:r>
      <w:r>
        <w:rPr>
          <w:b/>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3）安装调试中的相关费用（包括安装调试过程中损耗、额外材料、设计费等）。</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b/>
        </w:rPr>
        <w:t>（六）实现的功能</w:t>
      </w:r>
      <w:r>
        <w:br/>
      </w:r>
      <w:r>
        <w:rPr/>
        <w:t>主要用于采购人硬件建设，满足开展相关科学研究要求。</w:t>
      </w:r>
      <w:r>
        <w:br/>
      </w:r>
      <w:r>
        <w:rPr>
          <w:b/>
        </w:rPr>
        <w:t>（七）需执行国家相关标准、行业标准、地方标准或者其他标准、规范。</w:t>
      </w:r>
    </w:p>
    <w:p/>
    <w:p>
      <w:pPr>
        <w:ind w:firstLine="480"/>
      </w:pPr>
    </w:p>
    <w:p/>
    <w:p>
      <w:r>
        <w:rPr/>
        <w:t>采购包1（液相色谱-四极杆静电场轨道阱高分辨质谱联用仪）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4个月内。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1期：支付比例30%,合同生效后5个工作日内,采购人向中标供应商支付合同总价的30%；</w:t>
            </w:r>
          </w:p>
          <w:p/>
          <w:p>
            <w:r>
              <w:rPr/>
              <w:t>2期：支付比例40%,全部货物到现场后15日内,采购人向中标供应商支付合同总价的40%；</w:t>
            </w:r>
          </w:p>
          <w:p/>
          <w:p>
            <w:r>
              <w:rPr/>
              <w:t>3期：支付比例30%,全部货物完成安装、调试并通过验收后15日内,采购人向中标供应商支付合同总价的30%。 注： （1）每笔款项支付前，中标供应商须提交与每笔款项金额相等的发票。 （2）支付方式：采用支票、银行汇付（含电汇）等形式。</w:t>
            </w:r>
          </w:p>
        </w:tc>
      </w:tr>
      <w:tr>
        <w:tc>
          <w:tcPr>
            <w:tcW w:type="dxa" w:w="4153"/>
          </w:tcPr>
          <w:p>
            <w:r>
              <w:rPr/>
              <w:t>验收要求</w:t>
            </w:r>
          </w:p>
        </w:tc>
        <w:tc>
          <w:tcPr>
            <w:tcW w:type="dxa" w:w="4153"/>
          </w:tcPr>
          <w:p/>
          <w:p/>
          <w:p/>
          <w:p>
            <w:r>
              <w:rPr/>
              <w:t>1期：1. 采购人按照采购合同规定的技术、服务、安全标准组织对中标供应商履约情况进行验收，并出具验收书。验收书应当包括每一项技术、服务、安全标准的履约情况。 2. 交付验收标准依次序对照适用标准为：①符合中华人民共和国国家安全质量标准、环保标准或行业标准；②符合项目采购文件和投标承诺中采购人认可的合理最佳配置、参数及各项要求；③货物来源国官方标准。 3. 货物为原厂商未启封全新包装，具有出厂合格证，序列号、包装箱号与出厂批号一致，并可追索查阅。所有随设备的附件必须齐全。 4. 中标供应商将货物的用户手册、保修手册、有关单证资料及备品备件、随机工具等交付给采购人，使用操作及安全须知等重要资料应附有中文说明。 5. 货物验收所发生的检验费用由中标供应商负担。 6. 设备到货并经中标供应商技术人员安装后，采购人有权委托中国有资格的单位对上述设备进行校准或检验，设备校准或检定所需的费用由中标供应商负担。 7. 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 当出现不合格产品时，中标供应商要无条件更换合格产品。除采购人认可，否则不接受任何形式的降格处理。 9.验收时间：自中标人提出验收申请之日起7日内组织验收。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（四）技术培训，1.仪器到货后5～10个工作日，维修工程师根据采购人需求上门安装、调试，并在现场为采购人提供仪器操作培训。 2.在仪器验收完成后，提供不少于两个培训名额，可参加仪器原厂举办的产品培训班，培训内容应包括但不限于仪器使用维护、工作原理、基本操作、方法建立及应用。</w:t>
            </w:r>
          </w:p>
          <w:p/>
          <w:p>
            <w:r>
              <w:rPr/>
              <w:t>（五）质量保证期，1. 质量保证期1年，需提供原厂售后服务承诺函。并提供终身维修服务。质量保证期内，所有服务及配件全部包含在报价中。“技术标准与要求”中另有要求的，以其中的要求为准。 2. 质量保证期自采购人和中标供应商代表在货物安装调试验收后的验收书上签字之日起计算。质量保证期内中标供应商对所供货物实行包修、包换、包退、包维护保养，质量保证期后设备维修配件更换只收取成本费用。 3. 质量保证期内，如设备或零部件因非人为因素出现故障而造成短期停用时，则质量保证期相应顺延。如停用时间累计超过60天则质量保证期重新计算。 4. 在质量保证期内，如货品非因采购人的人为原因而出现的问题由中标供应商负责保修、包换或包退，并承担修理、调换或退货的实际费用。 5. 质量保证期内，中标供应商负责对其提供的货物整机进行维修和系统维护，不再收取任何费用，但非中标供应商责任的人为因素、自然因素（如火灾、雷击等）造成的故障除外。 6. 质量保证期间，同一硬件一个月内连续2次出现同一故障，中标供应商须无偿更换同一档次货物。</w:t>
            </w:r>
          </w:p>
          <w:p/>
          <w:p>
            <w:r>
              <w:rPr/>
              <w:t>（六）售后服务，中标供应商应在接到故障通知后立即给予响应，4个小时内给予答复，24小时内提供上门服务，72小时内修复故障或给予解决方案。若在72小时内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质谱仪</w:t>
            </w:r>
          </w:p>
        </w:tc>
        <w:tc>
          <w:tcPr>
            <w:tcW w:type="dxa" w:w="831"/>
          </w:tcPr>
          <w:p>
            <w:pPr>
              <w:jc w:val="left"/>
            </w:pPr>
            <w:r>
              <w:rPr/>
              <w:t>液相色谱-四极杆静电场轨道阱高分辨质谱联用仪</w:t>
            </w:r>
          </w:p>
        </w:tc>
        <w:tc>
          <w:tcPr>
            <w:tcW w:type="dxa" w:w="831"/>
          </w:tcPr>
          <w:p>
            <w:pPr>
              <w:jc w:val="left"/>
            </w:pPr>
            <w:r>
              <w:rPr/>
              <w:t>套</w:t>
            </w:r>
          </w:p>
        </w:tc>
        <w:tc>
          <w:tcPr>
            <w:tcW w:type="dxa" w:w="831"/>
          </w:tcPr>
          <w:p>
            <w:pPr>
              <w:jc w:val="right"/>
            </w:pPr>
            <w:r>
              <w:rPr/>
              <w:t>1.00</w:t>
            </w:r>
          </w:p>
        </w:tc>
        <w:tc>
          <w:tcPr>
            <w:tcW w:type="dxa" w:w="831"/>
          </w:tcPr>
          <w:p>
            <w:pPr>
              <w:jc w:val="right"/>
            </w:pPr>
            <w:r>
              <w:rPr/>
              <w:t>5,700,000.00</w:t>
            </w:r>
          </w:p>
        </w:tc>
        <w:tc>
          <w:tcPr>
            <w:tcW w:type="dxa" w:w="831"/>
          </w:tcPr>
          <w:p>
            <w:pPr>
              <w:jc w:val="right"/>
            </w:pPr>
            <w:r>
              <w:rPr/>
              <w:t>5,700,000.00</w:t>
            </w:r>
          </w:p>
        </w:tc>
        <w:tc>
          <w:tcPr>
            <w:tcW w:type="dxa" w:w="831"/>
          </w:tcPr>
          <w:p>
            <w:r>
              <w:rPr/>
              <w:t>工业</w:t>
            </w:r>
          </w:p>
        </w:tc>
        <w:tc>
          <w:tcPr>
            <w:tcW w:type="dxa" w:w="831"/>
          </w:tcPr>
          <w:p>
            <w:r>
              <w:rPr/>
              <w:t>详见附表一</w:t>
            </w:r>
          </w:p>
        </w:tc>
      </w:tr>
    </w:tbl>
    <w:p/>
    <w:p>
      <w:r>
        <w:rPr>
          <w:b/>
        </w:rPr>
        <w:t>附表</w:t>
      </w:r>
      <w:r>
        <w:rPr>
          <w:b/>
        </w:rPr>
        <w:t>一</w:t>
      </w:r>
      <w:r>
        <w:rPr>
          <w:b/>
        </w:rPr>
        <w:t>：</w:t>
      </w:r>
      <w:r>
        <w:rPr>
          <w:b/>
        </w:rPr>
        <w:t>液相色谱-四极杆静电场轨道阱高分辨质谱联用仪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一、应用范围</w:t>
            </w:r>
          </w:p>
          <w:p>
            <w:pPr>
              <w:ind w:firstLine="420"/>
              <w:jc w:val="left"/>
            </w:pPr>
            <w:r>
              <w:rPr>
                <w:sz w:val="21"/>
              </w:rPr>
              <w:t>1.</w:t>
            </w:r>
            <w:r>
              <w:rPr>
                <w:sz w:val="21"/>
              </w:rPr>
              <w:t>要求设备可高通量、高精确度、全自动测量和鉴定多种复杂环境介质中的污染物。</w:t>
            </w:r>
          </w:p>
          <w:p>
            <w:pPr>
              <w:ind w:firstLine="420"/>
              <w:jc w:val="left"/>
            </w:pPr>
            <w:r>
              <w:rPr>
                <w:sz w:val="21"/>
              </w:rPr>
              <w:t>2.</w:t>
            </w:r>
            <w:r>
              <w:rPr>
                <w:sz w:val="21"/>
              </w:rPr>
              <w:t>要求设备可快速筛查和鉴定未知污染物，对未知污染物的化学结构进行分析，测量其环境暴露量和环境分布。</w:t>
            </w:r>
          </w:p>
          <w:p>
            <w:pPr>
              <w:ind w:firstLine="420"/>
              <w:jc w:val="left"/>
            </w:pPr>
            <w:r>
              <w:rPr>
                <w:sz w:val="21"/>
              </w:rPr>
              <w:t>3.</w:t>
            </w:r>
            <w:r>
              <w:rPr>
                <w:sz w:val="21"/>
              </w:rPr>
              <w:t>要求设备可对未知污染物或其他有毒有害污染物的暴露标志物、效应标志物等进行高分辨率解析。</w:t>
            </w:r>
          </w:p>
          <w:p>
            <w:pPr>
              <w:ind w:firstLine="420"/>
              <w:jc w:val="left"/>
            </w:pPr>
            <w:r>
              <w:rPr>
                <w:sz w:val="21"/>
              </w:rPr>
              <w:t>4.</w:t>
            </w:r>
            <w:r>
              <w:rPr>
                <w:sz w:val="21"/>
              </w:rPr>
              <w:t>要求设备可开展代谢组学、以及复杂化学物质结构解析的科学研究，研究及筛查环境污染物生物毒性以及疾病相关的功能性小分子代谢物（如氨基酸、糖、脂）从而实现污染物暴露的健康效应标志物的开发。设备可构建多介质新污染物及其健康效应标志物高通量检测分析系统，实现对环境-暴露-健康的全链条研究。</w:t>
            </w:r>
          </w:p>
          <w:p>
            <w:pPr>
              <w:ind w:firstLine="422"/>
              <w:jc w:val="left"/>
            </w:pPr>
            <w:r>
              <w:rPr>
                <w:b/>
                <w:sz w:val="21"/>
              </w:rPr>
              <w:t>二、技术参数</w:t>
            </w:r>
          </w:p>
          <w:p>
            <w:pPr>
              <w:ind w:firstLine="420"/>
              <w:jc w:val="left"/>
            </w:pPr>
            <w:r>
              <w:rPr>
                <w:sz w:val="21"/>
              </w:rPr>
              <w:t>1</w:t>
            </w:r>
            <w:r>
              <w:rPr>
                <w:sz w:val="21"/>
              </w:rPr>
              <w:t>．工作条件</w:t>
            </w:r>
          </w:p>
          <w:p>
            <w:pPr>
              <w:ind w:firstLine="420"/>
              <w:jc w:val="left"/>
            </w:pPr>
            <w:r>
              <w:rPr>
                <w:sz w:val="21"/>
              </w:rPr>
              <w:t>1.1</w:t>
            </w:r>
            <w:r>
              <w:rPr>
                <w:sz w:val="21"/>
              </w:rPr>
              <w:t>电源：230V±10%，AC(交流)，50/60Hz。</w:t>
            </w:r>
          </w:p>
          <w:p>
            <w:pPr>
              <w:ind w:firstLine="420"/>
              <w:jc w:val="left"/>
            </w:pPr>
            <w:r>
              <w:rPr>
                <w:sz w:val="21"/>
              </w:rPr>
              <w:t>1.2</w:t>
            </w:r>
            <w:r>
              <w:rPr>
                <w:sz w:val="21"/>
              </w:rPr>
              <w:t>环境温度：18-27℃。</w:t>
            </w:r>
          </w:p>
          <w:p>
            <w:pPr>
              <w:ind w:firstLine="420"/>
              <w:jc w:val="left"/>
            </w:pPr>
            <w:r>
              <w:rPr>
                <w:sz w:val="21"/>
              </w:rPr>
              <w:t>1.3</w:t>
            </w:r>
            <w:r>
              <w:rPr>
                <w:sz w:val="21"/>
              </w:rPr>
              <w:t>相对湿度：20-80%。</w:t>
            </w:r>
          </w:p>
          <w:p>
            <w:pPr>
              <w:ind w:firstLine="420"/>
              <w:jc w:val="left"/>
            </w:pPr>
            <w:r>
              <w:rPr>
                <w:sz w:val="21"/>
              </w:rPr>
              <w:t>1.4</w:t>
            </w:r>
            <w:r>
              <w:rPr>
                <w:sz w:val="21"/>
              </w:rPr>
              <w:t>气体需求：源区氮气，最大消耗量不大于20 L/min；高纯氮（&gt;99.999%），用于二级质谱碰撞气。</w:t>
            </w:r>
          </w:p>
          <w:p>
            <w:pPr>
              <w:ind w:firstLine="420"/>
              <w:jc w:val="left"/>
            </w:pPr>
            <w:r>
              <w:rPr>
                <w:sz w:val="21"/>
              </w:rPr>
              <w:t>2</w:t>
            </w:r>
            <w:r>
              <w:rPr>
                <w:sz w:val="21"/>
              </w:rPr>
              <w:t>．质谱部分</w:t>
            </w:r>
          </w:p>
          <w:p>
            <w:pPr>
              <w:ind w:firstLine="420"/>
              <w:jc w:val="left"/>
            </w:pPr>
            <w:r>
              <w:rPr>
                <w:sz w:val="21"/>
              </w:rPr>
              <w:t>2.1</w:t>
            </w:r>
            <w:r>
              <w:rPr>
                <w:sz w:val="21"/>
              </w:rPr>
              <w:t>离子源：</w:t>
            </w:r>
          </w:p>
          <w:p>
            <w:pPr>
              <w:ind w:firstLine="420"/>
              <w:jc w:val="left"/>
            </w:pPr>
            <w:r>
              <w:rPr>
                <w:sz w:val="21"/>
              </w:rPr>
              <w:t>▲2.1.1 独立的可加热电喷雾离子源（HESI源），集成式气路和电路设计，安装离子源时即可实现气路和电路自动连接识别，无需进行额外操作。</w:t>
            </w:r>
          </w:p>
          <w:p>
            <w:pPr>
              <w:ind w:firstLine="420"/>
              <w:jc w:val="left"/>
            </w:pPr>
            <w:r>
              <w:rPr>
                <w:sz w:val="21"/>
              </w:rPr>
              <w:t>▲2.1.2喷针采用喷雾设计，前后、左右、上下三位可调。底部设计有废液出口，雾化后废产物直接进入废液出口，确保离子源腔体洁净。</w:t>
            </w:r>
          </w:p>
          <w:p>
            <w:pPr>
              <w:ind w:firstLine="420"/>
              <w:jc w:val="left"/>
            </w:pPr>
            <w:r>
              <w:rPr>
                <w:sz w:val="21"/>
              </w:rPr>
              <w:t>2.1.3</w:t>
            </w:r>
            <w:r>
              <w:rPr>
                <w:sz w:val="21"/>
              </w:rPr>
              <w:t>具有雾化气、辅助雾化气和吹扫气设计，具有良好的抗污染能力。</w:t>
            </w:r>
          </w:p>
          <w:p>
            <w:pPr>
              <w:ind w:firstLine="420"/>
              <w:jc w:val="left"/>
            </w:pPr>
            <w:r>
              <w:rPr>
                <w:sz w:val="21"/>
              </w:rPr>
              <w:t>2.1.4</w:t>
            </w:r>
            <w:r>
              <w:rPr>
                <w:sz w:val="21"/>
              </w:rPr>
              <w:t>可加热ESI源，离子源加热温度最高≥550℃，不分流的情况下采用纯水作为溶剂，流速为1 L/min -1,000L/min；APCI流速为50L/min -1,000L/min。</w:t>
            </w:r>
          </w:p>
          <w:p>
            <w:pPr>
              <w:ind w:firstLine="420"/>
              <w:jc w:val="left"/>
            </w:pPr>
            <w:r>
              <w:rPr>
                <w:sz w:val="21"/>
              </w:rPr>
              <w:t>★2.1.5 ESI与APCI切换只需更换喷针，且整个过程无需拆卸离子源。</w:t>
            </w:r>
          </w:p>
          <w:p>
            <w:pPr>
              <w:ind w:firstLine="420"/>
              <w:jc w:val="left"/>
            </w:pPr>
            <w:r>
              <w:rPr>
                <w:sz w:val="21"/>
              </w:rPr>
              <w:t>2.1.6</w:t>
            </w:r>
            <w:r>
              <w:rPr>
                <w:sz w:val="21"/>
              </w:rPr>
              <w:t>全自动蠕动泵实现质谱直接进样，自动调谐和校正。</w:t>
            </w:r>
          </w:p>
          <w:p>
            <w:pPr>
              <w:ind w:firstLine="420"/>
              <w:jc w:val="left"/>
            </w:pPr>
            <w:r>
              <w:rPr>
                <w:sz w:val="21"/>
              </w:rPr>
              <w:t>2.1.7</w:t>
            </w:r>
            <w:r>
              <w:rPr>
                <w:sz w:val="21"/>
              </w:rPr>
              <w:t>质谱配置软件具备实时监控并反馈喷雾稳定性功能。</w:t>
            </w:r>
          </w:p>
          <w:p>
            <w:pPr>
              <w:ind w:firstLine="420"/>
              <w:jc w:val="left"/>
            </w:pPr>
            <w:r>
              <w:rPr>
                <w:sz w:val="21"/>
              </w:rPr>
              <w:t>2.1.8</w:t>
            </w:r>
            <w:r>
              <w:rPr>
                <w:sz w:val="21"/>
              </w:rPr>
              <w:t>离子源腔体具有观察窗口，可以直接观察喷雾效果以及离子源腔体洁净程度。</w:t>
            </w:r>
          </w:p>
          <w:p>
            <w:pPr>
              <w:ind w:firstLine="420"/>
              <w:jc w:val="left"/>
            </w:pPr>
            <w:r>
              <w:rPr>
                <w:sz w:val="21"/>
              </w:rPr>
              <w:t>★2.1.9 具有Easy-IC自动内标校正源，无需外接校正液可实现自动实时校正质量轴。</w:t>
            </w:r>
          </w:p>
          <w:p>
            <w:pPr>
              <w:ind w:firstLine="420"/>
              <w:jc w:val="left"/>
            </w:pPr>
            <w:r>
              <w:rPr>
                <w:sz w:val="21"/>
              </w:rPr>
              <w:t>2.2</w:t>
            </w:r>
            <w:r>
              <w:rPr>
                <w:sz w:val="21"/>
              </w:rPr>
              <w:t>离子传输系统</w:t>
            </w:r>
          </w:p>
          <w:p>
            <w:pPr>
              <w:ind w:firstLine="420"/>
              <w:jc w:val="left"/>
            </w:pPr>
            <w:r>
              <w:rPr>
                <w:sz w:val="21"/>
              </w:rPr>
              <w:t>▲2.2.1 具有离子传输管设计，保护分子涡轮泵。</w:t>
            </w:r>
          </w:p>
          <w:p>
            <w:pPr>
              <w:ind w:firstLine="420"/>
              <w:jc w:val="left"/>
            </w:pPr>
            <w:r>
              <w:rPr>
                <w:sz w:val="21"/>
              </w:rPr>
              <w:t>▲2.2.2 具有真空隔断阀设计，在移去、安装离子传输部件时，无需破坏真空。</w:t>
            </w:r>
          </w:p>
          <w:p>
            <w:pPr>
              <w:ind w:firstLine="420"/>
              <w:jc w:val="left"/>
            </w:pPr>
            <w:r>
              <w:rPr>
                <w:sz w:val="21"/>
              </w:rPr>
              <w:t>2.2.3</w:t>
            </w:r>
            <w:r>
              <w:rPr>
                <w:sz w:val="21"/>
              </w:rPr>
              <w:t>离子传输管独立加热，最高温度≥400℃。</w:t>
            </w:r>
          </w:p>
          <w:p>
            <w:pPr>
              <w:ind w:firstLine="420"/>
              <w:jc w:val="left"/>
            </w:pPr>
            <w:r>
              <w:rPr>
                <w:sz w:val="21"/>
              </w:rPr>
              <w:t>▲2.2.4 离子传输系统具有进行性间隔叠加环式离子透镜设计，能够捕获并有效聚焦离子流，同时尽量避免源内裂解。</w:t>
            </w:r>
          </w:p>
          <w:p>
            <w:pPr>
              <w:ind w:firstLine="420"/>
              <w:jc w:val="left"/>
            </w:pPr>
            <w:r>
              <w:rPr>
                <w:sz w:val="21"/>
              </w:rPr>
              <w:t>▲2.2.5带轴向场和过滤作用的双弯曲几何设计的主动离子束传输组件，可以阻挡中性粒子和高速分子团。</w:t>
            </w:r>
          </w:p>
          <w:p>
            <w:pPr>
              <w:ind w:firstLine="420"/>
              <w:jc w:val="left"/>
            </w:pPr>
            <w:r>
              <w:rPr>
                <w:sz w:val="21"/>
              </w:rPr>
              <w:t>★2.2.6 分段式双曲面四极杆，分辨率</w:t>
            </w:r>
            <w:r>
              <w:rPr>
                <w:sz w:val="21"/>
              </w:rPr>
              <w:t>≤</w:t>
            </w:r>
            <w:r>
              <w:rPr>
                <w:sz w:val="21"/>
              </w:rPr>
              <w:t>0.4 Da</w:t>
            </w:r>
            <w:r>
              <w:rPr>
                <w:sz w:val="21"/>
              </w:rPr>
              <w:t>；隔离窗口宽度从0.4 Da-1200Da范围内可调。</w:t>
            </w:r>
          </w:p>
          <w:p>
            <w:pPr>
              <w:ind w:firstLine="420"/>
              <w:jc w:val="left"/>
            </w:pPr>
            <w:r>
              <w:rPr>
                <w:sz w:val="21"/>
              </w:rPr>
              <w:t>▲2.2.7 多极杆离子碰撞室，能够高效捕集离子并对离子进行碎裂。</w:t>
            </w:r>
          </w:p>
          <w:p>
            <w:pPr>
              <w:ind w:firstLine="420"/>
              <w:jc w:val="left"/>
            </w:pPr>
            <w:r>
              <w:rPr>
                <w:sz w:val="21"/>
              </w:rPr>
              <w:t>2.3</w:t>
            </w:r>
            <w:r>
              <w:rPr>
                <w:sz w:val="21"/>
              </w:rPr>
              <w:t>质量分析器：</w:t>
            </w:r>
          </w:p>
          <w:p>
            <w:pPr>
              <w:ind w:firstLine="420"/>
              <w:jc w:val="left"/>
            </w:pPr>
            <w:r>
              <w:rPr>
                <w:sz w:val="21"/>
              </w:rPr>
              <w:t>★2.3.1仪器分辨率：≥220,000FWHM (m/z≤200)，≥6档可调。</w:t>
            </w:r>
          </w:p>
          <w:p>
            <w:pPr>
              <w:ind w:firstLine="420"/>
              <w:jc w:val="left"/>
            </w:pPr>
            <w:r>
              <w:rPr>
                <w:sz w:val="21"/>
              </w:rPr>
              <w:t>▲2.3.2 具有静电场轨道阱质量分析器，质量范围40-6000 m/z。</w:t>
            </w:r>
          </w:p>
          <w:p>
            <w:pPr>
              <w:ind w:firstLine="420"/>
              <w:jc w:val="left"/>
            </w:pPr>
            <w:r>
              <w:rPr>
                <w:sz w:val="21"/>
              </w:rPr>
              <w:t>★2.3.3质谱采集速率：最高22Hz；分辨率120,000 FWHM时，不低于3 Hz。</w:t>
            </w:r>
          </w:p>
          <w:p>
            <w:pPr>
              <w:ind w:firstLine="420"/>
              <w:jc w:val="left"/>
            </w:pPr>
            <w:r>
              <w:rPr>
                <w:sz w:val="21"/>
              </w:rPr>
              <w:t>★2.3.4 正负扫描模式切换速度：分辨率60,000 FWHM条件下，正负切换时间不超过0.7 s（相同扫描模式相邻两个扫描点的间隔不超过0.7 s）。</w:t>
            </w:r>
          </w:p>
          <w:p>
            <w:pPr>
              <w:ind w:firstLine="420"/>
              <w:jc w:val="left"/>
            </w:pPr>
            <w:r>
              <w:rPr>
                <w:sz w:val="21"/>
              </w:rPr>
              <w:t>▲2.3.5 在进行快速正负切换模式下连续运行2小时，质量轴的稳定性≤3ppm；即用1 ng/mL氯霉素和利血平混合溶液作为测试液，蠕动泵连续进样2小时，正负切换扫描同时监测氯霉素和利血平分子离子峰，氯霉素和利血平质量偏差均不超过3ppm。</w:t>
            </w:r>
          </w:p>
          <w:p>
            <w:pPr>
              <w:ind w:firstLine="420"/>
              <w:jc w:val="left"/>
            </w:pPr>
            <w:r>
              <w:rPr>
                <w:sz w:val="21"/>
              </w:rPr>
              <w:t>2.3.6</w:t>
            </w:r>
            <w:r>
              <w:rPr>
                <w:sz w:val="21"/>
              </w:rPr>
              <w:t>灵敏度</w:t>
            </w:r>
          </w:p>
          <w:p>
            <w:pPr>
              <w:ind w:firstLine="420"/>
              <w:jc w:val="left"/>
            </w:pPr>
            <w:r>
              <w:rPr>
                <w:sz w:val="21"/>
              </w:rPr>
              <w:t>2.3.6.1 MS/MS</w:t>
            </w:r>
            <w:r>
              <w:rPr>
                <w:sz w:val="21"/>
              </w:rPr>
              <w:t>灵敏度：200 fg 利血平进样，S/N 100:1。</w:t>
            </w:r>
          </w:p>
          <w:p>
            <w:pPr>
              <w:ind w:firstLine="420"/>
              <w:jc w:val="left"/>
            </w:pPr>
            <w:r>
              <w:rPr>
                <w:sz w:val="21"/>
              </w:rPr>
              <w:t>2.3.6.2</w:t>
            </w:r>
            <w:r>
              <w:rPr>
                <w:sz w:val="21"/>
              </w:rPr>
              <w:t>选择离子扫描tSIM灵敏度：200 fg 利血平进样，S/N 250:1。</w:t>
            </w:r>
          </w:p>
          <w:p>
            <w:pPr>
              <w:ind w:firstLine="420"/>
              <w:jc w:val="left"/>
            </w:pPr>
            <w:r>
              <w:rPr>
                <w:sz w:val="21"/>
              </w:rPr>
              <w:t>▲2.3.6.3 采用利血平标品100fg进样，ESI+模式下，分辨率分别为60,000和120,000时，其他仪器参数维持不变的前提下，利血平分子离子峰的峰面积值相差不超过10%。</w:t>
            </w:r>
          </w:p>
          <w:p>
            <w:pPr>
              <w:ind w:firstLine="420"/>
              <w:jc w:val="left"/>
            </w:pPr>
            <w:r>
              <w:rPr>
                <w:sz w:val="21"/>
              </w:rPr>
              <w:t>2.3.7</w:t>
            </w:r>
            <w:r>
              <w:rPr>
                <w:sz w:val="21"/>
              </w:rPr>
              <w:t xml:space="preserve">扫描模式 </w:t>
            </w:r>
          </w:p>
          <w:p>
            <w:pPr>
              <w:ind w:firstLine="420"/>
              <w:jc w:val="left"/>
            </w:pPr>
            <w:r>
              <w:rPr>
                <w:sz w:val="21"/>
              </w:rPr>
              <w:t>2.3.7.1</w:t>
            </w:r>
            <w:r>
              <w:rPr>
                <w:sz w:val="21"/>
              </w:rPr>
              <w:t>高分辨全扫描MS和MS/MS 。</w:t>
            </w:r>
          </w:p>
          <w:p>
            <w:pPr>
              <w:ind w:firstLine="420"/>
              <w:jc w:val="left"/>
            </w:pPr>
            <w:r>
              <w:rPr>
                <w:sz w:val="21"/>
              </w:rPr>
              <w:t>2.3.7.2</w:t>
            </w:r>
            <w:r>
              <w:rPr>
                <w:sz w:val="21"/>
              </w:rPr>
              <w:t>高分辨选择离子扫描tSIM 。</w:t>
            </w:r>
          </w:p>
          <w:p>
            <w:pPr>
              <w:ind w:firstLine="420"/>
              <w:jc w:val="left"/>
            </w:pPr>
            <w:r>
              <w:rPr>
                <w:sz w:val="21"/>
              </w:rPr>
              <w:t>2.3.7.3</w:t>
            </w:r>
            <w:r>
              <w:rPr>
                <w:sz w:val="21"/>
              </w:rPr>
              <w:t>高分辨全子离子碰撞碎裂扫描AIF。</w:t>
            </w:r>
          </w:p>
          <w:p>
            <w:pPr>
              <w:ind w:firstLine="420"/>
              <w:jc w:val="left"/>
            </w:pPr>
            <w:r>
              <w:rPr>
                <w:sz w:val="21"/>
              </w:rPr>
              <w:t>2.3.7.4</w:t>
            </w:r>
            <w:r>
              <w:rPr>
                <w:sz w:val="21"/>
              </w:rPr>
              <w:t>高分辨正负离子切换扫描。</w:t>
            </w:r>
          </w:p>
          <w:p>
            <w:pPr>
              <w:ind w:firstLine="420"/>
              <w:jc w:val="left"/>
            </w:pPr>
            <w:r>
              <w:rPr>
                <w:sz w:val="21"/>
              </w:rPr>
              <w:t>2.3.7.5</w:t>
            </w:r>
            <w:r>
              <w:rPr>
                <w:sz w:val="21"/>
              </w:rPr>
              <w:t>高分辨数据依赖子离子扫描FullMS-ddMS2。</w:t>
            </w:r>
          </w:p>
          <w:p>
            <w:pPr>
              <w:ind w:firstLine="420"/>
              <w:jc w:val="left"/>
            </w:pPr>
            <w:r>
              <w:rPr>
                <w:sz w:val="21"/>
              </w:rPr>
              <w:t>2.3.7.6</w:t>
            </w:r>
            <w:r>
              <w:rPr>
                <w:sz w:val="21"/>
              </w:rPr>
              <w:t>高分辨数据非依赖扫描DIA。</w:t>
            </w:r>
          </w:p>
          <w:p>
            <w:pPr>
              <w:ind w:firstLine="420"/>
              <w:jc w:val="left"/>
            </w:pPr>
            <w:r>
              <w:rPr>
                <w:sz w:val="21"/>
              </w:rPr>
              <w:t>2.3.7.7 AcquireX</w:t>
            </w:r>
            <w:r>
              <w:rPr>
                <w:sz w:val="21"/>
              </w:rPr>
              <w:t>数据采集流程，可自动更新一级和二级扫描的目标物列表和排除列表，实现样品的深度分析。</w:t>
            </w:r>
          </w:p>
          <w:p>
            <w:pPr>
              <w:ind w:firstLine="420"/>
              <w:jc w:val="left"/>
            </w:pPr>
            <w:r>
              <w:rPr>
                <w:sz w:val="21"/>
              </w:rPr>
              <w:t>▲2.3.8检测器: 无损检测器；质谱如果采用微通道板（MCP）或电子倍增器等消耗型检测器，需额外提供相应备用检测器至少3个。</w:t>
            </w:r>
          </w:p>
          <w:p>
            <w:pPr>
              <w:ind w:firstLine="420"/>
              <w:jc w:val="left"/>
            </w:pPr>
            <w:r>
              <w:rPr>
                <w:sz w:val="21"/>
              </w:rPr>
              <w:t>3.</w:t>
            </w:r>
            <w:r>
              <w:rPr>
                <w:sz w:val="21"/>
              </w:rPr>
              <w:t>超高压液相色谱部分</w:t>
            </w:r>
          </w:p>
          <w:p>
            <w:pPr>
              <w:ind w:firstLine="420"/>
              <w:jc w:val="left"/>
            </w:pPr>
            <w:r>
              <w:rPr>
                <w:sz w:val="21"/>
              </w:rPr>
              <w:t>3.1</w:t>
            </w:r>
            <w:r>
              <w:rPr>
                <w:sz w:val="21"/>
              </w:rPr>
              <w:t>液相色谱仪泵</w:t>
            </w:r>
          </w:p>
          <w:p>
            <w:pPr>
              <w:ind w:firstLine="420"/>
              <w:jc w:val="left"/>
            </w:pPr>
            <w:r>
              <w:rPr>
                <w:sz w:val="21"/>
              </w:rPr>
              <w:t>3.1.1</w:t>
            </w:r>
            <w:r>
              <w:rPr>
                <w:sz w:val="21"/>
              </w:rPr>
              <w:t>流量范围：0.001-8 mL/min，增量为 1 μL/min。</w:t>
            </w:r>
          </w:p>
          <w:p>
            <w:pPr>
              <w:ind w:firstLine="420"/>
              <w:jc w:val="left"/>
            </w:pPr>
            <w:r>
              <w:rPr>
                <w:sz w:val="21"/>
              </w:rPr>
              <w:t>3.1.2</w:t>
            </w:r>
            <w:r>
              <w:rPr>
                <w:sz w:val="21"/>
              </w:rPr>
              <w:t>压力范围：2-103 MPa。</w:t>
            </w:r>
          </w:p>
          <w:p>
            <w:pPr>
              <w:ind w:firstLine="420"/>
              <w:jc w:val="left"/>
            </w:pPr>
            <w:r>
              <w:rPr>
                <w:sz w:val="21"/>
              </w:rPr>
              <w:t>3.1.3</w:t>
            </w:r>
            <w:r>
              <w:rPr>
                <w:sz w:val="21"/>
              </w:rPr>
              <w:t>压缩性补偿：全自动，与流动相组成无关。</w:t>
            </w:r>
          </w:p>
          <w:p>
            <w:pPr>
              <w:ind w:firstLine="420"/>
              <w:jc w:val="left"/>
            </w:pPr>
            <w:r>
              <w:rPr>
                <w:sz w:val="21"/>
              </w:rPr>
              <w:t>3.1.4</w:t>
            </w:r>
            <w:r>
              <w:rPr>
                <w:sz w:val="21"/>
              </w:rPr>
              <w:t>流量准确度：±0.1%。</w:t>
            </w:r>
          </w:p>
          <w:p>
            <w:pPr>
              <w:ind w:firstLine="420"/>
              <w:jc w:val="left"/>
            </w:pPr>
            <w:r>
              <w:rPr>
                <w:sz w:val="21"/>
              </w:rPr>
              <w:t>3.1.5</w:t>
            </w:r>
            <w:r>
              <w:rPr>
                <w:sz w:val="21"/>
              </w:rPr>
              <w:t>流量精度：&lt;0.05% RSD。</w:t>
            </w:r>
          </w:p>
          <w:p>
            <w:pPr>
              <w:ind w:firstLine="420"/>
              <w:jc w:val="left"/>
            </w:pPr>
            <w:r>
              <w:rPr>
                <w:sz w:val="21"/>
              </w:rPr>
              <w:t>3.1.6</w:t>
            </w:r>
            <w:r>
              <w:rPr>
                <w:sz w:val="21"/>
              </w:rPr>
              <w:t>脉动：&lt;1% 或 &lt;0.2 MPa。</w:t>
            </w:r>
          </w:p>
          <w:p>
            <w:pPr>
              <w:ind w:firstLine="420"/>
              <w:jc w:val="left"/>
            </w:pPr>
            <w:r>
              <w:rPr>
                <w:sz w:val="21"/>
              </w:rPr>
              <w:t>3.1.7</w:t>
            </w:r>
            <w:r>
              <w:rPr>
                <w:sz w:val="21"/>
              </w:rPr>
              <w:t>比例准确度：满量程的 ±0.5%。</w:t>
            </w:r>
          </w:p>
          <w:p>
            <w:pPr>
              <w:ind w:firstLine="420"/>
              <w:jc w:val="left"/>
            </w:pPr>
            <w:r>
              <w:rPr>
                <w:sz w:val="21"/>
              </w:rPr>
              <w:t>3.1.8</w:t>
            </w:r>
            <w:r>
              <w:rPr>
                <w:sz w:val="21"/>
              </w:rPr>
              <w:t>比例精度：&lt;0.15% SD。</w:t>
            </w:r>
          </w:p>
          <w:p>
            <w:pPr>
              <w:ind w:firstLine="420"/>
              <w:jc w:val="left"/>
            </w:pPr>
            <w:r>
              <w:rPr>
                <w:sz w:val="21"/>
              </w:rPr>
              <w:t>3.2</w:t>
            </w:r>
            <w:r>
              <w:rPr>
                <w:sz w:val="21"/>
              </w:rPr>
              <w:t>自动进样器</w:t>
            </w:r>
          </w:p>
          <w:p>
            <w:pPr>
              <w:ind w:firstLine="420"/>
              <w:jc w:val="left"/>
            </w:pPr>
            <w:r>
              <w:rPr>
                <w:sz w:val="21"/>
              </w:rPr>
              <w:t>3.2.1</w:t>
            </w:r>
            <w:r>
              <w:rPr>
                <w:sz w:val="21"/>
              </w:rPr>
              <w:t>加样体积：0.01-25μl，增量0.01 μl。</w:t>
            </w:r>
          </w:p>
          <w:p>
            <w:pPr>
              <w:ind w:firstLine="420"/>
              <w:jc w:val="left"/>
            </w:pPr>
            <w:r>
              <w:rPr>
                <w:sz w:val="21"/>
              </w:rPr>
              <w:t>3.2.2</w:t>
            </w:r>
            <w:r>
              <w:rPr>
                <w:sz w:val="21"/>
              </w:rPr>
              <w:t>加样体积准确度：±0.5%。</w:t>
            </w:r>
          </w:p>
          <w:p>
            <w:pPr>
              <w:ind w:firstLine="420"/>
              <w:jc w:val="left"/>
            </w:pPr>
            <w:r>
              <w:rPr>
                <w:sz w:val="21"/>
              </w:rPr>
              <w:t>3.2.3</w:t>
            </w:r>
            <w:r>
              <w:rPr>
                <w:sz w:val="21"/>
              </w:rPr>
              <w:t>进样精度：&lt;0.25%RSD 。</w:t>
            </w:r>
          </w:p>
          <w:p>
            <w:pPr>
              <w:ind w:firstLine="420"/>
              <w:jc w:val="left"/>
            </w:pPr>
            <w:r>
              <w:rPr>
                <w:sz w:val="21"/>
              </w:rPr>
              <w:t>3.2.4</w:t>
            </w:r>
            <w:r>
              <w:rPr>
                <w:sz w:val="21"/>
              </w:rPr>
              <w:t>线性：相关系数&gt;0.99999。</w:t>
            </w:r>
          </w:p>
          <w:p>
            <w:pPr>
              <w:ind w:firstLine="420"/>
              <w:jc w:val="left"/>
            </w:pPr>
            <w:r>
              <w:rPr>
                <w:sz w:val="21"/>
              </w:rPr>
              <w:t>▲3.2.5交叉污染：&lt;0.0004% 。</w:t>
            </w:r>
          </w:p>
          <w:p>
            <w:pPr>
              <w:ind w:firstLine="420"/>
              <w:jc w:val="left"/>
            </w:pPr>
            <w:r>
              <w:rPr>
                <w:sz w:val="21"/>
              </w:rPr>
              <w:t>3.2.6</w:t>
            </w:r>
            <w:r>
              <w:rPr>
                <w:sz w:val="21"/>
              </w:rPr>
              <w:t>多种样品盘选择：2ml样品瓶≥200个。</w:t>
            </w:r>
          </w:p>
          <w:p>
            <w:pPr>
              <w:ind w:firstLine="420"/>
              <w:jc w:val="left"/>
            </w:pPr>
            <w:r>
              <w:rPr>
                <w:sz w:val="21"/>
              </w:rPr>
              <w:t>3.2.7</w:t>
            </w:r>
            <w:r>
              <w:rPr>
                <w:sz w:val="21"/>
              </w:rPr>
              <w:t>样品盘温度范围：4-40℃。</w:t>
            </w:r>
          </w:p>
          <w:p>
            <w:pPr>
              <w:ind w:firstLine="420"/>
              <w:jc w:val="left"/>
            </w:pPr>
            <w:r>
              <w:rPr>
                <w:sz w:val="21"/>
              </w:rPr>
              <w:t>3.2.8</w:t>
            </w:r>
            <w:r>
              <w:rPr>
                <w:sz w:val="21"/>
              </w:rPr>
              <w:t>样品盘温控精度：-2 ℃/+4 ℃。</w:t>
            </w:r>
          </w:p>
          <w:p>
            <w:pPr>
              <w:ind w:firstLine="420"/>
              <w:jc w:val="left"/>
            </w:pPr>
            <w:r>
              <w:rPr>
                <w:sz w:val="21"/>
              </w:rPr>
              <w:t>3.3</w:t>
            </w:r>
            <w:r>
              <w:rPr>
                <w:sz w:val="21"/>
              </w:rPr>
              <w:t>柱温箱</w:t>
            </w:r>
          </w:p>
          <w:p>
            <w:pPr>
              <w:ind w:firstLine="420"/>
              <w:jc w:val="left"/>
            </w:pPr>
            <w:r>
              <w:rPr>
                <w:sz w:val="21"/>
              </w:rPr>
              <w:t>3.3.1</w:t>
            </w:r>
            <w:r>
              <w:rPr>
                <w:sz w:val="21"/>
              </w:rPr>
              <w:t>半导体制热，密封腔设计，控温准确；内含湿度、气漏、温度在线检测。</w:t>
            </w:r>
          </w:p>
          <w:p>
            <w:pPr>
              <w:ind w:firstLine="420"/>
              <w:jc w:val="left"/>
            </w:pPr>
            <w:r>
              <w:rPr>
                <w:sz w:val="21"/>
              </w:rPr>
              <w:t>3.3.2</w:t>
            </w:r>
            <w:r>
              <w:rPr>
                <w:sz w:val="21"/>
              </w:rPr>
              <w:t>控温范围：5-85℃。</w:t>
            </w:r>
          </w:p>
          <w:p>
            <w:pPr>
              <w:ind w:firstLine="420"/>
              <w:jc w:val="left"/>
            </w:pPr>
            <w:r>
              <w:rPr>
                <w:sz w:val="21"/>
              </w:rPr>
              <w:t>3.3.3</w:t>
            </w:r>
            <w:r>
              <w:rPr>
                <w:sz w:val="21"/>
              </w:rPr>
              <w:t>温度精确度：±0.5℃。</w:t>
            </w:r>
          </w:p>
          <w:p>
            <w:pPr>
              <w:ind w:firstLine="420"/>
              <w:jc w:val="left"/>
            </w:pPr>
            <w:r>
              <w:rPr>
                <w:sz w:val="21"/>
              </w:rPr>
              <w:t>3.3.4</w:t>
            </w:r>
            <w:r>
              <w:rPr>
                <w:sz w:val="21"/>
              </w:rPr>
              <w:t>温控稳定性：±0.05℃。</w:t>
            </w:r>
          </w:p>
          <w:p>
            <w:pPr>
              <w:ind w:firstLine="420"/>
              <w:jc w:val="left"/>
            </w:pPr>
            <w:r>
              <w:rPr>
                <w:sz w:val="21"/>
              </w:rPr>
              <w:t>★3.4 要求质谱与液相为同一厂家，保证产品兼容性。</w:t>
            </w:r>
          </w:p>
          <w:p>
            <w:pPr>
              <w:ind w:firstLine="420"/>
              <w:jc w:val="left"/>
            </w:pPr>
            <w:r>
              <w:rPr>
                <w:sz w:val="21"/>
              </w:rPr>
              <w:t>4.</w:t>
            </w:r>
            <w:r>
              <w:rPr>
                <w:sz w:val="21"/>
              </w:rPr>
              <w:t>数据处理系统</w:t>
            </w:r>
          </w:p>
          <w:p>
            <w:pPr>
              <w:ind w:firstLine="420"/>
              <w:jc w:val="left"/>
            </w:pPr>
            <w:r>
              <w:rPr>
                <w:sz w:val="21"/>
              </w:rPr>
              <w:t>设备工作站（</w:t>
            </w:r>
            <w:r>
              <w:rPr>
                <w:sz w:val="21"/>
              </w:rPr>
              <w:t>包括但不限于质谱分析软件、可安装该分析软件的操作系统与办公软件</w:t>
            </w:r>
            <w:r>
              <w:rPr>
                <w:sz w:val="21"/>
              </w:rPr>
              <w:t>）一台，提供LC和MS/MS的全自动控制；简洁人性化的操作界面可以实现高效的仪器调谐和方法优化，方法优化还包括碰撞气压力以及碰撞能量的自动优化，并可利用优化后的参数快速便捷地建立分析方法；工作站及软件具备数据采集、数据处理、定性定量分析、建立数据库、谱库检索等功能；提供能够实现痕量分析的全套系统解决方案。</w:t>
            </w:r>
          </w:p>
          <w:p>
            <w:pPr>
              <w:ind w:firstLine="420"/>
              <w:jc w:val="left"/>
            </w:pPr>
            <w:r>
              <w:rPr>
                <w:sz w:val="21"/>
              </w:rPr>
              <w:t>5.</w:t>
            </w:r>
            <w:r>
              <w:rPr>
                <w:sz w:val="21"/>
              </w:rPr>
              <w:t>配置要求</w:t>
            </w:r>
          </w:p>
          <w:p>
            <w:pPr>
              <w:ind w:firstLine="420"/>
              <w:jc w:val="left"/>
            </w:pPr>
            <w:r>
              <w:rPr>
                <w:sz w:val="21"/>
              </w:rPr>
              <w:t>5.1</w:t>
            </w:r>
            <w:r>
              <w:rPr>
                <w:sz w:val="21"/>
              </w:rPr>
              <w:t>四极杆组合静电场轨道阱高分辨质谱主机，1台。</w:t>
            </w:r>
          </w:p>
          <w:p>
            <w:pPr>
              <w:ind w:firstLine="420"/>
              <w:jc w:val="left"/>
            </w:pPr>
            <w:r>
              <w:rPr>
                <w:sz w:val="21"/>
              </w:rPr>
              <w:t>5.2</w:t>
            </w:r>
            <w:r>
              <w:rPr>
                <w:sz w:val="21"/>
              </w:rPr>
              <w:t>包括但不限于校正液、调谐液、切换阀、测试液，各1包。</w:t>
            </w:r>
          </w:p>
          <w:p>
            <w:pPr>
              <w:ind w:firstLine="420"/>
              <w:jc w:val="left"/>
            </w:pPr>
            <w:r>
              <w:rPr>
                <w:sz w:val="21"/>
              </w:rPr>
              <w:t>5.3</w:t>
            </w:r>
            <w:r>
              <w:rPr>
                <w:sz w:val="21"/>
              </w:rPr>
              <w:t>金属喷针，2根。</w:t>
            </w:r>
          </w:p>
          <w:p>
            <w:pPr>
              <w:ind w:firstLine="420"/>
              <w:jc w:val="left"/>
            </w:pPr>
            <w:r>
              <w:rPr>
                <w:sz w:val="21"/>
              </w:rPr>
              <w:t>5.4</w:t>
            </w:r>
            <w:r>
              <w:rPr>
                <w:sz w:val="21"/>
              </w:rPr>
              <w:t>液相色谱仪主机（试剂架、二元超高压泵），1台。</w:t>
            </w:r>
          </w:p>
          <w:p>
            <w:pPr>
              <w:ind w:firstLine="420"/>
              <w:jc w:val="left"/>
            </w:pPr>
            <w:r>
              <w:rPr>
                <w:sz w:val="21"/>
              </w:rPr>
              <w:t>5.5</w:t>
            </w:r>
            <w:r>
              <w:rPr>
                <w:sz w:val="21"/>
              </w:rPr>
              <w:t>自动进样器，1台。</w:t>
            </w:r>
          </w:p>
          <w:p>
            <w:pPr>
              <w:ind w:firstLine="420"/>
              <w:jc w:val="left"/>
            </w:pPr>
            <w:r>
              <w:rPr>
                <w:sz w:val="21"/>
              </w:rPr>
              <w:t>5.6</w:t>
            </w:r>
            <w:r>
              <w:rPr>
                <w:sz w:val="21"/>
              </w:rPr>
              <w:t>柱温箱，1台。</w:t>
            </w:r>
          </w:p>
          <w:p>
            <w:pPr>
              <w:ind w:firstLine="420"/>
              <w:jc w:val="left"/>
            </w:pPr>
            <w:r>
              <w:rPr>
                <w:sz w:val="21"/>
              </w:rPr>
              <w:t>5.7</w:t>
            </w:r>
            <w:r>
              <w:rPr>
                <w:sz w:val="21"/>
              </w:rPr>
              <w:t>质谱连接套件，1套。</w:t>
            </w:r>
          </w:p>
          <w:p>
            <w:pPr>
              <w:ind w:firstLine="420"/>
              <w:jc w:val="left"/>
            </w:pPr>
            <w:r>
              <w:rPr>
                <w:sz w:val="21"/>
              </w:rPr>
              <w:t>5.8</w:t>
            </w:r>
            <w:r>
              <w:rPr>
                <w:sz w:val="21"/>
              </w:rPr>
              <w:t>在线混合器，1套。</w:t>
            </w:r>
          </w:p>
          <w:p>
            <w:pPr>
              <w:ind w:firstLine="420"/>
              <w:jc w:val="left"/>
            </w:pPr>
            <w:r>
              <w:rPr>
                <w:sz w:val="21"/>
              </w:rPr>
              <w:t>5.9</w:t>
            </w:r>
            <w:r>
              <w:rPr>
                <w:sz w:val="21"/>
              </w:rPr>
              <w:t>质谱操作软件，1套。</w:t>
            </w:r>
          </w:p>
          <w:p>
            <w:pPr>
              <w:ind w:firstLine="420"/>
              <w:jc w:val="left"/>
            </w:pPr>
            <w:r>
              <w:rPr>
                <w:sz w:val="21"/>
              </w:rPr>
              <w:t>5.10</w:t>
            </w:r>
            <w:r>
              <w:rPr>
                <w:sz w:val="21"/>
              </w:rPr>
              <w:t>高分辨定量软件，1套。</w:t>
            </w:r>
          </w:p>
          <w:p>
            <w:pPr>
              <w:ind w:firstLine="420"/>
              <w:jc w:val="left"/>
            </w:pPr>
            <w:r>
              <w:rPr>
                <w:sz w:val="21"/>
              </w:rPr>
              <w:t>5.11</w:t>
            </w:r>
            <w:r>
              <w:rPr>
                <w:sz w:val="21"/>
              </w:rPr>
              <w:t>各种数据库（农残、兽残、毒物、非法添加、真菌毒素、靶向代谢组学定量方法包），1套。</w:t>
            </w:r>
          </w:p>
          <w:p>
            <w:pPr>
              <w:ind w:firstLine="420"/>
              <w:jc w:val="left"/>
            </w:pPr>
            <w:r>
              <w:rPr/>
              <w:t xml:space="preserve"> </w:t>
            </w:r>
          </w:p>
          <w:p>
            <w:pPr>
              <w:ind w:firstLine="420"/>
              <w:jc w:val="left"/>
            </w:pPr>
            <w:r>
              <w:rPr/>
              <w:t xml:space="preserve"> </w:t>
            </w:r>
          </w:p>
          <w:p>
            <w:pPr>
              <w:ind w:firstLine="420"/>
              <w:jc w:val="left"/>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广东省科学院生态环境与土壤研究所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采购包1：保证金人民币：65,000.00元整。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￥64,600.00元（大写：人民币陆万肆仟陆佰元整）。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李国晨、伍梁敏</w:t>
      </w:r>
    </w:p>
    <w:p>
      <w:pPr>
        <w:ind w:firstLine="480"/>
      </w:pPr>
      <w:r>
        <w:rPr/>
        <w:t>电话：</w:t>
      </w:r>
      <w:r>
        <w:rPr/>
        <w:t>020-31603842、020-87687030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液相色谱-四极杆静电场轨道阱高分辨质谱联用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采购包1（液相色谱-四极杆静电场轨道阱高分辨质谱联用仪）：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采购包1（液相色谱-四极杆静电场轨道阱高分辨质谱联用仪）：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采购包1（液相色谱-四极杆静电场轨道阱高分辨质谱联用仪）：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采购包1(液相色谱-四极杆静电场轨道阱高分辨质谱联用仪):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“▲”条款响应程度 (24.0分)</w:t>
            </w:r>
          </w:p>
        </w:tc>
        <w:tc>
          <w:tcPr>
            <w:tcW w:type="dxa" w:w="5076"/>
          </w:tcPr>
          <w:p>
            <w:pPr>
              <w:jc w:val="left"/>
            </w:pPr>
            <w:r>
              <w:rPr/>
              <w:t>“技术参数和性能指标”中带“▲”条款（共12项）完全响应或有正偏离的，得24分，每出现一项不满足扣2分，最低扣至0分。 注：投标人须提供投标产品彩页或相应技术参数的厂家技术白皮书或使用说明书或质量认可材料或第三方机构出具的检测报告等作为技术证明文件，否则评标委员会有权视相应技术参数响应不符合招标要求(如厂家的产品使用说明书为英文版，需同时提供中文版)。不提供或证明文件不全的均不得分。</w:t>
            </w:r>
          </w:p>
        </w:tc>
      </w:tr>
      <w:tr>
        <w:tc>
          <w:tcPr>
            <w:tcW w:type="dxa" w:w="922"/>
            <w:gridSpan w:val="2"/>
            <w:vMerge/>
          </w:tcPr>
          <w:p/>
        </w:tc>
        <w:tc>
          <w:tcPr>
            <w:tcW w:type="dxa" w:w="2307"/>
          </w:tcPr>
          <w:p>
            <w:pPr>
              <w:jc w:val="left"/>
            </w:pPr>
            <w:r>
              <w:rPr/>
              <w:t>供货服务方案（一） (2.0分)</w:t>
            </w:r>
          </w:p>
        </w:tc>
        <w:tc>
          <w:tcPr>
            <w:tcW w:type="dxa" w:w="5076"/>
          </w:tcPr>
          <w:p>
            <w:pPr>
              <w:jc w:val="left"/>
            </w:pPr>
            <w:r>
              <w:rPr/>
              <w:t>评标委员会根据投标人提供的供货服务方案进行综合评价，方案应包括（投标文件中方案标题应以下列方案名称命名）： （1）响应时间； （2）交货期； （3）到货的保证措施； （4）应急保障方案。 注：提供全部内容得2分，每缺1项扣0.5分。</w:t>
            </w:r>
          </w:p>
        </w:tc>
      </w:tr>
      <w:tr>
        <w:tc>
          <w:tcPr>
            <w:tcW w:type="dxa" w:w="922"/>
            <w:gridSpan w:val="2"/>
            <w:vMerge/>
          </w:tcPr>
          <w:p/>
        </w:tc>
        <w:tc>
          <w:tcPr>
            <w:tcW w:type="dxa" w:w="2307"/>
          </w:tcPr>
          <w:p>
            <w:pPr>
              <w:jc w:val="left"/>
            </w:pPr>
            <w:r>
              <w:rPr/>
              <w:t>供货服务方案（二） (6.0分)</w:t>
            </w:r>
          </w:p>
        </w:tc>
        <w:tc>
          <w:tcPr>
            <w:tcW w:type="dxa" w:w="5076"/>
          </w:tcPr>
          <w:p>
            <w:pPr>
              <w:jc w:val="left"/>
            </w:pPr>
            <w:r>
              <w:rPr/>
              <w:t>评标委员会根据投标人提供供货服务方案（一）的详细内容进行综合评审： （1）供货服务方案对需求响应全面具体，能针对全部采购需求提出科学合理、可直接执行的实施方案，有效保障本项目实施，有利于实现服务效果，得6分； （2）供货服务方案对需求响应全面具体，只针对部分采购需求提出科学合理、具备一定执行性的实施方案，能基本保障本项目服务实施，基本满足服务效果，得3分； （3）供货服务方案对需求响应不全面，提出方案合理性不足、针对性不强或难以执行的，无法保障本项目服务实施，达不到服务效果，得1分； （4）不提供方案不得分。</w:t>
            </w:r>
          </w:p>
        </w:tc>
      </w:tr>
      <w:tr>
        <w:tc>
          <w:tcPr>
            <w:tcW w:type="dxa" w:w="922"/>
            <w:gridSpan w:val="2"/>
            <w:vMerge/>
          </w:tcPr>
          <w:p/>
        </w:tc>
        <w:tc>
          <w:tcPr>
            <w:tcW w:type="dxa" w:w="2307"/>
          </w:tcPr>
          <w:p>
            <w:pPr>
              <w:jc w:val="left"/>
            </w:pPr>
            <w:r>
              <w:rPr/>
              <w:t>产品安装调试、验收、培训计划、实施方案（一） (2.0分)</w:t>
            </w:r>
          </w:p>
        </w:tc>
        <w:tc>
          <w:tcPr>
            <w:tcW w:type="dxa" w:w="5076"/>
          </w:tcPr>
          <w:p>
            <w:pPr>
              <w:jc w:val="left"/>
            </w:pPr>
            <w:r>
              <w:rPr/>
              <w:t>评标委员会根据投标人提供的产品安装调试、验收、培训计划、实施方案进行综合评价，方案应包括（投标文件中方案标题应以下列方案名称命名）： （1）产品安装调试； （2）验收； （3）培训计划； （4）实施方案。 注：提供全部内容得2分，每缺1项扣0.5分。</w:t>
            </w:r>
          </w:p>
        </w:tc>
      </w:tr>
      <w:tr>
        <w:tc>
          <w:tcPr>
            <w:tcW w:type="dxa" w:w="922"/>
            <w:gridSpan w:val="2"/>
            <w:vMerge/>
          </w:tcPr>
          <w:p/>
        </w:tc>
        <w:tc>
          <w:tcPr>
            <w:tcW w:type="dxa" w:w="2307"/>
          </w:tcPr>
          <w:p>
            <w:pPr>
              <w:jc w:val="left"/>
            </w:pPr>
            <w:r>
              <w:rPr/>
              <w:t>产品安装调试、验收、培训计划、实施方案（二） (6.0分)</w:t>
            </w:r>
          </w:p>
        </w:tc>
        <w:tc>
          <w:tcPr>
            <w:tcW w:type="dxa" w:w="5076"/>
          </w:tcPr>
          <w:p>
            <w:pPr>
              <w:jc w:val="left"/>
            </w:pPr>
            <w:r>
              <w:rPr/>
              <w:t>评标委员会根据投标人提供产品安装调试、验收、培训计划、实施方案（一）的详细内容进行综合评审： （1）从产品安装调试、验收、培训计划、实施方案方面综合评审，满足项目实施要求的，能有效保障本项目实施，有利于实现服务效果的，得6分； （2）从产品安装调试、验收、培训计划、实施方案方面综合评审，方案存在瑕疵的，能基本保障本项目服务实施，基本满足服务效果的，得3分； （3）从产品安装调试、验收、培训计划、实施方案方面综合评审，方案存在不足或缺陷的，难以本项目服务实施或难以达到服务效果的，得1分； （4）不提供方案不得分。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评标委员会根据投标人提供的售后服务方案进行综合评价，方案应包括（投标文件中方案标题应以下列方案名称命名）： （1）售后服务承诺（包括质量保证期，售后服务网络的管理水平等）； （2）售后技术服务队伍资质。 注：提供全部内容得2分，每缺1项扣1分。</w:t>
            </w:r>
          </w:p>
        </w:tc>
      </w:tr>
      <w:tr>
        <w:tc>
          <w:tcPr>
            <w:tcW w:type="dxa" w:w="922"/>
            <w:gridSpan w:val="2"/>
            <w:vMerge/>
          </w:tcPr>
          <w:p/>
        </w:tc>
        <w:tc>
          <w:tcPr>
            <w:tcW w:type="dxa" w:w="2307"/>
          </w:tcPr>
          <w:p>
            <w:pPr>
              <w:jc w:val="left"/>
            </w:pPr>
            <w:r>
              <w:rPr/>
              <w:t>售后服务方案（二） (8.0分)</w:t>
            </w:r>
          </w:p>
        </w:tc>
        <w:tc>
          <w:tcPr>
            <w:tcW w:type="dxa" w:w="5076"/>
          </w:tcPr>
          <w:p>
            <w:pPr>
              <w:jc w:val="left"/>
            </w:pPr>
            <w:r>
              <w:rPr/>
              <w:t>评标委员会根据投标人提供售后服务方案（一）的详细内容进行综合评审： （1）售后服务方案对需求响应全面具体，针对实施难点及关键点全面剖析，售后服务计划详细完备并配备完善的保障人员，方案可直接全面执行的，有效保障本项目实施，有利于实现服务效果，得8分； （2）售后服务方案对需求响应全面具体，只针对实施的部分难点或部分关键点进行剖析，售后服务计划基本完善或者配备人员基本充足，方案具备一定执行性的，基本保障本项目服务实施，基本满足服务效果，得5分； （3）售后服务方案对需求响应不全面，对实施难点重点认识不清晰，售后服务计划不完善或者配备人员不足，或者方案难以执行的，无法保障本项目服务实施，达不到服务效果，得2分； （4）不提供方案不得分。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投标人2020年1月1日至今同类项目业绩，每提供一项合同得2分，最高得6分。 注：提供合同关键页复印件（须显示签订合同双方的单位名称、合同项目名称、采购内容、签订合同双方的落款盖章、签订日期）并加盖投标人公章，以合同签订时间为准，不提供或专家无法认定的均不得分。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（1）投标人具有有效的质量管理体系认证证书的得1分；  （2）投标人具有有效的环境管理体系认证证书的得1分；  （3）投标人具有有效的职业健康安全管理体系认证证书的得1分。 注：须提供证书复印件作为证明材料，不提供或专家无法认定的不得分。</w:t>
            </w:r>
          </w:p>
        </w:tc>
      </w:tr>
      <w:tr>
        <w:tc>
          <w:tcPr>
            <w:tcW w:type="dxa" w:w="922"/>
            <w:gridSpan w:val="2"/>
            <w:vMerge/>
          </w:tcPr>
          <w:p/>
        </w:tc>
        <w:tc>
          <w:tcPr>
            <w:tcW w:type="dxa" w:w="2307"/>
          </w:tcPr>
          <w:p>
            <w:pPr>
              <w:jc w:val="left"/>
            </w:pPr>
            <w:r>
              <w:rPr/>
              <w:t>质量保障措施或方案（一） (3.0分)</w:t>
            </w:r>
          </w:p>
        </w:tc>
        <w:tc>
          <w:tcPr>
            <w:tcW w:type="dxa" w:w="5076"/>
          </w:tcPr>
          <w:p>
            <w:pPr>
              <w:jc w:val="left"/>
            </w:pPr>
            <w:r>
              <w:rPr/>
              <w:t>评标委员会根据投标人提供的质量保障措施或方案进行综合评价，方案应包括（投标文件中方案标题应以下列方案名称命名）： （1）货物的来源； （2）货物的储存； （3）运输各环节的质量保障措施。 注：提供全部内容得3分，每缺1项扣1分。</w:t>
            </w:r>
          </w:p>
        </w:tc>
      </w:tr>
      <w:tr>
        <w:tc>
          <w:tcPr>
            <w:tcW w:type="dxa" w:w="922"/>
            <w:gridSpan w:val="2"/>
            <w:vMerge/>
          </w:tcPr>
          <w:p/>
        </w:tc>
        <w:tc>
          <w:tcPr>
            <w:tcW w:type="dxa" w:w="2307"/>
          </w:tcPr>
          <w:p>
            <w:pPr>
              <w:jc w:val="left"/>
            </w:pPr>
            <w:r>
              <w:rPr/>
              <w:t>质量保障措施或方案（二） (8.0分)</w:t>
            </w:r>
          </w:p>
        </w:tc>
        <w:tc>
          <w:tcPr>
            <w:tcW w:type="dxa" w:w="5076"/>
          </w:tcPr>
          <w:p>
            <w:pPr>
              <w:jc w:val="left"/>
            </w:pPr>
            <w:r>
              <w:rPr/>
              <w:t>评标委员会根据投标人提供质量保障措施及方案（一）的详细内容进行综合评审： （1）从货物的来源、储存、运输各环节的质量保障措施方面综合评审，满足项目实施要求的，能有效保障本项目实施，有利于实现服务效果的，得8分； （2）从货物的来源、储存、运输各环节的质量保障措施方面综合评审，方案存在瑕疵的，能基本保障本项目服务实施，基本满足服务效果的，得5分； （3）从货物的来源、储存、运输各环节的质量保障措施方面综合评审，方案存在不足或缺陷的，难以本项目服务实施或难以达到服务效果的，得2分； （4）不提供方案不得分。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满足招标文件要求且投标报价价格最低的投标报价为评标基准价。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注：合同具体事项须根据采购文件的约定及乙方投标文件的承诺执行；</w:t>
      </w:r>
    </w:p>
    <w:p>
      <w:pPr>
        <w:ind w:firstLine="211"/>
        <w:jc w:val="left"/>
      </w:pPr>
    </w:p>
    <w:p>
      <w:pPr>
        <w:jc w:val="center"/>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广东省科学院生态环境与土壤研究所液相色谱-四极杆静电场轨道阱高分辨质谱联用仪采购项目</w:t>
      </w:r>
      <w:r>
        <w:rPr>
          <w:sz w:val="21"/>
        </w:rPr>
        <w:t>招标文件（项目编号：GZGK23P289A0961Z）的要求，经双方协商，本着平等互利和诚实信用的原则，一致同意签订本合同。</w:t>
      </w:r>
    </w:p>
    <w:p>
      <w:r>
        <w:rPr/>
        <w:t xml:space="preserve"> 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tcPr>
          <w:p>
            <w:pPr>
              <w:jc w:val="center"/>
            </w:pPr>
            <w:r>
              <w:rPr>
                <w:sz w:val="21"/>
              </w:rPr>
              <w:t>序号</w:t>
            </w:r>
          </w:p>
        </w:tc>
        <w:tc>
          <w:tcPr>
            <w:tcW w:type="dxa" w:w="789"/>
            <w:tcBorders>
              <w:top w:val="single" w:color="000000" w:sz="4"/>
              <w:left w:val="none" w:color="000000" w:sz="4"/>
              <w:bottom w:val="single" w:color="000000" w:sz="4"/>
              <w:right w:val="single" w:color="000000" w:sz="4"/>
            </w:tcBorders>
          </w:tcPr>
          <w:p>
            <w:pPr>
              <w:jc w:val="center"/>
            </w:pPr>
            <w:r>
              <w:rPr>
                <w:sz w:val="21"/>
              </w:rPr>
              <w:t>标的名称</w:t>
            </w:r>
          </w:p>
        </w:tc>
        <w:tc>
          <w:tcPr>
            <w:tcW w:type="dxa" w:w="752"/>
            <w:tcBorders>
              <w:top w:val="single" w:color="000000" w:sz="4"/>
              <w:left w:val="none" w:color="000000" w:sz="4"/>
              <w:bottom w:val="single" w:color="000000" w:sz="4"/>
              <w:right w:val="single" w:color="000000" w:sz="4"/>
            </w:tcBorders>
          </w:tcPr>
          <w:p>
            <w:pPr>
              <w:jc w:val="center"/>
            </w:pPr>
            <w:r>
              <w:rPr>
                <w:sz w:val="21"/>
              </w:rPr>
              <w:t>品目编码</w:t>
            </w:r>
          </w:p>
        </w:tc>
        <w:tc>
          <w:tcPr>
            <w:tcW w:type="dxa" w:w="752"/>
            <w:tcBorders>
              <w:top w:val="single" w:color="000000" w:sz="4"/>
              <w:left w:val="none" w:color="000000" w:sz="4"/>
              <w:bottom w:val="single" w:color="000000" w:sz="4"/>
              <w:right w:val="single" w:color="000000" w:sz="4"/>
            </w:tcBorders>
          </w:tcPr>
          <w:p>
            <w:pPr>
              <w:jc w:val="center"/>
            </w:pPr>
            <w:r>
              <w:rPr>
                <w:sz w:val="21"/>
              </w:rPr>
              <w:t>技术要求</w:t>
            </w:r>
          </w:p>
        </w:tc>
        <w:tc>
          <w:tcPr>
            <w:tcW w:type="dxa" w:w="752"/>
            <w:tcBorders>
              <w:top w:val="single" w:color="000000" w:sz="4"/>
              <w:left w:val="none" w:color="000000" w:sz="4"/>
              <w:bottom w:val="single" w:color="000000" w:sz="4"/>
              <w:right w:val="single" w:color="000000" w:sz="4"/>
            </w:tcBorders>
          </w:tcPr>
          <w:p>
            <w:pPr>
              <w:jc w:val="center"/>
            </w:pPr>
            <w:r>
              <w:rPr>
                <w:sz w:val="21"/>
              </w:rPr>
              <w:t>是否进口</w:t>
            </w:r>
          </w:p>
        </w:tc>
        <w:tc>
          <w:tcPr>
            <w:tcW w:type="dxa" w:w="752"/>
            <w:tcBorders>
              <w:top w:val="single" w:color="000000" w:sz="4"/>
              <w:left w:val="none" w:color="000000" w:sz="4"/>
              <w:bottom w:val="single" w:color="000000" w:sz="4"/>
              <w:right w:val="single" w:color="000000" w:sz="4"/>
            </w:tcBorders>
          </w:tcPr>
          <w:p>
            <w:pPr>
              <w:jc w:val="center"/>
            </w:pPr>
            <w:r>
              <w:rPr>
                <w:sz w:val="21"/>
              </w:rPr>
              <w:t>品牌</w:t>
            </w:r>
          </w:p>
        </w:tc>
        <w:tc>
          <w:tcPr>
            <w:tcW w:type="dxa" w:w="752"/>
            <w:tcBorders>
              <w:top w:val="single" w:color="000000" w:sz="4"/>
              <w:left w:val="none" w:color="000000" w:sz="4"/>
              <w:bottom w:val="single" w:color="000000" w:sz="4"/>
              <w:right w:val="single" w:color="000000" w:sz="4"/>
            </w:tcBorders>
          </w:tcPr>
          <w:p>
            <w:pPr>
              <w:jc w:val="center"/>
            </w:pPr>
            <w:r>
              <w:rPr>
                <w:sz w:val="21"/>
              </w:rPr>
              <w:t>规格参数</w:t>
            </w:r>
          </w:p>
        </w:tc>
        <w:tc>
          <w:tcPr>
            <w:tcW w:type="dxa" w:w="752"/>
            <w:tcBorders>
              <w:top w:val="single" w:color="000000" w:sz="4"/>
              <w:left w:val="none" w:color="000000" w:sz="4"/>
              <w:bottom w:val="single" w:color="000000" w:sz="4"/>
              <w:right w:val="single" w:color="000000" w:sz="4"/>
            </w:tcBorders>
          </w:tcPr>
          <w:p>
            <w:pPr>
              <w:jc w:val="center"/>
            </w:pPr>
            <w:r>
              <w:rPr>
                <w:sz w:val="21"/>
              </w:rPr>
              <w:t>采购数量</w:t>
            </w:r>
          </w:p>
        </w:tc>
        <w:tc>
          <w:tcPr>
            <w:tcW w:type="dxa" w:w="752"/>
            <w:tcBorders>
              <w:top w:val="single" w:color="000000" w:sz="4"/>
              <w:left w:val="none" w:color="000000" w:sz="4"/>
              <w:bottom w:val="single" w:color="000000" w:sz="4"/>
              <w:right w:val="single" w:color="000000" w:sz="4"/>
            </w:tcBorders>
          </w:tcPr>
          <w:p>
            <w:pPr>
              <w:jc w:val="center"/>
            </w:pPr>
            <w:r>
              <w:rPr>
                <w:sz w:val="21"/>
              </w:rPr>
              <w:t>计量单位</w:t>
            </w:r>
          </w:p>
        </w:tc>
        <w:tc>
          <w:tcPr>
            <w:tcW w:type="dxa" w:w="752"/>
            <w:tcBorders>
              <w:top w:val="single" w:color="000000" w:sz="4"/>
              <w:left w:val="none" w:color="000000" w:sz="4"/>
              <w:bottom w:val="single" w:color="000000" w:sz="4"/>
              <w:right w:val="single" w:color="000000" w:sz="4"/>
            </w:tcBorders>
          </w:tcPr>
          <w:p>
            <w:pPr>
              <w:jc w:val="center"/>
            </w:pPr>
            <w:r>
              <w:rPr>
                <w:sz w:val="21"/>
              </w:rPr>
              <w:t>单价（元）</w:t>
            </w:r>
          </w:p>
        </w:tc>
        <w:tc>
          <w:tcPr>
            <w:tcW w:type="dxa" w:w="752"/>
            <w:tcBorders>
              <w:top w:val="single" w:color="000000" w:sz="4"/>
              <w:left w:val="none" w:color="000000" w:sz="4"/>
              <w:bottom w:val="single" w:color="000000" w:sz="4"/>
              <w:right w:val="single" w:color="000000" w:sz="4"/>
            </w:tcBorders>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tcPr>
          <w:p>
            <w:pPr>
              <w:jc w:val="center"/>
            </w:pPr>
            <w:r>
              <w:rPr>
                <w:sz w:val="21"/>
              </w:rPr>
              <w:t>1</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r>
              <w:rPr>
                <w:sz w:val="21"/>
              </w:rPr>
              <w:t>详见合同文本</w:t>
            </w: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sz w:val="21"/>
              </w:rPr>
              <w:t>2</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sz w:val="21"/>
              </w:rPr>
              <w:t>……</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bl>
    <w:p>
      <w:r>
        <w:rPr/>
        <w:t>合计金额人民币（大写）：</w:t>
      </w:r>
      <w:r>
        <w:rPr>
          <w:u w:val="single"/>
        </w:rPr>
        <w:t xml:space="preserve">          </w:t>
      </w:r>
      <w:r>
        <w:rPr/>
        <w:t>（￥</w:t>
      </w:r>
      <w:r>
        <w:rPr>
          <w:u w:val="single"/>
        </w:rPr>
        <w:t xml:space="preserve">        </w:t>
      </w:r>
      <w:r>
        <w:rPr/>
        <w:t>)</w:t>
      </w:r>
      <w:r>
        <w:br/>
      </w:r>
      <w:r>
        <w:rPr/>
        <w:t>注：货物名称内容必须与投标文件中货物名称内容一致。</w:t>
      </w:r>
      <w:r>
        <w:br/>
      </w:r>
      <w:r>
        <w:rPr/>
        <w:t>合同总额包括货款、设计、安装、随机零配件、标配工具、运输保险、调试、培训、质保期服务、各项税费及合同实施过程中不可预见费用等。</w:t>
      </w:r>
      <w:r>
        <w:br/>
      </w:r>
      <w:r>
        <w:rPr/>
        <w:t>二、合同金额</w:t>
      </w:r>
      <w:r>
        <w:br/>
      </w:r>
      <w:r>
        <w:rPr/>
        <w:t>合同总金额：小写：￥</w:t>
      </w:r>
      <w:r>
        <w:rPr>
          <w:u w:val="single"/>
        </w:rPr>
        <w:t xml:space="preserve">         </w:t>
      </w:r>
      <w:r>
        <w:rPr/>
        <w:t>； 大写：人民币</w:t>
      </w:r>
      <w:r>
        <w:rPr>
          <w:u w:val="single"/>
        </w:rPr>
        <w:t xml:space="preserve">      </w:t>
      </w:r>
      <w:r>
        <w:rPr/>
        <w:t>。</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5、乙方联系人及联系电话：</w:t>
      </w:r>
      <w:r>
        <w:br/>
      </w:r>
      <w:r>
        <w:rPr/>
        <w:t>六、付款方式、时间及付款条件</w:t>
      </w:r>
      <w:r>
        <w:br/>
      </w:r>
      <w:r>
        <w:rPr/>
        <w:t>1、合同生效后5个工作日内,甲方向乙方支付合同总价的30%；</w:t>
      </w:r>
      <w:r>
        <w:br/>
      </w:r>
      <w:r>
        <w:rPr/>
        <w:t>2、全部货物到现场后15日内, 甲方向乙方支付合同总价的40%；</w:t>
      </w:r>
      <w:r>
        <w:br/>
      </w:r>
      <w:r>
        <w:rPr/>
        <w:t>3、全部货物完成安装、调试并通过验收后15日内,甲方向乙方支付合同总价的30%；</w:t>
      </w:r>
      <w:r>
        <w:br/>
      </w:r>
      <w:r>
        <w:rPr/>
        <w:t>4、每笔款项支付前，乙方须提交与每笔款项金额相等的发票。</w:t>
      </w:r>
      <w:r>
        <w:br/>
      </w:r>
      <w:r>
        <w:rPr/>
        <w:t>5、付款方式：采用支票、银行汇付（含电汇）等形式。</w:t>
      </w:r>
      <w:r>
        <w:br/>
      </w:r>
      <w:r>
        <w:rPr/>
        <w:t>七、培训、质量保证期及售后服务要求</w:t>
      </w:r>
      <w:r>
        <w:br/>
      </w:r>
      <w:r>
        <w:rPr/>
        <w:t>1、乙方负责甲方使用人员的使用操作技术及维护技术的培训。</w:t>
      </w:r>
      <w:r>
        <w:br/>
      </w:r>
      <w:r>
        <w:rPr/>
        <w:t>2、仪器到货后5～10个工作日，维修工程师根据客户需求上门安装、调试，并在现场为甲方提供仪器操作培训。</w:t>
      </w:r>
      <w:r>
        <w:br/>
      </w:r>
      <w:r>
        <w:rPr/>
        <w:t>3、在仪器验收完成后，提供不少于两个培训名额，可参加仪器原厂举办的产品培训班，培训内容应包括但不限于仪器使用维护、工作原理、基本操作、方法建立及应用。</w:t>
      </w:r>
      <w:r>
        <w:br/>
      </w:r>
      <w:r>
        <w:rPr/>
        <w:t>4、本合同的质量保证期（简称“质保期”）为</w:t>
      </w:r>
      <w:r>
        <w:rPr>
          <w:u w:val="single"/>
        </w:rPr>
        <w:t xml:space="preserve">  </w:t>
      </w:r>
      <w:r>
        <w:rPr/>
        <w:t>年，需提供原厂售后服务承诺函，自甲乙双方代表在货物安装调试验收后的验收书上签字之日起计算。质量保证期内乙方对所供货物实行包修、包换、包退、包维护保养，质量保证期后设备维修配件更换只收取成本费用。</w:t>
      </w:r>
      <w:r>
        <w:br/>
      </w:r>
      <w:r>
        <w:rPr/>
        <w:t>5、质量保证期内，如设备或零部件因非人为因素出现故障而造成短期停用时，则质量保证期相应顺延。如停用时间累计超过60天则质量保证期重新计算。</w:t>
      </w:r>
      <w:r>
        <w:br/>
      </w:r>
      <w:r>
        <w:rPr/>
        <w:t>6、在质量保证期内，如货品非因甲方的人为原因而出现的问题由乙方负责保修、包换或包退，并承担修理、调换或退货的实际费用。</w:t>
      </w:r>
      <w:r>
        <w:br/>
      </w:r>
      <w:r>
        <w:rPr/>
        <w:t>7、质量保证期内，乙方负责对其提供的货物整机进行维修和系统维护，不再收取任何费用，但非乙方责任的人为因素、自然因素（如火灾、雷击等）造成的故障除外。</w:t>
      </w:r>
      <w:r>
        <w:br/>
      </w:r>
      <w:r>
        <w:rPr/>
        <w:t>8、质量保证期间，同一硬件一个月内连续2次出现同一故障，乙方须无偿更换同一档次货物。</w:t>
      </w:r>
      <w:r>
        <w:br/>
      </w:r>
      <w:r>
        <w:rPr/>
        <w:t>9、乙方应在接到故障通知后立即给予响应，</w:t>
      </w:r>
      <w:r>
        <w:rPr>
          <w:u w:val="single"/>
        </w:rPr>
        <w:t xml:space="preserve">   </w:t>
      </w:r>
      <w:r>
        <w:rPr/>
        <w:t>个小时内给予答复，</w:t>
      </w:r>
      <w:r>
        <w:rPr>
          <w:u w:val="single"/>
        </w:rPr>
        <w:t xml:space="preserve">   </w:t>
      </w:r>
      <w:r>
        <w:rPr/>
        <w:t>小时内提供上门服务，</w:t>
      </w:r>
      <w:r>
        <w:rPr>
          <w:u w:val="single"/>
        </w:rPr>
        <w:t xml:space="preserve">   </w:t>
      </w:r>
      <w:r>
        <w:rPr/>
        <w:t>小时内修复故障或给予解决方案。若在</w:t>
      </w:r>
      <w:r>
        <w:rPr>
          <w:u w:val="single"/>
        </w:rPr>
        <w:t xml:space="preserve">    </w:t>
      </w:r>
      <w:r>
        <w:rPr/>
        <w:t>小时内仍未能有效解决，乙方须提供同一档次的设备予甲方临时使用。</w:t>
      </w:r>
      <w:r>
        <w:br/>
      </w:r>
      <w:r>
        <w:rPr/>
        <w:t xml:space="preserve">10、负责售后服务维修的单位名称（如有）：                       </w:t>
      </w:r>
      <w:r>
        <w:br/>
      </w:r>
      <w:r>
        <w:rPr/>
        <w:t>地址：</w:t>
      </w:r>
      <w:r>
        <w:rPr>
          <w:u w:val="single"/>
        </w:rPr>
        <w:t xml:space="preserve">                    </w:t>
      </w:r>
      <w:r>
        <w:br/>
      </w:r>
      <w:r>
        <w:rPr/>
        <w:t>联系人：</w:t>
      </w:r>
      <w:r>
        <w:rPr>
          <w:u w:val="single"/>
        </w:rPr>
        <w:t xml:space="preserve">                   </w:t>
      </w:r>
      <w:r>
        <w:br/>
      </w:r>
      <w:r>
        <w:rPr/>
        <w:t xml:space="preserve">联系电话  </w:t>
      </w:r>
      <w:r>
        <w:rPr>
          <w:u w:val="single"/>
        </w:rPr>
        <w:t xml:space="preserve">                  </w:t>
      </w:r>
      <w:r>
        <w:br/>
      </w:r>
      <w:r>
        <w:rPr/>
        <w:t>手机号码：</w:t>
      </w:r>
      <w:r>
        <w:rPr>
          <w:u w:val="single"/>
        </w:rPr>
        <w:t xml:space="preserve">                  </w:t>
      </w:r>
      <w:r>
        <w:br/>
      </w:r>
      <w:r>
        <w:rPr/>
        <w:t>传真号码：</w:t>
      </w:r>
      <w:r>
        <w:rPr>
          <w:u w:val="single"/>
        </w:rPr>
        <w:t xml:space="preserve">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w:t>
      </w:r>
      <w:r>
        <w:rPr>
          <w:u w:val="single"/>
        </w:rPr>
        <w:t xml:space="preserve"> </w:t>
      </w:r>
      <w:r>
        <w:rPr/>
        <w:t>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w:t>
      </w:r>
      <w:r>
        <w:rPr>
          <w:u w:val="single"/>
        </w:rPr>
        <w:t>本合同总价的   %</w:t>
      </w:r>
      <w:r>
        <w:rPr/>
        <w:t>。</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w:t>
      </w:r>
      <w:r>
        <w:rPr>
          <w:u w:val="single"/>
        </w:rPr>
        <w:t xml:space="preserve">  </w:t>
      </w:r>
      <w:r>
        <w:rPr/>
        <w:t>份。甲、乙双方各执</w:t>
      </w:r>
      <w:r>
        <w:rPr>
          <w:u w:val="single"/>
        </w:rPr>
        <w:t xml:space="preserve">  </w:t>
      </w:r>
      <w:r>
        <w:rPr/>
        <w:t>份，采购代理机构壹份，具同等法律效力。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pPr>
        <w:jc w:val="center"/>
      </w:pPr>
      <w:r>
        <w:rPr>
          <w:b/>
          <w:sz w:val="30"/>
        </w:rPr>
        <w:t>合同格式二（适用于中华人民共和国关境外提供的货物和服务）</w:t>
      </w:r>
    </w:p>
    <w:p>
      <w:pPr>
        <w:jc w:val="center"/>
      </w:pPr>
      <w:r>
        <w:rPr>
          <w:b/>
          <w:color w:val="000000"/>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 20XX年XX月XX日至20XX年XX月XX日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r>
        <w:rPr/>
        <w:t xml:space="preserve">   </w:t>
      </w:r>
      <w:r>
        <w:rPr>
          <w:color w:val="000000"/>
          <w:sz w:val="21"/>
        </w:rPr>
        <w:t>根据</w:t>
      </w:r>
      <w:r>
        <w:rPr>
          <w:sz w:val="21"/>
        </w:rPr>
        <w:t>《中华人民共和国政府采购法》、</w:t>
      </w:r>
      <w:r>
        <w:rPr>
          <w:color w:val="000000"/>
          <w:sz w:val="21"/>
        </w:rPr>
        <w:t>《中华人民共和国民法典》等相关法律法规及</w:t>
      </w:r>
      <w:r>
        <w:rPr>
          <w:sz w:val="21"/>
          <w:u w:val="single"/>
        </w:rPr>
        <w:t>广东省科学院生态环境与土壤研究所液相色谱-四极杆静电场轨道阱高分辨质谱联用仪采购项目</w:t>
      </w:r>
      <w:r>
        <w:rPr>
          <w:sz w:val="21"/>
        </w:rPr>
        <w:t>招标文件（项目编号：GZGK23P289A0961Z）的要求</w:t>
      </w:r>
      <w:r>
        <w:rPr>
          <w:color w:val="000000"/>
          <w:sz w:val="21"/>
        </w:rPr>
        <w:t>，经三方协商，本着平等互利和诚实信用的原则，一致同意签订本合同。</w:t>
      </w:r>
    </w:p>
    <w:p>
      <w:r>
        <w:rPr>
          <w:color w:val="000000"/>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6"/>
        <w:gridCol w:w="789"/>
        <w:gridCol w:w="752"/>
        <w:gridCol w:w="752"/>
        <w:gridCol w:w="752"/>
        <w:gridCol w:w="752"/>
        <w:gridCol w:w="752"/>
        <w:gridCol w:w="752"/>
        <w:gridCol w:w="752"/>
        <w:gridCol w:w="752"/>
        <w:gridCol w:w="752"/>
      </w:tblGrid>
      <w:tr>
        <w:tc>
          <w:tcPr>
            <w:tcW w:type="dxa" w:w="716"/>
            <w:tcBorders>
              <w:top w:val="single" w:color="000000" w:sz="4"/>
              <w:left w:val="single" w:color="000000" w:sz="4"/>
              <w:bottom w:val="single" w:color="000000" w:sz="4"/>
              <w:right w:val="single" w:color="000000" w:sz="4"/>
            </w:tcBorders>
          </w:tcPr>
          <w:p>
            <w:pPr>
              <w:jc w:val="center"/>
            </w:pPr>
            <w:r>
              <w:rPr>
                <w:sz w:val="21"/>
              </w:rPr>
              <w:t>序号</w:t>
            </w:r>
          </w:p>
        </w:tc>
        <w:tc>
          <w:tcPr>
            <w:tcW w:type="dxa" w:w="789"/>
            <w:tcBorders>
              <w:top w:val="single" w:color="000000" w:sz="4"/>
              <w:left w:val="none" w:color="000000" w:sz="4"/>
              <w:bottom w:val="single" w:color="000000" w:sz="4"/>
              <w:right w:val="single" w:color="000000" w:sz="4"/>
            </w:tcBorders>
          </w:tcPr>
          <w:p>
            <w:pPr>
              <w:jc w:val="center"/>
            </w:pPr>
            <w:r>
              <w:rPr>
                <w:sz w:val="21"/>
              </w:rPr>
              <w:t>标的名称</w:t>
            </w:r>
          </w:p>
        </w:tc>
        <w:tc>
          <w:tcPr>
            <w:tcW w:type="dxa" w:w="752"/>
            <w:tcBorders>
              <w:top w:val="single" w:color="000000" w:sz="4"/>
              <w:left w:val="none" w:color="000000" w:sz="4"/>
              <w:bottom w:val="single" w:color="000000" w:sz="4"/>
              <w:right w:val="single" w:color="000000" w:sz="4"/>
            </w:tcBorders>
          </w:tcPr>
          <w:p>
            <w:pPr>
              <w:jc w:val="center"/>
            </w:pPr>
            <w:r>
              <w:rPr>
                <w:sz w:val="21"/>
              </w:rPr>
              <w:t>品目编码</w:t>
            </w:r>
          </w:p>
        </w:tc>
        <w:tc>
          <w:tcPr>
            <w:tcW w:type="dxa" w:w="752"/>
            <w:tcBorders>
              <w:top w:val="single" w:color="000000" w:sz="4"/>
              <w:left w:val="none" w:color="000000" w:sz="4"/>
              <w:bottom w:val="single" w:color="000000" w:sz="4"/>
              <w:right w:val="single" w:color="000000" w:sz="4"/>
            </w:tcBorders>
          </w:tcPr>
          <w:p>
            <w:pPr>
              <w:jc w:val="center"/>
            </w:pPr>
            <w:r>
              <w:rPr>
                <w:sz w:val="21"/>
              </w:rPr>
              <w:t>技术要求</w:t>
            </w:r>
          </w:p>
        </w:tc>
        <w:tc>
          <w:tcPr>
            <w:tcW w:type="dxa" w:w="752"/>
            <w:tcBorders>
              <w:top w:val="single" w:color="000000" w:sz="4"/>
              <w:left w:val="none" w:color="000000" w:sz="4"/>
              <w:bottom w:val="single" w:color="000000" w:sz="4"/>
              <w:right w:val="single" w:color="000000" w:sz="4"/>
            </w:tcBorders>
          </w:tcPr>
          <w:p>
            <w:pPr>
              <w:jc w:val="center"/>
            </w:pPr>
            <w:r>
              <w:rPr>
                <w:sz w:val="21"/>
              </w:rPr>
              <w:t>是否进口</w:t>
            </w:r>
          </w:p>
        </w:tc>
        <w:tc>
          <w:tcPr>
            <w:tcW w:type="dxa" w:w="752"/>
            <w:tcBorders>
              <w:top w:val="single" w:color="000000" w:sz="4"/>
              <w:left w:val="none" w:color="000000" w:sz="4"/>
              <w:bottom w:val="single" w:color="000000" w:sz="4"/>
              <w:right w:val="single" w:color="000000" w:sz="4"/>
            </w:tcBorders>
          </w:tcPr>
          <w:p>
            <w:pPr>
              <w:jc w:val="center"/>
            </w:pPr>
            <w:r>
              <w:rPr>
                <w:sz w:val="21"/>
              </w:rPr>
              <w:t>品牌</w:t>
            </w:r>
          </w:p>
        </w:tc>
        <w:tc>
          <w:tcPr>
            <w:tcW w:type="dxa" w:w="752"/>
            <w:tcBorders>
              <w:top w:val="single" w:color="000000" w:sz="4"/>
              <w:left w:val="none" w:color="000000" w:sz="4"/>
              <w:bottom w:val="single" w:color="000000" w:sz="4"/>
              <w:right w:val="single" w:color="000000" w:sz="4"/>
            </w:tcBorders>
          </w:tcPr>
          <w:p>
            <w:pPr>
              <w:jc w:val="center"/>
            </w:pPr>
            <w:r>
              <w:rPr>
                <w:sz w:val="21"/>
              </w:rPr>
              <w:t>规格参数</w:t>
            </w:r>
          </w:p>
        </w:tc>
        <w:tc>
          <w:tcPr>
            <w:tcW w:type="dxa" w:w="752"/>
            <w:tcBorders>
              <w:top w:val="single" w:color="000000" w:sz="4"/>
              <w:left w:val="none" w:color="000000" w:sz="4"/>
              <w:bottom w:val="single" w:color="000000" w:sz="4"/>
              <w:right w:val="single" w:color="000000" w:sz="4"/>
            </w:tcBorders>
          </w:tcPr>
          <w:p>
            <w:pPr>
              <w:jc w:val="center"/>
            </w:pPr>
            <w:r>
              <w:rPr>
                <w:sz w:val="21"/>
              </w:rPr>
              <w:t>采购数量</w:t>
            </w:r>
          </w:p>
        </w:tc>
        <w:tc>
          <w:tcPr>
            <w:tcW w:type="dxa" w:w="752"/>
            <w:tcBorders>
              <w:top w:val="single" w:color="000000" w:sz="4"/>
              <w:left w:val="none" w:color="000000" w:sz="4"/>
              <w:bottom w:val="single" w:color="000000" w:sz="4"/>
              <w:right w:val="single" w:color="000000" w:sz="4"/>
            </w:tcBorders>
          </w:tcPr>
          <w:p>
            <w:pPr>
              <w:jc w:val="center"/>
            </w:pPr>
            <w:r>
              <w:rPr>
                <w:sz w:val="21"/>
              </w:rPr>
              <w:t>计量单位</w:t>
            </w:r>
          </w:p>
        </w:tc>
        <w:tc>
          <w:tcPr>
            <w:tcW w:type="dxa" w:w="752"/>
            <w:tcBorders>
              <w:top w:val="single" w:color="000000" w:sz="4"/>
              <w:left w:val="none" w:color="000000" w:sz="4"/>
              <w:bottom w:val="single" w:color="000000" w:sz="4"/>
              <w:right w:val="single" w:color="000000" w:sz="4"/>
            </w:tcBorders>
          </w:tcPr>
          <w:p>
            <w:pPr>
              <w:jc w:val="center"/>
            </w:pPr>
            <w:r>
              <w:rPr>
                <w:sz w:val="21"/>
              </w:rPr>
              <w:t>单价（元）</w:t>
            </w:r>
          </w:p>
        </w:tc>
        <w:tc>
          <w:tcPr>
            <w:tcW w:type="dxa" w:w="752"/>
            <w:tcBorders>
              <w:top w:val="single" w:color="000000" w:sz="4"/>
              <w:left w:val="none" w:color="000000" w:sz="4"/>
              <w:bottom w:val="single" w:color="000000" w:sz="4"/>
              <w:right w:val="single" w:color="000000" w:sz="4"/>
            </w:tcBorders>
          </w:tcPr>
          <w:p>
            <w:pPr>
              <w:jc w:val="center"/>
            </w:pPr>
            <w:r>
              <w:rPr>
                <w:sz w:val="21"/>
              </w:rPr>
              <w:t>总价（元）</w:t>
            </w:r>
          </w:p>
        </w:tc>
      </w:tr>
      <w:tr>
        <w:tc>
          <w:tcPr>
            <w:tcW w:type="dxa" w:w="716"/>
            <w:tcBorders>
              <w:top w:val="none" w:color="000000" w:sz="4"/>
              <w:left w:val="single" w:color="000000" w:sz="4"/>
              <w:bottom w:val="single" w:color="000000" w:sz="4"/>
              <w:right w:val="single" w:color="000000" w:sz="4"/>
            </w:tcBorders>
          </w:tcPr>
          <w:p>
            <w:pPr>
              <w:jc w:val="center"/>
            </w:pPr>
            <w:r>
              <w:rPr>
                <w:sz w:val="21"/>
              </w:rPr>
              <w:t>1</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r>
              <w:rPr>
                <w:sz w:val="21"/>
              </w:rPr>
              <w:t>详见合同文本</w:t>
            </w: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sz w:val="21"/>
              </w:rPr>
              <w:t>2</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716"/>
            <w:tcBorders>
              <w:top w:val="none" w:color="000000" w:sz="4"/>
              <w:left w:val="single" w:color="000000" w:sz="4"/>
              <w:bottom w:val="single" w:color="000000" w:sz="4"/>
              <w:right w:val="single" w:color="000000" w:sz="4"/>
            </w:tcBorders>
          </w:tcPr>
          <w:p>
            <w:pPr>
              <w:jc w:val="center"/>
            </w:pPr>
            <w:r>
              <w:rPr>
                <w:sz w:val="21"/>
              </w:rPr>
              <w:t>……</w:t>
            </w:r>
          </w:p>
        </w:tc>
        <w:tc>
          <w:tcPr>
            <w:tcW w:type="dxa" w:w="789"/>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tcPr>
          <w:p>
            <w:pPr>
              <w:jc w:val="both"/>
            </w:pPr>
          </w:p>
        </w:tc>
        <w:tc>
          <w:tcPr>
            <w:tcW w:type="dxa" w:w="752"/>
            <w:tcBorders>
              <w:top w:val="none" w:color="000000" w:sz="4"/>
              <w:left w:val="none" w:color="000000" w:sz="4"/>
              <w:bottom w:val="single" w:color="000000" w:sz="4"/>
              <w:right w:val="single" w:color="000000" w:sz="4"/>
            </w:tcBorders>
            <w:vAlign w:val="top"/>
          </w:tcPr>
          <w:p>
            <w:pPr>
              <w:jc w:val="both"/>
            </w:pPr>
          </w:p>
        </w:tc>
        <w:tc>
          <w:tcPr>
            <w:tcW w:type="dxa" w:w="752"/>
            <w:tcBorders>
              <w:top w:val="none" w:color="000000" w:sz="4"/>
              <w:left w:val="none" w:color="000000" w:sz="4"/>
              <w:bottom w:val="single" w:color="000000" w:sz="4"/>
              <w:right w:val="single" w:color="000000" w:sz="4"/>
            </w:tcBorders>
          </w:tcPr>
          <w:p>
            <w:pPr>
              <w:jc w:val="both"/>
            </w:pPr>
          </w:p>
        </w:tc>
      </w:tr>
      <w:tr>
        <w:tc>
          <w:tcPr>
            <w:tcW w:type="dxa" w:w="8273"/>
            <w:gridSpan w:val="11"/>
            <w:tcBorders>
              <w:top w:val="none" w:color="000000" w:sz="4"/>
              <w:left w:val="single" w:color="000000" w:sz="4"/>
              <w:bottom w:val="single" w:color="000000" w:sz="4"/>
              <w:right w:val="single" w:color="000000" w:sz="4"/>
            </w:tcBorders>
          </w:tcPr>
          <w:p>
            <w:pPr>
              <w:jc w:val="left"/>
            </w:pPr>
            <w:r>
              <w:rPr>
                <w:sz w:val="21"/>
              </w:rPr>
              <w:t>海关免税总金额（ ）:(</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折合总计RMB: (¥)</w:t>
            </w:r>
            <w:r>
              <w:rPr>
                <w:sz w:val="21"/>
                <w:u w:val="single"/>
              </w:rPr>
              <w:t xml:space="preserve">         </w:t>
            </w:r>
            <w:r>
              <w:rPr>
                <w:sz w:val="21"/>
              </w:rPr>
              <w:t>人民币</w:t>
            </w:r>
            <w:r>
              <w:rPr>
                <w:sz w:val="21"/>
                <w:u w:val="single"/>
              </w:rPr>
              <w:t xml:space="preserve">                   </w:t>
            </w:r>
            <w:r>
              <w:rPr>
                <w:sz w:val="21"/>
              </w:rPr>
              <w:t>(汇差由乙方商承担)</w:t>
            </w:r>
          </w:p>
        </w:tc>
      </w:tr>
    </w:tbl>
    <w:p>
      <w:r>
        <w:rPr/>
        <w:t>注：货物名称内容必须与投标文件中货物名称内容一致。</w:t>
      </w:r>
      <w:r>
        <w:br/>
      </w:r>
      <w:r>
        <w:rPr/>
        <w:t>1、价格总价为指定交货地点的交货价。包括：CIP价和其他伴随服务费用。其他伴随服务费用包括但不限于以下费用：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（3）安装调试中的相关费用（包括安装调试过程中损耗、额外材料、设计费等）。</w:t>
      </w:r>
      <w:r>
        <w:br/>
      </w:r>
      <w:r>
        <w:rPr/>
        <w:t>（4）外贸进口有关的一切费用（如外贸公司代理费用、清关费用、银行手续费、海关监管手续费、报关费用、商检费用、申办机电批文费用、机场码头费等）。</w:t>
      </w:r>
      <w:r>
        <w:br/>
      </w:r>
      <w:r>
        <w:rPr/>
        <w:t>（5）按照采购需求要求的除以上费用外的其他相关费用。</w:t>
      </w:r>
      <w:r>
        <w:br/>
      </w:r>
      <w:r>
        <w:rPr/>
        <w:t>2、货物进口所需办理的免税手续由乙方协助甲方办理，丙方负责办理货物报关、机场提货、对外付汇及付汇后的银行结算，乙方支付丙方代理进口业务手续费人民币</w:t>
      </w:r>
      <w:r>
        <w:rPr>
          <w:u w:val="single"/>
        </w:rPr>
        <w:t xml:space="preserve">      </w:t>
      </w:r>
      <w:r>
        <w:rPr/>
        <w:t>（¥</w:t>
      </w:r>
      <w:r>
        <w:rPr>
          <w:u w:val="single"/>
        </w:rPr>
        <w:t xml:space="preserve">    </w:t>
      </w:r>
      <w:r>
        <w:rPr/>
        <w:t>），含丙方办理进口货物、报关等一切办理进口货物的费用。丙方负责广州口岸提货及将货物从机场运送到甲方指定地点。</w:t>
      </w:r>
      <w:r>
        <w:br/>
      </w:r>
      <w:r>
        <w:rPr/>
        <w:t>3、乙方提货前必须提前通知甲、丙方，提货当天甲、丙方派专人随同前往提货，并由甲方对货物包装箱加贴封条。</w:t>
      </w:r>
      <w:r>
        <w:br/>
      </w:r>
      <w:r>
        <w:rPr/>
        <w:t>二、合同金额</w:t>
      </w:r>
      <w:r>
        <w:br/>
      </w:r>
      <w:r>
        <w:rPr/>
        <w:t>合同金额为：</w:t>
      </w:r>
      <w:r>
        <w:rPr>
          <w:u w:val="single"/>
        </w:rPr>
        <w:t xml:space="preserve">（币种：）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3、进口产品必须具备原产地证明和商检局的检验证明及合法进货渠道证明。</w:t>
      </w:r>
      <w:r>
        <w:br/>
      </w:r>
      <w:r>
        <w:rPr/>
        <w:t>4、货物为原厂商未启封全新包装，具出厂合格证，序列号、包装箱号与出厂批号一致，并可追索查阅。</w:t>
      </w:r>
      <w:r>
        <w:br/>
      </w:r>
      <w:r>
        <w:rPr/>
        <w:t>5、乙方应将关键主机设备的用户手册、保修手册、有关单证资料及配备件、随机工具等交付给甲方，使用操作及安全须知等重要资料应附有中文说明。</w:t>
      </w:r>
      <w:r>
        <w:br/>
      </w:r>
      <w:r>
        <w:rPr/>
        <w:t>6、如果发现货物的质量和规格与合同规定不符或货物在质量保证期内被证明有缺陷，包括内在缺陷或使用不适当原材料，甲方将有权要求有关部门进行检验，并依据检验证书向乙方索赔。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2、交付地点：甲方指定地点</w:t>
      </w:r>
      <w:r>
        <w:br/>
      </w:r>
      <w:r>
        <w:rPr/>
        <w:t>3、交付条件：项目验收通过</w:t>
      </w:r>
      <w:r>
        <w:br/>
      </w:r>
      <w:r>
        <w:rPr/>
        <w:t>4、甲方联系人及联系电话：</w:t>
      </w:r>
      <w:r>
        <w:br/>
      </w:r>
      <w:r>
        <w:rPr/>
        <w:t xml:space="preserve">5、乙方联系人及联系电话：  </w:t>
      </w:r>
      <w:r>
        <w:br/>
      </w:r>
      <w:r>
        <w:rPr/>
        <w:t>六、付款方式、时间及付款条件</w:t>
      </w:r>
      <w:r>
        <w:br/>
      </w:r>
      <w:r>
        <w:rPr/>
        <w:t>1、合同生效后5个工作日内,甲方向乙方支付合同总价的30%；</w:t>
      </w:r>
      <w:r>
        <w:br/>
      </w:r>
      <w:r>
        <w:rPr/>
        <w:t>2、全部货物到现场后15日内,甲方向乙方支付合同总价的40%；</w:t>
      </w:r>
      <w:r>
        <w:br/>
      </w:r>
      <w:r>
        <w:rPr/>
        <w:t>3、全部货物完成安装、调试并通过验收后15日内,甲方向乙方支付合同总价的30%；</w:t>
      </w:r>
      <w:r>
        <w:br/>
      </w:r>
      <w:r>
        <w:rPr/>
        <w:t>4、每笔款项支付前，乙方须提交与每笔款项金额相等的发票。</w:t>
      </w:r>
      <w:r>
        <w:br/>
      </w:r>
      <w:r>
        <w:rPr/>
        <w:t>5、付款方式：采用支票、银行汇付（含电汇）等形式。</w:t>
      </w:r>
      <w:r>
        <w:br/>
      </w:r>
      <w:r>
        <w:rPr/>
        <w:t>七、培训、质保期及售后服务要求</w:t>
      </w:r>
      <w:r>
        <w:br/>
      </w:r>
      <w:r>
        <w:rPr/>
        <w:t>1、乙方负责甲方使用人员的使用操作技术及维护技术的培训。</w:t>
      </w:r>
      <w:r>
        <w:br/>
      </w:r>
      <w:r>
        <w:rPr/>
        <w:t>2、仪器到货后5～10个工作日，维修工程师根据客户需求上门安装、调试，并在现场为甲方提供仪器操作培训。</w:t>
      </w:r>
      <w:r>
        <w:br/>
      </w:r>
      <w:r>
        <w:rPr/>
        <w:t>3、在仪器验收完成后，提供不少于两个培训名额，可参加仪器原厂举办的产品培训班，培训内容应包括但不限于仪器使用维护、工作原理、基本操作、方法建立及应用。</w:t>
      </w:r>
      <w:r>
        <w:br/>
      </w:r>
      <w:r>
        <w:rPr/>
        <w:t>4、本合同的质量保证期（简称“质保期”）为</w:t>
      </w:r>
      <w:r>
        <w:rPr>
          <w:u w:val="single"/>
        </w:rPr>
        <w:t xml:space="preserve">  </w:t>
      </w:r>
      <w:r>
        <w:rPr/>
        <w:t>年，需提供原厂售后服务承诺函，自甲乙双方代表在货物安装调试后的验收书上签字之日起计算。质保期内乙方对所供货物实行包修、包换、包退、包维护保养，期满后可同时提供终身有偿维修保养服务。</w:t>
      </w:r>
      <w:r>
        <w:br/>
      </w:r>
      <w:r>
        <w:rPr/>
        <w:t>5、质保期内，如设备或零部件因非人为因素出现故障而造成短期停用时，则质保期和维修期相应顺延（费用包含在报价内）。如停用时间累计超过60天则质保期重新计算。</w:t>
      </w:r>
      <w:r>
        <w:br/>
      </w:r>
      <w:r>
        <w:rPr/>
        <w:t>6、在质保期内，如货品非因甲方的人为原因而出现的问题由乙方负责保修、包换或包退，并承担修理、调换或退货的实际费用。</w:t>
      </w:r>
      <w:r>
        <w:br/>
      </w:r>
      <w:r>
        <w:rPr/>
        <w:t>7、质保期内，乙方负责对其提供的货物整机进行维修和系统维护，不再收取任何费用，但非乙方责任的人为因素、自然因素（如火灾、雷击等）造成的故障除外。</w:t>
      </w:r>
      <w:r>
        <w:br/>
      </w:r>
      <w:r>
        <w:rPr/>
        <w:t>8、质保期间，同一硬件一个月内连续2次出现同一故障，乙方须无偿更换同一档次货物。</w:t>
      </w:r>
      <w:r>
        <w:br/>
      </w:r>
      <w:r>
        <w:rPr/>
        <w:t>9、乙方应在接到故障通知后立即给予响应，</w:t>
      </w:r>
      <w:r>
        <w:rPr>
          <w:u w:val="single"/>
        </w:rPr>
        <w:t xml:space="preserve">    </w:t>
      </w:r>
      <w:r>
        <w:rPr/>
        <w:t>个小时内给予答复，</w:t>
      </w:r>
      <w:r>
        <w:rPr>
          <w:u w:val="single"/>
        </w:rPr>
        <w:t xml:space="preserve">    </w:t>
      </w:r>
      <w:r>
        <w:rPr/>
        <w:t>小时内提供上门服务，</w:t>
      </w:r>
      <w:r>
        <w:rPr>
          <w:u w:val="single"/>
        </w:rPr>
        <w:t xml:space="preserve">    </w:t>
      </w:r>
      <w:r>
        <w:rPr/>
        <w:t>小时内修复故障或给予解决方案。若在</w:t>
      </w:r>
      <w:r>
        <w:rPr>
          <w:u w:val="single"/>
        </w:rPr>
        <w:t xml:space="preserve">    </w:t>
      </w:r>
      <w:r>
        <w:rPr/>
        <w:t>小时内仍未能有效解决，乙方须提供同一档次的设备予甲方临时使用</w:t>
      </w:r>
      <w:r>
        <w:br/>
      </w:r>
      <w:r>
        <w:rPr/>
        <w:t>10、负责维修的单位名称：</w:t>
      </w:r>
      <w:r>
        <w:br/>
      </w:r>
      <w:r>
        <w:rPr/>
        <w:t>地址：</w:t>
      </w:r>
      <w:r>
        <w:br/>
      </w:r>
      <w:r>
        <w:rPr/>
        <w:t>联系人：</w:t>
      </w:r>
      <w:r>
        <w:br/>
      </w:r>
      <w:r>
        <w:rPr/>
        <w:t xml:space="preserve">电话：           </w:t>
      </w:r>
      <w:r>
        <w:br/>
      </w:r>
      <w:r>
        <w:rPr/>
        <w:t>手机：</w:t>
      </w:r>
      <w:r>
        <w:br/>
      </w:r>
      <w:r>
        <w:rPr/>
        <w:t>传真：</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（2）进口货物送到甲方指定场地后，甲、乙、丙三方同时在场时才能开封检验。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①符合中华人民共和国“国家安全质量标准、环保标准或行业标准”；②符合招标文件和响应承诺中甲方认可的合理最佳配置、参数及各项要求；③货物来源国官方标准。</w:t>
      </w:r>
      <w:r>
        <w:br/>
      </w:r>
      <w:r>
        <w:rPr/>
        <w:t>3、进口产品的必须具备原产地证明和商检局的检验证明及合法进货渠道证明。</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10、验收期限：全部货物到货后</w:t>
      </w:r>
      <w:r>
        <w:rPr>
          <w:u w:val="single"/>
        </w:rPr>
        <w:t xml:space="preserve"> </w:t>
      </w:r>
      <w:r>
        <w:rPr/>
        <w:t>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3、甲方无正当理由拒收货物，不按合同约定付款的，甲方向乙方偿付本合同总价5%的违约金。甲方逾期未按合同约定时间支付款项的，则每日按本合同总价的3‰向乙方偿付违约金。</w:t>
      </w:r>
      <w:r>
        <w:br/>
      </w:r>
      <w:r>
        <w:rPr/>
        <w:t>4、乙方如没有按合同规定履行售后服务承诺，甲方可由第三方单位进行修复，其费用全部由乙方支付，并追究乙方违约的法律责任。</w:t>
      </w:r>
      <w:r>
        <w:br/>
      </w:r>
      <w:r>
        <w:rPr/>
        <w:t>5、因甲方原因导致变更、中止或者终止政府采购合同的，甲方对乙方受到的损失予以赔偿或者补偿，赔偿或者补偿金额为：</w:t>
      </w:r>
      <w:r>
        <w:rPr>
          <w:u w:val="single"/>
        </w:rPr>
        <w:t>本合同总价的    %</w:t>
      </w:r>
      <w:r>
        <w:rPr/>
        <w:t>。</w:t>
      </w:r>
      <w:r>
        <w:br/>
      </w:r>
      <w:r>
        <w:rPr/>
        <w:t>6、其它违约责任按《中华人民共和国民法典》处理。</w:t>
      </w:r>
      <w:r>
        <w:br/>
      </w:r>
      <w:r>
        <w:rPr/>
        <w:t>十一、履约保证金</w:t>
      </w:r>
      <w:r>
        <w:br/>
      </w:r>
      <w:r>
        <w:rPr/>
        <w:t>（按照采购需求要求）</w:t>
      </w:r>
      <w:r>
        <w:br/>
      </w:r>
      <w:r>
        <w:rPr/>
        <w:t>十二、争议的解决</w:t>
      </w:r>
      <w:r>
        <w:br/>
      </w:r>
      <w:r>
        <w:rPr/>
        <w:t xml:space="preserve">  合同执行过程中发生的任何争议，三方应通过友好协商解决，若经协商不能达成协议时，则向甲方所在地有管辖权的人民法院提起诉讼。诉讼期间，双方应继续执行合同其余部分。</w:t>
      </w:r>
      <w:r>
        <w:br/>
      </w:r>
      <w:r>
        <w:rPr/>
        <w:t>十三、    不可抗力</w:t>
      </w:r>
      <w:r>
        <w:br/>
      </w:r>
      <w:r>
        <w:rPr/>
        <w:t>任何一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r>
        <w:br/>
      </w:r>
      <w:r>
        <w:rPr/>
        <w:t>十四、    其它</w:t>
      </w:r>
      <w:r>
        <w:br/>
      </w:r>
      <w:r>
        <w:rPr/>
        <w:t>1、本合同所有附件、招标文件、投标文件、中标通知书均为合同的有效组成部分，与本合同具有同等法律效力。</w:t>
      </w:r>
      <w:r>
        <w:br/>
      </w:r>
      <w:r>
        <w:rPr/>
        <w:t>2、在执行本合同的过程中，所有经甲乙丙三方签署确认的文件（包括会议纪要、补充协议、合同修改、往来信函）即成为本合同的有效组成部分。</w:t>
      </w:r>
      <w:r>
        <w:br/>
      </w:r>
      <w:r>
        <w:rPr/>
        <w:t xml:space="preserve">3、如一方地址、电话、传真号码有变更，应在变更当日内书面通知其他两方，否则，应承担相应责任。 </w:t>
      </w:r>
      <w:r>
        <w:br/>
      </w:r>
      <w:r>
        <w:rPr/>
        <w:t>4、除甲方事先以书面形式确认同意外，乙方、丙方不得部分或全部转让其应履行的合同项下的义务。</w:t>
      </w:r>
      <w:r>
        <w:br/>
      </w:r>
      <w:r>
        <w:rPr/>
        <w:t>十五、合同生效</w:t>
      </w:r>
      <w:r>
        <w:br/>
      </w:r>
      <w:r>
        <w:rPr/>
        <w:t>1、本合同在甲乙丙三方法人代表或其授权代表签字并盖章及乙方提交履约保证金后生效。如果不需要提交履约保证金的则甲乙丙三方法人代表或其授权代表签字并盖章后生效。</w:t>
      </w:r>
      <w:r>
        <w:br/>
      </w:r>
      <w:r>
        <w:rPr/>
        <w:t>2、合同壹式</w:t>
      </w:r>
      <w:r>
        <w:rPr>
          <w:u w:val="single"/>
        </w:rPr>
        <w:t xml:space="preserve">  </w:t>
      </w:r>
      <w:r>
        <w:rPr/>
        <w:t>份。甲乙丙三方各执</w:t>
      </w:r>
      <w:r>
        <w:rPr>
          <w:u w:val="single"/>
        </w:rPr>
        <w:t xml:space="preserve">  </w:t>
      </w:r>
      <w:r>
        <w:rPr/>
        <w:t>份，招标代理机构壹份，具同等法律效力。</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left"/>
      </w:pPr>
      <w:r>
        <w:rPr>
          <w:sz w:val="21"/>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440001-2023-61756</w:t>
      </w:r>
    </w:p>
    <w:p>
      <w:pPr>
        <w:jc w:val="center"/>
      </w:pPr>
      <w:r>
        <w:rPr>
          <w:b/>
          <w:sz w:val="24"/>
        </w:rPr>
        <w:t>采购项目编号：</w:t>
      </w:r>
      <w:r>
        <w:rPr>
          <w:b/>
          <w:sz w:val="24"/>
        </w:rPr>
        <w:t>GZGK23P289A0961Z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广东省科学院生态环境与土壤研究所液相色谱-四极杆静电场轨道阱高分辨质谱联用仪采购项目</w:t>
      </w:r>
      <w:r>
        <w:rPr>
          <w:u w:val="single"/>
        </w:rPr>
        <w:t>”</w:t>
      </w:r>
      <w:r>
        <w:rPr/>
        <w:t>项目的招标[采购项目编号为：</w:t>
      </w:r>
      <w:r>
        <w:rPr>
          <w:u w:val="single"/>
        </w:rPr>
        <w:t>GZGK23P289A0961Z</w:t>
      </w:r>
      <w:r>
        <w:rPr/>
        <w:t>]，我方愿参与投标。</w:t>
      </w:r>
    </w:p>
    <w:p>
      <w:pPr>
        <w:ind w:firstLine="480"/>
      </w:pPr>
      <w:r>
        <w:rPr/>
        <w:t>我方确认收到贵方提供的</w:t>
      </w:r>
      <w:r>
        <w:rPr>
          <w:u w:val="single"/>
        </w:rPr>
        <w:t>“</w:t>
      </w:r>
      <w:r>
        <w:rPr>
          <w:u w:val="single"/>
        </w:rPr>
        <w:t>广东省科学院生态环境与土壤研究所液相色谱-四极杆静电场轨道阱高分辨质谱联用仪采购项目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广东省科学院生态环境与土壤研究所液相色谱-四极杆静电场轨道阱高分辨质谱联用仪采购项目</w:t>
      </w:r>
      <w:r>
        <w:rPr/>
        <w:t>”项目采购[采购项目编号为</w:t>
      </w:r>
      <w:r>
        <w:rPr/>
        <w:t>GZGK23P289A0961Z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广东省科学院生态环境与土壤研究所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广东省科学院生态环境与土壤研究所液相色谱-四极杆静电场轨道阱高分辨质谱联用仪采购项目</w:t>
      </w:r>
      <w:r>
        <w:rPr/>
        <w:t>招标中获中标（采购项目编号：</w:t>
      </w:r>
      <w:r>
        <w:rPr/>
        <w:t>GZGK23P289A0961Z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广东省科学院生态环境与土壤研究所液相色谱-四极杆静电场轨道阱高分辨质谱联用仪采购项目</w:t>
      </w:r>
      <w:r>
        <w:rPr/>
        <w:t>”项目（采购项目编号：</w:t>
      </w:r>
      <w:r>
        <w:rPr/>
        <w:t>GZGK23P289A0961Z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