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440001-2023-61571</w:t>
      </w:r>
    </w:p>
    <w:p>
      <w:pPr>
        <w:jc w:val="center"/>
      </w:pPr>
      <w:r>
        <w:rPr>
          <w:b/>
          <w:sz w:val="24"/>
        </w:rPr>
        <w:t>采购项目编号：</w:t>
      </w:r>
      <w:r>
        <w:rPr>
          <w:b/>
          <w:sz w:val="24"/>
        </w:rPr>
        <w:t>GZGK23P306A1002Z</w:t>
      </w:r>
    </w:p>
    <w:p>
      <w:pPr>
        <w:jc w:val="center"/>
      </w:pPr>
      <w:r>
        <w:rPr>
          <w:b/>
          <w:sz w:val="24"/>
        </w:rPr>
        <w:t>项目名称：</w:t>
      </w:r>
      <w:r>
        <w:rPr>
          <w:b/>
          <w:sz w:val="24"/>
        </w:rPr>
        <w:t>汕头大学医学院第一附属医院磁刺激治疗仪等康复设备项目</w:t>
      </w:r>
    </w:p>
    <w:p>
      <w:pPr>
        <w:jc w:val="center"/>
      </w:pPr>
      <w:r>
        <w:rPr>
          <w:b/>
          <w:sz w:val="24"/>
        </w:rPr>
        <w:t>采购人：</w:t>
      </w:r>
      <w:r>
        <w:rPr>
          <w:b/>
          <w:sz w:val="24"/>
        </w:rPr>
        <w:t>汕头大学医学院第一附属医院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汕头大学医学院第一附属医院</w:t>
      </w:r>
      <w:r>
        <w:rPr/>
        <w:t>的委托，采用</w:t>
      </w:r>
      <w:r>
        <w:rPr/>
        <w:t>公开招标</w:t>
      </w:r>
      <w:r>
        <w:rPr/>
        <w:t>方式组织采购</w:t>
      </w:r>
      <w:r>
        <w:rPr/>
        <w:t>汕头大学医学院第一附属医院磁刺激治疗仪等康复设备项目</w:t>
      </w:r>
      <w:r>
        <w:rPr/>
        <w:t>。欢迎符合资格条件的国内供应商参加投标。</w:t>
      </w:r>
    </w:p>
    <w:p>
      <w:r>
        <w:rPr>
          <w:b/>
          <w:sz w:val="28"/>
        </w:rPr>
        <w:t>一.项目概述</w:t>
      </w:r>
    </w:p>
    <w:p>
      <w:r>
        <w:rPr>
          <w:b/>
          <w:sz w:val="24"/>
        </w:rPr>
        <w:t>1.名称与编号</w:t>
      </w:r>
    </w:p>
    <w:p>
      <w:pPr>
        <w:ind w:firstLine="480"/>
      </w:pPr>
      <w:r>
        <w:rPr/>
        <w:t>项目名称：</w:t>
      </w:r>
      <w:r>
        <w:rPr/>
        <w:t>汕头大学医学院第一附属医院磁刺激治疗仪等康复设备项目</w:t>
      </w:r>
    </w:p>
    <w:p>
      <w:pPr>
        <w:ind w:firstLine="480"/>
      </w:pPr>
      <w:r>
        <w:rPr/>
        <w:t>采购计划编号：</w:t>
      </w:r>
      <w:r>
        <w:rPr/>
        <w:t>440001-2023-61571</w:t>
      </w:r>
    </w:p>
    <w:p>
      <w:pPr>
        <w:ind w:firstLine="480"/>
      </w:pPr>
      <w:r>
        <w:rPr/>
        <w:t>采购项目编号：</w:t>
      </w:r>
      <w:r>
        <w:rPr/>
        <w:t>GZGK23P306A1002Z</w:t>
      </w:r>
    </w:p>
    <w:p>
      <w:pPr>
        <w:ind w:firstLine="480"/>
      </w:pPr>
      <w:r>
        <w:rPr/>
        <w:t>采购方式：</w:t>
      </w:r>
      <w:r>
        <w:rPr/>
        <w:t>公开招标</w:t>
      </w:r>
    </w:p>
    <w:p>
      <w:pPr>
        <w:ind w:firstLine="480"/>
      </w:pPr>
      <w:r>
        <w:rPr/>
        <w:t>预算金额：</w:t>
      </w:r>
      <w:r>
        <w:rPr/>
        <w:t>2,832,000.00</w:t>
      </w:r>
      <w:r>
        <w:rPr/>
        <w:t>元</w:t>
      </w:r>
    </w:p>
    <w:p>
      <w:r>
        <w:rPr>
          <w:b/>
          <w:sz w:val="24"/>
        </w:rPr>
        <w:t>2.项目内容及需求情况（采购项目技术规格、参数及要求）</w:t>
      </w:r>
    </w:p>
    <w:p>
      <w:pPr>
        <w:ind w:firstLine="480"/>
      </w:pPr>
    </w:p>
    <w:p/>
    <w:p>
      <w:r>
        <w:rPr/>
        <w:t>采购包1(磁刺激治疗仪等一批设备):</w:t>
      </w:r>
    </w:p>
    <w:p>
      <w:r>
        <w:rPr/>
        <w:t>采购包预算金额：1,804,000.00元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物理治疗、康复及体育治疗仪器设备</w:t>
            </w:r>
          </w:p>
        </w:tc>
        <w:tc>
          <w:tcPr>
            <w:tcW w:type="dxa" w:w="2136"/>
          </w:tcPr>
          <w:p>
            <w:r>
              <w:rPr/>
              <w:t>磁刺激治疗仪</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1-2</w:t>
            </w:r>
          </w:p>
        </w:tc>
        <w:tc>
          <w:tcPr>
            <w:tcW w:type="dxa" w:w="1424"/>
          </w:tcPr>
          <w:p>
            <w:r>
              <w:rPr/>
              <w:t>物理治疗、康复及体育治疗仪器设备</w:t>
            </w:r>
          </w:p>
        </w:tc>
        <w:tc>
          <w:tcPr>
            <w:tcW w:type="dxa" w:w="2136"/>
          </w:tcPr>
          <w:p>
            <w:r>
              <w:rPr/>
              <w:t>便携式超短波治疗仪</w:t>
            </w:r>
          </w:p>
        </w:tc>
        <w:tc>
          <w:tcPr>
            <w:tcW w:type="dxa" w:w="1187"/>
          </w:tcPr>
          <w:p>
            <w:r>
              <w:rPr/>
              <w:t>2.00(套)</w:t>
            </w:r>
          </w:p>
        </w:tc>
        <w:tc>
          <w:tcPr>
            <w:tcW w:type="dxa" w:w="1187"/>
          </w:tcPr>
          <w:p>
            <w:r>
              <w:rPr/>
              <w:t>详见第二章</w:t>
            </w:r>
          </w:p>
        </w:tc>
        <w:tc>
          <w:tcPr>
            <w:tcW w:type="dxa" w:w="1187"/>
          </w:tcPr>
          <w:p>
            <w:r>
              <w:rPr/>
              <w:t>否</w:t>
            </w:r>
          </w:p>
        </w:tc>
      </w:tr>
      <w:tr>
        <w:tc>
          <w:tcPr>
            <w:tcW w:type="dxa" w:w="1187"/>
          </w:tcPr>
          <w:p>
            <w:r>
              <w:rPr/>
              <w:t>1-3</w:t>
            </w:r>
          </w:p>
        </w:tc>
        <w:tc>
          <w:tcPr>
            <w:tcW w:type="dxa" w:w="1424"/>
          </w:tcPr>
          <w:p>
            <w:r>
              <w:rPr/>
              <w:t>物理治疗、康复及体育治疗仪器设备</w:t>
            </w:r>
          </w:p>
        </w:tc>
        <w:tc>
          <w:tcPr>
            <w:tcW w:type="dxa" w:w="2136"/>
          </w:tcPr>
          <w:p>
            <w:r>
              <w:rPr/>
              <w:t>吞咽神经肌肉低频电刺激仪(便携式）</w:t>
            </w:r>
          </w:p>
        </w:tc>
        <w:tc>
          <w:tcPr>
            <w:tcW w:type="dxa" w:w="1187"/>
          </w:tcPr>
          <w:p>
            <w:r>
              <w:rPr/>
              <w:t>2.00(套)</w:t>
            </w:r>
          </w:p>
        </w:tc>
        <w:tc>
          <w:tcPr>
            <w:tcW w:type="dxa" w:w="1187"/>
          </w:tcPr>
          <w:p>
            <w:r>
              <w:rPr/>
              <w:t>详见第二章</w:t>
            </w:r>
          </w:p>
        </w:tc>
        <w:tc>
          <w:tcPr>
            <w:tcW w:type="dxa" w:w="1187"/>
          </w:tcPr>
          <w:p>
            <w:r>
              <w:rPr/>
              <w:t>否</w:t>
            </w:r>
          </w:p>
        </w:tc>
      </w:tr>
      <w:tr>
        <w:tc>
          <w:tcPr>
            <w:tcW w:type="dxa" w:w="1187"/>
          </w:tcPr>
          <w:p>
            <w:r>
              <w:rPr/>
              <w:t>1-4</w:t>
            </w:r>
          </w:p>
        </w:tc>
        <w:tc>
          <w:tcPr>
            <w:tcW w:type="dxa" w:w="1424"/>
          </w:tcPr>
          <w:p>
            <w:r>
              <w:rPr/>
              <w:t>医用超声波仪器及设备</w:t>
            </w:r>
          </w:p>
        </w:tc>
        <w:tc>
          <w:tcPr>
            <w:tcW w:type="dxa" w:w="2136"/>
          </w:tcPr>
          <w:p>
            <w:r>
              <w:rPr/>
              <w:t>超声波治疗仪</w:t>
            </w:r>
          </w:p>
        </w:tc>
        <w:tc>
          <w:tcPr>
            <w:tcW w:type="dxa" w:w="1187"/>
          </w:tcPr>
          <w:p>
            <w:r>
              <w:rPr/>
              <w:t>2.00(套)</w:t>
            </w:r>
          </w:p>
        </w:tc>
        <w:tc>
          <w:tcPr>
            <w:tcW w:type="dxa" w:w="1187"/>
          </w:tcPr>
          <w:p>
            <w:r>
              <w:rPr/>
              <w:t>详见第二章</w:t>
            </w:r>
          </w:p>
        </w:tc>
        <w:tc>
          <w:tcPr>
            <w:tcW w:type="dxa" w:w="1187"/>
          </w:tcPr>
          <w:p>
            <w:r>
              <w:rPr/>
              <w:t>否</w:t>
            </w:r>
          </w:p>
        </w:tc>
      </w:tr>
      <w:tr>
        <w:tc>
          <w:tcPr>
            <w:tcW w:type="dxa" w:w="1187"/>
          </w:tcPr>
          <w:p>
            <w:r>
              <w:rPr/>
              <w:t>1-5</w:t>
            </w:r>
          </w:p>
        </w:tc>
        <w:tc>
          <w:tcPr>
            <w:tcW w:type="dxa" w:w="1424"/>
          </w:tcPr>
          <w:p>
            <w:r>
              <w:rPr/>
              <w:t>物理治疗、康复及体育治疗仪器设备</w:t>
            </w:r>
          </w:p>
        </w:tc>
        <w:tc>
          <w:tcPr>
            <w:tcW w:type="dxa" w:w="2136"/>
          </w:tcPr>
          <w:p>
            <w:r>
              <w:rPr/>
              <w:t>低频脉冲痉挛肌治疗仪</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1-6</w:t>
            </w:r>
          </w:p>
        </w:tc>
        <w:tc>
          <w:tcPr>
            <w:tcW w:type="dxa" w:w="1424"/>
          </w:tcPr>
          <w:p>
            <w:r>
              <w:rPr/>
              <w:t>物理治疗、康复及体育治疗仪器设备</w:t>
            </w:r>
          </w:p>
        </w:tc>
        <w:tc>
          <w:tcPr>
            <w:tcW w:type="dxa" w:w="2136"/>
          </w:tcPr>
          <w:p>
            <w:r>
              <w:rPr/>
              <w:t>电子艾灸治疗仪</w:t>
            </w:r>
          </w:p>
        </w:tc>
        <w:tc>
          <w:tcPr>
            <w:tcW w:type="dxa" w:w="1187"/>
          </w:tcPr>
          <w:p>
            <w:r>
              <w:rPr/>
              <w:t>2.00(套)</w:t>
            </w:r>
          </w:p>
        </w:tc>
        <w:tc>
          <w:tcPr>
            <w:tcW w:type="dxa" w:w="1187"/>
          </w:tcPr>
          <w:p>
            <w:r>
              <w:rPr/>
              <w:t>详见第二章</w:t>
            </w:r>
          </w:p>
        </w:tc>
        <w:tc>
          <w:tcPr>
            <w:tcW w:type="dxa" w:w="1187"/>
          </w:tcPr>
          <w:p>
            <w:r>
              <w:rPr/>
              <w:t>否</w:t>
            </w:r>
          </w:p>
        </w:tc>
      </w:tr>
      <w:tr>
        <w:tc>
          <w:tcPr>
            <w:tcW w:type="dxa" w:w="1187"/>
          </w:tcPr>
          <w:p>
            <w:r>
              <w:rPr/>
              <w:t>1-7</w:t>
            </w:r>
          </w:p>
        </w:tc>
        <w:tc>
          <w:tcPr>
            <w:tcW w:type="dxa" w:w="1424"/>
          </w:tcPr>
          <w:p>
            <w:r>
              <w:rPr/>
              <w:t>物理治疗、康复及体育治疗仪器设备</w:t>
            </w:r>
          </w:p>
        </w:tc>
        <w:tc>
          <w:tcPr>
            <w:tcW w:type="dxa" w:w="2136"/>
          </w:tcPr>
          <w:p>
            <w:r>
              <w:rPr/>
              <w:t>脑电仿生电刺激仪</w:t>
            </w:r>
          </w:p>
        </w:tc>
        <w:tc>
          <w:tcPr>
            <w:tcW w:type="dxa" w:w="1187"/>
          </w:tcPr>
          <w:p>
            <w:r>
              <w:rPr/>
              <w:t>2.00(套)</w:t>
            </w:r>
          </w:p>
        </w:tc>
        <w:tc>
          <w:tcPr>
            <w:tcW w:type="dxa" w:w="1187"/>
          </w:tcPr>
          <w:p>
            <w:r>
              <w:rPr/>
              <w:t>详见第二章</w:t>
            </w:r>
          </w:p>
        </w:tc>
        <w:tc>
          <w:tcPr>
            <w:tcW w:type="dxa" w:w="1187"/>
          </w:tcPr>
          <w:p>
            <w:r>
              <w:rPr/>
              <w:t>否</w:t>
            </w:r>
          </w:p>
        </w:tc>
      </w:tr>
      <w:tr>
        <w:tc>
          <w:tcPr>
            <w:tcW w:type="dxa" w:w="1187"/>
          </w:tcPr>
          <w:p>
            <w:r>
              <w:rPr/>
              <w:t>1-8</w:t>
            </w:r>
          </w:p>
        </w:tc>
        <w:tc>
          <w:tcPr>
            <w:tcW w:type="dxa" w:w="1424"/>
          </w:tcPr>
          <w:p>
            <w:r>
              <w:rPr/>
              <w:t>物理治疗、康复及体育治疗仪器设备</w:t>
            </w:r>
          </w:p>
        </w:tc>
        <w:tc>
          <w:tcPr>
            <w:tcW w:type="dxa" w:w="2136"/>
          </w:tcPr>
          <w:p>
            <w:r>
              <w:rPr/>
              <w:t>低温冲击镇痛仪</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1-9</w:t>
            </w:r>
          </w:p>
        </w:tc>
        <w:tc>
          <w:tcPr>
            <w:tcW w:type="dxa" w:w="1424"/>
          </w:tcPr>
          <w:p>
            <w:r>
              <w:rPr/>
              <w:t>物理治疗、康复及体育治疗仪器设备</w:t>
            </w:r>
          </w:p>
        </w:tc>
        <w:tc>
          <w:tcPr>
            <w:tcW w:type="dxa" w:w="2136"/>
          </w:tcPr>
          <w:p>
            <w:r>
              <w:rPr/>
              <w:t>深层肌肉刺激仪</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1-10</w:t>
            </w:r>
          </w:p>
        </w:tc>
        <w:tc>
          <w:tcPr>
            <w:tcW w:type="dxa" w:w="1424"/>
          </w:tcPr>
          <w:p>
            <w:r>
              <w:rPr/>
              <w:t>物理治疗、康复及体育治疗仪器设备</w:t>
            </w:r>
          </w:p>
        </w:tc>
        <w:tc>
          <w:tcPr>
            <w:tcW w:type="dxa" w:w="2136"/>
          </w:tcPr>
          <w:p>
            <w:r>
              <w:rPr/>
              <w:t>多关节主被动训练仪</w:t>
            </w:r>
          </w:p>
        </w:tc>
        <w:tc>
          <w:tcPr>
            <w:tcW w:type="dxa" w:w="1187"/>
          </w:tcPr>
          <w:p>
            <w:r>
              <w:rPr/>
              <w:t>2.00(套)</w:t>
            </w:r>
          </w:p>
        </w:tc>
        <w:tc>
          <w:tcPr>
            <w:tcW w:type="dxa" w:w="1187"/>
          </w:tcPr>
          <w:p>
            <w:r>
              <w:rPr/>
              <w:t>详见第二章</w:t>
            </w:r>
          </w:p>
        </w:tc>
        <w:tc>
          <w:tcPr>
            <w:tcW w:type="dxa" w:w="1187"/>
          </w:tcPr>
          <w:p>
            <w:r>
              <w:rPr/>
              <w:t>否</w:t>
            </w:r>
          </w:p>
        </w:tc>
      </w:tr>
      <w:tr>
        <w:tc>
          <w:tcPr>
            <w:tcW w:type="dxa" w:w="1187"/>
          </w:tcPr>
          <w:p>
            <w:r>
              <w:rPr/>
              <w:t>1-11</w:t>
            </w:r>
          </w:p>
        </w:tc>
        <w:tc>
          <w:tcPr>
            <w:tcW w:type="dxa" w:w="1424"/>
          </w:tcPr>
          <w:p>
            <w:r>
              <w:rPr/>
              <w:t>物理治疗、康复及体育治疗仪器设备</w:t>
            </w:r>
          </w:p>
        </w:tc>
        <w:tc>
          <w:tcPr>
            <w:tcW w:type="dxa" w:w="2136"/>
          </w:tcPr>
          <w:p>
            <w:r>
              <w:rPr/>
              <w:t>生物反馈助力电刺激</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1-12</w:t>
            </w:r>
          </w:p>
        </w:tc>
        <w:tc>
          <w:tcPr>
            <w:tcW w:type="dxa" w:w="1424"/>
          </w:tcPr>
          <w:p>
            <w:r>
              <w:rPr/>
              <w:t>物理治疗、康复及体育治疗仪器设备</w:t>
            </w:r>
          </w:p>
        </w:tc>
        <w:tc>
          <w:tcPr>
            <w:tcW w:type="dxa" w:w="2136"/>
          </w:tcPr>
          <w:p>
            <w:r>
              <w:rPr/>
              <w:t>吞咽神经肌肉低频电刺激仪（台式）</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1-13</w:t>
            </w:r>
          </w:p>
        </w:tc>
        <w:tc>
          <w:tcPr>
            <w:tcW w:type="dxa" w:w="1424"/>
          </w:tcPr>
          <w:p>
            <w:r>
              <w:rPr/>
              <w:t>物理治疗、康复及体育治疗仪器设备</w:t>
            </w:r>
          </w:p>
        </w:tc>
        <w:tc>
          <w:tcPr>
            <w:tcW w:type="dxa" w:w="2136"/>
          </w:tcPr>
          <w:p>
            <w:r>
              <w:rPr/>
              <w:t>平衡功能训练及评估系统</w:t>
            </w:r>
          </w:p>
        </w:tc>
        <w:tc>
          <w:tcPr>
            <w:tcW w:type="dxa" w:w="1187"/>
          </w:tcPr>
          <w:p>
            <w:r>
              <w:rPr/>
              <w:t>1.00(套)</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t>采购包2(体外冲击波治疗仪):</w:t>
      </w:r>
    </w:p>
    <w:p>
      <w:r>
        <w:rPr/>
        <w:t>采购包预算金额：200,000.00元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物理治疗、康复及体育治疗仪器设备</w:t>
            </w:r>
          </w:p>
        </w:tc>
        <w:tc>
          <w:tcPr>
            <w:tcW w:type="dxa" w:w="2136"/>
          </w:tcPr>
          <w:p>
            <w:r>
              <w:rPr/>
              <w:t>体外冲击波治疗仪</w:t>
            </w:r>
          </w:p>
        </w:tc>
        <w:tc>
          <w:tcPr>
            <w:tcW w:type="dxa" w:w="1187"/>
          </w:tcPr>
          <w:p>
            <w:r>
              <w:rPr/>
              <w:t>1.00(套)</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t>采购包3(语言障碍康复评估训练系统等一批设备):</w:t>
      </w:r>
    </w:p>
    <w:p>
      <w:r>
        <w:rPr/>
        <w:t>采购包预算金额：246,000.00元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3-1</w:t>
            </w:r>
          </w:p>
        </w:tc>
        <w:tc>
          <w:tcPr>
            <w:tcW w:type="dxa" w:w="1424"/>
          </w:tcPr>
          <w:p>
            <w:r>
              <w:rPr/>
              <w:t>物理治疗、康复及体育治疗仪器设备</w:t>
            </w:r>
          </w:p>
        </w:tc>
        <w:tc>
          <w:tcPr>
            <w:tcW w:type="dxa" w:w="2136"/>
          </w:tcPr>
          <w:p>
            <w:r>
              <w:rPr/>
              <w:t>电脑中频治疗仪(4通道)</w:t>
            </w:r>
          </w:p>
        </w:tc>
        <w:tc>
          <w:tcPr>
            <w:tcW w:type="dxa" w:w="1187"/>
          </w:tcPr>
          <w:p>
            <w:r>
              <w:rPr/>
              <w:t>4.00(套)</w:t>
            </w:r>
          </w:p>
        </w:tc>
        <w:tc>
          <w:tcPr>
            <w:tcW w:type="dxa" w:w="1187"/>
          </w:tcPr>
          <w:p>
            <w:r>
              <w:rPr/>
              <w:t>详见第二章</w:t>
            </w:r>
          </w:p>
        </w:tc>
        <w:tc>
          <w:tcPr>
            <w:tcW w:type="dxa" w:w="1187"/>
          </w:tcPr>
          <w:p>
            <w:r>
              <w:rPr/>
              <w:t>否</w:t>
            </w:r>
          </w:p>
        </w:tc>
      </w:tr>
      <w:tr>
        <w:tc>
          <w:tcPr>
            <w:tcW w:type="dxa" w:w="1187"/>
          </w:tcPr>
          <w:p>
            <w:r>
              <w:rPr/>
              <w:t>3-2</w:t>
            </w:r>
          </w:p>
        </w:tc>
        <w:tc>
          <w:tcPr>
            <w:tcW w:type="dxa" w:w="1424"/>
          </w:tcPr>
          <w:p>
            <w:r>
              <w:rPr/>
              <w:t>物理治疗、康复及体育治疗仪器设备</w:t>
            </w:r>
          </w:p>
        </w:tc>
        <w:tc>
          <w:tcPr>
            <w:tcW w:type="dxa" w:w="2136"/>
          </w:tcPr>
          <w:p>
            <w:r>
              <w:rPr/>
              <w:t>语言障碍康复评估训练系统</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3-3</w:t>
            </w:r>
          </w:p>
        </w:tc>
        <w:tc>
          <w:tcPr>
            <w:tcW w:type="dxa" w:w="1424"/>
          </w:tcPr>
          <w:p>
            <w:r>
              <w:rPr/>
              <w:t>物理治疗、康复及体育治疗仪器设备</w:t>
            </w:r>
          </w:p>
        </w:tc>
        <w:tc>
          <w:tcPr>
            <w:tcW w:type="dxa" w:w="2136"/>
          </w:tcPr>
          <w:p>
            <w:r>
              <w:rPr/>
              <w:t>康复站立床</w:t>
            </w:r>
          </w:p>
        </w:tc>
        <w:tc>
          <w:tcPr>
            <w:tcW w:type="dxa" w:w="1187"/>
          </w:tcPr>
          <w:p>
            <w:r>
              <w:rPr/>
              <w:t>2.00(套)</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t>采购包4(变频便携式体外膈肌起搏器):</w:t>
      </w:r>
    </w:p>
    <w:p>
      <w:r>
        <w:rPr/>
        <w:t>采购包预算金额：96,000.00元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4-1</w:t>
            </w:r>
          </w:p>
        </w:tc>
        <w:tc>
          <w:tcPr>
            <w:tcW w:type="dxa" w:w="1424"/>
          </w:tcPr>
          <w:p>
            <w:r>
              <w:rPr/>
              <w:t>介/植入诊断和治疗用器械</w:t>
            </w:r>
          </w:p>
        </w:tc>
        <w:tc>
          <w:tcPr>
            <w:tcW w:type="dxa" w:w="2136"/>
          </w:tcPr>
          <w:p>
            <w:r>
              <w:rPr/>
              <w:t>变频便携式体外膈肌起搏器</w:t>
            </w:r>
          </w:p>
        </w:tc>
        <w:tc>
          <w:tcPr>
            <w:tcW w:type="dxa" w:w="1187"/>
          </w:tcPr>
          <w:p>
            <w:r>
              <w:rPr/>
              <w:t>4.00(套)</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t>采购包5(磁振热治疗仪):</w:t>
      </w:r>
    </w:p>
    <w:p>
      <w:r>
        <w:rPr/>
        <w:t>采购包预算金额：56,000.00元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5-1</w:t>
            </w:r>
          </w:p>
        </w:tc>
        <w:tc>
          <w:tcPr>
            <w:tcW w:type="dxa" w:w="1424"/>
          </w:tcPr>
          <w:p>
            <w:r>
              <w:rPr/>
              <w:t>物理治疗、康复及体育治疗仪器设备</w:t>
            </w:r>
          </w:p>
        </w:tc>
        <w:tc>
          <w:tcPr>
            <w:tcW w:type="dxa" w:w="2136"/>
          </w:tcPr>
          <w:p>
            <w:r>
              <w:rPr/>
              <w:t>磁振热治疗仪</w:t>
            </w:r>
          </w:p>
        </w:tc>
        <w:tc>
          <w:tcPr>
            <w:tcW w:type="dxa" w:w="1187"/>
          </w:tcPr>
          <w:p>
            <w:r>
              <w:rPr/>
              <w:t>1.00(套)</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t>采购包6(上肢智能反馈训练系统):</w:t>
      </w:r>
    </w:p>
    <w:p>
      <w:r>
        <w:rPr/>
        <w:t>采购包预算金额：430,000.00元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6-1</w:t>
            </w:r>
          </w:p>
        </w:tc>
        <w:tc>
          <w:tcPr>
            <w:tcW w:type="dxa" w:w="1424"/>
          </w:tcPr>
          <w:p>
            <w:r>
              <w:rPr/>
              <w:t>物理治疗、康复及体育治疗仪器设备</w:t>
            </w:r>
          </w:p>
        </w:tc>
        <w:tc>
          <w:tcPr>
            <w:tcW w:type="dxa" w:w="2136"/>
          </w:tcPr>
          <w:p>
            <w:r>
              <w:rPr/>
              <w:t>上肢智能反馈训练系统</w:t>
            </w:r>
          </w:p>
        </w:tc>
        <w:tc>
          <w:tcPr>
            <w:tcW w:type="dxa" w:w="1187"/>
          </w:tcPr>
          <w:p>
            <w:r>
              <w:rPr/>
              <w:t>1.00(套)</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3）具有良好的商业信誉和健全的财务会计制度：供应商必须具有良好的商业信誉和健全的财务会计制度（提供2022年度财务状况报告或2023年至今任意1个月的财务状况报告复印件或基本开户行出具的资信证明）。</w:t>
      </w:r>
    </w:p>
    <w:p/>
    <w:p>
      <w:r>
        <w:rPr/>
        <w:t>4）履行合同所必需的设备和专业技术能力：提供书面承诺声明函（格式自拟）或具有履行合同所必须的设备和专业技术能力的其他证明材料。</w:t>
      </w:r>
    </w:p>
    <w:p/>
    <w:p>
      <w:r>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采购包1（磁刺激治疗仪等一批设备）：</w:t>
      </w:r>
      <w:r>
        <w:rPr/>
        <w:t>采购包整体专门面向中小企业，全部货物须由中小微企业或监狱企业或残疾人福利性单位制造。</w:t>
      </w:r>
    </w:p>
    <w:p>
      <w:pPr>
        <w:jc w:val="left"/>
      </w:pPr>
    </w:p>
    <w:p>
      <w:r>
        <w:rPr/>
        <w:t>采购包2（体外冲击波治疗仪）：</w:t>
      </w:r>
      <w:r>
        <w:rPr/>
        <w:t>采购包整体专门面向中小企业，全部货物须由中小微企业或监狱企业或残疾人福利性单位制造。</w:t>
      </w:r>
    </w:p>
    <w:p>
      <w:pPr>
        <w:jc w:val="left"/>
      </w:pPr>
    </w:p>
    <w:p>
      <w:r>
        <w:rPr/>
        <w:t>采购包3（语言障碍康复评估训练系统等一批设备）：</w:t>
      </w:r>
      <w:r>
        <w:rPr/>
        <w:t>采购包整体专门面向中小企业，全部货物须由中小微企业或监狱企业或残疾人福利性单位制造。</w:t>
      </w:r>
    </w:p>
    <w:p>
      <w:pPr>
        <w:jc w:val="left"/>
      </w:pPr>
    </w:p>
    <w:p>
      <w:r>
        <w:rPr/>
        <w:t>采购包4（变频便携式体外膈肌起搏器）：</w:t>
      </w:r>
      <w:r>
        <w:rPr/>
        <w:t>采购包整体专门面向中小企业，全部货物须由中小微企业或监狱企业或残疾人福利性单位制造。</w:t>
      </w:r>
    </w:p>
    <w:p>
      <w:pPr>
        <w:jc w:val="left"/>
      </w:pPr>
    </w:p>
    <w:p>
      <w:r>
        <w:rPr/>
        <w:t>采购包5（磁振热治疗仪）：</w:t>
      </w:r>
      <w:r>
        <w:rPr/>
        <w:t>采购包整体专门面向中小企业，全部货物须由中小微企业或监狱企业或残疾人福利性单位制造。</w:t>
      </w:r>
    </w:p>
    <w:p>
      <w:pPr>
        <w:jc w:val="left"/>
      </w:pPr>
    </w:p>
    <w:p>
      <w:r>
        <w:rPr/>
        <w:t>采购包6（上肢智能反馈训练系统）：</w:t>
      </w:r>
      <w:r>
        <w:rPr/>
        <w:t>采购包整体专门面向中小企业，全部货物须由中小微企业或监狱企业或残疾人福利性单位制造。</w:t>
      </w:r>
    </w:p>
    <w:p/>
    <w:p>
      <w:r>
        <w:rPr>
          <w:b/>
          <w:sz w:val="24"/>
        </w:rPr>
        <w:t>3.本项目特定的资格要求：</w:t>
      </w:r>
    </w:p>
    <w:p>
      <w:pPr>
        <w:ind w:firstLine="480"/>
      </w:pPr>
    </w:p>
    <w:p/>
    <w:p>
      <w:r>
        <w:rPr/>
        <w:t>采购包1（磁刺激治疗仪等一批设备）：</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为本项目提供整体设计、规范编制或者项目管理、监理、检测等服务的供应商，不得再参与本项目投标。投标函相关承诺要求内容。</w:t>
      </w:r>
    </w:p>
    <w:p/>
    <w:p>
      <w:r>
        <w:rPr/>
        <w:t>3)已获取本项目采购文件。</w:t>
      </w:r>
    </w:p>
    <w:p/>
    <w:p>
      <w:r>
        <w:rPr/>
        <w:t>采购包2（体外冲击波治疗仪）：</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为本项目提供整体设计、规范编制或者项目管理、监理、检测等服务的供应商，不得再参与本项目投标。投标函相关承诺要求内容。</w:t>
      </w:r>
    </w:p>
    <w:p/>
    <w:p>
      <w:r>
        <w:rPr/>
        <w:t>3)已获取本项目采购文件。</w:t>
      </w:r>
    </w:p>
    <w:p/>
    <w:p>
      <w:r>
        <w:rPr/>
        <w:t>采购包3（语言障碍康复评估训练系统等一批设备）：</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为本项目提供整体设计、规范编制或者项目管理、监理、检测等服务的供应商，不得再参与本项目投标。投标函相关承诺要求内容。</w:t>
      </w:r>
    </w:p>
    <w:p/>
    <w:p>
      <w:r>
        <w:rPr/>
        <w:t>3)已获取本项目采购文件。</w:t>
      </w:r>
    </w:p>
    <w:p/>
    <w:p>
      <w:r>
        <w:rPr/>
        <w:t>采购包4（变频便携式体外膈肌起搏器）：</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为本项目提供整体设计、规范编制或者项目管理、监理、检测等服务的供应商，不得再参与本项目投标。投标函相关承诺要求内容。</w:t>
      </w:r>
    </w:p>
    <w:p/>
    <w:p>
      <w:r>
        <w:rPr/>
        <w:t>3)已获取本项目采购文件。</w:t>
      </w:r>
    </w:p>
    <w:p/>
    <w:p>
      <w:r>
        <w:rPr/>
        <w:t>采购包5（磁振热治疗仪）：</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为本项目提供整体设计、规范编制或者项目管理、监理、检测等服务的供应商，不得再参与本项目投标。投标函相关承诺要求内容。</w:t>
      </w:r>
    </w:p>
    <w:p/>
    <w:p>
      <w:r>
        <w:rPr/>
        <w:t>3)已获取本项目采购文件。</w:t>
      </w:r>
    </w:p>
    <w:p/>
    <w:p>
      <w:r>
        <w:rPr/>
        <w:t>采购包6（上肢智能反馈训练系统）：</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为本项目提供整体设计、规范编制或者项目管理、监理、检测等服务的供应商，不得再参与本项目投标。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汕头大学医学院第一附属医院</w:t>
      </w:r>
    </w:p>
    <w:p>
      <w:pPr>
        <w:ind w:firstLine="480"/>
      </w:pPr>
      <w:r>
        <w:rPr/>
        <w:t>地址：</w:t>
      </w:r>
      <w:r>
        <w:rPr/>
        <w:t>汕头市长平路57号</w:t>
      </w:r>
    </w:p>
    <w:p>
      <w:pPr>
        <w:ind w:firstLine="480"/>
      </w:pPr>
      <w:r>
        <w:rPr/>
        <w:t>联系方式：</w:t>
      </w:r>
      <w:r>
        <w:rPr/>
        <w:t>0754-88905636</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0754-87230486、020-87687817</w:t>
      </w:r>
    </w:p>
    <w:p>
      <w:r>
        <w:rPr>
          <w:b/>
          <w:sz w:val="24"/>
        </w:rPr>
        <w:t>3.项目联系方式</w:t>
      </w:r>
    </w:p>
    <w:p>
      <w:pPr>
        <w:ind w:firstLine="480"/>
      </w:pPr>
      <w:r>
        <w:rPr/>
        <w:t>项目联系人：</w:t>
      </w:r>
      <w:r>
        <w:rPr/>
        <w:t>郑淇筠、梁思瑶</w:t>
      </w:r>
    </w:p>
    <w:p>
      <w:pPr>
        <w:ind w:firstLine="480"/>
      </w:pPr>
      <w:r>
        <w:rPr/>
        <w:t>电话：</w:t>
      </w:r>
      <w:r>
        <w:rPr/>
        <w:t>0754-87230486、020-87687817</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p>
    <w:p>
      <w:pPr>
        <w:jc w:val="both"/>
      </w:pPr>
    </w:p>
    <w:p>
      <w:pPr>
        <w:jc w:val="both"/>
      </w:pPr>
      <w:r>
        <w:rPr>
          <w:b/>
          <w:sz w:val="21"/>
        </w:rPr>
        <w:t>（一）项目编号：</w:t>
      </w:r>
      <w:r>
        <w:rPr>
          <w:sz w:val="21"/>
        </w:rPr>
        <w:t>GZGK23P306A1002Z</w:t>
      </w:r>
    </w:p>
    <w:p>
      <w:pPr>
        <w:jc w:val="both"/>
      </w:pPr>
      <w:r>
        <w:rPr>
          <w:b/>
          <w:sz w:val="21"/>
        </w:rPr>
        <w:t>（二）项目名称：</w:t>
      </w:r>
      <w:r>
        <w:rPr>
          <w:sz w:val="21"/>
        </w:rPr>
        <w:t>汕头大学医学院第一附属医院磁刺激治疗仪等康复设备项目</w:t>
      </w:r>
    </w:p>
    <w:p>
      <w:pPr>
        <w:jc w:val="both"/>
      </w:pPr>
      <w:r>
        <w:rPr>
          <w:b/>
          <w:sz w:val="21"/>
        </w:rPr>
        <w:t>（三）总体要求说明：</w:t>
      </w:r>
    </w:p>
    <w:p>
      <w:pPr>
        <w:ind w:firstLine="420"/>
        <w:jc w:val="both"/>
      </w:pPr>
      <w:r>
        <w:rPr>
          <w:sz w:val="21"/>
        </w:rPr>
        <w:t>1、 标有“★”的条款</w:t>
      </w:r>
      <w:r>
        <w:rPr>
          <w:sz w:val="21"/>
        </w:rPr>
        <w:t>为必须完全满足的实质性要求</w:t>
      </w:r>
      <w:r>
        <w:rPr>
          <w:sz w:val="21"/>
        </w:rPr>
        <w:t>，投标人如有一项带</w:t>
      </w:r>
      <w:r>
        <w:rPr>
          <w:sz w:val="21"/>
        </w:rPr>
        <w:t>“★”的条款未响应或负偏离，将按无效投标处理。</w:t>
      </w:r>
    </w:p>
    <w:p>
      <w:pPr>
        <w:ind w:firstLine="420"/>
        <w:jc w:val="both"/>
      </w:pPr>
      <w:r>
        <w:rPr>
          <w:sz w:val="21"/>
        </w:rPr>
        <w:t>2、 标有“▲”的条款为重要性要求，投标人如有“▲”的条款未响应或负偏离的将被严重扣分。</w:t>
      </w:r>
    </w:p>
    <w:p>
      <w:pPr>
        <w:ind w:firstLine="420"/>
        <w:jc w:val="both"/>
      </w:pPr>
      <w:r>
        <w:rPr>
          <w:sz w:val="21"/>
        </w:rPr>
        <w:t>3、 投标人必须承诺提供厂商原装、全新的、符合国家及用户提出的有关质量标准的设备。</w:t>
      </w:r>
    </w:p>
    <w:p>
      <w:pPr>
        <w:ind w:firstLine="420"/>
        <w:jc w:val="both"/>
      </w:pPr>
      <w:r>
        <w:rPr>
          <w:sz w:val="21"/>
        </w:rPr>
        <w:t>4、 投标人应对采购需求中的设备性能和技术指标在响应详细内容中列出具体数值。如果投标人只注明“正偏离”或“无偏离”，将</w:t>
      </w:r>
      <w:r>
        <w:rPr>
          <w:sz w:val="21"/>
        </w:rPr>
        <w:t>可能</w:t>
      </w:r>
      <w:r>
        <w:rPr>
          <w:sz w:val="21"/>
        </w:rPr>
        <w:t>被视为</w:t>
      </w:r>
      <w:r>
        <w:rPr>
          <w:sz w:val="21"/>
        </w:rPr>
        <w:t>“负偏离”，从而可能导致严重影响评标结果。</w:t>
      </w:r>
    </w:p>
    <w:p>
      <w:pPr>
        <w:ind w:firstLine="420"/>
        <w:jc w:val="both"/>
      </w:pPr>
      <w:r>
        <w:rPr>
          <w:sz w:val="21"/>
        </w:rPr>
        <w:t>5、 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p>
    <w:p>
      <w:pPr>
        <w:ind w:firstLine="420"/>
        <w:jc w:val="both"/>
      </w:pPr>
      <w:r>
        <w:rPr>
          <w:sz w:val="21"/>
        </w:rPr>
        <w:t>6、 凡列入《中华人民共和国实施强制性产品认证的产品目录》的产品在验收时必须出具CCC认证证书复印件，并以在产品外部加施认证标志作为验收依据之一。</w:t>
      </w:r>
    </w:p>
    <w:p>
      <w:pPr>
        <w:ind w:firstLine="420"/>
        <w:jc w:val="both"/>
      </w:pPr>
      <w:r>
        <w:rPr>
          <w:sz w:val="21"/>
        </w:rPr>
        <w:t>7、 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p>
    <w:p>
      <w:pPr>
        <w:ind w:firstLine="420"/>
        <w:jc w:val="both"/>
      </w:pPr>
      <w:r>
        <w:rPr>
          <w:sz w:val="21"/>
        </w:rPr>
        <w:t>8、 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p>
    <w:p>
      <w:pPr>
        <w:ind w:firstLine="420"/>
        <w:jc w:val="both"/>
      </w:pPr>
      <w:r>
        <w:rPr>
          <w:sz w:val="21"/>
        </w:rPr>
        <w:t>9、 涉及到软件产品的，必须采购和使用正版软件，项目中涉及计算机办公产品的，必须预装正版操作系统软件。</w:t>
      </w:r>
    </w:p>
    <w:p>
      <w:pPr>
        <w:ind w:firstLine="420"/>
        <w:jc w:val="both"/>
      </w:pPr>
      <w:r>
        <w:rPr>
          <w:sz w:val="21"/>
        </w:rPr>
        <w:t>10、 投标人没有在投标文件中注明偏离（文字说明或在响应表注明）的参数、配置、条款视为被投标人完全接受。</w:t>
      </w:r>
    </w:p>
    <w:p>
      <w:pPr>
        <w:ind w:firstLine="420"/>
        <w:jc w:val="both"/>
      </w:pPr>
      <w:r>
        <w:rPr>
          <w:sz w:val="21"/>
        </w:rPr>
        <w:t>11、 投标人应保证，采购人在中华人民共和国使用该货物或货物的任何一部分时，免受第三方提出的侵犯其专利权、商标权、著作权或其它知识产权的起诉。</w:t>
      </w:r>
    </w:p>
    <w:p>
      <w:pPr>
        <w:ind w:firstLine="420"/>
        <w:jc w:val="both"/>
      </w:pPr>
      <w:r>
        <w:rPr>
          <w:sz w:val="21"/>
        </w:rPr>
        <w:t>1</w:t>
      </w:r>
      <w:r>
        <w:rPr>
          <w:sz w:val="21"/>
        </w:rPr>
        <w:t>2</w:t>
      </w:r>
      <w:r>
        <w:rPr>
          <w:sz w:val="21"/>
        </w:rPr>
        <w:t>、</w:t>
      </w:r>
      <w:r>
        <w:rPr>
          <w:sz w:val="21"/>
        </w:rPr>
        <w:t>小型和微型企业、监狱企业和残疾人福利性单位必须按照投标须知的内容提供相应的资料。</w:t>
      </w:r>
    </w:p>
    <w:p>
      <w:pPr>
        <w:ind w:firstLine="420"/>
        <w:jc w:val="both"/>
      </w:pPr>
      <w:r>
        <w:rPr>
          <w:sz w:val="21"/>
        </w:rPr>
        <w:t>1</w:t>
      </w:r>
      <w:r>
        <w:rPr>
          <w:sz w:val="21"/>
        </w:rPr>
        <w:t>3</w:t>
      </w:r>
      <w:r>
        <w:rPr>
          <w:sz w:val="21"/>
        </w:rPr>
        <w:t>、</w:t>
      </w:r>
      <w:r>
        <w:rPr>
          <w:sz w:val="21"/>
        </w:rPr>
        <w:t>需落实政府采购政策为：促进中小企业发展政策、支持监狱企业发展政策、支持残疾人福利性单位发展政策、优先采购节能产品、环境标志产品相关政策等。</w:t>
      </w:r>
    </w:p>
    <w:p>
      <w:pPr>
        <w:ind w:firstLine="420"/>
        <w:jc w:val="both"/>
      </w:pPr>
      <w:r>
        <w:rPr>
          <w:sz w:val="21"/>
        </w:rPr>
        <w:t>1</w:t>
      </w:r>
      <w:r>
        <w:rPr>
          <w:sz w:val="21"/>
        </w:rPr>
        <w:t>4</w:t>
      </w:r>
      <w:r>
        <w:rPr>
          <w:sz w:val="21"/>
        </w:rPr>
        <w:t>、</w:t>
      </w:r>
      <w:r>
        <w:rPr>
          <w:sz w:val="21"/>
        </w:rPr>
        <w:t>单一产品采购项目，提供相同品牌产品且通过资格审查、符合性审查的不同投标人参加同一合同项下投标的，按一家投标人计算；非单一产品采购项目，提供相同品牌核心产品且通过资格审查、符合性审查的不同投标人参加同一合同项下投标的，按一家投标人计算。</w:t>
      </w:r>
    </w:p>
    <w:p>
      <w:pPr>
        <w:ind w:firstLine="210"/>
        <w:jc w:val="both"/>
      </w:pPr>
      <w:r>
        <w:rPr>
          <w:sz w:val="21"/>
        </w:rPr>
        <w:t>★15、（适用于所有采购包）如投标产品为一类医疗器械，应具备备案凭证；投标人若为生产厂家则须提供医疗器械生产备案凭证；如投标产品为二类医疗器械，投标产品应具备医疗器械注册证（无强制要求的除外，以国家药品监督管理局网上的数据库中查询的数据为准）；投标人若为经销商须提供医疗器械经营备案凭证或承诺合同签订前取得医疗器械经营备案凭证，若为生产厂家则须提供《医疗器械生产许可证》（提供证明文件复印件证明）。如投标产品为三类医疗器械，投标产品应具备医疗器械注册证（无强制要求的除外，以国家药品监督管理局网上的数据库中查询的数据为准）；投标人若为经销商须提供医疗器械经营许可证，若为生产厂家则须提供《医疗器械生产许可证》（提供证明文件复印件证明）。如投标产品非医疗器械的，则无须提供本项证明材料。（如国家另有规定，则适用其规定）</w:t>
      </w:r>
    </w:p>
    <w:p>
      <w:pPr>
        <w:jc w:val="both"/>
      </w:pPr>
      <w:r>
        <w:rPr>
          <w:b/>
          <w:sz w:val="21"/>
        </w:rPr>
        <w:t>（四）其他说明：</w:t>
      </w:r>
    </w:p>
    <w:p>
      <w:pPr>
        <w:ind w:firstLine="420"/>
        <w:jc w:val="both"/>
      </w:pPr>
      <w:r>
        <w:rPr>
          <w:sz w:val="21"/>
        </w:rPr>
        <w:t>1、本项目开标方式为远程开标。参与全流程云平台采购项目的供应商登录云平台通过“新供应商开标大厅”进行签到及投标文件的解密，签到需在开标时间前30分钟内完成，不需要委派代表前往开标现场。</w:t>
      </w:r>
    </w:p>
    <w:p>
      <w:pPr>
        <w:jc w:val="both"/>
      </w:pPr>
      <w:r>
        <w:rPr>
          <w:sz w:val="21"/>
        </w:rPr>
        <w:t>但为了保证开标程序顺利、高效地完成，投标人亦可委派代表携带</w:t>
      </w:r>
      <w:r>
        <w:rPr>
          <w:sz w:val="21"/>
        </w:rPr>
        <w:t>CA-key、存储有非加密投标文件的U盘及纸质投标文件前往开标现场进行签到、解密。</w:t>
      </w:r>
    </w:p>
    <w:p>
      <w:pPr>
        <w:ind w:firstLine="420"/>
        <w:jc w:val="both"/>
      </w:pPr>
      <w:r>
        <w:rPr>
          <w:sz w:val="21"/>
        </w:rPr>
        <w:t>2、 纸质投标文件邮寄地址（邮寄地址：广东省汕头市金霞街道高新区科技中路25号聚盛大厦B座511，收件人及电话：详见项目公告的项目联系人）。投标人如选择邮寄投标文件，请提前安排时间邮寄，务必保证投标文件于提交投标文件截止时间前到达上述地址（以签收时间为准），并及时将快递单号发送至招标代理机构邮箱：</w:t>
      </w:r>
      <w:r>
        <w:rPr>
          <w:sz w:val="21"/>
        </w:rPr>
        <w:t>gzgk@gzgkbidding.com</w:t>
      </w:r>
      <w:r>
        <w:rPr>
          <w:sz w:val="21"/>
        </w:rPr>
        <w:t>。</w:t>
      </w:r>
    </w:p>
    <w:p>
      <w:pPr>
        <w:ind w:firstLine="420"/>
        <w:jc w:val="both"/>
      </w:pPr>
      <w:r>
        <w:rPr>
          <w:sz w:val="21"/>
        </w:rPr>
        <w:t>3、 供应商电脑需提前安装CA签章客户端，并运行CA证书。</w:t>
      </w:r>
    </w:p>
    <w:p>
      <w:pPr>
        <w:ind w:firstLine="420"/>
        <w:jc w:val="both"/>
      </w:pPr>
      <w:r>
        <w:rPr>
          <w:sz w:val="21"/>
        </w:rPr>
        <w:t>4、 请各投标人在编制投标文件时注意，涉及到签字或签章的地方，请按要求签字或签章后再上传系统。投标文件加密前请注意所有需要签字、签章、盖章的地方是否齐全无缺漏。请保管好CA证书的密码，如遗忘，请及时重置，以免影响投标文件的解密。</w:t>
      </w:r>
    </w:p>
    <w:p>
      <w:pPr>
        <w:jc w:val="both"/>
      </w:pPr>
      <w:r>
        <w:rPr>
          <w:b/>
          <w:color w:val="000000"/>
          <w:sz w:val="21"/>
        </w:rPr>
        <w:t>（五）投标报价说明：</w:t>
      </w:r>
    </w:p>
    <w:p>
      <w:pPr>
        <w:ind w:firstLine="420"/>
        <w:jc w:val="both"/>
      </w:pPr>
      <w:r>
        <w:rPr>
          <w:color w:val="000000"/>
          <w:sz w:val="21"/>
        </w:rPr>
        <w:t>1、</w:t>
      </w:r>
      <w:r>
        <w:rPr>
          <w:color w:val="000000"/>
          <w:sz w:val="21"/>
        </w:rPr>
        <w:t>投标报价包括：货款、设计、安装、随机零配件、标配工具、运输保险、调试、培训、保修期服务、各项税费及合同实施过程中不可预见费用等。</w:t>
      </w:r>
    </w:p>
    <w:p>
      <w:pPr>
        <w:ind w:firstLine="420"/>
        <w:jc w:val="left"/>
      </w:pPr>
      <w:r>
        <w:rPr>
          <w:color w:val="000000"/>
          <w:sz w:val="21"/>
        </w:rPr>
        <w:t>2</w:t>
      </w:r>
      <w:r>
        <w:rPr>
          <w:color w:val="000000"/>
          <w:sz w:val="21"/>
        </w:rPr>
        <w:t>、专机配套耗材报价表所列单价为出厂价（货款、运输、保险费、装卸费以及可能产生的全部相关费用）；</w:t>
      </w:r>
    </w:p>
    <w:p>
      <w:pPr>
        <w:ind w:firstLine="420"/>
        <w:jc w:val="both"/>
      </w:pPr>
      <w:r>
        <w:rPr>
          <w:color w:val="000000"/>
          <w:sz w:val="21"/>
        </w:rPr>
        <w:t>3</w:t>
      </w:r>
      <w:r>
        <w:rPr>
          <w:color w:val="000000"/>
          <w:sz w:val="21"/>
        </w:rPr>
        <w:t>、</w:t>
      </w:r>
      <w:r>
        <w:rPr>
          <w:color w:val="000000"/>
          <w:sz w:val="21"/>
        </w:rPr>
        <w:t>如投标人所投设备有专机耗材的，</w:t>
      </w:r>
      <w:r>
        <w:rPr>
          <w:color w:val="000000"/>
          <w:sz w:val="21"/>
        </w:rPr>
        <w:t>应在投标文件中报出</w:t>
      </w:r>
      <w:r>
        <w:rPr>
          <w:color w:val="000000"/>
          <w:sz w:val="21"/>
        </w:rPr>
        <w:t>各</w:t>
      </w:r>
      <w:r>
        <w:rPr>
          <w:color w:val="000000"/>
          <w:sz w:val="21"/>
        </w:rPr>
        <w:t>设备</w:t>
      </w:r>
      <w:r>
        <w:rPr>
          <w:color w:val="000000"/>
          <w:sz w:val="21"/>
        </w:rPr>
        <w:t>的专</w:t>
      </w:r>
      <w:r>
        <w:rPr>
          <w:color w:val="000000"/>
          <w:sz w:val="21"/>
        </w:rPr>
        <w:t>机</w:t>
      </w:r>
      <w:r>
        <w:rPr>
          <w:color w:val="000000"/>
          <w:sz w:val="21"/>
        </w:rPr>
        <w:t>配套耗材的名称、价格、注册证名称、注册证号、规格型号、品牌等信</w:t>
      </w:r>
      <w:r>
        <w:rPr>
          <w:color w:val="000000"/>
          <w:sz w:val="21"/>
        </w:rPr>
        <w:t>息（报价格式详见附件）</w:t>
      </w:r>
      <w:r>
        <w:rPr>
          <w:color w:val="000000"/>
          <w:sz w:val="21"/>
        </w:rPr>
        <w:t>，</w:t>
      </w:r>
      <w:r>
        <w:rPr>
          <w:color w:val="000000"/>
          <w:sz w:val="21"/>
        </w:rPr>
        <w:t>报价不得超过</w:t>
      </w:r>
      <w:r>
        <w:rPr>
          <w:color w:val="000000"/>
          <w:sz w:val="21"/>
        </w:rPr>
        <w:t>耗材的省药品交易平台采购报价</w:t>
      </w:r>
      <w:r>
        <w:rPr>
          <w:color w:val="000000"/>
          <w:sz w:val="21"/>
        </w:rPr>
        <w:t>及</w:t>
      </w:r>
      <w:r>
        <w:rPr>
          <w:color w:val="000000"/>
          <w:sz w:val="21"/>
        </w:rPr>
        <w:t>省药品交易平台联盟区采购报价，同时投标人提交专机耗材平台采购签约的承诺书。如采购人在设备的使用过程中</w:t>
      </w:r>
      <w:r>
        <w:rPr>
          <w:color w:val="000000"/>
          <w:sz w:val="21"/>
        </w:rPr>
        <w:t>需</w:t>
      </w:r>
      <w:r>
        <w:rPr>
          <w:color w:val="000000"/>
          <w:sz w:val="21"/>
        </w:rPr>
        <w:t>购买该耗材，则按照中标人投标文件中所报的价格作为</w:t>
      </w:r>
      <w:r>
        <w:rPr>
          <w:color w:val="000000"/>
          <w:sz w:val="21"/>
        </w:rPr>
        <w:t>采购</w:t>
      </w:r>
      <w:r>
        <w:rPr>
          <w:color w:val="000000"/>
          <w:sz w:val="21"/>
        </w:rPr>
        <w:t>价格，实际采购数量以采购人需求通知下单的数量为准，费用按实结算，不包含</w:t>
      </w:r>
      <w:r>
        <w:rPr>
          <w:color w:val="000000"/>
          <w:sz w:val="21"/>
        </w:rPr>
        <w:t>在本项目的采购预算之中。</w:t>
      </w:r>
    </w:p>
    <w:p>
      <w:pPr>
        <w:jc w:val="both"/>
      </w:pPr>
      <w:r>
        <w:rPr>
          <w:b/>
          <w:color w:val="000000"/>
          <w:sz w:val="21"/>
        </w:rPr>
        <w:t>（</w:t>
      </w:r>
      <w:r>
        <w:rPr>
          <w:b/>
          <w:color w:val="000000"/>
          <w:sz w:val="21"/>
        </w:rPr>
        <w:t>六）</w:t>
      </w:r>
      <w:r>
        <w:rPr>
          <w:b/>
          <w:color w:val="000000"/>
          <w:sz w:val="21"/>
        </w:rPr>
        <w:t>实现的功能</w:t>
      </w:r>
    </w:p>
    <w:p>
      <w:pPr>
        <w:ind w:firstLine="420"/>
        <w:jc w:val="both"/>
      </w:pPr>
      <w:r>
        <w:rPr>
          <w:sz w:val="21"/>
        </w:rPr>
        <w:t>本批设备用于满足采购人的临床需求</w:t>
      </w:r>
      <w:r>
        <w:rPr>
          <w:sz w:val="21"/>
        </w:rPr>
        <w:t>。</w:t>
      </w:r>
    </w:p>
    <w:p>
      <w:pPr>
        <w:jc w:val="both"/>
      </w:pPr>
    </w:p>
    <w:p>
      <w:pPr>
        <w:jc w:val="both"/>
      </w:pPr>
    </w:p>
    <w:p/>
    <w:p>
      <w:pPr>
        <w:ind w:firstLine="480"/>
      </w:pPr>
    </w:p>
    <w:p/>
    <w:p>
      <w:r>
        <w:rPr/>
        <w:t>采购包1（磁刺激治疗仪等一批设备）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交货期：合同签订之日起30日（日历日）内。</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中标人为非中小企业：全部合同设备到达采购人指定地点完成安装、调试、验收、培训并交付使用后，中标人凭：①合同、②正式发票、③验收调试报告（加盖采购人公章）、④中标通知书向采购人申请付款，采购人于6个月内向中标人支付合同总金额的95％，剩余5％待验收合格保修期满后一次性无息付清。 2.中标人为中小企业：签订合同之日起15个日历日内，中标人凭：①合同、②正式发票、③中标通知书向采购人申请付款，采购人根据中标人提供有效发票后的15个日历日内将按合同总金额的30%支付给中标人；全部合同设备到达采购人指定地点完成安装、调试、验收、培训并交付使用后，中标人凭：①合同、②正式发票、③验收调试报告（加盖采购人公章）、④中标通知书向采购人申请付款，采购人根据中标人提供有效发票后的15个日历日内将按合同总金额的65%支付给中标人，剩余5％待验收合格保修期满后一次性无息付清。</w:t>
            </w:r>
          </w:p>
        </w:tc>
      </w:tr>
      <w:tr>
        <w:tc>
          <w:tcPr>
            <w:tcW w:type="dxa" w:w="4153"/>
          </w:tcPr>
          <w:p>
            <w:r>
              <w:rPr/>
              <w:t>验收要求</w:t>
            </w:r>
          </w:p>
        </w:tc>
        <w:tc>
          <w:tcPr>
            <w:tcW w:type="dxa" w:w="4153"/>
          </w:tcPr>
          <w:p/>
          <w:p/>
          <w:p/>
          <w:p>
            <w:r>
              <w:rPr/>
              <w:t>1期：1.采购人按照采购合同规定的技术、服务、安全标准组织对中标人履约情况进行验收，并出具验收书。验收书应当包括每一项技术、服务、安全标准的履约情况。 2.交付验收标准依次序对照适用标准为：①符合中华人民共和国国家安全质量标准、环保标准或行业标准；②符合招标文件和投标承诺中采购人认可的合理最佳配置、参数及各项要求；③货物来源国官方标准。 3.货物为原厂商未启封全新包装，具有出厂合格证，序列号、包装箱号与出厂批号一致，并可追索查阅。所有随设备的附件必须齐全。收货时中标人按照采购人的通知，共同开箱检验，要求对全部货物、品牌、产品、型号、规格、数量、产地厂家、外型、外观、包装及资料、文件（如装箱单、保修单、随箱介质等）的验收。货物验收完毕，中标人向采购人递交货物验收清单，由双方代表签字生效。验收中如发现有质量不合格或型号规格、数量等与送货清单不符、提交的技术文件和资料不完整等情形，中标人应无条件更换或补齐，并承担因此发生的违约责任。 4.中标人将货物的用户手册、保修手册、有关单证资料及备品备件、随机工具等交付给采购人，使用操作及安全须知等重要资料应附有中文说明。 5.货物验收所发生的检验费用由中标人负担。 6.设备到货并经中标人技术人员安装后，采购人有权委托中国有资格的单位对上述设备进行校准或检验，设备校准或检验所产生的费用由中标人负担。 7.采购人组成验收小组，按照采购合同规定的技术、服务、安全标准组织对中标人履约情况进行验收。因货物质量问题发生争议时，由采购人本地质量技术监督部门鉴定。货物符合质量技术标准的，鉴定费由采购人承担；否则鉴定费由中标人承担。 8.当出现不合格产品时，中标人要无条件更换合格产品。除采购人认可，否则不接受任何形式的降格处理。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（一）包装与运输，包装箱应用坚固的材料制造，适用长途运输、防潮、防锈、防震、防粗暴装卸，适于空运和整体吊装，并注明起吊位置，起吊重量及重心位置。</w:t>
            </w:r>
          </w:p>
          <w:p/>
          <w:p>
            <w:r>
              <w:rPr/>
              <w:t>（二）保险，货物从出厂运至采购人指定地点的保险费用须包含在投标报价中。</w:t>
            </w:r>
          </w:p>
          <w:p/>
          <w:p>
            <w:r>
              <w:rPr/>
              <w:t>（三）安装与调试，1.除非采购人另有通知，中标人应按照合同的要求以及合同执行计划的时间安排，派出足够的人员进行现场安装和负责调试工作。在安装实施期间，严格遵守采购人的有关规定。 2.中标人必须依照招标文件的要求和投标文件的承诺，将设备、系统安装并调试至正常运行的最佳状态。 3.合同项下设备的安装调试所发生费用及耗材包含在本次投标报价中。 4.中标人安装时须对各安装场地内的其它货物、设施有良好保护措施。 5.如该设备需要联接相关信息系统，中标人应当协调设备厂家配合信息系统提供方，联接调试好信息系统，并负责支付相关费用。</w:t>
            </w:r>
          </w:p>
          <w:p/>
          <w:p>
            <w:r>
              <w:rPr/>
              <w:t>（四）技术培训，1.中标供应商每台设备提供现场安装调试和培训。 2.中标供应商应提供完整的培训计划和方案，列明培训人员数量、达到的水平等，培训内容包括设备的操作、日常维修、简单故障的识别及排除等。培训所需全部费用均由中标供应商支付。 3.中标供应商除按设备售后规定，负责培训设备操作人员，还应当培训1-2名负责此设备维护、维修的工程师。</w:t>
            </w:r>
          </w:p>
          <w:p/>
          <w:p>
            <w:r>
              <w:rPr/>
              <w:t>（五）保修期，1.设备保修：项目整体验收合格后，提供不少于3年的保修期，保修期自双方代表在货物验收报告上签字之日起计算。保修期内中标人负责提供设备的三包（包修、包换、包退）服务，可随时上门提供维护、保修、技术支持等服务并登记。 2.自验收合格之日起一个月内，采购人所购设备各部件发生非人为损坏，中标人应给予无条件更换。自验收合格之日起一年内，如同一设备部件一个月内累计2次出现同一问题，中标人必须无条件更换该设备部件，只收零配件成本，不得加收其它任何费用。 3.保修期内货物各部件发生非人为故障的，中标人应无条件上门更换同种品牌规格型号的新部件；货物发生人为故障的，中标人应上门更换同种品牌规格型号的新部件，只收零配件成本，不得加收其它任何费用。 4.保修期内，中标人无条件提供7×24小时技术支持，永久性无条件提供电话技术指导和咨询服务。 5.在保修期届满后，中标人应对设备实行终身维修，提供长期上门维修服务，服务费不高于同期市场价。采购人如需修理设备部件，中标人应在收到需修理部件后半个月内修复。并在修复期间，中标人应无条件提供同型号或类似的设备部件给采购人使用，以避免采购人因设备部件损坏而不能正常运作。</w:t>
            </w:r>
          </w:p>
          <w:p/>
          <w:p>
            <w:r>
              <w:rPr/>
              <w:t>（六）售后服务，保修期内，货物故障报修响应时间为：故障响应时间不超过2小时，到达现场时间不超过4小时；当天无法修复的，需提供同等规格的产品代用，直至故障设备修复，中标人负责所有因设备质量问题而产生的费用，中标人售后服务人员定期回访，每三个月至少进行一次保养维护和登记。</w:t>
            </w:r>
          </w:p>
        </w:tc>
      </w:tr>
    </w:tbl>
    <w:p>
      <w:r>
        <w:rPr>
          <w:b/>
        </w:rPr>
        <w:t>2.技术标准与要求</w:t>
      </w:r>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物理治疗、康复及体育治疗仪器设备</w:t>
            </w:r>
          </w:p>
        </w:tc>
        <w:tc>
          <w:tcPr>
            <w:tcW w:type="dxa" w:w="831"/>
          </w:tcPr>
          <w:p>
            <w:pPr>
              <w:jc w:val="left"/>
            </w:pPr>
            <w:r>
              <w:rPr/>
              <w:t>磁刺激治疗仪</w:t>
            </w:r>
          </w:p>
        </w:tc>
        <w:tc>
          <w:tcPr>
            <w:tcW w:type="dxa" w:w="831"/>
          </w:tcPr>
          <w:p>
            <w:pPr>
              <w:jc w:val="left"/>
            </w:pPr>
            <w:r>
              <w:rPr/>
              <w:t>套</w:t>
            </w:r>
          </w:p>
        </w:tc>
        <w:tc>
          <w:tcPr>
            <w:tcW w:type="dxa" w:w="831"/>
          </w:tcPr>
          <w:p>
            <w:pPr>
              <w:jc w:val="right"/>
            </w:pPr>
            <w:r>
              <w:rPr/>
              <w:t>1.00</w:t>
            </w:r>
          </w:p>
        </w:tc>
        <w:tc>
          <w:tcPr>
            <w:tcW w:type="dxa" w:w="831"/>
          </w:tcPr>
          <w:p>
            <w:pPr>
              <w:jc w:val="right"/>
            </w:pPr>
            <w:r>
              <w:rPr/>
              <w:t>700,000.00</w:t>
            </w:r>
          </w:p>
        </w:tc>
        <w:tc>
          <w:tcPr>
            <w:tcW w:type="dxa" w:w="831"/>
          </w:tcPr>
          <w:p>
            <w:pPr>
              <w:jc w:val="right"/>
            </w:pPr>
            <w:r>
              <w:rPr/>
              <w:t>700,000.00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便携式超短波治疗仪</w:t>
            </w:r>
          </w:p>
        </w:tc>
        <w:tc>
          <w:tcPr>
            <w:tcW w:type="dxa" w:w="831"/>
          </w:tcPr>
          <w:p>
            <w:pPr>
              <w:jc w:val="left"/>
            </w:pPr>
            <w:r>
              <w:rPr/>
              <w:t>套</w:t>
            </w:r>
          </w:p>
        </w:tc>
        <w:tc>
          <w:tcPr>
            <w:tcW w:type="dxa" w:w="831"/>
          </w:tcPr>
          <w:p>
            <w:pPr>
              <w:jc w:val="right"/>
            </w:pPr>
            <w:r>
              <w:rPr/>
              <w:t>2.00</w:t>
            </w:r>
          </w:p>
        </w:tc>
        <w:tc>
          <w:tcPr>
            <w:tcW w:type="dxa" w:w="831"/>
          </w:tcPr>
          <w:p>
            <w:pPr>
              <w:jc w:val="right"/>
            </w:pPr>
            <w:r>
              <w:rPr/>
              <w:t>59,000.00</w:t>
            </w:r>
          </w:p>
        </w:tc>
        <w:tc>
          <w:tcPr>
            <w:tcW w:type="dxa" w:w="831"/>
          </w:tcPr>
          <w:p>
            <w:pPr>
              <w:jc w:val="right"/>
            </w:pPr>
            <w:r>
              <w:rPr/>
              <w:t>118,000.00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吞咽神经肌肉低频电刺激仪(便携式）</w:t>
            </w:r>
          </w:p>
        </w:tc>
        <w:tc>
          <w:tcPr>
            <w:tcW w:type="dxa" w:w="831"/>
          </w:tcPr>
          <w:p>
            <w:pPr>
              <w:jc w:val="left"/>
            </w:pPr>
            <w:r>
              <w:rPr/>
              <w:t>套</w:t>
            </w:r>
          </w:p>
        </w:tc>
        <w:tc>
          <w:tcPr>
            <w:tcW w:type="dxa" w:w="831"/>
          </w:tcPr>
          <w:p>
            <w:pPr>
              <w:jc w:val="right"/>
            </w:pPr>
            <w:r>
              <w:rPr/>
              <w:t>2.00</w:t>
            </w:r>
          </w:p>
        </w:tc>
        <w:tc>
          <w:tcPr>
            <w:tcW w:type="dxa" w:w="831"/>
          </w:tcPr>
          <w:p>
            <w:pPr>
              <w:jc w:val="right"/>
            </w:pPr>
            <w:r>
              <w:rPr/>
              <w:t>59,000.00</w:t>
            </w:r>
          </w:p>
        </w:tc>
        <w:tc>
          <w:tcPr>
            <w:tcW w:type="dxa" w:w="831"/>
          </w:tcPr>
          <w:p>
            <w:pPr>
              <w:jc w:val="right"/>
            </w:pPr>
            <w:r>
              <w:rPr/>
              <w:t>118,000.00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医用超声波仪器及设备</w:t>
            </w:r>
          </w:p>
        </w:tc>
        <w:tc>
          <w:tcPr>
            <w:tcW w:type="dxa" w:w="831"/>
          </w:tcPr>
          <w:p>
            <w:pPr>
              <w:jc w:val="left"/>
            </w:pPr>
            <w:r>
              <w:rPr/>
              <w:t>超声波治疗仪</w:t>
            </w:r>
          </w:p>
        </w:tc>
        <w:tc>
          <w:tcPr>
            <w:tcW w:type="dxa" w:w="831"/>
          </w:tcPr>
          <w:p>
            <w:pPr>
              <w:jc w:val="left"/>
            </w:pPr>
            <w:r>
              <w:rPr/>
              <w:t>套</w:t>
            </w:r>
          </w:p>
        </w:tc>
        <w:tc>
          <w:tcPr>
            <w:tcW w:type="dxa" w:w="831"/>
          </w:tcPr>
          <w:p>
            <w:pPr>
              <w:jc w:val="right"/>
            </w:pPr>
            <w:r>
              <w:rPr/>
              <w:t>2.00</w:t>
            </w:r>
          </w:p>
        </w:tc>
        <w:tc>
          <w:tcPr>
            <w:tcW w:type="dxa" w:w="831"/>
          </w:tcPr>
          <w:p>
            <w:pPr>
              <w:jc w:val="right"/>
            </w:pPr>
            <w:r>
              <w:rPr/>
              <w:t>72,000.00</w:t>
            </w:r>
          </w:p>
        </w:tc>
        <w:tc>
          <w:tcPr>
            <w:tcW w:type="dxa" w:w="831"/>
          </w:tcPr>
          <w:p>
            <w:pPr>
              <w:jc w:val="right"/>
            </w:pPr>
            <w:r>
              <w:rPr/>
              <w:t>144,000.00</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低频脉冲痉挛肌治疗仪</w:t>
            </w:r>
          </w:p>
        </w:tc>
        <w:tc>
          <w:tcPr>
            <w:tcW w:type="dxa" w:w="831"/>
          </w:tcPr>
          <w:p>
            <w:pPr>
              <w:jc w:val="left"/>
            </w:pPr>
            <w:r>
              <w:rPr/>
              <w:t>套</w:t>
            </w:r>
          </w:p>
        </w:tc>
        <w:tc>
          <w:tcPr>
            <w:tcW w:type="dxa" w:w="831"/>
          </w:tcPr>
          <w:p>
            <w:pPr>
              <w:jc w:val="right"/>
            </w:pPr>
            <w:r>
              <w:rPr/>
              <w:t>1.00</w:t>
            </w:r>
          </w:p>
        </w:tc>
        <w:tc>
          <w:tcPr>
            <w:tcW w:type="dxa" w:w="831"/>
          </w:tcPr>
          <w:p>
            <w:pPr>
              <w:jc w:val="right"/>
            </w:pPr>
            <w:r>
              <w:rPr/>
              <w:t>10,000.00</w:t>
            </w:r>
          </w:p>
        </w:tc>
        <w:tc>
          <w:tcPr>
            <w:tcW w:type="dxa" w:w="831"/>
          </w:tcPr>
          <w:p>
            <w:pPr>
              <w:jc w:val="right"/>
            </w:pPr>
            <w:r>
              <w:rPr/>
              <w:t>10,000.00</w:t>
            </w:r>
          </w:p>
        </w:tc>
        <w:tc>
          <w:tcPr>
            <w:tcW w:type="dxa" w:w="831"/>
          </w:tcPr>
          <w:p>
            <w:r>
              <w:rPr/>
              <w:t>工业</w:t>
            </w:r>
          </w:p>
        </w:tc>
        <w:tc>
          <w:tcPr>
            <w:tcW w:type="dxa" w:w="831"/>
          </w:tcPr>
          <w:p>
            <w:r>
              <w:rPr/>
              <w:t>详见附表五</w:t>
            </w:r>
          </w:p>
        </w:tc>
      </w:tr>
      <w:tr>
        <w:tc>
          <w:tcPr>
            <w:tcW w:type="dxa" w:w="831"/>
          </w:tcPr>
          <w:p>
            <w:pPr>
              <w:jc w:val="center"/>
            </w:pPr>
            <w:r>
              <w:rPr/>
              <w:t>6</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电子艾灸治疗仪</w:t>
            </w:r>
          </w:p>
        </w:tc>
        <w:tc>
          <w:tcPr>
            <w:tcW w:type="dxa" w:w="831"/>
          </w:tcPr>
          <w:p>
            <w:pPr>
              <w:jc w:val="left"/>
            </w:pPr>
            <w:r>
              <w:rPr/>
              <w:t>套</w:t>
            </w:r>
          </w:p>
        </w:tc>
        <w:tc>
          <w:tcPr>
            <w:tcW w:type="dxa" w:w="831"/>
          </w:tcPr>
          <w:p>
            <w:pPr>
              <w:jc w:val="right"/>
            </w:pPr>
            <w:r>
              <w:rPr/>
              <w:t>2.00</w:t>
            </w:r>
          </w:p>
        </w:tc>
        <w:tc>
          <w:tcPr>
            <w:tcW w:type="dxa" w:w="831"/>
          </w:tcPr>
          <w:p>
            <w:pPr>
              <w:jc w:val="right"/>
            </w:pPr>
            <w:r>
              <w:rPr/>
              <w:t>8,000.00</w:t>
            </w:r>
          </w:p>
        </w:tc>
        <w:tc>
          <w:tcPr>
            <w:tcW w:type="dxa" w:w="831"/>
          </w:tcPr>
          <w:p>
            <w:pPr>
              <w:jc w:val="right"/>
            </w:pPr>
            <w:r>
              <w:rPr/>
              <w:t>16,000.00</w:t>
            </w:r>
          </w:p>
        </w:tc>
        <w:tc>
          <w:tcPr>
            <w:tcW w:type="dxa" w:w="831"/>
          </w:tcPr>
          <w:p>
            <w:r>
              <w:rPr/>
              <w:t>工业</w:t>
            </w:r>
          </w:p>
        </w:tc>
        <w:tc>
          <w:tcPr>
            <w:tcW w:type="dxa" w:w="831"/>
          </w:tcPr>
          <w:p>
            <w:r>
              <w:rPr/>
              <w:t>详见附表六</w:t>
            </w:r>
          </w:p>
        </w:tc>
      </w:tr>
      <w:tr>
        <w:tc>
          <w:tcPr>
            <w:tcW w:type="dxa" w:w="831"/>
          </w:tcPr>
          <w:p>
            <w:pPr>
              <w:jc w:val="center"/>
            </w:pPr>
            <w:r>
              <w:rPr/>
              <w:t>7</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脑电仿生电刺激仪</w:t>
            </w:r>
          </w:p>
        </w:tc>
        <w:tc>
          <w:tcPr>
            <w:tcW w:type="dxa" w:w="831"/>
          </w:tcPr>
          <w:p>
            <w:pPr>
              <w:jc w:val="left"/>
            </w:pPr>
            <w:r>
              <w:rPr/>
              <w:t>套</w:t>
            </w:r>
          </w:p>
        </w:tc>
        <w:tc>
          <w:tcPr>
            <w:tcW w:type="dxa" w:w="831"/>
          </w:tcPr>
          <w:p>
            <w:pPr>
              <w:jc w:val="right"/>
            </w:pPr>
            <w:r>
              <w:rPr/>
              <w:t>2.00</w:t>
            </w:r>
          </w:p>
        </w:tc>
        <w:tc>
          <w:tcPr>
            <w:tcW w:type="dxa" w:w="831"/>
          </w:tcPr>
          <w:p>
            <w:pPr>
              <w:jc w:val="right"/>
            </w:pPr>
            <w:r>
              <w:rPr/>
              <w:t>33,000.00</w:t>
            </w:r>
          </w:p>
        </w:tc>
        <w:tc>
          <w:tcPr>
            <w:tcW w:type="dxa" w:w="831"/>
          </w:tcPr>
          <w:p>
            <w:pPr>
              <w:jc w:val="right"/>
            </w:pPr>
            <w:r>
              <w:rPr/>
              <w:t>66,000.00</w:t>
            </w:r>
          </w:p>
        </w:tc>
        <w:tc>
          <w:tcPr>
            <w:tcW w:type="dxa" w:w="831"/>
          </w:tcPr>
          <w:p>
            <w:r>
              <w:rPr/>
              <w:t>工业</w:t>
            </w:r>
          </w:p>
        </w:tc>
        <w:tc>
          <w:tcPr>
            <w:tcW w:type="dxa" w:w="831"/>
          </w:tcPr>
          <w:p>
            <w:r>
              <w:rPr/>
              <w:t>详见附表七</w:t>
            </w:r>
          </w:p>
        </w:tc>
      </w:tr>
      <w:tr>
        <w:tc>
          <w:tcPr>
            <w:tcW w:type="dxa" w:w="831"/>
          </w:tcPr>
          <w:p>
            <w:pPr>
              <w:jc w:val="center"/>
            </w:pPr>
            <w:r>
              <w:rPr/>
              <w:t>8</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低温冲击镇痛仪</w:t>
            </w:r>
          </w:p>
        </w:tc>
        <w:tc>
          <w:tcPr>
            <w:tcW w:type="dxa" w:w="831"/>
          </w:tcPr>
          <w:p>
            <w:pPr>
              <w:jc w:val="left"/>
            </w:pPr>
            <w:r>
              <w:rPr/>
              <w:t>套</w:t>
            </w:r>
          </w:p>
        </w:tc>
        <w:tc>
          <w:tcPr>
            <w:tcW w:type="dxa" w:w="831"/>
          </w:tcPr>
          <w:p>
            <w:pPr>
              <w:jc w:val="right"/>
            </w:pPr>
            <w:r>
              <w:rPr/>
              <w:t>1.00</w:t>
            </w:r>
          </w:p>
        </w:tc>
        <w:tc>
          <w:tcPr>
            <w:tcW w:type="dxa" w:w="831"/>
          </w:tcPr>
          <w:p>
            <w:pPr>
              <w:jc w:val="right"/>
            </w:pPr>
            <w:r>
              <w:rPr/>
              <w:t>150,000.00</w:t>
            </w:r>
          </w:p>
        </w:tc>
        <w:tc>
          <w:tcPr>
            <w:tcW w:type="dxa" w:w="831"/>
          </w:tcPr>
          <w:p>
            <w:pPr>
              <w:jc w:val="right"/>
            </w:pPr>
            <w:r>
              <w:rPr/>
              <w:t>150,000.00</w:t>
            </w:r>
          </w:p>
        </w:tc>
        <w:tc>
          <w:tcPr>
            <w:tcW w:type="dxa" w:w="831"/>
          </w:tcPr>
          <w:p>
            <w:r>
              <w:rPr/>
              <w:t>工业</w:t>
            </w:r>
          </w:p>
        </w:tc>
        <w:tc>
          <w:tcPr>
            <w:tcW w:type="dxa" w:w="831"/>
          </w:tcPr>
          <w:p>
            <w:r>
              <w:rPr/>
              <w:t>详见附表八</w:t>
            </w:r>
          </w:p>
        </w:tc>
      </w:tr>
      <w:tr>
        <w:tc>
          <w:tcPr>
            <w:tcW w:type="dxa" w:w="831"/>
          </w:tcPr>
          <w:p>
            <w:pPr>
              <w:jc w:val="center"/>
            </w:pPr>
            <w:r>
              <w:rPr/>
              <w:t>9</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深层肌肉刺激仪</w:t>
            </w:r>
          </w:p>
        </w:tc>
        <w:tc>
          <w:tcPr>
            <w:tcW w:type="dxa" w:w="831"/>
          </w:tcPr>
          <w:p>
            <w:pPr>
              <w:jc w:val="left"/>
            </w:pPr>
            <w:r>
              <w:rPr/>
              <w:t>套</w:t>
            </w:r>
          </w:p>
        </w:tc>
        <w:tc>
          <w:tcPr>
            <w:tcW w:type="dxa" w:w="831"/>
          </w:tcPr>
          <w:p>
            <w:pPr>
              <w:jc w:val="right"/>
            </w:pPr>
            <w:r>
              <w:rPr/>
              <w:t>1.00</w:t>
            </w:r>
          </w:p>
        </w:tc>
        <w:tc>
          <w:tcPr>
            <w:tcW w:type="dxa" w:w="831"/>
          </w:tcPr>
          <w:p>
            <w:pPr>
              <w:jc w:val="right"/>
            </w:pPr>
            <w:r>
              <w:rPr/>
              <w:t>42,000.00</w:t>
            </w:r>
          </w:p>
        </w:tc>
        <w:tc>
          <w:tcPr>
            <w:tcW w:type="dxa" w:w="831"/>
          </w:tcPr>
          <w:p>
            <w:pPr>
              <w:jc w:val="right"/>
            </w:pPr>
            <w:r>
              <w:rPr/>
              <w:t>42,000.00</w:t>
            </w:r>
          </w:p>
        </w:tc>
        <w:tc>
          <w:tcPr>
            <w:tcW w:type="dxa" w:w="831"/>
          </w:tcPr>
          <w:p>
            <w:r>
              <w:rPr/>
              <w:t>工业</w:t>
            </w:r>
          </w:p>
        </w:tc>
        <w:tc>
          <w:tcPr>
            <w:tcW w:type="dxa" w:w="831"/>
          </w:tcPr>
          <w:p>
            <w:r>
              <w:rPr/>
              <w:t>详见附表九</w:t>
            </w:r>
          </w:p>
        </w:tc>
      </w:tr>
      <w:tr>
        <w:tc>
          <w:tcPr>
            <w:tcW w:type="dxa" w:w="831"/>
          </w:tcPr>
          <w:p>
            <w:pPr>
              <w:jc w:val="center"/>
            </w:pPr>
            <w:r>
              <w:rPr/>
              <w:t>10</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多关节主被动训练仪</w:t>
            </w:r>
          </w:p>
        </w:tc>
        <w:tc>
          <w:tcPr>
            <w:tcW w:type="dxa" w:w="831"/>
          </w:tcPr>
          <w:p>
            <w:pPr>
              <w:jc w:val="left"/>
            </w:pPr>
            <w:r>
              <w:rPr/>
              <w:t>套</w:t>
            </w:r>
          </w:p>
        </w:tc>
        <w:tc>
          <w:tcPr>
            <w:tcW w:type="dxa" w:w="831"/>
          </w:tcPr>
          <w:p>
            <w:pPr>
              <w:jc w:val="right"/>
            </w:pPr>
            <w:r>
              <w:rPr/>
              <w:t>2.00</w:t>
            </w:r>
          </w:p>
        </w:tc>
        <w:tc>
          <w:tcPr>
            <w:tcW w:type="dxa" w:w="831"/>
          </w:tcPr>
          <w:p>
            <w:pPr>
              <w:jc w:val="right"/>
            </w:pPr>
            <w:r>
              <w:rPr/>
              <w:t>88,000.00</w:t>
            </w:r>
          </w:p>
        </w:tc>
        <w:tc>
          <w:tcPr>
            <w:tcW w:type="dxa" w:w="831"/>
          </w:tcPr>
          <w:p>
            <w:pPr>
              <w:jc w:val="right"/>
            </w:pPr>
            <w:r>
              <w:rPr/>
              <w:t>176,000.00</w:t>
            </w:r>
          </w:p>
        </w:tc>
        <w:tc>
          <w:tcPr>
            <w:tcW w:type="dxa" w:w="831"/>
          </w:tcPr>
          <w:p>
            <w:r>
              <w:rPr/>
              <w:t>工业</w:t>
            </w:r>
          </w:p>
        </w:tc>
        <w:tc>
          <w:tcPr>
            <w:tcW w:type="dxa" w:w="831"/>
          </w:tcPr>
          <w:p>
            <w:r>
              <w:rPr/>
              <w:t>详见附表一十</w:t>
            </w:r>
          </w:p>
        </w:tc>
      </w:tr>
      <w:tr>
        <w:tc>
          <w:tcPr>
            <w:tcW w:type="dxa" w:w="831"/>
          </w:tcPr>
          <w:p>
            <w:pPr>
              <w:jc w:val="center"/>
            </w:pPr>
            <w:r>
              <w:rPr/>
              <w:t>11</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生物反馈助力电刺激</w:t>
            </w:r>
          </w:p>
        </w:tc>
        <w:tc>
          <w:tcPr>
            <w:tcW w:type="dxa" w:w="831"/>
          </w:tcPr>
          <w:p>
            <w:pPr>
              <w:jc w:val="left"/>
            </w:pPr>
            <w:r>
              <w:rPr/>
              <w:t>套</w:t>
            </w:r>
          </w:p>
        </w:tc>
        <w:tc>
          <w:tcPr>
            <w:tcW w:type="dxa" w:w="831"/>
          </w:tcPr>
          <w:p>
            <w:pPr>
              <w:jc w:val="right"/>
            </w:pPr>
            <w:r>
              <w:rPr/>
              <w:t>1.00</w:t>
            </w:r>
          </w:p>
        </w:tc>
        <w:tc>
          <w:tcPr>
            <w:tcW w:type="dxa" w:w="831"/>
          </w:tcPr>
          <w:p>
            <w:pPr>
              <w:jc w:val="right"/>
            </w:pPr>
            <w:r>
              <w:rPr/>
              <w:t>50,000.00</w:t>
            </w:r>
          </w:p>
        </w:tc>
        <w:tc>
          <w:tcPr>
            <w:tcW w:type="dxa" w:w="831"/>
          </w:tcPr>
          <w:p>
            <w:pPr>
              <w:jc w:val="right"/>
            </w:pPr>
            <w:r>
              <w:rPr/>
              <w:t>50,000.00</w:t>
            </w:r>
          </w:p>
        </w:tc>
        <w:tc>
          <w:tcPr>
            <w:tcW w:type="dxa" w:w="831"/>
          </w:tcPr>
          <w:p>
            <w:r>
              <w:rPr/>
              <w:t>工业</w:t>
            </w:r>
          </w:p>
        </w:tc>
        <w:tc>
          <w:tcPr>
            <w:tcW w:type="dxa" w:w="831"/>
          </w:tcPr>
          <w:p>
            <w:r>
              <w:rPr/>
              <w:t>详见附表一十一</w:t>
            </w:r>
          </w:p>
        </w:tc>
      </w:tr>
      <w:tr>
        <w:tc>
          <w:tcPr>
            <w:tcW w:type="dxa" w:w="831"/>
          </w:tcPr>
          <w:p>
            <w:pPr>
              <w:jc w:val="center"/>
            </w:pPr>
            <w:r>
              <w:rPr/>
              <w:t>12</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吞咽神经肌肉低频电刺激仪（台式）</w:t>
            </w:r>
          </w:p>
        </w:tc>
        <w:tc>
          <w:tcPr>
            <w:tcW w:type="dxa" w:w="831"/>
          </w:tcPr>
          <w:p>
            <w:pPr>
              <w:jc w:val="left"/>
            </w:pPr>
            <w:r>
              <w:rPr/>
              <w:t>套</w:t>
            </w:r>
          </w:p>
        </w:tc>
        <w:tc>
          <w:tcPr>
            <w:tcW w:type="dxa" w:w="831"/>
          </w:tcPr>
          <w:p>
            <w:pPr>
              <w:jc w:val="right"/>
            </w:pPr>
            <w:r>
              <w:rPr/>
              <w:t>1.00</w:t>
            </w:r>
          </w:p>
        </w:tc>
        <w:tc>
          <w:tcPr>
            <w:tcW w:type="dxa" w:w="831"/>
          </w:tcPr>
          <w:p>
            <w:pPr>
              <w:jc w:val="right"/>
            </w:pPr>
            <w:r>
              <w:rPr/>
              <w:t>64,000.00</w:t>
            </w:r>
          </w:p>
        </w:tc>
        <w:tc>
          <w:tcPr>
            <w:tcW w:type="dxa" w:w="831"/>
          </w:tcPr>
          <w:p>
            <w:pPr>
              <w:jc w:val="right"/>
            </w:pPr>
            <w:r>
              <w:rPr/>
              <w:t>64,000.00</w:t>
            </w:r>
          </w:p>
        </w:tc>
        <w:tc>
          <w:tcPr>
            <w:tcW w:type="dxa" w:w="831"/>
          </w:tcPr>
          <w:p>
            <w:r>
              <w:rPr/>
              <w:t>工业</w:t>
            </w:r>
          </w:p>
        </w:tc>
        <w:tc>
          <w:tcPr>
            <w:tcW w:type="dxa" w:w="831"/>
          </w:tcPr>
          <w:p>
            <w:r>
              <w:rPr/>
              <w:t>详见附表一十二</w:t>
            </w:r>
          </w:p>
        </w:tc>
      </w:tr>
      <w:tr>
        <w:tc>
          <w:tcPr>
            <w:tcW w:type="dxa" w:w="831"/>
          </w:tcPr>
          <w:p>
            <w:pPr>
              <w:jc w:val="center"/>
            </w:pPr>
            <w:r>
              <w:rPr/>
              <w:t>13</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平衡功能训练及评估系统</w:t>
            </w:r>
          </w:p>
        </w:tc>
        <w:tc>
          <w:tcPr>
            <w:tcW w:type="dxa" w:w="831"/>
          </w:tcPr>
          <w:p>
            <w:pPr>
              <w:jc w:val="left"/>
            </w:pPr>
            <w:r>
              <w:rPr/>
              <w:t>套</w:t>
            </w:r>
          </w:p>
        </w:tc>
        <w:tc>
          <w:tcPr>
            <w:tcW w:type="dxa" w:w="831"/>
          </w:tcPr>
          <w:p>
            <w:pPr>
              <w:jc w:val="right"/>
            </w:pPr>
            <w:r>
              <w:rPr/>
              <w:t>1.00</w:t>
            </w:r>
          </w:p>
        </w:tc>
        <w:tc>
          <w:tcPr>
            <w:tcW w:type="dxa" w:w="831"/>
          </w:tcPr>
          <w:p>
            <w:pPr>
              <w:jc w:val="right"/>
            </w:pPr>
            <w:r>
              <w:rPr/>
              <w:t>150,000.00</w:t>
            </w:r>
          </w:p>
        </w:tc>
        <w:tc>
          <w:tcPr>
            <w:tcW w:type="dxa" w:w="831"/>
          </w:tcPr>
          <w:p>
            <w:pPr>
              <w:jc w:val="right"/>
            </w:pPr>
            <w:r>
              <w:rPr/>
              <w:t>150,000.00</w:t>
            </w:r>
          </w:p>
        </w:tc>
        <w:tc>
          <w:tcPr>
            <w:tcW w:type="dxa" w:w="831"/>
          </w:tcPr>
          <w:p>
            <w:r>
              <w:rPr/>
              <w:t>工业</w:t>
            </w:r>
          </w:p>
        </w:tc>
        <w:tc>
          <w:tcPr>
            <w:tcW w:type="dxa" w:w="831"/>
          </w:tcPr>
          <w:p>
            <w:r>
              <w:rPr/>
              <w:t>详见附表一十三</w:t>
            </w:r>
          </w:p>
        </w:tc>
      </w:tr>
    </w:tbl>
    <w:p/>
    <w:p>
      <w:r>
        <w:rPr>
          <w:b/>
        </w:rPr>
        <w:t>附表</w:t>
      </w:r>
      <w:r>
        <w:rPr>
          <w:b/>
        </w:rPr>
        <w:t>一</w:t>
      </w:r>
      <w:r>
        <w:rPr>
          <w:b/>
        </w:rPr>
        <w:t>：</w:t>
      </w:r>
      <w:r>
        <w:rPr>
          <w:b/>
        </w:rPr>
        <w:t>磁刺激治疗仪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w:t>
            </w:r>
            <w:r>
              <w:rPr>
                <w:sz w:val="21"/>
              </w:rPr>
              <w:t>一）硬件</w:t>
            </w:r>
          </w:p>
          <w:p>
            <w:pPr>
              <w:jc w:val="left"/>
            </w:pPr>
            <w:r>
              <w:rPr>
                <w:sz w:val="21"/>
              </w:rPr>
              <w:t>1.整机通过YY/T 0994-2015 磁刺激设备行业标准；</w:t>
            </w:r>
          </w:p>
          <w:p>
            <w:pPr>
              <w:jc w:val="left"/>
            </w:pPr>
            <w:r>
              <w:rPr>
                <w:sz w:val="21"/>
              </w:rPr>
              <w:t>2.整机通过电磁兼容性EMC测试；</w:t>
            </w:r>
          </w:p>
          <w:p>
            <w:pPr>
              <w:jc w:val="left"/>
            </w:pPr>
            <w:r>
              <w:rPr>
                <w:sz w:val="21"/>
              </w:rPr>
              <w:t>3.盆底专用线圈和其他选配线圈可由治疗师在30秒内快速切换；</w:t>
            </w:r>
          </w:p>
          <w:p>
            <w:pPr>
              <w:jc w:val="left"/>
            </w:pPr>
            <w:r>
              <w:rPr>
                <w:sz w:val="21"/>
              </w:rPr>
              <w:t>4.盆底磁刺激专用座椅，治疗椅可电动调节靠背和脚踏角度，可实现坐位盆底刺激和神经磁刺激；</w:t>
            </w:r>
          </w:p>
          <w:p>
            <w:pPr>
              <w:jc w:val="left"/>
            </w:pPr>
            <w:r>
              <w:rPr>
                <w:sz w:val="21"/>
              </w:rPr>
              <w:t>5.具备治疗定位标识系统，刺激点标识，坐姿标识，骶神经刺激标识，引导临床正确的治疗体位；</w:t>
            </w:r>
          </w:p>
          <w:p>
            <w:pPr>
              <w:jc w:val="left"/>
            </w:pPr>
            <w:r>
              <w:rPr>
                <w:sz w:val="21"/>
              </w:rPr>
              <w:t>6.具备治疗体位引导系统，依托治疗分阶脚凳，针对不同疾病提供不同体位的精准治疗；</w:t>
            </w:r>
          </w:p>
          <w:p>
            <w:pPr>
              <w:jc w:val="left"/>
            </w:pPr>
            <w:r>
              <w:rPr>
                <w:sz w:val="21"/>
              </w:rPr>
              <w:t>7.配置触控式一体机，≥14寸；</w:t>
            </w:r>
          </w:p>
          <w:p>
            <w:pPr>
              <w:jc w:val="left"/>
            </w:pPr>
            <w:r>
              <w:rPr>
                <w:sz w:val="21"/>
              </w:rPr>
              <w:t>8.一体机通过电磁兼容性（EMC）认证；</w:t>
            </w:r>
          </w:p>
          <w:p>
            <w:pPr>
              <w:jc w:val="left"/>
            </w:pPr>
            <w:r>
              <w:rPr>
                <w:sz w:val="21"/>
              </w:rPr>
              <w:t>9.一体机与工作站紧密固定；</w:t>
            </w:r>
          </w:p>
          <w:p>
            <w:pPr>
              <w:jc w:val="left"/>
            </w:pPr>
            <w:r>
              <w:rPr>
                <w:sz w:val="21"/>
              </w:rPr>
              <w:t>10.开放式设计平台，具备触发输入输出通用接口，可兼容肌电图等设备；</w:t>
            </w:r>
          </w:p>
          <w:p>
            <w:pPr>
              <w:jc w:val="left"/>
            </w:pPr>
            <w:r>
              <w:rPr>
                <w:sz w:val="21"/>
              </w:rPr>
              <w:t>▲11.冷却技术：采用智能变频风冷技术；</w:t>
            </w:r>
          </w:p>
          <w:p>
            <w:pPr>
              <w:jc w:val="left"/>
            </w:pPr>
            <w:r>
              <w:rPr>
                <w:sz w:val="21"/>
              </w:rPr>
              <w:t>▲12.配置盆底刺激专用线圈，磁聚焦技术，可以实现深度靶点刺激，对非靶点区域刺激影响较小；盆底磁刺激专用座椅，配置四点式安全带；</w:t>
            </w:r>
          </w:p>
          <w:p>
            <w:pPr>
              <w:jc w:val="left"/>
            </w:pPr>
            <w:r>
              <w:rPr>
                <w:sz w:val="21"/>
              </w:rPr>
              <w:t>▲13.配置圆形线圈，八字形线圈，儿童圆形线圈，儿童八字形线圈，双面双向刺激线圈可对中枢或外周的神经肌肉进行有效刺激；</w:t>
            </w:r>
          </w:p>
          <w:p>
            <w:pPr>
              <w:jc w:val="left"/>
            </w:pPr>
            <w:r>
              <w:rPr>
                <w:sz w:val="21"/>
              </w:rPr>
              <w:t>▲14.配置深部双锥线圈，动物线圈和伪线圈</w:t>
            </w:r>
            <w:r>
              <w:rPr>
                <w:sz w:val="21"/>
              </w:rPr>
              <w:t>；</w:t>
            </w:r>
          </w:p>
          <w:p>
            <w:pPr>
              <w:jc w:val="left"/>
            </w:pPr>
            <w:r>
              <w:rPr>
                <w:sz w:val="21"/>
              </w:rPr>
              <w:t>▲15.产品组成中要求具备无线运动诱发电位检查模块</w:t>
            </w:r>
            <w:r>
              <w:rPr>
                <w:sz w:val="21"/>
              </w:rPr>
              <w:t>。</w:t>
            </w:r>
          </w:p>
          <w:p>
            <w:pPr>
              <w:jc w:val="left"/>
            </w:pPr>
            <w:r>
              <w:rPr>
                <w:sz w:val="21"/>
              </w:rPr>
              <w:t>（</w:t>
            </w:r>
            <w:r>
              <w:rPr>
                <w:sz w:val="21"/>
              </w:rPr>
              <w:t>二）主机技术指标</w:t>
            </w:r>
          </w:p>
          <w:p>
            <w:pPr>
              <w:jc w:val="left"/>
            </w:pPr>
            <w:r>
              <w:rPr>
                <w:sz w:val="21"/>
              </w:rPr>
              <w:t>1.脉冲磁场最大磁感应强度≥ 6Tesla,范围可达组织深度6-8厘米；</w:t>
            </w:r>
          </w:p>
          <w:p>
            <w:pPr>
              <w:jc w:val="left"/>
            </w:pPr>
            <w:r>
              <w:rPr>
                <w:sz w:val="21"/>
              </w:rPr>
              <w:t>2.输出脉冲重复频率：0.01 Hz～60Hz可调，允差±5%；1 Hz以下步长0.01Hz左右, 1Hz以上步长1Hz左右；</w:t>
            </w:r>
          </w:p>
          <w:p>
            <w:pPr>
              <w:jc w:val="left"/>
            </w:pPr>
            <w:r>
              <w:rPr>
                <w:sz w:val="21"/>
              </w:rPr>
              <w:t>3.脉冲上升时间：50μs ±10μs；</w:t>
            </w:r>
          </w:p>
          <w:p>
            <w:pPr>
              <w:jc w:val="left"/>
            </w:pPr>
            <w:r>
              <w:rPr>
                <w:sz w:val="21"/>
              </w:rPr>
              <w:t>4.脉冲持续时间：340μs ±20μs；</w:t>
            </w:r>
          </w:p>
          <w:p>
            <w:pPr>
              <w:jc w:val="left"/>
            </w:pPr>
            <w:r>
              <w:rPr>
                <w:sz w:val="21"/>
              </w:rPr>
              <w:t>5.磁感应强度最大变化率：40kT/s～80kT/s。</w:t>
            </w:r>
          </w:p>
          <w:p>
            <w:pPr>
              <w:jc w:val="left"/>
            </w:pPr>
            <w:r>
              <w:rPr>
                <w:sz w:val="21"/>
              </w:rPr>
              <w:t>（</w:t>
            </w:r>
            <w:r>
              <w:rPr>
                <w:sz w:val="21"/>
              </w:rPr>
              <w:t>三）运动诱发电位监测模块技术指标</w:t>
            </w:r>
          </w:p>
          <w:p>
            <w:pPr>
              <w:jc w:val="left"/>
            </w:pPr>
            <w:r>
              <w:rPr>
                <w:sz w:val="21"/>
              </w:rPr>
              <w:t>1.通道数：≥2通道；</w:t>
            </w:r>
          </w:p>
          <w:p>
            <w:pPr>
              <w:jc w:val="left"/>
            </w:pPr>
            <w:r>
              <w:rPr>
                <w:sz w:val="21"/>
              </w:rPr>
              <w:t>2.数据传输方式：无线；</w:t>
            </w:r>
          </w:p>
          <w:p>
            <w:pPr>
              <w:jc w:val="left"/>
            </w:pPr>
            <w:r>
              <w:rPr>
                <w:sz w:val="21"/>
              </w:rPr>
              <w:t>3.测量范围：1～1000；</w:t>
            </w:r>
          </w:p>
          <w:p>
            <w:pPr>
              <w:jc w:val="left"/>
            </w:pPr>
            <w:r>
              <w:rPr>
                <w:sz w:val="21"/>
              </w:rPr>
              <w:t>4.最小分辨率：≤2；</w:t>
            </w:r>
          </w:p>
          <w:p>
            <w:pPr>
              <w:jc w:val="left"/>
            </w:pPr>
            <w:r>
              <w:rPr>
                <w:sz w:val="21"/>
              </w:rPr>
              <w:t>5.频率范围：20Hz～500Hz。</w:t>
            </w:r>
          </w:p>
          <w:p>
            <w:pPr>
              <w:jc w:val="left"/>
            </w:pPr>
            <w:r>
              <w:rPr>
                <w:sz w:val="21"/>
              </w:rPr>
              <w:t>四）软件</w:t>
            </w:r>
          </w:p>
          <w:p>
            <w:pPr>
              <w:jc w:val="left"/>
            </w:pPr>
            <w:r>
              <w:rPr>
                <w:sz w:val="21"/>
              </w:rPr>
              <w:t>1.位机软件通过GB/T 25000.51 软件工程软件产品质量要求与评价；</w:t>
            </w:r>
          </w:p>
          <w:p>
            <w:pPr>
              <w:jc w:val="left"/>
            </w:pPr>
            <w:r>
              <w:rPr>
                <w:sz w:val="21"/>
              </w:rPr>
              <w:t>2.可进行盆底运动诱发电位检查，检测盆底神经传导通路的完整性及传导速度；</w:t>
            </w:r>
          </w:p>
          <w:p>
            <w:pPr>
              <w:jc w:val="left"/>
            </w:pPr>
            <w:r>
              <w:rPr>
                <w:sz w:val="21"/>
              </w:rPr>
              <w:t>3.运动阈值及治疗方案自动记忆功能；</w:t>
            </w:r>
          </w:p>
          <w:p>
            <w:pPr>
              <w:jc w:val="left"/>
            </w:pPr>
            <w:r>
              <w:rPr>
                <w:sz w:val="21"/>
              </w:rPr>
              <w:t>4.治疗界面能够实时采集运动诱发电位，并提供图像和声音报警功能，以进行治疗过程中电生理安全监测；</w:t>
            </w:r>
          </w:p>
          <w:p>
            <w:pPr>
              <w:jc w:val="left"/>
            </w:pPr>
            <w:r>
              <w:rPr>
                <w:sz w:val="21"/>
              </w:rPr>
              <w:t>5.人机交互软件：触屏式操作模式，三步开启治疗；</w:t>
            </w:r>
          </w:p>
          <w:p>
            <w:pPr>
              <w:jc w:val="left"/>
            </w:pPr>
            <w:r>
              <w:rPr>
                <w:sz w:val="21"/>
              </w:rPr>
              <w:t>6.可实现单脉冲刺激、重复脉冲刺激和模式化刺激（含爆发式刺激TBS）多种可选诊疗模式；内置多种临床方案供医生选择；包含神经源性膀胱、神经源性直肠、膀胱过度活动症、压力性尿失禁、急迫性尿失禁、尿频尿急、尿储留、便秘、大便失禁、术后排便障碍、阴道松弛、器官脱垂、盆底痛、腰背痛、慢性前列腺炎、小儿遗尿、性功能障碍等多种临床治疗方案；内置方案包含卒中、失语、失眠、疼痛、脊髓损伤、脑瘫、认知障碍等多种临床治疗方案；</w:t>
            </w:r>
          </w:p>
          <w:p>
            <w:pPr>
              <w:jc w:val="left"/>
            </w:pPr>
            <w:r>
              <w:rPr>
                <w:sz w:val="21"/>
              </w:rPr>
              <w:t>7.方案可编辑：刺激强度、频率、脉冲个数、间歇时间、串时间、串数等参数可调，供医生自定义方案；</w:t>
            </w:r>
          </w:p>
          <w:p>
            <w:pPr>
              <w:jc w:val="left"/>
            </w:pPr>
            <w:r>
              <w:rPr>
                <w:sz w:val="21"/>
              </w:rPr>
              <w:t>8.刺激方案具有数字和图形两种展示方式，刺激线圈温度显示与控制保护；</w:t>
            </w:r>
          </w:p>
          <w:p>
            <w:pPr>
              <w:jc w:val="left"/>
            </w:pPr>
            <w:r>
              <w:rPr>
                <w:sz w:val="21"/>
              </w:rPr>
              <w:t>9.自动化报告生成与打印，也可根据需要自定义编辑；</w:t>
            </w:r>
          </w:p>
          <w:p>
            <w:pPr>
              <w:jc w:val="left"/>
            </w:pPr>
            <w:r>
              <w:rPr>
                <w:sz w:val="21"/>
              </w:rPr>
              <w:t>10.患者基本信息、临床方案、诊疗记录等信息海量存储，并可实时查询、编辑及导出数据备份保存；</w:t>
            </w:r>
          </w:p>
          <w:p>
            <w:pPr>
              <w:jc w:val="left"/>
            </w:pPr>
            <w:r>
              <w:rPr>
                <w:sz w:val="21"/>
              </w:rPr>
              <w:t>11.含波形设置、权限设置等多种自设功能；</w:t>
            </w:r>
          </w:p>
          <w:p>
            <w:pPr>
              <w:jc w:val="left"/>
            </w:pPr>
            <w:r>
              <w:rPr>
                <w:sz w:val="21"/>
              </w:rPr>
              <w:t>12.兼容电子病历系统，实现设备间的数据互联互通。</w:t>
            </w:r>
          </w:p>
          <w:p>
            <w:pPr>
              <w:jc w:val="both"/>
            </w:pPr>
            <w:r>
              <w:rPr>
                <w:sz w:val="21"/>
              </w:rPr>
              <w:t>五）保修期：</w:t>
            </w:r>
            <w:r>
              <w:rPr>
                <w:sz w:val="21"/>
              </w:rPr>
              <w:t>≥3年</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便携式超短波治疗仪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w:t>
            </w:r>
            <w:r>
              <w:rPr>
                <w:sz w:val="21"/>
              </w:rPr>
              <w:t>.采用微电脑控制和晶体管技术</w:t>
            </w:r>
            <w:r>
              <w:rPr>
                <w:sz w:val="21"/>
              </w:rPr>
              <w:t>；</w:t>
            </w:r>
          </w:p>
          <w:p>
            <w:pPr>
              <w:jc w:val="both"/>
            </w:pPr>
            <w:r>
              <w:rPr>
                <w:sz w:val="21"/>
              </w:rPr>
              <w:t>2</w:t>
            </w:r>
            <w:r>
              <w:rPr>
                <w:sz w:val="21"/>
              </w:rPr>
              <w:t>.自动调谐：与人体匹配度高，热感快，温热效果好，达到最优输出。自动补正室温：根据季节室温变化，自动识别外界温度，调节输出功率，保持温热感恒定</w:t>
            </w:r>
            <w:r>
              <w:rPr>
                <w:sz w:val="21"/>
              </w:rPr>
              <w:t>；</w:t>
            </w:r>
          </w:p>
          <w:p>
            <w:pPr>
              <w:jc w:val="both"/>
            </w:pPr>
            <w:r>
              <w:rPr>
                <w:sz w:val="21"/>
              </w:rPr>
              <w:t>3</w:t>
            </w:r>
            <w:r>
              <w:rPr>
                <w:sz w:val="21"/>
              </w:rPr>
              <w:t>.采用屏蔽技术，整机采用全金属屏蔽材料，无辐射干扰及危害</w:t>
            </w:r>
            <w:r>
              <w:rPr>
                <w:sz w:val="21"/>
              </w:rPr>
              <w:t>；</w:t>
            </w:r>
          </w:p>
          <w:p>
            <w:pPr>
              <w:jc w:val="both"/>
            </w:pPr>
            <w:r>
              <w:rPr>
                <w:sz w:val="21"/>
              </w:rPr>
              <w:t>▲</w:t>
            </w:r>
            <w:r>
              <w:rPr>
                <w:sz w:val="21"/>
              </w:rPr>
              <w:t>4</w:t>
            </w:r>
            <w:r>
              <w:rPr>
                <w:sz w:val="21"/>
              </w:rPr>
              <w:t>.振动频率：27.12MHz ±0.6%，输出功率：0-50W可调，5W/档</w:t>
            </w:r>
            <w:r>
              <w:rPr>
                <w:sz w:val="21"/>
              </w:rPr>
              <w:t>；</w:t>
            </w:r>
            <w:r>
              <w:rPr>
                <w:sz w:val="21"/>
              </w:rPr>
              <w:t>具有连续，脉冲两种模式，输出精准。脉冲模式可调制频率和脉宽，调制频率：</w:t>
            </w:r>
            <w:r>
              <w:rPr>
                <w:sz w:val="21"/>
              </w:rPr>
              <w:t>10-800hz可调，步长≤10hz，调剂脉宽：20-400us可调，步长≤20us（需提供技术文件</w:t>
            </w:r>
            <w:r>
              <w:rPr>
                <w:sz w:val="21"/>
              </w:rPr>
              <w:t>作为证明</w:t>
            </w:r>
            <w:r>
              <w:rPr>
                <w:sz w:val="21"/>
              </w:rPr>
              <w:t>）</w:t>
            </w:r>
            <w:r>
              <w:rPr>
                <w:sz w:val="21"/>
              </w:rPr>
              <w:t>；</w:t>
            </w:r>
          </w:p>
          <w:p>
            <w:pPr>
              <w:jc w:val="both"/>
            </w:pPr>
            <w:r>
              <w:rPr>
                <w:sz w:val="21"/>
              </w:rPr>
              <w:t>▲</w:t>
            </w:r>
            <w:r>
              <w:rPr>
                <w:sz w:val="21"/>
              </w:rPr>
              <w:t>5</w:t>
            </w:r>
            <w:r>
              <w:rPr>
                <w:sz w:val="21"/>
              </w:rPr>
              <w:t>.至少四种治疗剂量：无热，微热，温热，热量等</w:t>
            </w:r>
            <w:r>
              <w:rPr>
                <w:sz w:val="21"/>
              </w:rPr>
              <w:t>；</w:t>
            </w:r>
          </w:p>
          <w:p>
            <w:pPr>
              <w:jc w:val="both"/>
            </w:pPr>
            <w:r>
              <w:rPr>
                <w:sz w:val="21"/>
              </w:rPr>
              <w:t>▲</w:t>
            </w:r>
            <w:r>
              <w:rPr>
                <w:sz w:val="21"/>
              </w:rPr>
              <w:t>6</w:t>
            </w:r>
            <w:r>
              <w:rPr>
                <w:sz w:val="21"/>
              </w:rPr>
              <w:t>.彩色电阻屏显示解剖学和病理，可显示≥30个专家处方电极放置方式，记录≥90个自定义处方。常用肺炎、急性扭损伤参考数据处方</w:t>
            </w:r>
            <w:r>
              <w:rPr>
                <w:sz w:val="21"/>
              </w:rPr>
              <w:t>；</w:t>
            </w:r>
          </w:p>
          <w:p>
            <w:pPr>
              <w:jc w:val="both"/>
            </w:pPr>
            <w:r>
              <w:rPr>
                <w:sz w:val="21"/>
              </w:rPr>
              <w:t>7.</w:t>
            </w:r>
            <w:r>
              <w:rPr>
                <w:sz w:val="21"/>
              </w:rPr>
              <w:t>设备保修期：</w:t>
            </w:r>
            <w:r>
              <w:rPr>
                <w:sz w:val="21"/>
              </w:rPr>
              <w:t>≥3年</w:t>
            </w:r>
            <w:r>
              <w:rPr>
                <w:sz w:val="21"/>
              </w:rPr>
              <w:t>。</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吞咽神经肌肉低频电刺激仪(便携式）</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1.治疗模式：连续脉冲治疗模式</w:t>
            </w:r>
            <w:r>
              <w:rPr>
                <w:sz w:val="21"/>
              </w:rPr>
              <w:t>；</w:t>
            </w:r>
          </w:p>
          <w:p>
            <w:pPr>
              <w:jc w:val="both"/>
            </w:pPr>
            <w:r>
              <w:rPr>
                <w:sz w:val="21"/>
              </w:rPr>
              <w:t>2.电极分离：方便临床操作，节省换电极时间</w:t>
            </w:r>
            <w:r>
              <w:rPr>
                <w:sz w:val="21"/>
              </w:rPr>
              <w:t>；</w:t>
            </w:r>
          </w:p>
          <w:p>
            <w:pPr>
              <w:jc w:val="both"/>
            </w:pPr>
            <w:r>
              <w:rPr>
                <w:sz w:val="21"/>
              </w:rPr>
              <w:t>3.输出波形：双向方波</w:t>
            </w:r>
            <w:r>
              <w:rPr>
                <w:sz w:val="21"/>
              </w:rPr>
              <w:t>；</w:t>
            </w:r>
          </w:p>
          <w:p>
            <w:pPr>
              <w:jc w:val="both"/>
            </w:pPr>
            <w:r>
              <w:rPr>
                <w:sz w:val="21"/>
              </w:rPr>
              <w:t>4.中频输出电流：在500Ω的负载下，每路输出电流≤100mA</w:t>
            </w:r>
            <w:r>
              <w:rPr>
                <w:sz w:val="21"/>
              </w:rPr>
              <w:t>；</w:t>
            </w:r>
          </w:p>
          <w:p>
            <w:pPr>
              <w:jc w:val="both"/>
            </w:pPr>
            <w:r>
              <w:rPr>
                <w:sz w:val="21"/>
              </w:rPr>
              <w:t>5.工作电流：0-60mA。频率：2Hz～100Hz可调。脉冲宽度：200μs，允差±10%。脉冲强度：幅度0～60mA可调</w:t>
            </w:r>
            <w:r>
              <w:rPr>
                <w:sz w:val="21"/>
              </w:rPr>
              <w:t>；</w:t>
            </w:r>
          </w:p>
          <w:p>
            <w:pPr>
              <w:jc w:val="both"/>
            </w:pPr>
            <w:r>
              <w:rPr>
                <w:sz w:val="21"/>
              </w:rPr>
              <w:t>▲6.GAME模式：力量训练、耐力训练、协调性训练三种主动肌电反馈训练程序，并在软件程序上有显示</w:t>
            </w:r>
            <w:r>
              <w:rPr>
                <w:sz w:val="21"/>
              </w:rPr>
              <w:t>；</w:t>
            </w:r>
          </w:p>
          <w:p>
            <w:pPr>
              <w:jc w:val="both"/>
            </w:pPr>
            <w:r>
              <w:rPr>
                <w:sz w:val="21"/>
              </w:rPr>
              <w:t>▲7.不同模式下电极电缆可共用</w:t>
            </w:r>
            <w:r>
              <w:rPr>
                <w:sz w:val="21"/>
              </w:rPr>
              <w:t>；</w:t>
            </w:r>
          </w:p>
          <w:p>
            <w:pPr>
              <w:jc w:val="both"/>
            </w:pPr>
            <w:r>
              <w:rPr>
                <w:sz w:val="21"/>
              </w:rPr>
              <w:t>▲8.主机仪器中储存的数据信息可通过蓝牙传输下载到移动设备上</w:t>
            </w:r>
            <w:r>
              <w:rPr>
                <w:sz w:val="21"/>
              </w:rPr>
              <w:t>；</w:t>
            </w:r>
          </w:p>
          <w:p>
            <w:pPr>
              <w:jc w:val="both"/>
            </w:pPr>
            <w:r>
              <w:rPr>
                <w:sz w:val="21"/>
              </w:rPr>
              <w:t>▲9.最大使用电流限制保护功能：主机以及软件程序均具有电流安全保护程序，软件程序可控制主机进行二次电流限制保护。防止患者不慎触碰电流调节程序，增大电流到最大限制电流，主机提示电流已达到最大</w:t>
            </w:r>
            <w:r>
              <w:rPr>
                <w:sz w:val="21"/>
              </w:rPr>
              <w:t>；</w:t>
            </w:r>
          </w:p>
          <w:p>
            <w:pPr>
              <w:jc w:val="both"/>
            </w:pPr>
            <w:r>
              <w:rPr>
                <w:sz w:val="21"/>
              </w:rPr>
              <w:t>10.随机配置电极片≥5包</w:t>
            </w:r>
            <w:r>
              <w:rPr>
                <w:sz w:val="21"/>
              </w:rPr>
              <w:t>；</w:t>
            </w:r>
          </w:p>
          <w:p>
            <w:pPr>
              <w:jc w:val="both"/>
            </w:pPr>
            <w:r>
              <w:rPr>
                <w:sz w:val="21"/>
              </w:rPr>
              <w:t>11.</w:t>
            </w:r>
            <w:r>
              <w:rPr>
                <w:sz w:val="21"/>
              </w:rPr>
              <w:t>设备保修期：</w:t>
            </w:r>
            <w:r>
              <w:rPr>
                <w:sz w:val="21"/>
              </w:rPr>
              <w:t>≥3年</w:t>
            </w:r>
            <w:r>
              <w:rPr>
                <w:sz w:val="21"/>
              </w:rPr>
              <w:t>；</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超声波治疗仪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1.超声工作频率：1MHz±10%</w:t>
            </w:r>
            <w:r>
              <w:rPr>
                <w:sz w:val="21"/>
              </w:rPr>
              <w:t>；</w:t>
            </w:r>
            <w:r>
              <w:rPr>
                <w:sz w:val="21"/>
              </w:rPr>
              <w:t>3MHz±10%</w:t>
            </w:r>
            <w:r>
              <w:rPr>
                <w:sz w:val="21"/>
              </w:rPr>
              <w:t>；</w:t>
            </w:r>
          </w:p>
          <w:p>
            <w:pPr>
              <w:jc w:val="both"/>
            </w:pPr>
            <w:r>
              <w:rPr>
                <w:sz w:val="21"/>
              </w:rPr>
              <w:t>2.安全性：超声头具有过温保护</w:t>
            </w:r>
            <w:r>
              <w:rPr>
                <w:sz w:val="21"/>
              </w:rPr>
              <w:t>；</w:t>
            </w:r>
          </w:p>
          <w:p>
            <w:pPr>
              <w:jc w:val="both"/>
            </w:pPr>
            <w:r>
              <w:rPr>
                <w:sz w:val="21"/>
              </w:rPr>
              <w:t>3.操作灵活：大屏液晶显示，触摸屏控制，彩色显示</w:t>
            </w:r>
            <w:r>
              <w:rPr>
                <w:sz w:val="21"/>
              </w:rPr>
              <w:t>；</w:t>
            </w:r>
          </w:p>
          <w:p>
            <w:pPr>
              <w:jc w:val="both"/>
            </w:pPr>
            <w:r>
              <w:rPr>
                <w:sz w:val="21"/>
              </w:rPr>
              <w:t>▲4.超声模块：具有导航功能，根据临床治疗需求，自动匹配参数</w:t>
            </w:r>
            <w:r>
              <w:rPr>
                <w:sz w:val="21"/>
              </w:rPr>
              <w:t>；</w:t>
            </w:r>
          </w:p>
          <w:p>
            <w:pPr>
              <w:jc w:val="both"/>
            </w:pPr>
            <w:r>
              <w:rPr>
                <w:sz w:val="21"/>
              </w:rPr>
              <w:t>▲5.超声探头具有工作指示灯，当探头无负载时，自动停止输出，输出指示灯熄灭</w:t>
            </w:r>
            <w:r>
              <w:rPr>
                <w:sz w:val="21"/>
              </w:rPr>
              <w:t>；</w:t>
            </w:r>
          </w:p>
          <w:p>
            <w:pPr>
              <w:jc w:val="both"/>
            </w:pPr>
            <w:r>
              <w:rPr>
                <w:sz w:val="21"/>
              </w:rPr>
              <w:t>▲6.功率转换：单个治疗头可实现1MHz和3MHz转换</w:t>
            </w:r>
            <w:r>
              <w:rPr>
                <w:sz w:val="21"/>
              </w:rPr>
              <w:t>；</w:t>
            </w:r>
          </w:p>
          <w:p>
            <w:pPr>
              <w:jc w:val="both"/>
            </w:pPr>
            <w:r>
              <w:rPr>
                <w:sz w:val="21"/>
              </w:rPr>
              <w:t>▲7.内置≥25个治疗处方，配置治疗图谱和操作指南</w:t>
            </w:r>
            <w:r>
              <w:rPr>
                <w:sz w:val="21"/>
              </w:rPr>
              <w:t>；</w:t>
            </w:r>
          </w:p>
          <w:p>
            <w:pPr>
              <w:jc w:val="both"/>
            </w:pPr>
            <w:r>
              <w:rPr>
                <w:sz w:val="21"/>
              </w:rPr>
              <w:t>8.1cm</w:t>
            </w:r>
            <w:r>
              <w:rPr>
                <w:sz w:val="21"/>
                <w:vertAlign w:val="superscript"/>
              </w:rPr>
              <w:t>2</w:t>
            </w:r>
            <w:r>
              <w:rPr>
                <w:sz w:val="21"/>
              </w:rPr>
              <w:t>超声探头治疗面积</w:t>
            </w:r>
            <w:r>
              <w:rPr>
                <w:sz w:val="21"/>
              </w:rPr>
              <w:t>2W±20%；</w:t>
            </w:r>
          </w:p>
          <w:p>
            <w:pPr>
              <w:jc w:val="both"/>
            </w:pPr>
            <w:r>
              <w:rPr>
                <w:sz w:val="21"/>
              </w:rPr>
              <w:t>9.5cm</w:t>
            </w:r>
            <w:r>
              <w:rPr>
                <w:sz w:val="21"/>
                <w:vertAlign w:val="superscript"/>
              </w:rPr>
              <w:t>2</w:t>
            </w:r>
            <w:r>
              <w:rPr>
                <w:sz w:val="21"/>
              </w:rPr>
              <w:t>超声探头治疗面积</w:t>
            </w:r>
            <w:r>
              <w:rPr>
                <w:sz w:val="21"/>
              </w:rPr>
              <w:t>6W±20%</w:t>
            </w:r>
            <w:r>
              <w:rPr>
                <w:sz w:val="21"/>
              </w:rPr>
              <w:t>；</w:t>
            </w:r>
          </w:p>
          <w:p>
            <w:pPr>
              <w:jc w:val="both"/>
            </w:pPr>
            <w:r>
              <w:rPr>
                <w:sz w:val="21"/>
              </w:rPr>
              <w:t>10.基本配置：主机一台；5cm</w:t>
            </w:r>
            <w:r>
              <w:rPr>
                <w:sz w:val="21"/>
                <w:vertAlign w:val="superscript"/>
              </w:rPr>
              <w:t>2</w:t>
            </w:r>
            <w:r>
              <w:rPr>
                <w:sz w:val="21"/>
              </w:rPr>
              <w:t>超声探头一个；</w:t>
            </w:r>
            <w:r>
              <w:rPr>
                <w:sz w:val="21"/>
              </w:rPr>
              <w:t>1cm</w:t>
            </w:r>
            <w:r>
              <w:rPr>
                <w:sz w:val="21"/>
                <w:vertAlign w:val="superscript"/>
              </w:rPr>
              <w:t>2</w:t>
            </w:r>
            <w:r>
              <w:rPr>
                <w:sz w:val="21"/>
              </w:rPr>
              <w:t>超声探头一个</w:t>
            </w:r>
            <w:r>
              <w:rPr>
                <w:sz w:val="21"/>
              </w:rPr>
              <w:t>；</w:t>
            </w:r>
          </w:p>
          <w:p>
            <w:pPr>
              <w:jc w:val="both"/>
            </w:pPr>
            <w:r>
              <w:rPr>
                <w:sz w:val="21"/>
              </w:rPr>
              <w:t>11.设备保修期：≥3年</w:t>
            </w:r>
            <w:r>
              <w:rPr>
                <w:sz w:val="21"/>
              </w:rPr>
              <w:t>。</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低频脉冲痉挛肌治疗仪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1.输出通道：一组两路脉冲输出</w:t>
            </w:r>
            <w:r>
              <w:rPr>
                <w:sz w:val="21"/>
              </w:rPr>
              <w:t>；</w:t>
            </w:r>
          </w:p>
          <w:p>
            <w:pPr>
              <w:jc w:val="both"/>
            </w:pPr>
            <w:r>
              <w:rPr>
                <w:sz w:val="21"/>
              </w:rPr>
              <w:t>2.输出脉冲宽度：0.1ms～2.0ms可调</w:t>
            </w:r>
            <w:r>
              <w:rPr>
                <w:sz w:val="21"/>
              </w:rPr>
              <w:t>；</w:t>
            </w:r>
          </w:p>
          <w:p>
            <w:pPr>
              <w:jc w:val="both"/>
            </w:pPr>
            <w:r>
              <w:rPr>
                <w:sz w:val="21"/>
              </w:rPr>
              <w:t>3.输出波形：矩形波</w:t>
            </w:r>
            <w:r>
              <w:rPr>
                <w:sz w:val="21"/>
              </w:rPr>
              <w:t>；</w:t>
            </w:r>
          </w:p>
          <w:p>
            <w:pPr>
              <w:jc w:val="both"/>
            </w:pPr>
            <w:r>
              <w:rPr>
                <w:sz w:val="21"/>
              </w:rPr>
              <w:t>4.治疗仪在500Ω的负载电阻下，输出幅度≤65V</w:t>
            </w:r>
            <w:r>
              <w:rPr>
                <w:sz w:val="21"/>
              </w:rPr>
              <w:t>；</w:t>
            </w:r>
          </w:p>
          <w:p>
            <w:pPr>
              <w:jc w:val="both"/>
            </w:pPr>
            <w:r>
              <w:rPr>
                <w:sz w:val="21"/>
              </w:rPr>
              <w:t>▲5.输出脉冲周期：0.2s～2s可调，级差0.1s，允差±20%</w:t>
            </w:r>
            <w:r>
              <w:rPr>
                <w:sz w:val="21"/>
              </w:rPr>
              <w:t>；</w:t>
            </w:r>
          </w:p>
          <w:p>
            <w:pPr>
              <w:jc w:val="both"/>
            </w:pPr>
            <w:r>
              <w:rPr>
                <w:sz w:val="21"/>
              </w:rPr>
              <w:t>▲6.操作显示面板为钢化玻璃+弹簧触摸按键+数码管显示</w:t>
            </w:r>
            <w:r>
              <w:rPr>
                <w:sz w:val="21"/>
              </w:rPr>
              <w:t>；</w:t>
            </w:r>
          </w:p>
          <w:p>
            <w:pPr>
              <w:jc w:val="both"/>
            </w:pPr>
            <w:r>
              <w:rPr>
                <w:sz w:val="21"/>
              </w:rPr>
              <w:t>▲7.处方：≥20个默认处方和≥20个自定义处方可供选择</w:t>
            </w:r>
            <w:r>
              <w:rPr>
                <w:sz w:val="21"/>
              </w:rPr>
              <w:t>；</w:t>
            </w:r>
          </w:p>
          <w:p>
            <w:pPr>
              <w:jc w:val="both"/>
            </w:pPr>
            <w:r>
              <w:rPr>
                <w:sz w:val="21"/>
              </w:rPr>
              <w:t>8.设备保修期：≥3年</w:t>
            </w:r>
            <w:r>
              <w:rPr>
                <w:sz w:val="21"/>
              </w:rPr>
              <w:t>。</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w:t>
      </w:r>
      <w:r>
        <w:rPr>
          <w:b/>
        </w:rPr>
        <w:t>：</w:t>
      </w:r>
      <w:r>
        <w:rPr>
          <w:b/>
        </w:rPr>
        <w:t>电子艾灸治疗仪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1.输入电压和频率：AC220V</w:t>
            </w:r>
            <w:r>
              <w:rPr>
                <w:sz w:val="21"/>
              </w:rPr>
              <w:t xml:space="preserve"> </w:t>
            </w:r>
            <w:r>
              <w:rPr>
                <w:sz w:val="21"/>
              </w:rPr>
              <w:t>50Hz</w:t>
            </w:r>
            <w:r>
              <w:rPr>
                <w:sz w:val="21"/>
              </w:rPr>
              <w:t>；</w:t>
            </w:r>
          </w:p>
          <w:p>
            <w:pPr>
              <w:jc w:val="both"/>
            </w:pPr>
            <w:r>
              <w:rPr>
                <w:sz w:val="21"/>
              </w:rPr>
              <w:t>2.额定输入功率：≥120W</w:t>
            </w:r>
            <w:r>
              <w:rPr>
                <w:sz w:val="21"/>
              </w:rPr>
              <w:t>；</w:t>
            </w:r>
          </w:p>
          <w:p>
            <w:pPr>
              <w:jc w:val="both"/>
            </w:pPr>
            <w:r>
              <w:rPr>
                <w:sz w:val="21"/>
              </w:rPr>
              <w:t>3.热疗温度范围：50℃~170℃</w:t>
            </w:r>
            <w:r>
              <w:rPr>
                <w:sz w:val="21"/>
              </w:rPr>
              <w:t>；</w:t>
            </w:r>
          </w:p>
          <w:p>
            <w:pPr>
              <w:jc w:val="both"/>
            </w:pPr>
            <w:r>
              <w:rPr>
                <w:sz w:val="21"/>
              </w:rPr>
              <w:t>4.治疗时间：5～90分钟</w:t>
            </w:r>
            <w:r>
              <w:rPr>
                <w:sz w:val="21"/>
              </w:rPr>
              <w:t>；</w:t>
            </w:r>
          </w:p>
          <w:p>
            <w:pPr>
              <w:jc w:val="both"/>
            </w:pPr>
            <w:r>
              <w:rPr>
                <w:sz w:val="21"/>
              </w:rPr>
              <w:t>5.设备保修期：≥3年</w:t>
            </w:r>
            <w:r>
              <w:rPr>
                <w:sz w:val="21"/>
              </w:rPr>
              <w:t>。</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w:t>
      </w:r>
      <w:r>
        <w:rPr>
          <w:b/>
        </w:rPr>
        <w:t>：</w:t>
      </w:r>
      <w:r>
        <w:rPr>
          <w:b/>
        </w:rPr>
        <w:t>脑电仿生电刺激仪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w:t>
            </w:r>
            <w:r>
              <w:rPr>
                <w:sz w:val="21"/>
              </w:rPr>
              <w:t>主极在标准模式下，强度最大时的输出电流峰值</w:t>
            </w:r>
            <w:r>
              <w:rPr>
                <w:sz w:val="21"/>
              </w:rPr>
              <w:t>Ip-p 以 80mAp-p 为参照，实测值可在 70～90mAp-p范围内变化；</w:t>
            </w:r>
          </w:p>
          <w:p>
            <w:pPr>
              <w:jc w:val="both"/>
            </w:pPr>
            <w:r>
              <w:rPr>
                <w:sz w:val="21"/>
              </w:rPr>
              <w:t>2.</w:t>
            </w:r>
            <w:r>
              <w:rPr>
                <w:sz w:val="21"/>
              </w:rPr>
              <w:t>辅极在模式</w:t>
            </w:r>
            <w:r>
              <w:rPr>
                <w:sz w:val="21"/>
              </w:rPr>
              <w:t>01～10 下，强度最大时的输出电流峰值 Ip-p 以 72mAp-p 为参照，实测值可在 62～82mAp-p 范围内变化</w:t>
            </w:r>
            <w:r>
              <w:rPr>
                <w:sz w:val="21"/>
              </w:rPr>
              <w:t>；</w:t>
            </w:r>
          </w:p>
          <w:p>
            <w:pPr>
              <w:jc w:val="both"/>
            </w:pPr>
            <w:r>
              <w:rPr>
                <w:sz w:val="21"/>
              </w:rPr>
              <w:t>3.</w:t>
            </w:r>
            <w:r>
              <w:rPr>
                <w:sz w:val="21"/>
              </w:rPr>
              <w:t>输出处方：</w:t>
            </w:r>
            <w:r>
              <w:rPr>
                <w:sz w:val="21"/>
              </w:rPr>
              <w:t>≥11种治疗，分别对应不同电刺激模式，无需对频率、脉宽、电压进行调节</w:t>
            </w:r>
            <w:r>
              <w:rPr>
                <w:sz w:val="21"/>
              </w:rPr>
              <w:t>；</w:t>
            </w:r>
          </w:p>
          <w:p>
            <w:pPr>
              <w:jc w:val="both"/>
            </w:pPr>
            <w:r>
              <w:rPr>
                <w:sz w:val="21"/>
              </w:rPr>
              <w:t>4.</w:t>
            </w:r>
            <w:r>
              <w:rPr>
                <w:sz w:val="21"/>
              </w:rPr>
              <w:t>治疗强度显示及设定范围为</w:t>
            </w:r>
            <w:r>
              <w:rPr>
                <w:sz w:val="21"/>
              </w:rPr>
              <w:t>0～80，辅级0～90可调，调节步长为1</w:t>
            </w:r>
            <w:r>
              <w:rPr>
                <w:sz w:val="21"/>
              </w:rPr>
              <w:t>；</w:t>
            </w:r>
          </w:p>
          <w:p>
            <w:pPr>
              <w:jc w:val="both"/>
            </w:pPr>
            <w:r>
              <w:rPr>
                <w:sz w:val="21"/>
              </w:rPr>
              <w:t>5.</w:t>
            </w:r>
            <w:r>
              <w:rPr>
                <w:sz w:val="21"/>
              </w:rPr>
              <w:t>定时精度：连续模式是</w:t>
            </w:r>
            <w:r>
              <w:rPr>
                <w:sz w:val="21"/>
              </w:rPr>
              <w:t>0-99min，常规、夜间、脉冲模式下是0-30min，工作时间≥8H</w:t>
            </w:r>
            <w:r>
              <w:rPr>
                <w:sz w:val="21"/>
              </w:rPr>
              <w:t>；</w:t>
            </w:r>
          </w:p>
          <w:p>
            <w:pPr>
              <w:jc w:val="both"/>
            </w:pPr>
            <w:r>
              <w:rPr>
                <w:sz w:val="21"/>
              </w:rPr>
              <w:t>6.</w:t>
            </w:r>
            <w:r>
              <w:rPr>
                <w:sz w:val="21"/>
              </w:rPr>
              <w:t>磁场强度：治疗强度分为</w:t>
            </w:r>
            <w:r>
              <w:rPr>
                <w:sz w:val="21"/>
              </w:rPr>
              <w:t>2档,强度范围3mT～9mT,10mT～17mT</w:t>
            </w:r>
            <w:r>
              <w:rPr>
                <w:sz w:val="21"/>
              </w:rPr>
              <w:t>；</w:t>
            </w:r>
          </w:p>
          <w:p>
            <w:pPr>
              <w:jc w:val="both"/>
            </w:pPr>
            <w:r>
              <w:rPr>
                <w:sz w:val="21"/>
              </w:rPr>
              <w:t>7.</w:t>
            </w:r>
            <w:r>
              <w:rPr>
                <w:sz w:val="21"/>
              </w:rPr>
              <w:t>磁场频率为</w:t>
            </w:r>
            <w:r>
              <w:rPr>
                <w:sz w:val="21"/>
              </w:rPr>
              <w:t>50Hz±2%</w:t>
            </w:r>
            <w:r>
              <w:rPr>
                <w:sz w:val="21"/>
              </w:rPr>
              <w:t>；</w:t>
            </w:r>
          </w:p>
          <w:p>
            <w:pPr>
              <w:jc w:val="both"/>
            </w:pPr>
            <w:r>
              <w:rPr>
                <w:sz w:val="21"/>
              </w:rPr>
              <w:t>8.</w:t>
            </w:r>
            <w:r>
              <w:rPr>
                <w:sz w:val="21"/>
              </w:rPr>
              <w:t>振动按摩强度四档以上可调</w:t>
            </w:r>
            <w:r>
              <w:rPr>
                <w:sz w:val="21"/>
              </w:rPr>
              <w:t>:0V,10V,16V,27V等</w:t>
            </w:r>
            <w:r>
              <w:rPr>
                <w:sz w:val="21"/>
              </w:rPr>
              <w:t>；</w:t>
            </w:r>
          </w:p>
          <w:p>
            <w:pPr>
              <w:jc w:val="both"/>
            </w:pPr>
            <w:r>
              <w:rPr>
                <w:sz w:val="21"/>
              </w:rPr>
              <w:t>9.</w:t>
            </w:r>
            <w:r>
              <w:rPr>
                <w:sz w:val="21"/>
              </w:rPr>
              <w:t>振动按摩频率四档以上可调</w:t>
            </w:r>
            <w:r>
              <w:rPr>
                <w:sz w:val="21"/>
              </w:rPr>
              <w:t>:0Hz,2Hz,5Hz,10Hz等</w:t>
            </w:r>
            <w:r>
              <w:rPr>
                <w:sz w:val="21"/>
              </w:rPr>
              <w:t>；</w:t>
            </w:r>
          </w:p>
          <w:p>
            <w:pPr>
              <w:jc w:val="both"/>
            </w:pPr>
            <w:r>
              <w:rPr>
                <w:sz w:val="21"/>
              </w:rPr>
              <w:t>▲</w:t>
            </w:r>
            <w:r>
              <w:rPr>
                <w:sz w:val="21"/>
              </w:rPr>
              <w:t>10.</w:t>
            </w:r>
            <w:r>
              <w:rPr>
                <w:sz w:val="21"/>
              </w:rPr>
              <w:t>液晶显示屏显示加一键飞梭操作；</w:t>
            </w:r>
          </w:p>
          <w:p>
            <w:pPr>
              <w:jc w:val="both"/>
            </w:pPr>
            <w:r>
              <w:rPr>
                <w:sz w:val="21"/>
              </w:rPr>
              <w:t>▲</w:t>
            </w:r>
            <w:r>
              <w:rPr>
                <w:sz w:val="21"/>
              </w:rPr>
              <w:t>11.</w:t>
            </w:r>
            <w:r>
              <w:rPr>
                <w:sz w:val="21"/>
              </w:rPr>
              <w:t>仪器单个通道具有两路电脑电仿生电刺激仪疗输出，一路磁疗输出。电疗和磁疗可独立操作；</w:t>
            </w:r>
          </w:p>
          <w:p>
            <w:pPr>
              <w:jc w:val="both"/>
            </w:pPr>
            <w:r>
              <w:rPr>
                <w:sz w:val="21"/>
              </w:rPr>
              <w:t>▲</w:t>
            </w:r>
            <w:r>
              <w:rPr>
                <w:sz w:val="21"/>
              </w:rPr>
              <w:t>12.</w:t>
            </w:r>
            <w:r>
              <w:rPr>
                <w:sz w:val="21"/>
              </w:rPr>
              <w:t>主极采用脑电仿生低频电输出，辅极采用肢体调制中频电输出，主、辅极独立控制；</w:t>
            </w:r>
          </w:p>
          <w:p>
            <w:pPr>
              <w:jc w:val="both"/>
            </w:pPr>
            <w:r>
              <w:rPr>
                <w:sz w:val="21"/>
              </w:rPr>
              <w:t>▲</w:t>
            </w:r>
            <w:r>
              <w:rPr>
                <w:sz w:val="21"/>
              </w:rPr>
              <w:t>13.</w:t>
            </w:r>
            <w:r>
              <w:rPr>
                <w:sz w:val="21"/>
              </w:rPr>
              <w:t>主极基本频率</w:t>
            </w:r>
            <w:r>
              <w:rPr>
                <w:sz w:val="21"/>
              </w:rPr>
              <w:t>: 23.81Hz</w:t>
            </w:r>
            <w:r>
              <w:rPr>
                <w:sz w:val="21"/>
              </w:rPr>
              <w:t>±</w:t>
            </w:r>
            <w:r>
              <w:rPr>
                <w:sz w:val="21"/>
              </w:rPr>
              <w:t>5%</w:t>
            </w:r>
            <w:r>
              <w:rPr>
                <w:sz w:val="21"/>
              </w:rPr>
              <w:t>、</w:t>
            </w:r>
            <w:r>
              <w:rPr>
                <w:sz w:val="21"/>
              </w:rPr>
              <w:t>15.87Hz</w:t>
            </w:r>
            <w:r>
              <w:rPr>
                <w:sz w:val="21"/>
              </w:rPr>
              <w:t>±</w:t>
            </w:r>
            <w:r>
              <w:rPr>
                <w:sz w:val="21"/>
              </w:rPr>
              <w:t>5%</w:t>
            </w:r>
            <w:r>
              <w:rPr>
                <w:sz w:val="21"/>
              </w:rPr>
              <w:t>、</w:t>
            </w:r>
            <w:r>
              <w:rPr>
                <w:sz w:val="21"/>
              </w:rPr>
              <w:t>15.87Hz</w:t>
            </w:r>
            <w:r>
              <w:rPr>
                <w:sz w:val="21"/>
              </w:rPr>
              <w:t>±</w:t>
            </w:r>
            <w:r>
              <w:rPr>
                <w:sz w:val="21"/>
              </w:rPr>
              <w:t>5%</w:t>
            </w:r>
            <w:r>
              <w:rPr>
                <w:sz w:val="21"/>
              </w:rPr>
              <w:t>、</w:t>
            </w:r>
            <w:r>
              <w:rPr>
                <w:sz w:val="21"/>
              </w:rPr>
              <w:t>11.90Hz</w:t>
            </w:r>
            <w:r>
              <w:rPr>
                <w:sz w:val="21"/>
              </w:rPr>
              <w:t>±</w:t>
            </w:r>
            <w:r>
              <w:rPr>
                <w:sz w:val="21"/>
              </w:rPr>
              <w:t>5%</w:t>
            </w:r>
            <w:r>
              <w:rPr>
                <w:sz w:val="21"/>
              </w:rPr>
              <w:t>；辅极基本频率：</w:t>
            </w:r>
            <w:r>
              <w:rPr>
                <w:sz w:val="21"/>
              </w:rPr>
              <w:t>4000Hz±10%；</w:t>
            </w:r>
          </w:p>
          <w:p>
            <w:pPr>
              <w:jc w:val="both"/>
            </w:pPr>
            <w:r>
              <w:rPr>
                <w:sz w:val="21"/>
              </w:rPr>
              <w:t>▲</w:t>
            </w:r>
            <w:r>
              <w:rPr>
                <w:sz w:val="21"/>
              </w:rPr>
              <w:t>14.</w:t>
            </w:r>
            <w:r>
              <w:rPr>
                <w:sz w:val="21"/>
              </w:rPr>
              <w:t>输出模式：常规模式、连续模式、脉冲模式、夜间模式等</w:t>
            </w:r>
            <w:r>
              <w:rPr>
                <w:sz w:val="21"/>
              </w:rPr>
              <w:t>；</w:t>
            </w:r>
          </w:p>
          <w:p>
            <w:pPr>
              <w:jc w:val="both"/>
            </w:pPr>
            <w:r>
              <w:rPr>
                <w:sz w:val="21"/>
              </w:rPr>
              <w:t>15.</w:t>
            </w:r>
            <w:r>
              <w:rPr>
                <w:sz w:val="21"/>
              </w:rPr>
              <w:t>设备保修期：</w:t>
            </w:r>
            <w:r>
              <w:rPr>
                <w:sz w:val="21"/>
              </w:rPr>
              <w:t>≥</w:t>
            </w:r>
            <w:r>
              <w:rPr>
                <w:sz w:val="21"/>
              </w:rPr>
              <w:t>3年</w:t>
            </w:r>
            <w:r>
              <w:rPr>
                <w:sz w:val="21"/>
              </w:rPr>
              <w:t>。</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w:t>
      </w:r>
      <w:r>
        <w:rPr>
          <w:b/>
        </w:rPr>
        <w:t>：</w:t>
      </w:r>
      <w:r>
        <w:rPr>
          <w:b/>
        </w:rPr>
        <w:t>低温冲击镇痛仪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w:t>
            </w:r>
            <w:r>
              <w:rPr>
                <w:sz w:val="21"/>
              </w:rPr>
              <w:t>设备用途</w:t>
            </w:r>
            <w:r>
              <w:rPr>
                <w:sz w:val="21"/>
              </w:rPr>
              <w:t>：</w:t>
            </w:r>
            <w:r>
              <w:rPr>
                <w:sz w:val="21"/>
              </w:rPr>
              <w:t>利用设备产生的冷空气缓解急性损伤疼痛、水肿</w:t>
            </w:r>
            <w:r>
              <w:rPr>
                <w:sz w:val="21"/>
              </w:rPr>
              <w:t>；</w:t>
            </w:r>
          </w:p>
          <w:p>
            <w:pPr>
              <w:jc w:val="left"/>
            </w:pPr>
            <w:r>
              <w:rPr>
                <w:sz w:val="21"/>
              </w:rPr>
              <w:t>2.</w:t>
            </w:r>
            <w:r>
              <w:rPr>
                <w:sz w:val="21"/>
              </w:rPr>
              <w:t>制冷方式</w:t>
            </w:r>
            <w:r>
              <w:rPr>
                <w:sz w:val="21"/>
              </w:rPr>
              <w:t>：</w:t>
            </w:r>
            <w:r>
              <w:rPr>
                <w:sz w:val="21"/>
              </w:rPr>
              <w:t>压缩机制冷</w:t>
            </w:r>
            <w:r>
              <w:rPr>
                <w:sz w:val="21"/>
              </w:rPr>
              <w:t>；</w:t>
            </w:r>
          </w:p>
          <w:p>
            <w:pPr>
              <w:jc w:val="left"/>
            </w:pPr>
            <w:r>
              <w:rPr>
                <w:sz w:val="21"/>
              </w:rPr>
              <w:t>3.</w:t>
            </w:r>
            <w:r>
              <w:rPr>
                <w:sz w:val="21"/>
              </w:rPr>
              <w:t>显示方式：液晶显示屏</w:t>
            </w:r>
            <w:r>
              <w:rPr>
                <w:sz w:val="21"/>
              </w:rPr>
              <w:t>；</w:t>
            </w:r>
          </w:p>
          <w:p>
            <w:pPr>
              <w:jc w:val="left"/>
            </w:pPr>
            <w:r>
              <w:rPr>
                <w:sz w:val="21"/>
              </w:rPr>
              <w:t>4.</w:t>
            </w:r>
            <w:r>
              <w:rPr>
                <w:sz w:val="21"/>
              </w:rPr>
              <w:t>治疗温度设置范围</w:t>
            </w:r>
            <w:r>
              <w:rPr>
                <w:sz w:val="21"/>
              </w:rPr>
              <w:t>0～30℃连续可调，级差1℃</w:t>
            </w:r>
            <w:r>
              <w:rPr>
                <w:sz w:val="21"/>
              </w:rPr>
              <w:t>；</w:t>
            </w:r>
          </w:p>
          <w:p>
            <w:pPr>
              <w:jc w:val="left"/>
            </w:pPr>
            <w:r>
              <w:rPr>
                <w:sz w:val="21"/>
              </w:rPr>
              <w:t>5.</w:t>
            </w:r>
            <w:r>
              <w:rPr>
                <w:sz w:val="21"/>
              </w:rPr>
              <w:t>治疗时间：</w:t>
            </w:r>
            <w:r>
              <w:rPr>
                <w:sz w:val="21"/>
              </w:rPr>
              <w:t>1～99min</w:t>
            </w:r>
            <w:r>
              <w:rPr>
                <w:sz w:val="21"/>
              </w:rPr>
              <w:t>；</w:t>
            </w:r>
          </w:p>
          <w:p>
            <w:pPr>
              <w:jc w:val="left"/>
            </w:pPr>
            <w:r>
              <w:rPr>
                <w:sz w:val="21"/>
              </w:rPr>
              <w:t>6.</w:t>
            </w:r>
            <w:r>
              <w:rPr>
                <w:sz w:val="21"/>
              </w:rPr>
              <w:t>除霜时间：</w:t>
            </w:r>
            <w:r>
              <w:rPr>
                <w:sz w:val="21"/>
              </w:rPr>
              <w:t>10min～30min</w:t>
            </w:r>
            <w:r>
              <w:rPr>
                <w:sz w:val="21"/>
              </w:rPr>
              <w:t>；</w:t>
            </w:r>
          </w:p>
          <w:p>
            <w:pPr>
              <w:jc w:val="left"/>
            </w:pPr>
            <w:r>
              <w:rPr>
                <w:sz w:val="21"/>
              </w:rPr>
              <w:t>7.</w:t>
            </w:r>
            <w:r>
              <w:rPr>
                <w:sz w:val="21"/>
              </w:rPr>
              <w:t>冷空气输出管</w:t>
            </w:r>
            <w:r>
              <w:rPr>
                <w:sz w:val="21"/>
              </w:rPr>
              <w:t>：</w:t>
            </w:r>
            <w:r>
              <w:rPr>
                <w:sz w:val="21"/>
              </w:rPr>
              <w:t>≥1500mm</w:t>
            </w:r>
            <w:r>
              <w:rPr>
                <w:sz w:val="21"/>
              </w:rPr>
              <w:t>；</w:t>
            </w:r>
          </w:p>
          <w:p>
            <w:pPr>
              <w:jc w:val="left"/>
            </w:pPr>
            <w:r>
              <w:rPr>
                <w:sz w:val="21"/>
              </w:rPr>
              <w:t>8.</w:t>
            </w:r>
            <w:r>
              <w:rPr>
                <w:sz w:val="21"/>
              </w:rPr>
              <w:t>程序软管释放出的气流温度</w:t>
            </w:r>
            <w:r>
              <w:rPr>
                <w:sz w:val="21"/>
              </w:rPr>
              <w:t>：</w:t>
            </w:r>
            <w:r>
              <w:rPr>
                <w:sz w:val="21"/>
              </w:rPr>
              <w:t>≤-15℃；</w:t>
            </w:r>
          </w:p>
          <w:p>
            <w:pPr>
              <w:jc w:val="left"/>
            </w:pPr>
            <w:r>
              <w:rPr>
                <w:sz w:val="21"/>
              </w:rPr>
              <w:t>9.</w:t>
            </w:r>
            <w:r>
              <w:rPr>
                <w:sz w:val="21"/>
              </w:rPr>
              <w:t>耗气量：</w:t>
            </w:r>
            <w:r>
              <w:rPr>
                <w:sz w:val="21"/>
              </w:rPr>
              <w:t>30～120L/min；</w:t>
            </w:r>
          </w:p>
          <w:p>
            <w:pPr>
              <w:jc w:val="left"/>
            </w:pPr>
            <w:r>
              <w:rPr>
                <w:sz w:val="21"/>
              </w:rPr>
              <w:t>10.</w:t>
            </w:r>
            <w:r>
              <w:rPr>
                <w:sz w:val="21"/>
              </w:rPr>
              <w:t>自定义处方：</w:t>
            </w:r>
            <w:r>
              <w:rPr>
                <w:sz w:val="21"/>
              </w:rPr>
              <w:t>≥35个；</w:t>
            </w:r>
          </w:p>
          <w:p>
            <w:pPr>
              <w:jc w:val="left"/>
            </w:pPr>
            <w:r>
              <w:rPr>
                <w:sz w:val="21"/>
              </w:rPr>
              <w:t>11.</w:t>
            </w:r>
            <w:r>
              <w:rPr>
                <w:sz w:val="21"/>
              </w:rPr>
              <w:t>红外测温功能</w:t>
            </w:r>
            <w:r>
              <w:rPr>
                <w:sz w:val="21"/>
              </w:rPr>
              <w:t>：</w:t>
            </w:r>
            <w:r>
              <w:rPr>
                <w:sz w:val="21"/>
              </w:rPr>
              <w:t>具备，实时显示当前皮肤温度，根据皮肤温度自动调节出风量</w:t>
            </w:r>
            <w:r>
              <w:rPr>
                <w:sz w:val="21"/>
              </w:rPr>
              <w:t>；</w:t>
            </w:r>
          </w:p>
          <w:p>
            <w:pPr>
              <w:jc w:val="left"/>
            </w:pPr>
            <w:r>
              <w:rPr>
                <w:sz w:val="21"/>
              </w:rPr>
              <w:t>12.</w:t>
            </w:r>
            <w:r>
              <w:rPr>
                <w:sz w:val="21"/>
              </w:rPr>
              <w:t>两种语言：中文、英文</w:t>
            </w:r>
            <w:r>
              <w:rPr>
                <w:sz w:val="21"/>
              </w:rPr>
              <w:t>；</w:t>
            </w:r>
          </w:p>
          <w:p>
            <w:pPr>
              <w:jc w:val="left"/>
            </w:pPr>
            <w:r>
              <w:rPr>
                <w:sz w:val="21"/>
              </w:rPr>
              <w:t>13.</w:t>
            </w:r>
            <w:r>
              <w:rPr>
                <w:sz w:val="21"/>
              </w:rPr>
              <w:t>终身无条件软件升级</w:t>
            </w:r>
            <w:r>
              <w:rPr>
                <w:sz w:val="21"/>
              </w:rPr>
              <w:t>；</w:t>
            </w:r>
          </w:p>
          <w:p>
            <w:pPr>
              <w:jc w:val="both"/>
            </w:pPr>
            <w:r>
              <w:rPr>
                <w:sz w:val="21"/>
              </w:rPr>
              <w:t>14.</w:t>
            </w:r>
            <w:r>
              <w:rPr>
                <w:sz w:val="21"/>
              </w:rPr>
              <w:t>设备保修期：</w:t>
            </w:r>
            <w:r>
              <w:rPr>
                <w:sz w:val="21"/>
              </w:rPr>
              <w:t>≥</w:t>
            </w:r>
            <w:r>
              <w:rPr>
                <w:sz w:val="21"/>
              </w:rPr>
              <w:t>3年</w:t>
            </w:r>
            <w:r>
              <w:rPr>
                <w:sz w:val="21"/>
              </w:rPr>
              <w:t>。</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九</w:t>
      </w:r>
      <w:r>
        <w:rPr>
          <w:b/>
        </w:rPr>
        <w:t>：</w:t>
      </w:r>
      <w:r>
        <w:rPr>
          <w:b/>
        </w:rPr>
        <w:t>深层肌肉刺激仪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1.显示方式：液晶触控显示屏。实时显示当前转速、电量</w:t>
            </w:r>
            <w:r>
              <w:rPr>
                <w:sz w:val="21"/>
              </w:rPr>
              <w:t>；</w:t>
            </w:r>
          </w:p>
          <w:p>
            <w:pPr>
              <w:jc w:val="both"/>
            </w:pPr>
            <w:r>
              <w:rPr>
                <w:sz w:val="21"/>
              </w:rPr>
              <w:t>2.采用低压控制方式</w:t>
            </w:r>
            <w:r>
              <w:rPr>
                <w:sz w:val="21"/>
              </w:rPr>
              <w:t>；</w:t>
            </w:r>
          </w:p>
          <w:p>
            <w:pPr>
              <w:jc w:val="both"/>
            </w:pPr>
            <w:r>
              <w:rPr>
                <w:sz w:val="21"/>
              </w:rPr>
              <w:t>3.电源：采用高能锂电池，内部直流电源</w:t>
            </w:r>
            <w:r>
              <w:rPr>
                <w:sz w:val="21"/>
              </w:rPr>
              <w:t>；</w:t>
            </w:r>
          </w:p>
          <w:p>
            <w:pPr>
              <w:jc w:val="both"/>
            </w:pPr>
            <w:r>
              <w:rPr>
                <w:sz w:val="21"/>
              </w:rPr>
              <w:t>3.1.24V，允差±10%</w:t>
            </w:r>
            <w:r>
              <w:rPr>
                <w:sz w:val="21"/>
              </w:rPr>
              <w:t>；</w:t>
            </w:r>
          </w:p>
          <w:p>
            <w:pPr>
              <w:jc w:val="both"/>
            </w:pPr>
            <w:r>
              <w:rPr>
                <w:sz w:val="21"/>
              </w:rPr>
              <w:t>3.2.电池容量：2600mAh（6节），电能62.4Wh，允差±10%；</w:t>
            </w:r>
          </w:p>
          <w:p>
            <w:pPr>
              <w:jc w:val="both"/>
            </w:pPr>
            <w:r>
              <w:rPr>
                <w:sz w:val="21"/>
              </w:rPr>
              <w:t>▲4.振动幅度≥6mm</w:t>
            </w:r>
            <w:r>
              <w:rPr>
                <w:sz w:val="21"/>
              </w:rPr>
              <w:t>；</w:t>
            </w:r>
          </w:p>
          <w:p>
            <w:pPr>
              <w:jc w:val="both"/>
            </w:pPr>
            <w:r>
              <w:rPr>
                <w:sz w:val="21"/>
              </w:rPr>
              <w:t>▲5.转速：400-4500rpm可调，当前设定值允差±5%，点动按键（“+”“-”），电机速度步进100；长按按键（“+”“-”），电机速度步进10）；最高振动频率：≥75Hz</w:t>
            </w:r>
            <w:r>
              <w:rPr>
                <w:sz w:val="21"/>
              </w:rPr>
              <w:t>；</w:t>
            </w:r>
          </w:p>
          <w:p>
            <w:pPr>
              <w:jc w:val="both"/>
            </w:pPr>
            <w:r>
              <w:rPr>
                <w:sz w:val="21"/>
              </w:rPr>
              <w:t>6.工作时间：10min自动断电，允差±5%</w:t>
            </w:r>
            <w:r>
              <w:rPr>
                <w:sz w:val="21"/>
              </w:rPr>
              <w:t>；</w:t>
            </w:r>
          </w:p>
          <w:p>
            <w:pPr>
              <w:jc w:val="both"/>
            </w:pPr>
            <w:r>
              <w:rPr>
                <w:sz w:val="21"/>
              </w:rPr>
              <w:t>7.噪声：≤60dB（A），正常工作时，电机运转平稳，噪声低</w:t>
            </w:r>
            <w:r>
              <w:rPr>
                <w:sz w:val="21"/>
              </w:rPr>
              <w:t>；</w:t>
            </w:r>
          </w:p>
          <w:p>
            <w:pPr>
              <w:jc w:val="both"/>
            </w:pPr>
            <w:r>
              <w:rPr>
                <w:sz w:val="21"/>
              </w:rPr>
              <w:t>▲8.按摩头：≥25 种按摩头，配套≥25个按摩头</w:t>
            </w:r>
            <w:r>
              <w:rPr>
                <w:sz w:val="21"/>
              </w:rPr>
              <w:t>；</w:t>
            </w:r>
          </w:p>
          <w:p>
            <w:pPr>
              <w:jc w:val="both"/>
            </w:pPr>
            <w:r>
              <w:rPr>
                <w:sz w:val="21"/>
              </w:rPr>
              <w:t>9.具有无极变速开关，工作时振动连续输出，按摩头可伸缩</w:t>
            </w:r>
            <w:r>
              <w:rPr>
                <w:sz w:val="21"/>
              </w:rPr>
              <w:t>；</w:t>
            </w:r>
          </w:p>
          <w:p>
            <w:pPr>
              <w:jc w:val="both"/>
            </w:pPr>
            <w:r>
              <w:rPr>
                <w:sz w:val="21"/>
              </w:rPr>
              <w:t>10.便携式设计</w:t>
            </w:r>
            <w:r>
              <w:rPr>
                <w:sz w:val="21"/>
              </w:rPr>
              <w:t>；</w:t>
            </w:r>
          </w:p>
          <w:p>
            <w:pPr>
              <w:jc w:val="both"/>
            </w:pPr>
            <w:r>
              <w:rPr>
                <w:sz w:val="21"/>
              </w:rPr>
              <w:t>11.保修期：≥3年</w:t>
            </w:r>
            <w:r>
              <w:rPr>
                <w:sz w:val="21"/>
              </w:rPr>
              <w:t>。</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w:t>
      </w:r>
      <w:r>
        <w:rPr>
          <w:b/>
        </w:rPr>
        <w:t>：</w:t>
      </w:r>
      <w:r>
        <w:rPr>
          <w:b/>
        </w:rPr>
        <w:t>多关节主被动训练仪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1.适用于中风、昏迷或术后卧床患者。设备容易移动、固定，上下高度可调节，可固定于病床的任意位置；</w:t>
            </w:r>
          </w:p>
          <w:p>
            <w:pPr>
              <w:jc w:val="both"/>
            </w:pPr>
            <w:r>
              <w:rPr>
                <w:sz w:val="21"/>
              </w:rPr>
              <w:t>2.牵拉绳长度：≥750mm，允差±10%；</w:t>
            </w:r>
            <w:r>
              <w:br/>
            </w:r>
            <w:r>
              <w:rPr>
                <w:sz w:val="21"/>
              </w:rPr>
              <w:t>2.1牵拉绳调节部件长度调节范围：0～270mm，允差±10mm；</w:t>
            </w:r>
            <w:r>
              <w:br/>
            </w:r>
            <w:r>
              <w:rPr>
                <w:sz w:val="21"/>
              </w:rPr>
              <w:t>2.2牵引绳承受重力：≥500N，允差±10%</w:t>
            </w:r>
            <w:r>
              <w:rPr>
                <w:sz w:val="21"/>
              </w:rPr>
              <w:t>；</w:t>
            </w:r>
            <w:r>
              <w:br/>
            </w:r>
            <w:r>
              <w:rPr>
                <w:sz w:val="21"/>
              </w:rPr>
              <w:t>3.配有≥8英寸彩色液晶触摸屏，内置多款游戏；</w:t>
            </w:r>
          </w:p>
          <w:p>
            <w:pPr>
              <w:jc w:val="both"/>
            </w:pPr>
            <w:r>
              <w:rPr>
                <w:sz w:val="21"/>
              </w:rPr>
              <w:t>4.对接功能：具备与床对接功能；</w:t>
            </w:r>
            <w:r>
              <w:br/>
            </w:r>
            <w:r>
              <w:rPr>
                <w:sz w:val="21"/>
              </w:rPr>
              <w:t>▲5.屏幕水平方向：0°～180°可调，允差±10%；</w:t>
            </w:r>
            <w:r>
              <w:br/>
            </w:r>
            <w:r>
              <w:rPr>
                <w:sz w:val="21"/>
              </w:rPr>
              <w:t>▲6.下肢训练部分伸缩调节范围：0～150mm，允差±10%；</w:t>
            </w:r>
            <w:r>
              <w:br/>
            </w:r>
            <w:r>
              <w:rPr>
                <w:sz w:val="21"/>
              </w:rPr>
              <w:t>▲7.立杆伸缩调节范围：0～150mm，允差±10%</w:t>
            </w:r>
            <w:r>
              <w:rPr>
                <w:sz w:val="21"/>
              </w:rPr>
              <w:t>；</w:t>
            </w:r>
            <w:r>
              <w:br/>
            </w:r>
            <w:r>
              <w:rPr>
                <w:sz w:val="21"/>
              </w:rPr>
              <w:t>▲8.主动模式：提供力矩（主动阻力矩）：1～15N·m，允差±5%，≥15档设定，步进为≤1N·m。在训练过程中显示屏显示当前的速度、训练时间和阻力；训练结束后显示训练结果</w:t>
            </w:r>
            <w:r>
              <w:rPr>
                <w:sz w:val="21"/>
              </w:rPr>
              <w:t>；</w:t>
            </w:r>
            <w:r>
              <w:br/>
            </w:r>
            <w:r>
              <w:rPr>
                <w:sz w:val="21"/>
              </w:rPr>
              <w:t>▲9.被动模式：a）训练时间调节范围：1～60min，允差±30s，步进1min，默认20min；b）训练速度调节范围：5～55rpm，允差±5rpm，步进1rpm，默认20rpm；c）运动方向：正、逆两种，在训练过程中可以改变方向；d）电机输出：高、中、低3档（允差±20%）；e）痉挛功能：可选择开启或关闭，训练结束后显示痉挛次数；f）痉挛后方向：固向、变向两种，可调节痉挛后旋转方向与原方向一致或相反；</w:t>
            </w:r>
            <w:r>
              <w:br/>
            </w:r>
            <w:r>
              <w:rPr>
                <w:sz w:val="21"/>
              </w:rPr>
              <w:t>10.训练结果显示：训练结束时显示锻炼时间、主动时间、左平衡比例、右平衡比例、被动时间、痉挛次数、卡路里、距离；</w:t>
            </w:r>
            <w:r>
              <w:br/>
            </w:r>
            <w:r>
              <w:rPr>
                <w:sz w:val="21"/>
              </w:rPr>
              <w:t>11.训练仪工作噪音≤60dB（A）；</w:t>
            </w:r>
          </w:p>
          <w:p>
            <w:pPr>
              <w:jc w:val="both"/>
            </w:pPr>
            <w:r>
              <w:rPr>
                <w:sz w:val="21"/>
              </w:rPr>
              <w:t>12.</w:t>
            </w:r>
            <w:r>
              <w:rPr>
                <w:sz w:val="21"/>
              </w:rPr>
              <w:t>保修期：</w:t>
            </w:r>
            <w:r>
              <w:rPr>
                <w:sz w:val="21"/>
              </w:rPr>
              <w:t>≥3年。</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一十一</w:t>
      </w:r>
      <w:r>
        <w:rPr>
          <w:b/>
        </w:rPr>
        <w:t>：</w:t>
      </w:r>
      <w:r>
        <w:rPr>
          <w:b/>
        </w:rPr>
        <w:t>生物反馈助力电刺激</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▲1.便携式设计，设置治疗方案后，从机可与主机脱离，患者随身携带从机进行各类功能训练；</w:t>
            </w:r>
          </w:p>
          <w:p>
            <w:pPr>
              <w:jc w:val="both"/>
            </w:pPr>
            <w:r>
              <w:rPr>
                <w:sz w:val="21"/>
              </w:rPr>
              <w:t>2.电源：电池输出为直流8V±5%，可随身携带治疗，充电后循环使用；</w:t>
            </w:r>
          </w:p>
          <w:p>
            <w:pPr>
              <w:jc w:val="both"/>
            </w:pPr>
            <w:r>
              <w:rPr>
                <w:sz w:val="21"/>
              </w:rPr>
              <w:t>▲3.由主机针对每个患者设置个性化治疗方案，同一主机可以针对每个患者分别设置多台从机实现电刺激治疗，从机数量可选配（1-9999台）；</w:t>
            </w:r>
            <w:r>
              <w:br/>
            </w:r>
            <w:r>
              <w:rPr>
                <w:sz w:val="21"/>
              </w:rPr>
              <w:t>▲4.工作模式：</w:t>
            </w:r>
            <w:r>
              <w:rPr>
                <w:sz w:val="21"/>
              </w:rPr>
              <w:t>①</w:t>
            </w:r>
            <w:r>
              <w:rPr>
                <w:sz w:val="21"/>
              </w:rPr>
              <w:t>主机工作模式：电刺激、触发电刺激、助力电刺激、镜像治疗、肌电检测等；</w:t>
            </w:r>
            <w:r>
              <w:rPr>
                <w:sz w:val="21"/>
              </w:rPr>
              <w:t>②</w:t>
            </w:r>
            <w:r>
              <w:rPr>
                <w:sz w:val="21"/>
              </w:rPr>
              <w:t>从机工作模式：电刺激、触发电刺激、助力电刺激；</w:t>
            </w:r>
            <w:r>
              <w:br/>
            </w:r>
            <w:r>
              <w:rPr>
                <w:sz w:val="21"/>
              </w:rPr>
              <w:t>5.治疗时间：1min～60min，级差1min，允差±30s。</w:t>
            </w:r>
            <w:r>
              <w:br/>
            </w:r>
            <w:r>
              <w:rPr>
                <w:sz w:val="21"/>
              </w:rPr>
              <w:t>6.设置从机最长工作时间：1min～99h59min，步进1min。也可设置不限制时间。</w:t>
            </w:r>
            <w:r>
              <w:br/>
            </w:r>
            <w:r>
              <w:rPr>
                <w:sz w:val="21"/>
              </w:rPr>
              <w:t>7.病人治疗方案存储：可存储管理≥60名病人方案。</w:t>
            </w:r>
            <w:r>
              <w:br/>
            </w:r>
            <w:r>
              <w:rPr>
                <w:sz w:val="21"/>
              </w:rPr>
              <w:t>8.脉冲宽度：50μs～450μs可调，步进≤10μs，双向矩形波。</w:t>
            </w:r>
            <w:r>
              <w:br/>
            </w:r>
            <w:r>
              <w:rPr>
                <w:sz w:val="21"/>
              </w:rPr>
              <w:t>9.输出频率：2～100Hz。</w:t>
            </w:r>
            <w:r>
              <w:br/>
            </w:r>
            <w:r>
              <w:rPr>
                <w:sz w:val="21"/>
              </w:rPr>
              <w:t>10.最大输出电压：≥52Vp-p（负载500Ω时）。</w:t>
            </w:r>
            <w:r>
              <w:br/>
            </w:r>
            <w:r>
              <w:rPr>
                <w:sz w:val="21"/>
              </w:rPr>
              <w:t>11.输出强度：0～60mA，允差±l0%或±2mA，两者取较大值。</w:t>
            </w:r>
            <w:r>
              <w:br/>
            </w:r>
            <w:r>
              <w:rPr>
                <w:sz w:val="21"/>
              </w:rPr>
              <w:t>12.安全装置：电极脱落报警、低电量报警、操作锁定。</w:t>
            </w:r>
          </w:p>
          <w:p>
            <w:pPr>
              <w:jc w:val="both"/>
            </w:pPr>
            <w:r>
              <w:rPr>
                <w:sz w:val="21"/>
              </w:rPr>
              <w:t>13.</w:t>
            </w:r>
            <w:r>
              <w:rPr>
                <w:sz w:val="21"/>
              </w:rPr>
              <w:t>保修期：</w:t>
            </w:r>
            <w:r>
              <w:rPr>
                <w:sz w:val="21"/>
              </w:rPr>
              <w:t>≥3年。</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一十二</w:t>
      </w:r>
      <w:r>
        <w:rPr>
          <w:b/>
        </w:rPr>
        <w:t>：</w:t>
      </w:r>
      <w:r>
        <w:rPr>
          <w:b/>
        </w:rPr>
        <w:t>吞咽神经肌肉低频电刺激仪（台式）</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1.双通道输出，每通道可独立设置治疗参数。</w:t>
            </w:r>
          </w:p>
          <w:p>
            <w:pPr>
              <w:jc w:val="both"/>
            </w:pPr>
            <w:r>
              <w:rPr>
                <w:sz w:val="21"/>
              </w:rPr>
              <w:t>2.输出强度：0mA～80mA或0V～80V范围内可调，步长≤0.5mA或≤0.5V。</w:t>
            </w:r>
          </w:p>
          <w:p>
            <w:pPr>
              <w:jc w:val="both"/>
            </w:pPr>
            <w:r>
              <w:rPr>
                <w:sz w:val="21"/>
              </w:rPr>
              <w:t>3.脉冲频率：20Hz～100Hz可调，步长≤1Hz。</w:t>
            </w:r>
          </w:p>
          <w:p>
            <w:pPr>
              <w:jc w:val="both"/>
            </w:pPr>
            <w:r>
              <w:rPr>
                <w:sz w:val="21"/>
              </w:rPr>
              <w:t>4.脉冲宽度：100μs～400μs可调，步长≤10μs。</w:t>
            </w:r>
          </w:p>
          <w:p>
            <w:pPr>
              <w:jc w:val="both"/>
            </w:pPr>
            <w:r>
              <w:rPr>
                <w:sz w:val="21"/>
              </w:rPr>
              <w:t>5.脉冲的上升时间和下降时间：1s～10s可调，步长≤1s。</w:t>
            </w:r>
          </w:p>
          <w:p>
            <w:pPr>
              <w:jc w:val="both"/>
            </w:pPr>
            <w:r>
              <w:rPr>
                <w:sz w:val="21"/>
              </w:rPr>
              <w:t>6.脉冲的维持时间：1s～55s可调，步长≤1s。</w:t>
            </w:r>
          </w:p>
          <w:p>
            <w:pPr>
              <w:jc w:val="left"/>
            </w:pPr>
            <w:r>
              <w:rPr>
                <w:sz w:val="21"/>
              </w:rPr>
              <w:t>7.脉冲的断电时间：3s～75s可调，步长≤1s。</w:t>
            </w:r>
          </w:p>
          <w:p>
            <w:pPr>
              <w:jc w:val="left"/>
            </w:pPr>
            <w:r>
              <w:rPr>
                <w:sz w:val="21"/>
              </w:rPr>
              <w:t>8.固定电极具备至少三种治疗模式。</w:t>
            </w:r>
          </w:p>
          <w:p>
            <w:pPr>
              <w:jc w:val="both"/>
            </w:pPr>
            <w:r>
              <w:rPr>
                <w:sz w:val="21"/>
              </w:rPr>
              <w:t>9.内置电极放置图示。</w:t>
            </w:r>
          </w:p>
          <w:p>
            <w:pPr>
              <w:jc w:val="both"/>
            </w:pPr>
            <w:r>
              <w:rPr>
                <w:sz w:val="21"/>
              </w:rPr>
              <w:t>10.开路报警提示，过电保护确保治疗安全。</w:t>
            </w:r>
          </w:p>
          <w:p>
            <w:pPr>
              <w:jc w:val="both"/>
            </w:pPr>
            <w:r>
              <w:rPr>
                <w:sz w:val="21"/>
              </w:rPr>
              <w:t>▲11.具备至少七种电极治疗方式。</w:t>
            </w:r>
          </w:p>
          <w:p>
            <w:pPr>
              <w:jc w:val="both"/>
            </w:pPr>
            <w:r>
              <w:rPr>
                <w:sz w:val="21"/>
              </w:rPr>
              <w:t>▲12.可进行口腔内及口腔外电刺激功能。</w:t>
            </w:r>
          </w:p>
          <w:p>
            <w:pPr>
              <w:jc w:val="both"/>
            </w:pPr>
            <w:r>
              <w:rPr>
                <w:sz w:val="21"/>
              </w:rPr>
              <w:t>▲13.提供电刺激手柄给治疗师操作。</w:t>
            </w:r>
          </w:p>
          <w:p>
            <w:pPr>
              <w:jc w:val="both"/>
            </w:pPr>
            <w:r>
              <w:rPr>
                <w:sz w:val="21"/>
              </w:rPr>
              <w:t>14.配套电刺激手柄。</w:t>
            </w:r>
          </w:p>
          <w:p>
            <w:pPr>
              <w:jc w:val="both"/>
            </w:pPr>
            <w:r>
              <w:rPr>
                <w:sz w:val="21"/>
              </w:rPr>
              <w:t>15.保修期：≥3年。</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一十三</w:t>
      </w:r>
      <w:r>
        <w:rPr>
          <w:b/>
        </w:rPr>
        <w:t>：</w:t>
      </w:r>
      <w:r>
        <w:rPr>
          <w:b/>
        </w:rPr>
        <w:t>平衡功能训练及评估系统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1.扶手杆调节高度：0～250mm，允差±5%。</w:t>
            </w:r>
            <w:r>
              <w:br/>
            </w:r>
            <w:r>
              <w:rPr>
                <w:sz w:val="21"/>
              </w:rPr>
              <w:t>▲2.整机转移：2个固定脚轮和1个快插式可拆卸万向脚轮方便移动。</w:t>
            </w:r>
            <w:r>
              <w:br/>
            </w:r>
            <w:r>
              <w:rPr>
                <w:sz w:val="21"/>
              </w:rPr>
              <w:t>▲3.情景互动模式训练：十种以上游戏训练模式。</w:t>
            </w:r>
            <w:r>
              <w:br/>
            </w:r>
            <w:r>
              <w:rPr>
                <w:sz w:val="21"/>
              </w:rPr>
              <w:t>▲4.系统配置训练评估报告：根据患者训练的数据，生成整体的评估报告，反应出患者治疗的情况，并支持打印功能。</w:t>
            </w:r>
            <w:r>
              <w:br/>
            </w:r>
            <w:r>
              <w:rPr>
                <w:sz w:val="21"/>
              </w:rPr>
              <w:t>▲5.训练方式：单脚站立、双脚站立、闭眼站立、睁眼站立、蹲、起立等常用的训练模式。</w:t>
            </w:r>
            <w:r>
              <w:br/>
            </w:r>
            <w:r>
              <w:rPr>
                <w:sz w:val="21"/>
              </w:rPr>
              <w:t>▲6.具有足底压力分析及平衡稳定性测试功能。</w:t>
            </w:r>
          </w:p>
          <w:p>
            <w:pPr>
              <w:jc w:val="both"/>
            </w:pPr>
            <w:r>
              <w:rPr>
                <w:sz w:val="21"/>
              </w:rPr>
              <w:t>7.系统具有站立位、坐位二种姿态下的平衡能力测试评估及训练模式，操作者可以根据患者的具体情况选择不同姿态下的评估或训练。</w:t>
            </w:r>
          </w:p>
          <w:p>
            <w:pPr>
              <w:jc w:val="both"/>
            </w:pPr>
            <w:r>
              <w:rPr>
                <w:sz w:val="21"/>
              </w:rPr>
              <w:t>8.系统具有康复处方功能，可以根据病人情况制定个性化训练方案，训练前，只需用鼠标点击要训练的项目，训练项目之间可以设置间隔休息时间，一次设置完成。</w:t>
            </w:r>
            <w:r>
              <w:br/>
            </w:r>
            <w:r>
              <w:rPr>
                <w:sz w:val="21"/>
              </w:rPr>
              <w:t>9.平衡板参数：</w:t>
            </w:r>
            <w:r>
              <w:br/>
            </w:r>
            <w:r>
              <w:rPr>
                <w:sz w:val="21"/>
              </w:rPr>
              <w:t>9.1尺寸：≥550×480×25mm。</w:t>
            </w:r>
            <w:r>
              <w:br/>
            </w:r>
            <w:r>
              <w:rPr>
                <w:sz w:val="21"/>
              </w:rPr>
              <w:t>9.2材料：复合材料。</w:t>
            </w:r>
            <w:r>
              <w:br/>
            </w:r>
            <w:r>
              <w:rPr>
                <w:sz w:val="21"/>
              </w:rPr>
              <w:t>9.3有效表面积：≥420×420mm。</w:t>
            </w:r>
            <w:r>
              <w:br/>
            </w:r>
            <w:r>
              <w:rPr>
                <w:sz w:val="21"/>
              </w:rPr>
              <w:t>9.4传感器：(PCB)电极，薄膜压力传感器；传感器尺寸：≥7×7mm；传感器厚度：软板≥0.7mm，硬板≥2.0mm；传感器数量：≥3600个(60×60)。</w:t>
            </w:r>
            <w:r>
              <w:br/>
            </w:r>
            <w:r>
              <w:rPr>
                <w:sz w:val="21"/>
              </w:rPr>
              <w:t>9.5温度范围：0℃～60℃。</w:t>
            </w:r>
            <w:r>
              <w:br/>
            </w:r>
            <w:r>
              <w:rPr>
                <w:sz w:val="21"/>
              </w:rPr>
              <w:t>9.6单个传感器承重：1～50N。</w:t>
            </w:r>
            <w:r>
              <w:br/>
            </w:r>
            <w:r>
              <w:rPr>
                <w:sz w:val="21"/>
              </w:rPr>
              <w:t>9.7传感器寿命：＞1000000次。</w:t>
            </w:r>
            <w:r>
              <w:br/>
            </w:r>
            <w:r>
              <w:rPr>
                <w:sz w:val="21"/>
              </w:rPr>
              <w:t>9.8采集频率：≥200张图/秒。</w:t>
            </w:r>
            <w:r>
              <w:br/>
            </w:r>
            <w:r>
              <w:rPr>
                <w:sz w:val="21"/>
              </w:rPr>
              <w:t>9.9通信：PC/USB接口。</w:t>
            </w:r>
            <w:r>
              <w:br/>
            </w:r>
            <w:r>
              <w:rPr>
                <w:sz w:val="21"/>
              </w:rPr>
              <w:t>9.10操作系统：Windows(XP、Vista、7)以上。</w:t>
            </w:r>
            <w:r>
              <w:br/>
            </w:r>
            <w:r>
              <w:rPr>
                <w:sz w:val="21"/>
              </w:rPr>
              <w:t>9.11数据传输线：长≥3m，允差±5%。</w:t>
            </w:r>
            <w:r>
              <w:br/>
            </w:r>
            <w:r>
              <w:rPr>
                <w:sz w:val="21"/>
              </w:rPr>
              <w:t>9.12平衡板最大承重：≥130kg。</w:t>
            </w:r>
          </w:p>
          <w:p>
            <w:pPr>
              <w:jc w:val="both"/>
            </w:pPr>
            <w:r>
              <w:rPr>
                <w:sz w:val="21"/>
              </w:rPr>
              <w:t>10.</w:t>
            </w:r>
            <w:r>
              <w:rPr>
                <w:sz w:val="21"/>
              </w:rPr>
              <w:t>保修期：</w:t>
            </w:r>
            <w:r>
              <w:rPr>
                <w:sz w:val="21"/>
              </w:rPr>
              <w:t>≥3年</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采购包2（体外冲击波治疗仪）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交货期：合同签订之日起30日（日历日）内。</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中标人为非中小企业：全部合同设备到达采购人指定地点完成安装、调试、验收、培训并交付使用后，中标人凭：①合同、②正式发票、③验收调试报告（加盖采购人公章）、④中标通知书向采购人申请付款，采购人于6个月内向中标人支付合同总金额的95％，剩余5％待验收合格保修期满后一次性无息付清。 2.中标人为中小企业：签订合同之日起15个日历日内，中标人凭：①合同、②正式发票、③中标通知书向采购人申请付款，采购人根据中标人提供有效发票后的15个日历日内将按合同总金额的30%支付给中标人；全部合同设备到达采购人指定地点完成安装、调试、验收、培训并交付使用后，中标人凭：①合同、②正式发票、③验收调试报告（加盖采购人公章）、④中标通知书向采购人申请付款，采购人根据中标人提供有效发票后的15个日历日内将按合同总金额的65%支付给中标人，剩余5％待验收合格保修期满后一次性无息付清。</w:t>
            </w:r>
          </w:p>
        </w:tc>
      </w:tr>
      <w:tr>
        <w:tc>
          <w:tcPr>
            <w:tcW w:type="dxa" w:w="4153"/>
          </w:tcPr>
          <w:p>
            <w:r>
              <w:rPr/>
              <w:t>验收要求</w:t>
            </w:r>
          </w:p>
        </w:tc>
        <w:tc>
          <w:tcPr>
            <w:tcW w:type="dxa" w:w="4153"/>
          </w:tcPr>
          <w:p/>
          <w:p/>
          <w:p/>
          <w:p>
            <w:r>
              <w:rPr/>
              <w:t>1期：1.采购人按照采购合同规定的技术、服务、安全标准组织对中标人履约情况进行验收，并出具验收书。验收书应当包括每一项技术、服务、安全标准的履约情况。 2.交付验收标准依次序对照适用标准为：①符合中华人民共和国国家安全质量标准、环保标准或行业标准；②符合招标文件和投标承诺中采购人认可的合理最佳配置、参数及各项要求；③货物来源国官方标准。 3.货物为原厂商未启封全新包装，具有出厂合格证，序列号、包装箱号与出厂批号一致，并可追索查阅。所有随设备的附件必须齐全。收货时中标人按照采购人的通知，共同开箱检验，要求对全部货物、品牌、产品、型号、规格、数量、产地厂家、外型、外观、包装及资料、文件（如装箱单、保修单、随箱介质等）的验收。货物验收完毕，中标人向采购人递交货物验收清单，由双方代表签字生效。验收中如发现有质量不合格或型号规格、数量等与送货清单不符、提交的技术文件和资料不完整等情形，中标人应无条件更换或补齐，并承担因此发生的违约责任。 4.中标人将货物的用户手册、保修手册、有关单证资料及备品备件、随机工具等交付给采购人，使用操作及安全须知等重要资料应附有中文说明。 5.货物验收所发生的检验费用由中标人负担。 6.设备到货并经中标人技术人员安装后，采购人有权委托中国有资格的单位对上述设备进行校准或检验，设备校准或检验所产生的费用由中标人负担。 7.采购人组成验收小组，按照采购合同规定的技术、服务、安全标准组织对中标人履约情况进行验收。因货物质量问题发生争议时，由采购人本地质量技术监督部门鉴定。货物符合质量技术标准的，鉴定费由采购人承担；否则鉴定费由中标人承担。 8.当出现不合格产品时，中标人要无条件更换合格产品。除采购人认可，否则不接受任何形式的降格处理。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（一）包装与运输，包装箱应用坚固的材料制造，适用长途运输、防潮、防锈、防震、防粗暴装卸，适于空运和整体吊装，并注明起吊位置，起吊重量及重心位置。</w:t>
            </w:r>
          </w:p>
          <w:p/>
          <w:p>
            <w:r>
              <w:rPr/>
              <w:t>（二）保险，货物从出厂运至采购人指定地点的保险费用须包含在投标报价中。</w:t>
            </w:r>
          </w:p>
          <w:p/>
          <w:p>
            <w:r>
              <w:rPr/>
              <w:t>（三）安装与调试，1.除非采购人另有通知，中标人应按照合同的要求以及合同执行计划的时间安排，派出足够的人员进行现场安装和负责调试工作。在安装实施期间，严格遵守采购人的有关规定。 2.中标人必须依照招标文件的要求和投标文件的承诺，将设备、系统安装并调试至正常运行的最佳状态。 3.合同项下设备的安装调试所发生费用及耗材包含在本次投标报价中。 4.中标人安装时须对各安装场地内的其它货物、设施有良好保护措施。 5.如该设备需要联接相关信息系统，中标人应当协调设备厂家配合信息系统提供方，联接调试好信息系统，并负责支付相关费用。</w:t>
            </w:r>
          </w:p>
          <w:p/>
          <w:p>
            <w:r>
              <w:rPr/>
              <w:t>（四）技术培训，1.中标供应商每台设备提供现场安装调试和培训。 2.中标供应商应提供完整的培训计划和方案，列明培训人员数量、达到的水平等，培训内容包括设备的操作、日常维修、简单故障的识别及排除等。培训所需全部费用均由中标供应商支付。 3.中标供应商除按设备售后规定，负责培训设备操作人员，还应当培训1-2名负责此设备维护、维修的工程师。</w:t>
            </w:r>
          </w:p>
          <w:p/>
          <w:p>
            <w:r>
              <w:rPr/>
              <w:t>（五）保修期，1.设备保修：项目整体验收合格后，提供不少于3年的保修期，保修期自双方代表在货物验收报告上签字之日起计算。保修期内中标人负责提供设备的三包（包修、包换、包退）服务，可随时上门提供维护、保修、技术支持等服务并登记。 2.自验收合格之日起一个月内，采购人所购设备各部件发生非人为损坏，中标人应给予无条件更换。自验收合格之日起一年内，如同一设备部件一个月内累计2次出现同一问题，中标人必须无条件更换该设备部件，只收零配件成本，不得加收其它任何费用。 3.保修期内货物各部件发生非人为故障的，中标人应无条件上门更换同种品牌规格型号的新部件；货物发生人为故障的，中标人应上门更换同种品牌规格型号的新部件，只收零配件成本，不得加收其它任何费用。 4.保修期内，中标人无条件提供7×24小时技术支持，永久性无条件提供电话技术指导和咨询服务。 5.在保修期届满后，中标人应对设备实行终身维修，提供长期上门维修服务，服务费不高于同期市场价。采购人如需修理设备部件，中标人应在收到需修理部件后半个月内修复。并在修复期间，中标人应无条件提供同型号或类似的设备部件给采购人使用，以避免采购人因设备部件损坏而不能正常运作。</w:t>
            </w:r>
          </w:p>
          <w:p/>
          <w:p>
            <w:r>
              <w:rPr/>
              <w:t>（六）售后服务，保修期内，货物故障报修响应时间为：故障响应时间不超过2小时，到达现场时间不超过4小时；当天无法修复的，需提供同等规格的产品代用，直至故障设备修复，中标人负责所有因设备质量问题而产生的费用，中标人售后服务人员定期回访，每三个月至少进行一次保养维护和登记。</w:t>
            </w:r>
          </w:p>
        </w:tc>
      </w:tr>
    </w:tbl>
    <w:p>
      <w:r>
        <w:rPr>
          <w:b/>
        </w:rPr>
        <w:t>2.技术标准与要求</w:t>
      </w:r>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物理治疗、康复及体育治疗仪器设备</w:t>
            </w:r>
          </w:p>
        </w:tc>
        <w:tc>
          <w:tcPr>
            <w:tcW w:type="dxa" w:w="831"/>
          </w:tcPr>
          <w:p>
            <w:pPr>
              <w:jc w:val="left"/>
            </w:pPr>
            <w:r>
              <w:rPr/>
              <w:t>体外冲击波治疗仪</w:t>
            </w:r>
          </w:p>
        </w:tc>
        <w:tc>
          <w:tcPr>
            <w:tcW w:type="dxa" w:w="831"/>
          </w:tcPr>
          <w:p>
            <w:pPr>
              <w:jc w:val="left"/>
            </w:pPr>
            <w:r>
              <w:rPr/>
              <w:t>套</w:t>
            </w:r>
          </w:p>
        </w:tc>
        <w:tc>
          <w:tcPr>
            <w:tcW w:type="dxa" w:w="831"/>
          </w:tcPr>
          <w:p>
            <w:pPr>
              <w:jc w:val="right"/>
            </w:pPr>
            <w:r>
              <w:rPr/>
              <w:t>1.00</w:t>
            </w:r>
          </w:p>
        </w:tc>
        <w:tc>
          <w:tcPr>
            <w:tcW w:type="dxa" w:w="831"/>
          </w:tcPr>
          <w:p>
            <w:pPr>
              <w:jc w:val="right"/>
            </w:pPr>
            <w:r>
              <w:rPr/>
              <w:t>200,000.00</w:t>
            </w:r>
          </w:p>
        </w:tc>
        <w:tc>
          <w:tcPr>
            <w:tcW w:type="dxa" w:w="831"/>
          </w:tcPr>
          <w:p>
            <w:pPr>
              <w:jc w:val="right"/>
            </w:pPr>
            <w:r>
              <w:rPr/>
              <w:t>200,000.00</w:t>
            </w:r>
          </w:p>
        </w:tc>
        <w:tc>
          <w:tcPr>
            <w:tcW w:type="dxa" w:w="831"/>
          </w:tcPr>
          <w:p>
            <w:r>
              <w:rPr/>
              <w:t>工业</w:t>
            </w:r>
          </w:p>
        </w:tc>
        <w:tc>
          <w:tcPr>
            <w:tcW w:type="dxa" w:w="831"/>
          </w:tcPr>
          <w:p>
            <w:r>
              <w:rPr/>
              <w:t>详见附表一</w:t>
            </w:r>
          </w:p>
        </w:tc>
      </w:tr>
    </w:tbl>
    <w:p/>
    <w:p>
      <w:r>
        <w:rPr>
          <w:b/>
        </w:rPr>
        <w:t>附表</w:t>
      </w:r>
      <w:r>
        <w:rPr>
          <w:b/>
        </w:rPr>
        <w:t>一</w:t>
      </w:r>
      <w:r>
        <w:rPr>
          <w:b/>
        </w:rPr>
        <w:t>：</w:t>
      </w:r>
      <w:r>
        <w:rPr>
          <w:b/>
        </w:rPr>
        <w:t>体外冲击波治疗仪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p>
          <w:p>
            <w:pPr>
              <w:jc w:val="left"/>
            </w:pPr>
            <w:r>
              <w:rPr>
                <w:sz w:val="21"/>
              </w:rPr>
              <w:t>1.</w:t>
            </w:r>
            <w:r>
              <w:rPr>
                <w:sz w:val="21"/>
              </w:rPr>
              <w:t>设备样式：立式机，由主机、立式台车（内含空压机）、冲击手柄组成。</w:t>
            </w:r>
          </w:p>
          <w:p>
            <w:pPr>
              <w:jc w:val="left"/>
            </w:pPr>
            <w:r>
              <w:rPr>
                <w:sz w:val="21"/>
              </w:rPr>
              <w:t>2.</w:t>
            </w:r>
            <w:r>
              <w:rPr>
                <w:sz w:val="21"/>
              </w:rPr>
              <w:t>治疗手柄通过具备资质的第三方检测机构的振动检测（附有检测报告）。</w:t>
            </w:r>
          </w:p>
          <w:p>
            <w:pPr>
              <w:jc w:val="left"/>
            </w:pPr>
            <w:r>
              <w:rPr>
                <w:sz w:val="21"/>
              </w:rPr>
              <w:t>3.</w:t>
            </w:r>
            <w:r>
              <w:rPr>
                <w:sz w:val="21"/>
              </w:rPr>
              <w:t>智能化管理系统，自动检测手柄连接状态。</w:t>
            </w:r>
          </w:p>
          <w:p>
            <w:pPr>
              <w:jc w:val="left"/>
            </w:pPr>
            <w:r>
              <w:rPr>
                <w:sz w:val="21"/>
              </w:rPr>
              <w:t>▲</w:t>
            </w:r>
            <w:r>
              <w:rPr>
                <w:sz w:val="21"/>
              </w:rPr>
              <w:t>4.</w:t>
            </w:r>
            <w:r>
              <w:rPr>
                <w:sz w:val="21"/>
              </w:rPr>
              <w:t>人机交互界面</w:t>
            </w:r>
            <w:r>
              <w:rPr>
                <w:sz w:val="21"/>
              </w:rPr>
              <w:t>：</w:t>
            </w:r>
            <w:r>
              <w:rPr>
                <w:sz w:val="21"/>
              </w:rPr>
              <w:t>≥10寸高清中文彩色液晶触摸屏；内建冲击波治疗指引，以肌肉骨骼透视图指引治疗部位，指明治疗区域及扳机点，准确引导治疗施行。</w:t>
            </w:r>
          </w:p>
          <w:p>
            <w:pPr>
              <w:jc w:val="left"/>
            </w:pPr>
            <w:r>
              <w:rPr>
                <w:sz w:val="21"/>
              </w:rPr>
              <w:t>5.</w:t>
            </w:r>
            <w:r>
              <w:rPr>
                <w:sz w:val="21"/>
              </w:rPr>
              <w:t>冲击波产生方式：气压弹道式。</w:t>
            </w:r>
          </w:p>
          <w:p>
            <w:pPr>
              <w:jc w:val="left"/>
            </w:pPr>
            <w:r>
              <w:rPr>
                <w:sz w:val="21"/>
              </w:rPr>
              <w:t>6.</w:t>
            </w:r>
            <w:r>
              <w:rPr>
                <w:sz w:val="21"/>
              </w:rPr>
              <w:t>冲击波释放方式</w:t>
            </w:r>
            <w:r>
              <w:rPr>
                <w:sz w:val="21"/>
              </w:rPr>
              <w:t>：</w:t>
            </w:r>
            <w:r>
              <w:rPr>
                <w:sz w:val="21"/>
              </w:rPr>
              <w:t>治疗枪上的触发按键和脚踏开关两种方式。</w:t>
            </w:r>
          </w:p>
          <w:p>
            <w:pPr>
              <w:jc w:val="left"/>
            </w:pPr>
            <w:r>
              <w:rPr>
                <w:sz w:val="21"/>
              </w:rPr>
              <w:t>7.</w:t>
            </w:r>
            <w:r>
              <w:rPr>
                <w:sz w:val="21"/>
              </w:rPr>
              <w:t>压缩机</w:t>
            </w:r>
            <w:r>
              <w:rPr>
                <w:sz w:val="21"/>
              </w:rPr>
              <w:t>：</w:t>
            </w:r>
            <w:r>
              <w:rPr>
                <w:sz w:val="21"/>
              </w:rPr>
              <w:t>采用无油式环保压缩机，低震动、低噪音，空压机最大输出压力可达</w:t>
            </w:r>
            <w:r>
              <w:rPr>
                <w:sz w:val="21"/>
              </w:rPr>
              <w:t>≥5bar。</w:t>
            </w:r>
          </w:p>
          <w:p>
            <w:pPr>
              <w:jc w:val="left"/>
            </w:pPr>
            <w:r>
              <w:rPr>
                <w:sz w:val="21"/>
              </w:rPr>
              <w:t>8.</w:t>
            </w:r>
            <w:r>
              <w:rPr>
                <w:sz w:val="21"/>
              </w:rPr>
              <w:t>冲击波输出路数：单路输出，连接一把治疗手柄</w:t>
            </w:r>
            <w:r>
              <w:rPr>
                <w:sz w:val="21"/>
              </w:rPr>
              <w:t>。</w:t>
            </w:r>
          </w:p>
          <w:p>
            <w:pPr>
              <w:jc w:val="left"/>
            </w:pPr>
            <w:r>
              <w:rPr>
                <w:sz w:val="21"/>
              </w:rPr>
              <w:t>9.</w:t>
            </w:r>
            <w:r>
              <w:rPr>
                <w:sz w:val="21"/>
              </w:rPr>
              <w:t>冲击波频率范围：</w:t>
            </w:r>
            <w:r>
              <w:rPr>
                <w:sz w:val="21"/>
              </w:rPr>
              <w:t>0.5-21Hz，1Hz以内步进≤0.1Hz，1Hz以上步进≤1Hz</w:t>
            </w:r>
            <w:r>
              <w:rPr>
                <w:sz w:val="21"/>
              </w:rPr>
              <w:t>。</w:t>
            </w:r>
          </w:p>
          <w:p>
            <w:pPr>
              <w:jc w:val="left"/>
            </w:pPr>
            <w:r>
              <w:rPr>
                <w:sz w:val="21"/>
              </w:rPr>
              <w:t>10.</w:t>
            </w:r>
            <w:r>
              <w:rPr>
                <w:sz w:val="21"/>
              </w:rPr>
              <w:t>冲击波压力范围：</w:t>
            </w:r>
            <w:r>
              <w:rPr>
                <w:sz w:val="21"/>
              </w:rPr>
              <w:t>1-5Bar，步进≤0.1Bar</w:t>
            </w:r>
            <w:r>
              <w:rPr>
                <w:sz w:val="21"/>
              </w:rPr>
              <w:t>。</w:t>
            </w:r>
          </w:p>
          <w:p>
            <w:pPr>
              <w:jc w:val="left"/>
            </w:pPr>
            <w:r>
              <w:rPr>
                <w:sz w:val="21"/>
              </w:rPr>
              <w:t>11.</w:t>
            </w:r>
            <w:r>
              <w:rPr>
                <w:sz w:val="21"/>
              </w:rPr>
              <w:t>冲击波能量密度范围：</w:t>
            </w:r>
            <w:r>
              <w:rPr>
                <w:sz w:val="21"/>
              </w:rPr>
              <w:t>0.1-0.9mJ/㎟，其中最大能量密度≥0.9mJ/㎟</w:t>
            </w:r>
            <w:r>
              <w:rPr>
                <w:sz w:val="21"/>
              </w:rPr>
              <w:t>。</w:t>
            </w:r>
          </w:p>
          <w:p>
            <w:pPr>
              <w:jc w:val="left"/>
            </w:pPr>
            <w:r>
              <w:rPr>
                <w:sz w:val="21"/>
              </w:rPr>
              <w:t>12.</w:t>
            </w:r>
            <w:r>
              <w:rPr>
                <w:sz w:val="21"/>
              </w:rPr>
              <w:t>冲击波穿透深度：最大穿透深度</w:t>
            </w:r>
            <w:r>
              <w:rPr>
                <w:sz w:val="21"/>
              </w:rPr>
              <w:t>≥35mm</w:t>
            </w:r>
            <w:r>
              <w:rPr>
                <w:sz w:val="21"/>
              </w:rPr>
              <w:t>。</w:t>
            </w:r>
          </w:p>
          <w:p>
            <w:pPr>
              <w:jc w:val="left"/>
            </w:pPr>
            <w:r>
              <w:rPr>
                <w:sz w:val="21"/>
              </w:rPr>
              <w:t>13.</w:t>
            </w:r>
            <w:r>
              <w:rPr>
                <w:sz w:val="21"/>
              </w:rPr>
              <w:t>冲击波次数：具有计数和显示功能</w:t>
            </w:r>
            <w:r>
              <w:rPr>
                <w:sz w:val="21"/>
              </w:rPr>
              <w:t>。</w:t>
            </w:r>
          </w:p>
          <w:p>
            <w:pPr>
              <w:jc w:val="left"/>
            </w:pPr>
            <w:r>
              <w:rPr>
                <w:sz w:val="21"/>
              </w:rPr>
              <w:t>14.</w:t>
            </w:r>
            <w:r>
              <w:rPr>
                <w:sz w:val="21"/>
              </w:rPr>
              <w:t>治疗头生物相容性：配备治疗头，通过生物相容性检测</w:t>
            </w:r>
            <w:r>
              <w:rPr>
                <w:sz w:val="21"/>
              </w:rPr>
              <w:t>。</w:t>
            </w:r>
          </w:p>
          <w:p>
            <w:pPr>
              <w:jc w:val="left"/>
            </w:pPr>
            <w:r>
              <w:rPr>
                <w:sz w:val="21"/>
              </w:rPr>
              <w:t>▲</w:t>
            </w:r>
            <w:r>
              <w:rPr>
                <w:sz w:val="21"/>
              </w:rPr>
              <w:t>15.</w:t>
            </w:r>
            <w:r>
              <w:rPr>
                <w:sz w:val="21"/>
              </w:rPr>
              <w:t>至少包括六个冲击波治疗头</w:t>
            </w:r>
            <w:r>
              <w:rPr>
                <w:sz w:val="21"/>
              </w:rPr>
              <w:t>。</w:t>
            </w:r>
          </w:p>
          <w:p>
            <w:pPr>
              <w:jc w:val="left"/>
            </w:pPr>
            <w:r>
              <w:rPr>
                <w:sz w:val="21"/>
              </w:rPr>
              <w:t>▲</w:t>
            </w:r>
            <w:r>
              <w:rPr>
                <w:sz w:val="21"/>
              </w:rPr>
              <w:t>16.</w:t>
            </w:r>
            <w:r>
              <w:rPr>
                <w:sz w:val="21"/>
              </w:rPr>
              <w:t>按摩功能：配有按摩手柄，按摩头</w:t>
            </w:r>
            <w:r>
              <w:rPr>
                <w:sz w:val="21"/>
              </w:rPr>
              <w:t>25mm左右，按摩频率0.5-35Hz可调</w:t>
            </w:r>
            <w:r>
              <w:rPr>
                <w:sz w:val="21"/>
              </w:rPr>
              <w:t>。</w:t>
            </w:r>
          </w:p>
          <w:p>
            <w:pPr>
              <w:jc w:val="left"/>
            </w:pPr>
            <w:r>
              <w:rPr>
                <w:sz w:val="21"/>
              </w:rPr>
              <w:t>▲</w:t>
            </w:r>
            <w:r>
              <w:rPr>
                <w:sz w:val="21"/>
              </w:rPr>
              <w:t>17.</w:t>
            </w:r>
            <w:r>
              <w:rPr>
                <w:sz w:val="21"/>
              </w:rPr>
              <w:t>疼痛阈值自动识别技术</w:t>
            </w:r>
            <w:r>
              <w:rPr>
                <w:sz w:val="21"/>
              </w:rPr>
              <w:t>：</w:t>
            </w:r>
            <w:r>
              <w:rPr>
                <w:sz w:val="21"/>
              </w:rPr>
              <w:t>可根据患者实际情况以平稳的能流密度递增形式，将能量逐渐递增至最佳治能量（即疼痛阈值）</w:t>
            </w:r>
            <w:r>
              <w:rPr>
                <w:sz w:val="21"/>
              </w:rPr>
              <w:t>。</w:t>
            </w:r>
          </w:p>
          <w:p>
            <w:pPr>
              <w:jc w:val="left"/>
            </w:pPr>
            <w:r>
              <w:rPr>
                <w:sz w:val="21"/>
              </w:rPr>
              <w:t>18.</w:t>
            </w:r>
            <w:r>
              <w:rPr>
                <w:sz w:val="21"/>
              </w:rPr>
              <w:t>带有人体治疗部位选择图，可以根据身体部位选择相应的治疗处方，内置处方数量</w:t>
            </w:r>
            <w:r>
              <w:rPr>
                <w:sz w:val="21"/>
              </w:rPr>
              <w:t>≥200个</w:t>
            </w:r>
            <w:r>
              <w:rPr>
                <w:sz w:val="21"/>
              </w:rPr>
              <w:t>。</w:t>
            </w:r>
          </w:p>
          <w:p>
            <w:pPr>
              <w:jc w:val="left"/>
            </w:pPr>
            <w:r>
              <w:rPr>
                <w:sz w:val="21"/>
              </w:rPr>
              <w:t>▲</w:t>
            </w:r>
            <w:r>
              <w:rPr>
                <w:sz w:val="21"/>
              </w:rPr>
              <w:t>19.</w:t>
            </w:r>
            <w:r>
              <w:rPr>
                <w:sz w:val="21"/>
              </w:rPr>
              <w:t>设备使用年限</w:t>
            </w:r>
            <w:r>
              <w:rPr>
                <w:sz w:val="21"/>
              </w:rPr>
              <w:t>≥10年（提供铭牌或者说明书证明）</w:t>
            </w:r>
          </w:p>
          <w:p>
            <w:pPr>
              <w:jc w:val="both"/>
            </w:pPr>
            <w:r>
              <w:rPr>
                <w:sz w:val="21"/>
              </w:rPr>
              <w:t>20.</w:t>
            </w:r>
            <w:r>
              <w:rPr>
                <w:sz w:val="21"/>
              </w:rPr>
              <w:t>设备保修期：</w:t>
            </w:r>
            <w:r>
              <w:rPr>
                <w:sz w:val="21"/>
              </w:rPr>
              <w:t>≥</w:t>
            </w:r>
            <w:r>
              <w:rPr>
                <w:sz w:val="21"/>
              </w:rPr>
              <w:t>3年</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采购包3（语言障碍康复评估训练系统等一批设备）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交货期：合同签订之日起30日（日历日）内。</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中标人为非中小企业：全部合同设备到达采购人指定地点完成安装、调试、验收、培训并交付使用后，中标人凭：①合同、②正式发票、③验收调试报告（加盖采购人公章）、④中标通知书向采购人申请付款，采购人于6个月内向中标人支付合同总金额的95％，剩余5％待验收合格保修期满后一次性无息付清。 2.中标人为中小企业：签订合同之日起15个日历日内，中标人凭：①合同、②正式发票、③中标通知书向采购人申请付款，采购人根据中标人提供有效发票后的15个日历日内将按合同总金额的30%支付给中标人；全部合同设备到达采购人指定地点完成安装、调试、验收、培训并交付使用后，中标人凭：①合同、②正式发票、③验收调试报告（加盖采购人公章）、④中标通知书向采购人申请付款，采购人根据中标人提供有效发票后的15个日历日内将按合同总金额的65%支付给中标人，剩余5％待验收合格保修期满后一次性无息付清。</w:t>
            </w:r>
          </w:p>
        </w:tc>
      </w:tr>
      <w:tr>
        <w:tc>
          <w:tcPr>
            <w:tcW w:type="dxa" w:w="4153"/>
          </w:tcPr>
          <w:p>
            <w:r>
              <w:rPr/>
              <w:t>验收要求</w:t>
            </w:r>
          </w:p>
        </w:tc>
        <w:tc>
          <w:tcPr>
            <w:tcW w:type="dxa" w:w="4153"/>
          </w:tcPr>
          <w:p/>
          <w:p/>
          <w:p/>
          <w:p>
            <w:r>
              <w:rPr/>
              <w:t>1期：1.采购人按照采购合同规定的技术、服务、安全标准组织对中标人履约情况进行验收，并出具验收书。验收书应当包括每一项技术、服务、安全标准的履约情况。 2.交付验收标准依次序对照适用标准为：①符合中华人民共和国国家安全质量标准、环保标准或行业标准；②符合招标文件和投标承诺中采购人认可的合理最佳配置、参数及各项要求；③货物来源国官方标准。 3.货物为原厂商未启封全新包装，具有出厂合格证，序列号、包装箱号与出厂批号一致，并可追索查阅。所有随设备的附件必须齐全。收货时中标人按照采购人的通知，共同开箱检验，要求对全部货物、品牌、产品、型号、规格、数量、产地厂家、外型、外观、包装及资料、文件（如装箱单、保修单、随箱介质等）的验收。货物验收完毕，中标人向采购人递交货物验收清单，由双方代表签字生效。验收中如发现有质量不合格或型号规格、数量等与送货清单不符、提交的技术文件和资料不完整等情形，中标人应无条件更换或补齐，并承担因此发生的违约责任。 4.中标人将货物的用户手册、保修手册、有关单证资料及备品备件、随机工具等交付给采购人，使用操作及安全须知等重要资料应附有中文说明。 5.货物验收所发生的检验费用由中标人负担。 6.设备到货并经中标人技术人员安装后，采购人有权委托中国有资格的单位对上述设备进行校准或检验，设备校准或检验所产生的费用由中标人负担。 7.采购人组成验收小组，按照采购合同规定的技术、服务、安全标准组织对中标人履约情况进行验收。因货物质量问题发生争议时，由采购人本地质量技术监督部门鉴定。货物符合质量技术标准的，鉴定费由采购人承担；否则鉴定费由中标人承担。 8.当出现不合格产品时，中标人要无条件更换合格产品。除采购人认可，否则不接受任何形式的降格处理。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（一）包装与运输，包装箱应用坚固的材料制造，适用长途运输、防潮、防锈、防震、防粗暴装卸，适于空运和整体吊装，并注明起吊位置，起吊重量及重心位置。</w:t>
            </w:r>
          </w:p>
          <w:p/>
          <w:p>
            <w:r>
              <w:rPr/>
              <w:t>（二）保险，货物从出厂运至采购人指定地点的保险费用须包含在投标报价中。</w:t>
            </w:r>
          </w:p>
          <w:p/>
          <w:p>
            <w:r>
              <w:rPr/>
              <w:t>（三）安装与调试，1.除非采购人另有通知，中标人应按照合同的要求以及合同执行计划的时间安排，派出足够的人员进行现场安装和负责调试工作。在安装实施期间，严格遵守采购人的有关规定。 2.中标人必须依照招标文件的要求和投标文件的承诺，将设备、系统安装并调试至正常运行的最佳状态。 3.合同项下设备的安装调试所发生费用及耗材包含在本次投标报价中。 4.中标人安装时须对各安装场地内的其它货物、设施有良好保护措施。 5.如该设备需要联接相关信息系统，中标人应当协调设备厂家配合信息系统提供方，联接调试好信息系统，并负责支付相关费用。</w:t>
            </w:r>
          </w:p>
          <w:p/>
          <w:p>
            <w:r>
              <w:rPr/>
              <w:t>（四）技术培训，1.中标供应商每台设备提供现场安装调试和培训。 2.中标供应商应提供完整的培训计划和方案，列明培训人员数量、达到的水平等，培训内容包括设备的操作、日常维修、简单故障的识别及排除等。培训所需全部费用均由中标供应商支付。 3.中标供应商除按设备售后规定，负责培训设备操作人员，还应当培训1-2名负责此设备维护、维修的工程师。</w:t>
            </w:r>
          </w:p>
          <w:p/>
          <w:p>
            <w:r>
              <w:rPr/>
              <w:t>（五）保修期，1.设备保修：项目整体验收合格后，提供不少于3年的保修期，保修期自双方代表在货物验收报告上签字之日起计算。保修期内中标人负责提供设备的三包（包修、包换、包退）服务，可随时上门提供维护、保修、技术支持等服务并登记。 2.自验收合格之日起一个月内，采购人所购设备各部件发生非人为损坏，中标人应给予无条件更换。自验收合格之日起一年内，如同一设备部件一个月内累计2次出现同一问题，中标人必须无条件更换该设备部件，只收零配件成本，不得加收其它任何费用。 3.保修期内货物各部件发生非人为故障的，中标人应无条件上门更换同种品牌规格型号的新部件；货物发生人为故障的，中标人应上门更换同种品牌规格型号的新部件，只收零配件成本，不得加收其它任何费用。 4.保修期内，中标人无条件提供7×24小时技术支持，永久性无条件提供电话技术指导和咨询服务。 5.在保修期届满后，中标人应对设备实行终身维修，提供长期上门维修服务，服务费不高于同期市场价。采购人如需修理设备部件，中标人应在收到需修理部件后半个月内修复。并在修复期间，中标人应无条件提供同型号或类似的设备部件给采购人使用，以避免采购人因设备部件损坏而不能正常运作。</w:t>
            </w:r>
          </w:p>
          <w:p/>
          <w:p>
            <w:r>
              <w:rPr/>
              <w:t>（六）售后服务，保修期内，货物故障报修响应时间为：故障响应时间不超过2小时，到达现场时间不超过4小时；当天无法修复的，需提供同等规格的产品代用，直至故障设备修复，中标人负责所有因设备质量问题而产生的费用，中标人售后服务人员定期回访，每三个月至少进行一次保养维护和登记。</w:t>
            </w:r>
          </w:p>
        </w:tc>
      </w:tr>
    </w:tbl>
    <w:p>
      <w:r>
        <w:rPr>
          <w:b/>
        </w:rPr>
        <w:t>2.技术标准与要求</w:t>
      </w:r>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电脑中频治疗仪(4通道)</w:t>
            </w:r>
          </w:p>
        </w:tc>
        <w:tc>
          <w:tcPr>
            <w:tcW w:type="dxa" w:w="831"/>
          </w:tcPr>
          <w:p>
            <w:pPr>
              <w:jc w:val="left"/>
            </w:pPr>
            <w:r>
              <w:rPr/>
              <w:t>套</w:t>
            </w:r>
          </w:p>
        </w:tc>
        <w:tc>
          <w:tcPr>
            <w:tcW w:type="dxa" w:w="831"/>
          </w:tcPr>
          <w:p>
            <w:pPr>
              <w:jc w:val="right"/>
            </w:pPr>
            <w:r>
              <w:rPr/>
              <w:t>4.00</w:t>
            </w:r>
          </w:p>
        </w:tc>
        <w:tc>
          <w:tcPr>
            <w:tcW w:type="dxa" w:w="831"/>
          </w:tcPr>
          <w:p>
            <w:pPr>
              <w:jc w:val="right"/>
            </w:pPr>
            <w:r>
              <w:rPr/>
              <w:t>8,000.00</w:t>
            </w:r>
          </w:p>
        </w:tc>
        <w:tc>
          <w:tcPr>
            <w:tcW w:type="dxa" w:w="831"/>
          </w:tcPr>
          <w:p>
            <w:pPr>
              <w:jc w:val="right"/>
            </w:pPr>
            <w:r>
              <w:rPr/>
              <w:t>32,000.00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r>
              <w:rPr/>
              <w:t>△</w:t>
            </w:r>
          </w:p>
        </w:tc>
        <w:tc>
          <w:tcPr>
            <w:tcW w:type="dxa" w:w="831"/>
          </w:tcPr>
          <w:p>
            <w:pPr>
              <w:jc w:val="left"/>
            </w:pPr>
            <w:r>
              <w:rPr/>
              <w:t>物理治疗、康复及体育治疗仪器设备</w:t>
            </w:r>
          </w:p>
        </w:tc>
        <w:tc>
          <w:tcPr>
            <w:tcW w:type="dxa" w:w="831"/>
          </w:tcPr>
          <w:p>
            <w:pPr>
              <w:jc w:val="left"/>
            </w:pPr>
            <w:r>
              <w:rPr/>
              <w:t>语言障碍康复评估训练系统</w:t>
            </w:r>
          </w:p>
        </w:tc>
        <w:tc>
          <w:tcPr>
            <w:tcW w:type="dxa" w:w="831"/>
          </w:tcPr>
          <w:p>
            <w:pPr>
              <w:jc w:val="left"/>
            </w:pPr>
            <w:r>
              <w:rPr/>
              <w:t>套</w:t>
            </w:r>
          </w:p>
        </w:tc>
        <w:tc>
          <w:tcPr>
            <w:tcW w:type="dxa" w:w="831"/>
          </w:tcPr>
          <w:p>
            <w:pPr>
              <w:jc w:val="right"/>
            </w:pPr>
            <w:r>
              <w:rPr/>
              <w:t>1.00</w:t>
            </w:r>
          </w:p>
        </w:tc>
        <w:tc>
          <w:tcPr>
            <w:tcW w:type="dxa" w:w="831"/>
          </w:tcPr>
          <w:p>
            <w:pPr>
              <w:jc w:val="right"/>
            </w:pPr>
            <w:r>
              <w:rPr/>
              <w:t>170,000.00</w:t>
            </w:r>
          </w:p>
        </w:tc>
        <w:tc>
          <w:tcPr>
            <w:tcW w:type="dxa" w:w="831"/>
          </w:tcPr>
          <w:p>
            <w:pPr>
              <w:jc w:val="right"/>
            </w:pPr>
            <w:r>
              <w:rPr/>
              <w:t>170,000.00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康复站立床</w:t>
            </w:r>
          </w:p>
        </w:tc>
        <w:tc>
          <w:tcPr>
            <w:tcW w:type="dxa" w:w="831"/>
          </w:tcPr>
          <w:p>
            <w:pPr>
              <w:jc w:val="left"/>
            </w:pPr>
            <w:r>
              <w:rPr/>
              <w:t>套</w:t>
            </w:r>
          </w:p>
        </w:tc>
        <w:tc>
          <w:tcPr>
            <w:tcW w:type="dxa" w:w="831"/>
          </w:tcPr>
          <w:p>
            <w:pPr>
              <w:jc w:val="right"/>
            </w:pPr>
            <w:r>
              <w:rPr/>
              <w:t>2.00</w:t>
            </w:r>
          </w:p>
        </w:tc>
        <w:tc>
          <w:tcPr>
            <w:tcW w:type="dxa" w:w="831"/>
          </w:tcPr>
          <w:p>
            <w:pPr>
              <w:jc w:val="right"/>
            </w:pPr>
            <w:r>
              <w:rPr/>
              <w:t>22,000.00</w:t>
            </w:r>
          </w:p>
        </w:tc>
        <w:tc>
          <w:tcPr>
            <w:tcW w:type="dxa" w:w="831"/>
          </w:tcPr>
          <w:p>
            <w:pPr>
              <w:jc w:val="right"/>
            </w:pPr>
            <w:r>
              <w:rPr/>
              <w:t>44,000.00</w:t>
            </w:r>
          </w:p>
        </w:tc>
        <w:tc>
          <w:tcPr>
            <w:tcW w:type="dxa" w:w="831"/>
          </w:tcPr>
          <w:p>
            <w:r>
              <w:rPr/>
              <w:t>工业</w:t>
            </w:r>
          </w:p>
        </w:tc>
        <w:tc>
          <w:tcPr>
            <w:tcW w:type="dxa" w:w="831"/>
          </w:tcPr>
          <w:p>
            <w:r>
              <w:rPr/>
              <w:t>详见附表三</w:t>
            </w:r>
          </w:p>
        </w:tc>
      </w:tr>
    </w:tbl>
    <w:p/>
    <w:p>
      <w:r>
        <w:rPr>
          <w:b/>
        </w:rPr>
        <w:t>附表</w:t>
      </w:r>
      <w:r>
        <w:rPr>
          <w:b/>
        </w:rPr>
        <w:t>一</w:t>
      </w:r>
      <w:r>
        <w:rPr>
          <w:b/>
        </w:rPr>
        <w:t>：</w:t>
      </w:r>
      <w:r>
        <w:rPr>
          <w:b/>
        </w:rPr>
        <w:t>电脑中频治疗仪(4通道)</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w:t>
            </w:r>
            <w:r>
              <w:rPr>
                <w:sz w:val="21"/>
              </w:rPr>
              <w:t>4路输出通道，可同步或异步工作。</w:t>
            </w:r>
          </w:p>
          <w:p>
            <w:pPr>
              <w:jc w:val="left"/>
            </w:pPr>
            <w:r>
              <w:rPr>
                <w:sz w:val="21"/>
              </w:rPr>
              <w:t>▲</w:t>
            </w:r>
            <w:r>
              <w:rPr>
                <w:sz w:val="21"/>
              </w:rPr>
              <w:t>2.</w:t>
            </w:r>
            <w:r>
              <w:rPr>
                <w:sz w:val="21"/>
              </w:rPr>
              <w:t>处方数量：预设</w:t>
            </w:r>
            <w:r>
              <w:rPr>
                <w:sz w:val="21"/>
              </w:rPr>
              <w:t>≥99个专家治疗处方，存贮在系统中，在治疗过程可进行多次的推、拿、按、敲、拨、振颤、抖动等多种脉冲动作</w:t>
            </w:r>
            <w:r>
              <w:rPr>
                <w:sz w:val="21"/>
              </w:rPr>
              <w:t>。</w:t>
            </w:r>
          </w:p>
          <w:p>
            <w:pPr>
              <w:jc w:val="left"/>
            </w:pPr>
            <w:r>
              <w:rPr>
                <w:sz w:val="21"/>
              </w:rPr>
              <w:t>3.</w:t>
            </w:r>
            <w:r>
              <w:rPr>
                <w:sz w:val="21"/>
              </w:rPr>
              <w:t>既有低频电的特征，又有中频电疗的治疗机理</w:t>
            </w:r>
            <w:r>
              <w:rPr>
                <w:sz w:val="21"/>
              </w:rPr>
              <w:t>。</w:t>
            </w:r>
          </w:p>
          <w:p>
            <w:pPr>
              <w:jc w:val="left"/>
            </w:pPr>
            <w:r>
              <w:rPr>
                <w:sz w:val="21"/>
              </w:rPr>
              <w:t>4.</w:t>
            </w:r>
            <w:r>
              <w:rPr>
                <w:sz w:val="21"/>
              </w:rPr>
              <w:t>调制波形</w:t>
            </w:r>
            <w:r>
              <w:rPr>
                <w:sz w:val="21"/>
              </w:rPr>
              <w:t>≥三种。</w:t>
            </w:r>
          </w:p>
          <w:p>
            <w:pPr>
              <w:jc w:val="left"/>
            </w:pPr>
            <w:r>
              <w:rPr>
                <w:sz w:val="21"/>
              </w:rPr>
              <w:t>▲</w:t>
            </w:r>
            <w:r>
              <w:rPr>
                <w:sz w:val="21"/>
              </w:rPr>
              <w:t>5.</w:t>
            </w:r>
            <w:r>
              <w:rPr>
                <w:sz w:val="21"/>
              </w:rPr>
              <w:t>调制频率：低频调制频率范围：</w:t>
            </w:r>
            <w:r>
              <w:rPr>
                <w:sz w:val="21"/>
              </w:rPr>
              <w:t>0～150Hz，中频载波范围：1kHz～10kHz</w:t>
            </w:r>
            <w:r>
              <w:rPr>
                <w:sz w:val="21"/>
              </w:rPr>
              <w:t>。</w:t>
            </w:r>
          </w:p>
          <w:p>
            <w:pPr>
              <w:jc w:val="left"/>
            </w:pPr>
            <w:r>
              <w:rPr>
                <w:sz w:val="21"/>
              </w:rPr>
              <w:t>▲</w:t>
            </w:r>
            <w:r>
              <w:rPr>
                <w:sz w:val="21"/>
              </w:rPr>
              <w:t>6.</w:t>
            </w:r>
            <w:r>
              <w:rPr>
                <w:sz w:val="21"/>
              </w:rPr>
              <w:t>调节幅度：幅度为</w:t>
            </w:r>
            <w:r>
              <w:rPr>
                <w:sz w:val="21"/>
              </w:rPr>
              <w:t>0%和100%</w:t>
            </w:r>
            <w:r>
              <w:rPr>
                <w:sz w:val="21"/>
              </w:rPr>
              <w:t>。</w:t>
            </w:r>
          </w:p>
          <w:p>
            <w:pPr>
              <w:jc w:val="left"/>
            </w:pPr>
            <w:r>
              <w:rPr>
                <w:sz w:val="21"/>
              </w:rPr>
              <w:t>▲</w:t>
            </w:r>
            <w:r>
              <w:rPr>
                <w:sz w:val="21"/>
              </w:rPr>
              <w:t>7.</w:t>
            </w:r>
            <w:r>
              <w:rPr>
                <w:sz w:val="21"/>
              </w:rPr>
              <w:t>输出限制在</w:t>
            </w:r>
            <w:r>
              <w:rPr>
                <w:sz w:val="21"/>
              </w:rPr>
              <w:t>600Ω负载下，输出电流≤80mA（r.m.s）</w:t>
            </w:r>
            <w:r>
              <w:rPr>
                <w:sz w:val="21"/>
              </w:rPr>
              <w:t>。</w:t>
            </w:r>
          </w:p>
          <w:p>
            <w:pPr>
              <w:jc w:val="left"/>
            </w:pPr>
            <w:r>
              <w:rPr>
                <w:sz w:val="21"/>
              </w:rPr>
              <w:t>8.</w:t>
            </w:r>
            <w:r>
              <w:rPr>
                <w:sz w:val="21"/>
              </w:rPr>
              <w:t>输出电流稳定度：不同负载下的输出电流变化率</w:t>
            </w:r>
            <w:r>
              <w:rPr>
                <w:sz w:val="21"/>
              </w:rPr>
              <w:t>≤10%</w:t>
            </w:r>
            <w:r>
              <w:rPr>
                <w:sz w:val="21"/>
              </w:rPr>
              <w:t>。</w:t>
            </w:r>
          </w:p>
          <w:p>
            <w:pPr>
              <w:jc w:val="left"/>
            </w:pPr>
            <w:r>
              <w:rPr>
                <w:sz w:val="21"/>
              </w:rPr>
              <w:t>9.</w:t>
            </w:r>
            <w:r>
              <w:rPr>
                <w:sz w:val="21"/>
              </w:rPr>
              <w:t>额定输入功率</w:t>
            </w:r>
            <w:r>
              <w:rPr>
                <w:sz w:val="21"/>
              </w:rPr>
              <w:t>。</w:t>
            </w:r>
          </w:p>
          <w:p>
            <w:pPr>
              <w:jc w:val="left"/>
            </w:pPr>
            <w:r>
              <w:rPr>
                <w:sz w:val="21"/>
              </w:rPr>
              <w:t>10.</w:t>
            </w:r>
            <w:r>
              <w:rPr>
                <w:sz w:val="21"/>
              </w:rPr>
              <w:t>拥有连续运行模式</w:t>
            </w:r>
            <w:r>
              <w:rPr>
                <w:sz w:val="21"/>
              </w:rPr>
              <w:t>。</w:t>
            </w:r>
          </w:p>
          <w:p>
            <w:pPr>
              <w:jc w:val="both"/>
            </w:pPr>
            <w:r>
              <w:rPr>
                <w:sz w:val="21"/>
              </w:rPr>
              <w:t>11.</w:t>
            </w:r>
            <w:r>
              <w:rPr>
                <w:sz w:val="21"/>
              </w:rPr>
              <w:t>设备保修期：</w:t>
            </w:r>
            <w:r>
              <w:rPr>
                <w:sz w:val="21"/>
              </w:rPr>
              <w:t>≥</w:t>
            </w:r>
            <w:r>
              <w:rPr>
                <w:sz w:val="21"/>
              </w:rPr>
              <w:t>3年</w:t>
            </w:r>
            <w:r>
              <w:rPr>
                <w:sz w:val="21"/>
              </w:rPr>
              <w:t>。</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语言障碍康复评估训练系统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1.</w:t>
            </w:r>
            <w:r>
              <w:rPr>
                <w:sz w:val="21"/>
              </w:rPr>
              <w:t>一体式操作平台。</w:t>
            </w:r>
          </w:p>
          <w:p>
            <w:r>
              <w:rPr>
                <w:sz w:val="21"/>
              </w:rPr>
              <w:t>2.</w:t>
            </w:r>
            <w:r>
              <w:rPr>
                <w:sz w:val="21"/>
              </w:rPr>
              <w:t>配置触摸显示屏。</w:t>
            </w:r>
          </w:p>
          <w:p>
            <w:r>
              <w:rPr>
                <w:sz w:val="21"/>
              </w:rPr>
              <w:t>▲</w:t>
            </w:r>
            <w:r>
              <w:rPr>
                <w:sz w:val="21"/>
              </w:rPr>
              <w:t>3.</w:t>
            </w:r>
            <w:r>
              <w:rPr>
                <w:sz w:val="21"/>
              </w:rPr>
              <w:t>双屏显示，一体式电脑操作，可使用触摸屏进行治疗及互动</w:t>
            </w:r>
            <w:r>
              <w:rPr>
                <w:sz w:val="21"/>
              </w:rPr>
              <w:t>。</w:t>
            </w:r>
          </w:p>
          <w:p>
            <w:r>
              <w:rPr>
                <w:sz w:val="21"/>
              </w:rPr>
              <w:t>4.</w:t>
            </w:r>
            <w:r>
              <w:rPr>
                <w:sz w:val="21"/>
              </w:rPr>
              <w:t>自由悬停多功能支架。</w:t>
            </w:r>
          </w:p>
          <w:p>
            <w:r>
              <w:rPr>
                <w:sz w:val="21"/>
              </w:rPr>
              <w:t>5.</w:t>
            </w:r>
            <w:r>
              <w:rPr>
                <w:sz w:val="21"/>
              </w:rPr>
              <w:t>领夹式麦克风套装。</w:t>
            </w:r>
          </w:p>
          <w:p>
            <w:r>
              <w:rPr>
                <w:sz w:val="21"/>
              </w:rPr>
              <w:t>6.</w:t>
            </w:r>
            <w:r>
              <w:rPr>
                <w:sz w:val="21"/>
              </w:rPr>
              <w:t>配键盘鼠标套装。</w:t>
            </w:r>
          </w:p>
          <w:p>
            <w:r>
              <w:rPr>
                <w:sz w:val="21"/>
              </w:rPr>
              <w:t>▲</w:t>
            </w:r>
            <w:r>
              <w:rPr>
                <w:sz w:val="21"/>
              </w:rPr>
              <w:t>7.</w:t>
            </w:r>
            <w:r>
              <w:rPr>
                <w:sz w:val="21"/>
              </w:rPr>
              <w:t>可进行辨识、记忆、判断、定向、比较等认知方面的训练，训练一提供</w:t>
            </w:r>
            <w:r>
              <w:rPr>
                <w:sz w:val="21"/>
              </w:rPr>
              <w:t>≥19种题型训练，训练二提供≥18种题型。</w:t>
            </w:r>
          </w:p>
          <w:p>
            <w:r>
              <w:rPr>
                <w:sz w:val="21"/>
              </w:rPr>
              <w:t>▲</w:t>
            </w:r>
            <w:r>
              <w:rPr>
                <w:sz w:val="21"/>
              </w:rPr>
              <w:t>8.</w:t>
            </w:r>
            <w:r>
              <w:rPr>
                <w:sz w:val="21"/>
              </w:rPr>
              <w:t>交流训练能力训练题型</w:t>
            </w:r>
            <w:r>
              <w:rPr>
                <w:sz w:val="21"/>
              </w:rPr>
              <w:t>≥9种，包括名词，动词，句子的听理解训练、复述训练、说表达训练、出声读训练、阅读训练、抄写训练、描写训练、听写训练，计算训练。</w:t>
            </w:r>
          </w:p>
          <w:p>
            <w:r>
              <w:rPr>
                <w:sz w:val="21"/>
              </w:rPr>
              <w:t>▲</w:t>
            </w:r>
            <w:r>
              <w:rPr>
                <w:sz w:val="21"/>
              </w:rPr>
              <w:t>9.</w:t>
            </w:r>
            <w:r>
              <w:rPr>
                <w:sz w:val="21"/>
              </w:rPr>
              <w:t>语言沟通交流训练类型</w:t>
            </w:r>
            <w:r>
              <w:rPr>
                <w:sz w:val="21"/>
              </w:rPr>
              <w:t>≥4小类，包含视频教学、发音训练游戏、元音发音口型训练、辅音口型训练。</w:t>
            </w:r>
          </w:p>
          <w:p>
            <w:r>
              <w:rPr>
                <w:sz w:val="21"/>
              </w:rPr>
              <w:t>▲</w:t>
            </w:r>
            <w:r>
              <w:rPr>
                <w:sz w:val="21"/>
              </w:rPr>
              <w:t>10.</w:t>
            </w:r>
            <w:r>
              <w:rPr>
                <w:sz w:val="21"/>
              </w:rPr>
              <w:t>功能评估评估项目包含功能评估表、汉语标准失语症检查表、西方失语成套测验</w:t>
            </w:r>
            <w:r>
              <w:rPr>
                <w:sz w:val="21"/>
              </w:rPr>
              <w:t>3种以上；评估成绩可保存。</w:t>
            </w:r>
          </w:p>
          <w:p>
            <w:r>
              <w:rPr>
                <w:sz w:val="21"/>
              </w:rPr>
              <w:t>▲</w:t>
            </w:r>
            <w:r>
              <w:rPr>
                <w:sz w:val="21"/>
              </w:rPr>
              <w:t>11.</w:t>
            </w:r>
            <w:r>
              <w:rPr>
                <w:sz w:val="21"/>
              </w:rPr>
              <w:t>包含视频教学、发音训练游戏、元音发音口型训练、辅音口型训练。</w:t>
            </w:r>
          </w:p>
          <w:p>
            <w:r>
              <w:rPr>
                <w:sz w:val="21"/>
              </w:rPr>
              <w:t>12.</w:t>
            </w:r>
            <w:r>
              <w:rPr>
                <w:sz w:val="21"/>
              </w:rPr>
              <w:t>参数配置自动组题、手工选题、双屏显示，识别匹配度、语音朗读参数等运行控制参数可以灵活配置</w:t>
            </w:r>
            <w:r>
              <w:rPr>
                <w:sz w:val="21"/>
              </w:rPr>
              <w:t>。</w:t>
            </w:r>
          </w:p>
          <w:p>
            <w:r>
              <w:rPr>
                <w:sz w:val="21"/>
              </w:rPr>
              <w:t>13.</w:t>
            </w:r>
            <w:r>
              <w:rPr>
                <w:sz w:val="21"/>
              </w:rPr>
              <w:t>具备重听题目功能。</w:t>
            </w:r>
          </w:p>
          <w:p>
            <w:r>
              <w:rPr>
                <w:sz w:val="21"/>
              </w:rPr>
              <w:t>14.</w:t>
            </w:r>
            <w:r>
              <w:rPr>
                <w:sz w:val="21"/>
              </w:rPr>
              <w:t>拥有功能评估项目。</w:t>
            </w:r>
          </w:p>
          <w:p>
            <w:r>
              <w:rPr>
                <w:sz w:val="21"/>
              </w:rPr>
              <w:t>15.</w:t>
            </w:r>
            <w:r>
              <w:rPr>
                <w:sz w:val="21"/>
              </w:rPr>
              <w:t>具备资料库存功能。</w:t>
            </w:r>
          </w:p>
          <w:p>
            <w:r>
              <w:rPr>
                <w:sz w:val="21"/>
              </w:rPr>
              <w:t>16.</w:t>
            </w:r>
            <w:r>
              <w:rPr>
                <w:sz w:val="21"/>
              </w:rPr>
              <w:t>具备打印功能。</w:t>
            </w:r>
          </w:p>
          <w:p>
            <w:r>
              <w:rPr>
                <w:sz w:val="21"/>
              </w:rPr>
              <w:t>17.</w:t>
            </w:r>
            <w:r>
              <w:rPr>
                <w:sz w:val="21"/>
              </w:rPr>
              <w:t>用户访问控制。</w:t>
            </w:r>
          </w:p>
          <w:p>
            <w:r>
              <w:rPr>
                <w:sz w:val="21"/>
              </w:rPr>
              <w:t>18.</w:t>
            </w:r>
            <w:r>
              <w:rPr>
                <w:sz w:val="21"/>
              </w:rPr>
              <w:t>软件可终身无条件升级</w:t>
            </w:r>
            <w:r>
              <w:rPr>
                <w:sz w:val="21"/>
              </w:rPr>
              <w:t>。</w:t>
            </w:r>
          </w:p>
          <w:p>
            <w:pPr>
              <w:jc w:val="both"/>
            </w:pPr>
            <w:r>
              <w:rPr>
                <w:sz w:val="21"/>
              </w:rPr>
              <w:t>19.设备保修期：</w:t>
            </w:r>
            <w:r>
              <w:rPr>
                <w:sz w:val="21"/>
              </w:rPr>
              <w:t>≥</w:t>
            </w:r>
            <w:r>
              <w:rPr>
                <w:sz w:val="21"/>
              </w:rPr>
              <w:t>3年</w:t>
            </w:r>
            <w:r>
              <w:rPr>
                <w:sz w:val="21"/>
              </w:rPr>
              <w:t>。</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康复站立床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1.设备轴承结构；通过电机和气弹簧双重保护。</w:t>
            </w:r>
          </w:p>
          <w:p>
            <w:pPr>
              <w:jc w:val="both"/>
            </w:pPr>
            <w:r>
              <w:rPr>
                <w:sz w:val="21"/>
              </w:rPr>
              <w:t>▲2.电机和气弹簧双重保护，安全稳定。</w:t>
            </w:r>
          </w:p>
          <w:p>
            <w:pPr>
              <w:jc w:val="both"/>
            </w:pPr>
            <w:r>
              <w:rPr>
                <w:sz w:val="21"/>
              </w:rPr>
              <w:t>3.电机能缓慢起动和停止。</w:t>
            </w:r>
          </w:p>
          <w:p>
            <w:pPr>
              <w:jc w:val="both"/>
            </w:pPr>
            <w:r>
              <w:rPr>
                <w:sz w:val="21"/>
              </w:rPr>
              <w:t>4.配置宽大的固定绑带。</w:t>
            </w:r>
          </w:p>
          <w:p>
            <w:pPr>
              <w:jc w:val="both"/>
            </w:pPr>
            <w:r>
              <w:rPr>
                <w:sz w:val="21"/>
              </w:rPr>
              <w:t>5.配置可调的扶手和桌板。</w:t>
            </w:r>
          </w:p>
          <w:p>
            <w:pPr>
              <w:jc w:val="both"/>
            </w:pPr>
            <w:r>
              <w:rPr>
                <w:sz w:val="21"/>
              </w:rPr>
              <w:t>6.抗菌耐磨高弹力皮革，高阻燃性、抗菌、耐温、防划、床体弹力好、舒适。</w:t>
            </w:r>
          </w:p>
          <w:p>
            <w:pPr>
              <w:jc w:val="both"/>
            </w:pPr>
            <w:r>
              <w:rPr>
                <w:sz w:val="21"/>
              </w:rPr>
              <w:t>7.拥有内外翻、上下调节的脚踏板。</w:t>
            </w:r>
          </w:p>
          <w:p>
            <w:pPr>
              <w:jc w:val="both"/>
            </w:pPr>
            <w:r>
              <w:rPr>
                <w:sz w:val="21"/>
              </w:rPr>
              <w:t>8.手控器控制方式。</w:t>
            </w:r>
          </w:p>
          <w:p>
            <w:pPr>
              <w:jc w:val="both"/>
            </w:pPr>
            <w:r>
              <w:rPr>
                <w:sz w:val="21"/>
              </w:rPr>
              <w:t>9.拥有连续运行模式。</w:t>
            </w:r>
          </w:p>
          <w:p>
            <w:pPr>
              <w:jc w:val="both"/>
            </w:pPr>
            <w:r>
              <w:rPr>
                <w:sz w:val="21"/>
              </w:rPr>
              <w:t>▲10.起立角度：0°～80°±5°，符合《可调式康复训练床GBT 26340-2010》的站立角度要求。</w:t>
            </w:r>
          </w:p>
          <w:p>
            <w:pPr>
              <w:jc w:val="both"/>
            </w:pPr>
            <w:r>
              <w:rPr>
                <w:sz w:val="21"/>
              </w:rPr>
              <w:t>11.脚踏板活动角度：内翻0°～35°，外翻0°～35°，趾屈0°～15°，背屈0°～20°，允差±5°</w:t>
            </w:r>
            <w:r>
              <w:rPr>
                <w:sz w:val="21"/>
              </w:rPr>
              <w:t>。</w:t>
            </w:r>
          </w:p>
          <w:p>
            <w:pPr>
              <w:jc w:val="both"/>
            </w:pPr>
            <w:r>
              <w:rPr>
                <w:sz w:val="21"/>
              </w:rPr>
              <w:t>12.配备4个脚轮通过脚踏四联动装置锁定，压下脚踏四联动装置床面上升，四个脚轮着地，升起脚踏四联动装置床面下降，四个脚轮升起锁止</w:t>
            </w:r>
            <w:r>
              <w:rPr>
                <w:sz w:val="21"/>
              </w:rPr>
              <w:t>。</w:t>
            </w:r>
          </w:p>
          <w:p>
            <w:pPr>
              <w:jc w:val="both"/>
            </w:pPr>
            <w:r>
              <w:rPr>
                <w:sz w:val="21"/>
              </w:rPr>
              <w:t>13.配备紧急停止开关。</w:t>
            </w:r>
          </w:p>
          <w:p>
            <w:pPr>
              <w:jc w:val="both"/>
            </w:pPr>
            <w:r>
              <w:rPr>
                <w:sz w:val="21"/>
              </w:rPr>
              <w:t>14.拥有安全工作载荷。</w:t>
            </w:r>
          </w:p>
          <w:p>
            <w:pPr>
              <w:jc w:val="both"/>
            </w:pPr>
            <w:r>
              <w:rPr>
                <w:sz w:val="21"/>
              </w:rPr>
              <w:t>15.床面尺寸：650*1850mm，尺寸公差均为±40mm。</w:t>
            </w:r>
          </w:p>
          <w:p>
            <w:pPr>
              <w:jc w:val="both"/>
            </w:pPr>
            <w:r>
              <w:rPr>
                <w:sz w:val="21"/>
              </w:rPr>
              <w:t>16.防进液程度：</w:t>
            </w:r>
            <w:r>
              <w:rPr>
                <w:sz w:val="21"/>
              </w:rPr>
              <w:t>≥</w:t>
            </w:r>
            <w:r>
              <w:rPr>
                <w:sz w:val="21"/>
              </w:rPr>
              <w:t>IPX4</w:t>
            </w:r>
            <w:r>
              <w:rPr>
                <w:sz w:val="21"/>
              </w:rPr>
              <w:t>。</w:t>
            </w:r>
          </w:p>
          <w:p>
            <w:pPr>
              <w:jc w:val="both"/>
            </w:pPr>
            <w:r>
              <w:rPr>
                <w:sz w:val="21"/>
              </w:rPr>
              <w:t>17.设备保修期：</w:t>
            </w:r>
            <w:r>
              <w:rPr>
                <w:sz w:val="21"/>
              </w:rPr>
              <w:t>≥</w:t>
            </w:r>
            <w:r>
              <w:rPr>
                <w:sz w:val="21"/>
              </w:rPr>
              <w:t>3年</w:t>
            </w:r>
            <w:r>
              <w:rPr>
                <w:sz w:val="21"/>
              </w:rPr>
              <w:t>。</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采购包4（变频便携式体外膈肌起搏器）</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交货期：合同签订之日起30日（日历日）内。</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中标人为非中小企业：全部合同设备到达采购人指定地点完成安装、调试、验收、培训并交付使用后，中标人凭：①合同、②正式发票、③验收调试报告（加盖采购人公章）、④中标通知书向采购人申请付款，采购人于6个月内向中标人支付合同总金额的95％，剩余5％待验收合格保修期满后一次性无息付清。 2.中标人为中小企业：签订合同之日起15个日历日内，中标人凭：①合同、②正式发票、③中标通知书向采购人申请付款，采购人根据中标人提供有效发票后的15个日历日内将按合同总金额的30%支付给中标人；全部合同设备到达采购人指定地点完成安装、调试、验收、培训并交付使用后，中标人凭：①合同、②正式发票、③验收调试报告（加盖采购人公章）、④中标通知书向采购人申请付款，采购人根据中标人提供有效发票后的15个日历日内将按合同总金额的65%支付给中标人，剩余5％待验收合格保修期满后一次性无息付清。</w:t>
            </w:r>
          </w:p>
        </w:tc>
      </w:tr>
      <w:tr>
        <w:tc>
          <w:tcPr>
            <w:tcW w:type="dxa" w:w="4153"/>
          </w:tcPr>
          <w:p>
            <w:r>
              <w:rPr/>
              <w:t>验收要求</w:t>
            </w:r>
          </w:p>
        </w:tc>
        <w:tc>
          <w:tcPr>
            <w:tcW w:type="dxa" w:w="4153"/>
          </w:tcPr>
          <w:p/>
          <w:p/>
          <w:p/>
          <w:p>
            <w:r>
              <w:rPr/>
              <w:t>1期：1.采购人按照采购合同规定的技术、服务、安全标准组织对中标人履约情况进行验收，并出具验收书。验收书应当包括每一项技术、服务、安全标准的履约情况。 2.交付验收标准依次序对照适用标准为：①符合中华人民共和国国家安全质量标准、环保标准或行业标准；②符合招标文件和投标承诺中采购人认可的合理最佳配置、参数及各项要求；③货物来源国官方标准。 3.货物为原厂商未启封全新包装，具有出厂合格证，序列号、包装箱号与出厂批号一致，并可追索查阅。所有随设备的附件必须齐全。收货时中标人按照采购人的通知，共同开箱检验，要求对全部货物、品牌、产品、型号、规格、数量、产地厂家、外型、外观、包装及资料、文件（如装箱单、保修单、随箱介质等）的验收。货物验收完毕，中标人向采购人递交货物验收清单，由双方代表签字生效。验收中如发现有质量不合格或型号规格、数量等与送货清单不符、提交的技术文件和资料不完整等情形，中标人应无条件更换或补齐，并承担因此发生的违约责任。 4.中标人将货物的用户手册、保修手册、有关单证资料及备品备件、随机工具等交付给采购人，使用操作及安全须知等重要资料应附有中文说明。 5.货物验收所发生的检验费用由中标人负担。 6.设备到货并经中标人技术人员安装后，采购人有权委托中国有资格的单位对上述设备进行校准或检验，设备校准或检验所产生的费用由中标人负担。 7.采购人组成验收小组，按照采购合同规定的技术、服务、安全标准组织对中标人履约情况进行验收。因货物质量问题发生争议时，由采购人本地质量技术监督部门鉴定。货物符合质量技术标准的，鉴定费由采购人承担；否则鉴定费由中标人承担。 8.当出现不合格产品时，中标人要无条件更换合格产品。除采购人认可，否则不接受任何形式的降格处理。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（一）包装与运输，包装箱应用坚固的材料制造，适用长途运输、防潮、防锈、防震、防粗暴装卸，适于空运和整体吊装，并注明起吊位置，起吊重量及重心位置。</w:t>
            </w:r>
          </w:p>
          <w:p/>
          <w:p>
            <w:r>
              <w:rPr/>
              <w:t>（二）保险，货物从出厂运至采购人指定地点的保险费用须包含在投标报价中。</w:t>
            </w:r>
          </w:p>
          <w:p/>
          <w:p>
            <w:r>
              <w:rPr/>
              <w:t>（三）安装与调试，1.除非采购人另有通知，中标人应按照合同的要求以及合同执行计划的时间安排，派出足够的人员进行现场安装和负责调试工作。在安装实施期间，严格遵守采购人的有关规定。 2.中标人必须依照招标文件的要求和投标文件的承诺，将设备、系统安装并调试至正常运行的最佳状态。 3.合同项下设备的安装调试所发生费用及耗材包含在本次投标报价中。 4.中标人安装时须对各安装场地内的其它货物、设施有良好保护措施。 5.如该设备需要联接相关信息系统，中标人应当协调设备厂家配合信息系统提供方，联接调试好信息系统，并负责支付相关费用。</w:t>
            </w:r>
          </w:p>
          <w:p/>
          <w:p>
            <w:r>
              <w:rPr/>
              <w:t>（四）技术培训，1.中标供应商每台设备提供现场安装调试和培训。 2.中标供应商应提供完整的培训计划和方案，列明培训人员数量、达到的水平等，培训内容包括设备的操作、日常维修、简单故障的识别及排除等。培训所需全部费用均由中标供应商支付。 3.中标供应商除按设备售后规定，负责培训设备操作人员，还应当培训1-2名负责此设备维护、维修的工程师。</w:t>
            </w:r>
          </w:p>
          <w:p/>
          <w:p>
            <w:r>
              <w:rPr/>
              <w:t>（五）保修期，1.项目整体验收合格后，提供不少于2年的保修期，保修期自双方代表在货物验收报告上签字之日起计算。保修期内中标人负责提供设备的三包（包修、包换、包退）服务，可随时上门提供维护、保修、技术支持等服务并登记。 2.自验收合格之日起一个月内，采购人所购设备各部件发生非人为损坏，中标人应给予无条件更换。自验收合格之日起一年内，如同一设备部件一个月内累计2次出现同一问题，中标人必须无条件更换该设备部件，只收零配件成本，不得加收其它任何费用。 3.保修期内货物各部件发生非人为故障的，中标人应无条件上门更换同种品牌规格型号的新部件；货物发生人为故障的，中标人应上门更换同种品牌规格型号的新部件，只收零配件成本，不得加收其它任何费用。 4.保修期内，中标人无条件提供7×24小时技术支持，永久性无条件提供电话技术指导和咨询服务。 5.在保修期届满后，中标人应对设备实行终身维修，提供长期上门维修服务，服务费不高于同期市场价。采购人如需修理设备部件，中标人应在收到需修理部件后半个月内修复。并在修复期间，中标人应无条件提供同型号或类似的设备部件给采购人使用，以避免采购人因设备部件损坏而不能正常运作。</w:t>
            </w:r>
          </w:p>
          <w:p/>
          <w:p>
            <w:r>
              <w:rPr/>
              <w:t>（六）售后服务，保修期内，货物故障报修响应时间为：故障响应时间不超过2小时，到达现场时间不超过4小时；当天无法修复的，需提供同等规格的产品代用，直至故障设备修复，中标人负责所有因设备质量问题而产生的费用，中标人售后服务人员定期回访，每三个月至少进行一次保养维护和登记。</w:t>
            </w:r>
          </w:p>
        </w:tc>
      </w:tr>
    </w:tbl>
    <w:p>
      <w:r>
        <w:rPr>
          <w:b/>
        </w:rPr>
        <w:t>2.技术标准与要求</w:t>
      </w:r>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介/植入诊断和治疗用器械</w:t>
            </w:r>
          </w:p>
        </w:tc>
        <w:tc>
          <w:tcPr>
            <w:tcW w:type="dxa" w:w="831"/>
          </w:tcPr>
          <w:p>
            <w:pPr>
              <w:jc w:val="left"/>
            </w:pPr>
            <w:r>
              <w:rPr/>
              <w:t>变频便携式体外膈肌起搏器</w:t>
            </w:r>
          </w:p>
        </w:tc>
        <w:tc>
          <w:tcPr>
            <w:tcW w:type="dxa" w:w="831"/>
          </w:tcPr>
          <w:p>
            <w:pPr>
              <w:jc w:val="left"/>
            </w:pPr>
            <w:r>
              <w:rPr/>
              <w:t>套</w:t>
            </w:r>
          </w:p>
        </w:tc>
        <w:tc>
          <w:tcPr>
            <w:tcW w:type="dxa" w:w="831"/>
          </w:tcPr>
          <w:p>
            <w:pPr>
              <w:jc w:val="right"/>
            </w:pPr>
            <w:r>
              <w:rPr/>
              <w:t>4.00</w:t>
            </w:r>
          </w:p>
        </w:tc>
        <w:tc>
          <w:tcPr>
            <w:tcW w:type="dxa" w:w="831"/>
          </w:tcPr>
          <w:p>
            <w:pPr>
              <w:jc w:val="right"/>
            </w:pPr>
            <w:r>
              <w:rPr/>
              <w:t>24,000.00</w:t>
            </w:r>
          </w:p>
        </w:tc>
        <w:tc>
          <w:tcPr>
            <w:tcW w:type="dxa" w:w="831"/>
          </w:tcPr>
          <w:p>
            <w:pPr>
              <w:jc w:val="right"/>
            </w:pPr>
            <w:r>
              <w:rPr/>
              <w:t>96,000.00</w:t>
            </w:r>
          </w:p>
        </w:tc>
        <w:tc>
          <w:tcPr>
            <w:tcW w:type="dxa" w:w="831"/>
          </w:tcPr>
          <w:p>
            <w:r>
              <w:rPr/>
              <w:t>工业</w:t>
            </w:r>
          </w:p>
        </w:tc>
        <w:tc>
          <w:tcPr>
            <w:tcW w:type="dxa" w:w="831"/>
          </w:tcPr>
          <w:p>
            <w:r>
              <w:rPr/>
              <w:t>详见附表一</w:t>
            </w:r>
          </w:p>
        </w:tc>
      </w:tr>
    </w:tbl>
    <w:p/>
    <w:p>
      <w:r>
        <w:rPr>
          <w:b/>
        </w:rPr>
        <w:t>附表</w:t>
      </w:r>
      <w:r>
        <w:rPr>
          <w:b/>
        </w:rPr>
        <w:t>一</w:t>
      </w:r>
      <w:r>
        <w:rPr>
          <w:b/>
        </w:rPr>
        <w:t>：</w:t>
      </w:r>
      <w:r>
        <w:rPr>
          <w:b/>
        </w:rPr>
        <w:t>变频便携式体外膈肌起搏器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w:t>
            </w:r>
            <w:r>
              <w:rPr>
                <w:sz w:val="21"/>
              </w:rPr>
              <w:t>输出脉冲峰值电压：脉冲峰值电压为</w:t>
            </w:r>
            <w:r>
              <w:rPr>
                <w:sz w:val="21"/>
              </w:rPr>
              <w:t>0V-15V,多档调节，档位≥30个，误差±15%</w:t>
            </w:r>
            <w:r>
              <w:rPr>
                <w:sz w:val="21"/>
              </w:rPr>
              <w:t>；</w:t>
            </w:r>
          </w:p>
          <w:p>
            <w:pPr>
              <w:jc w:val="left"/>
            </w:pPr>
            <w:r>
              <w:rPr>
                <w:sz w:val="21"/>
              </w:rPr>
              <w:t>2.</w:t>
            </w:r>
            <w:r>
              <w:rPr>
                <w:sz w:val="21"/>
              </w:rPr>
              <w:t>输出脉冲串时间间隔：输出脉冲串时间间隔可调节，分为</w:t>
            </w:r>
            <w:r>
              <w:rPr>
                <w:sz w:val="21"/>
              </w:rPr>
              <w:t>2s，3s，4s，5s，6s，误差±10%</w:t>
            </w:r>
            <w:r>
              <w:rPr>
                <w:sz w:val="21"/>
              </w:rPr>
              <w:t>；</w:t>
            </w:r>
          </w:p>
          <w:p>
            <w:pPr>
              <w:jc w:val="left"/>
            </w:pPr>
            <w:r>
              <w:rPr>
                <w:sz w:val="21"/>
              </w:rPr>
              <w:t>3.</w:t>
            </w:r>
            <w:r>
              <w:rPr>
                <w:sz w:val="21"/>
              </w:rPr>
              <w:t>输出脉冲串宽度：</w:t>
            </w:r>
            <w:r>
              <w:rPr>
                <w:sz w:val="21"/>
              </w:rPr>
              <w:t>1.2s±10%</w:t>
            </w:r>
            <w:r>
              <w:rPr>
                <w:sz w:val="21"/>
              </w:rPr>
              <w:t>；</w:t>
            </w:r>
          </w:p>
          <w:p>
            <w:pPr>
              <w:jc w:val="left"/>
            </w:pPr>
            <w:r>
              <w:rPr>
                <w:sz w:val="21"/>
              </w:rPr>
              <w:t>▲</w:t>
            </w:r>
            <w:r>
              <w:rPr>
                <w:sz w:val="21"/>
              </w:rPr>
              <w:t>4.</w:t>
            </w:r>
            <w:r>
              <w:rPr>
                <w:sz w:val="21"/>
              </w:rPr>
              <w:t>输出脉冲频率：工作频率：</w:t>
            </w:r>
            <w:r>
              <w:rPr>
                <w:sz w:val="21"/>
              </w:rPr>
              <w:t>40Hz±10%，复合频率：（40Hz+2.5Hz）±10%，（40Hz+10Hz）±10%</w:t>
            </w:r>
            <w:r>
              <w:rPr>
                <w:sz w:val="21"/>
              </w:rPr>
              <w:t>；</w:t>
            </w:r>
          </w:p>
          <w:p>
            <w:pPr>
              <w:jc w:val="left"/>
            </w:pPr>
            <w:r>
              <w:rPr>
                <w:sz w:val="21"/>
              </w:rPr>
              <w:t>▲</w:t>
            </w:r>
            <w:r>
              <w:rPr>
                <w:sz w:val="21"/>
              </w:rPr>
              <w:t>5.</w:t>
            </w:r>
            <w:r>
              <w:rPr>
                <w:sz w:val="21"/>
              </w:rPr>
              <w:t>脉冲宽度：</w:t>
            </w:r>
            <w:r>
              <w:rPr>
                <w:sz w:val="21"/>
              </w:rPr>
              <w:t>≥300us</w:t>
            </w:r>
            <w:r>
              <w:rPr>
                <w:sz w:val="21"/>
              </w:rPr>
              <w:t>；</w:t>
            </w:r>
          </w:p>
          <w:p>
            <w:pPr>
              <w:jc w:val="left"/>
            </w:pPr>
            <w:r>
              <w:rPr>
                <w:sz w:val="21"/>
              </w:rPr>
              <w:t>▲</w:t>
            </w:r>
            <w:r>
              <w:rPr>
                <w:sz w:val="21"/>
              </w:rPr>
              <w:t>6.</w:t>
            </w:r>
            <w:r>
              <w:rPr>
                <w:sz w:val="21"/>
              </w:rPr>
              <w:t>噪音</w:t>
            </w:r>
            <w:r>
              <w:rPr>
                <w:sz w:val="21"/>
              </w:rPr>
              <w:t>≤60dB</w:t>
            </w:r>
            <w:r>
              <w:rPr>
                <w:sz w:val="21"/>
              </w:rPr>
              <w:t>；</w:t>
            </w:r>
          </w:p>
          <w:p>
            <w:pPr>
              <w:jc w:val="left"/>
            </w:pPr>
            <w:r>
              <w:rPr>
                <w:sz w:val="21"/>
              </w:rPr>
              <w:t>▲</w:t>
            </w:r>
            <w:r>
              <w:rPr>
                <w:sz w:val="21"/>
              </w:rPr>
              <w:t>7.</w:t>
            </w:r>
            <w:r>
              <w:rPr>
                <w:sz w:val="21"/>
              </w:rPr>
              <w:t>起搏次数：</w:t>
            </w:r>
            <w:r>
              <w:rPr>
                <w:sz w:val="21"/>
              </w:rPr>
              <w:t>8~23次/分钟，可选择</w:t>
            </w:r>
            <w:r>
              <w:rPr>
                <w:sz w:val="21"/>
              </w:rPr>
              <w:t>；</w:t>
            </w:r>
          </w:p>
          <w:p>
            <w:pPr>
              <w:jc w:val="left"/>
            </w:pPr>
            <w:r>
              <w:rPr>
                <w:sz w:val="21"/>
              </w:rPr>
              <w:t>8.</w:t>
            </w:r>
            <w:r>
              <w:rPr>
                <w:sz w:val="21"/>
              </w:rPr>
              <w:t>电极：电极采用纽扣电极，电极与控制器连接良好无松动</w:t>
            </w:r>
            <w:r>
              <w:rPr>
                <w:sz w:val="21"/>
              </w:rPr>
              <w:t>；</w:t>
            </w:r>
          </w:p>
          <w:p>
            <w:pPr>
              <w:jc w:val="left"/>
            </w:pPr>
            <w:r>
              <w:rPr>
                <w:sz w:val="21"/>
              </w:rPr>
              <w:t>9.</w:t>
            </w:r>
            <w:r>
              <w:rPr>
                <w:sz w:val="21"/>
              </w:rPr>
              <w:t>治疗时间（指每次治疗的持续时间）：</w:t>
            </w:r>
            <w:r>
              <w:rPr>
                <w:sz w:val="21"/>
              </w:rPr>
              <w:t>0~60min可选择，有倒计时功能</w:t>
            </w:r>
            <w:r>
              <w:rPr>
                <w:sz w:val="21"/>
              </w:rPr>
              <w:t>；</w:t>
            </w:r>
          </w:p>
          <w:p>
            <w:pPr>
              <w:jc w:val="both"/>
            </w:pPr>
            <w:r>
              <w:rPr>
                <w:sz w:val="21"/>
              </w:rPr>
              <w:t>10.</w:t>
            </w:r>
            <w:r>
              <w:rPr>
                <w:sz w:val="21"/>
              </w:rPr>
              <w:t>内置电池：在完全充电正常使用的情况下，可持续供电</w:t>
            </w:r>
            <w:r>
              <w:rPr>
                <w:sz w:val="21"/>
              </w:rPr>
              <w:t>8小时以上</w:t>
            </w:r>
            <w:r>
              <w:rPr>
                <w:sz w:val="21"/>
              </w:rPr>
              <w:t>；</w:t>
            </w:r>
          </w:p>
          <w:p>
            <w:pPr>
              <w:jc w:val="both"/>
            </w:pPr>
            <w:r>
              <w:rPr>
                <w:sz w:val="21"/>
              </w:rPr>
              <w:t>11.</w:t>
            </w:r>
            <w:r>
              <w:rPr>
                <w:sz w:val="21"/>
              </w:rPr>
              <w:t>≥7英寸彩色触摸液晶屏，分辨率≥1024*600</w:t>
            </w:r>
            <w:r>
              <w:rPr>
                <w:sz w:val="21"/>
              </w:rPr>
              <w:t>；</w:t>
            </w:r>
          </w:p>
          <w:p>
            <w:pPr>
              <w:jc w:val="left"/>
            </w:pPr>
            <w:r>
              <w:rPr>
                <w:sz w:val="21"/>
              </w:rPr>
              <w:t>12.</w:t>
            </w:r>
            <w:r>
              <w:rPr>
                <w:sz w:val="21"/>
              </w:rPr>
              <w:t>具</w:t>
            </w:r>
            <w:r>
              <w:rPr>
                <w:sz w:val="21"/>
              </w:rPr>
              <w:t>有</w:t>
            </w:r>
            <w:r>
              <w:rPr>
                <w:sz w:val="21"/>
              </w:rPr>
              <w:t>LED指示、蜂鸣器提醒功能</w:t>
            </w:r>
            <w:r>
              <w:rPr>
                <w:sz w:val="21"/>
              </w:rPr>
              <w:t>；</w:t>
            </w:r>
          </w:p>
          <w:p>
            <w:pPr>
              <w:jc w:val="both"/>
            </w:pPr>
            <w:r>
              <w:rPr>
                <w:sz w:val="21"/>
              </w:rPr>
              <w:t>13.</w:t>
            </w:r>
            <w:r>
              <w:rPr>
                <w:sz w:val="21"/>
              </w:rPr>
              <w:t>配置清单：</w:t>
            </w:r>
            <w:r>
              <w:rPr>
                <w:sz w:val="21"/>
              </w:rPr>
              <w:t>起搏器主机</w:t>
            </w:r>
            <w:r>
              <w:rPr>
                <w:sz w:val="21"/>
              </w:rPr>
              <w:t>1台；电极片5包；一分二导联线2条；充电套装1套</w:t>
            </w:r>
            <w:r>
              <w:rPr>
                <w:sz w:val="21"/>
              </w:rPr>
              <w:t>；</w:t>
            </w:r>
          </w:p>
          <w:p>
            <w:pPr>
              <w:jc w:val="both"/>
            </w:pPr>
            <w:r>
              <w:rPr>
                <w:sz w:val="21"/>
              </w:rPr>
              <w:t>14.</w:t>
            </w:r>
            <w:r>
              <w:rPr>
                <w:sz w:val="21"/>
              </w:rPr>
              <w:t>设备保修期：</w:t>
            </w:r>
            <w:r>
              <w:rPr>
                <w:sz w:val="21"/>
              </w:rPr>
              <w:t>≥</w:t>
            </w:r>
            <w:r>
              <w:rPr>
                <w:sz w:val="21"/>
              </w:rPr>
              <w:t>2年</w:t>
            </w:r>
            <w:r>
              <w:rPr>
                <w:sz w:val="21"/>
              </w:rPr>
              <w:t>。</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采购包5（磁振热治疗仪）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交货期：合同签订之日起30日（日历日）内。</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中标人为非中小企业：全部合同设备到达采购人指定地点完成安装、调试、验收、培训并交付使用后，中标人凭：①合同、②正式发票、③验收调试报告（加盖采购人公章）、④中标通知书向采购人申请付款，采购人于6个月内向中标人支付合同总金额的95％，剩余5％待验收合格保修期满后一次性无息付清。 2.中标人为中小企业：签订合同之日起15个日历日内，中标人凭：①合同、②正式发票、③中标通知书向采购人申请付款，采购人根据中标人提供有效发票后的15个日历日内将按合同总金额的30%支付给中标人；全部合同设备到达采购人指定地点完成安装、调试、验收、培训并交付使用后，中标人凭：①合同、②正式发票、③验收调试报告（加盖采购人公章）、④中标通知书向采购人申请付款，采购人根据中标人提供有效发票后的15个日历日内将按合同总金额的65%支付给中标人，剩余5％待验收合格保修期满后一次性无息付清。</w:t>
            </w:r>
          </w:p>
        </w:tc>
      </w:tr>
      <w:tr>
        <w:tc>
          <w:tcPr>
            <w:tcW w:type="dxa" w:w="4153"/>
          </w:tcPr>
          <w:p>
            <w:r>
              <w:rPr/>
              <w:t>验收要求</w:t>
            </w:r>
          </w:p>
        </w:tc>
        <w:tc>
          <w:tcPr>
            <w:tcW w:type="dxa" w:w="4153"/>
          </w:tcPr>
          <w:p/>
          <w:p/>
          <w:p/>
          <w:p>
            <w:r>
              <w:rPr/>
              <w:t>1期：1.采购人按照采购合同规定的技术、服务、安全标准组织对中标人履约情况进行验收，并出具验收书。验收书应当包括每一项技术、服务、安全标准的履约情况。 2.交付验收标准依次序对照适用标准为：①符合中华人民共和国国家安全质量标准、环保标准或行业标准；②符合招标文件和投标承诺中采购人认可的合理最佳配置、参数及各项要求；③货物来源国官方标准。 3.货物为原厂商未启封全新包装，具有出厂合格证，序列号、包装箱号与出厂批号一致，并可追索查阅。所有随设备的附件必须齐全。收货时中标人按照采购人的通知，共同开箱检验，要求对全部货物、品牌、产品、型号、规格、数量、产地厂家、外型、外观、包装及资料、文件（如装箱单、保修单、随箱介质等）的验收。货物验收完毕，中标人向采购人递交货物验收清单，由双方代表签字生效。验收中如发现有质量不合格或型号规格、数量等与送货清单不符、提交的技术文件和资料不完整等情形，中标人应无条件更换或补齐，并承担因此发生的违约责任。 4.中标人将货物的用户手册、保修手册、有关单证资料及备品备件、随机工具等交付给采购人，使用操作及安全须知等重要资料应附有中文说明。 5.货物验收所发生的检验费用由中标人负担。 6.设备到货并经中标人技术人员安装后，采购人有权委托中国有资格的单位对上述设备进行校准或检验，设备校准或检验所产生的费用由中标人负担。 7.采购人组成验收小组，按照采购合同规定的技术、服务、安全标准组织对中标人履约情况进行验收。因货物质量问题发生争议时，由采购人本地质量技术监督部门鉴定。货物符合质量技术标准的，鉴定费由采购人承担；否则鉴定费由中标人承担。 8.当出现不合格产品时，中标人要无条件更换合格产品。除采购人认可，否则不接受任何形式的降格处理。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（一）包装与运输，包装箱应用坚固的材料制造，适用长途运输、防潮、防锈、防震、防粗暴装卸，适于空运和整体吊装，并注明起吊位置，起吊重量及重心位置。</w:t>
            </w:r>
          </w:p>
          <w:p/>
          <w:p>
            <w:r>
              <w:rPr/>
              <w:t>（二）保险，货物从出厂运至采购人指定地点的保险费用须包含在投标报价中。</w:t>
            </w:r>
          </w:p>
          <w:p/>
          <w:p>
            <w:r>
              <w:rPr/>
              <w:t>（三）安装与调试，1.除非采购人另有通知，中标人应按照合同的要求以及合同执行计划的时间安排，派出足够的人员进行现场安装和负责调试工作。在安装实施期间，严格遵守采购人的有关规定。 2.中标人必须依照招标文件的要求和投标文件的承诺，将设备、系统安装并调试至正常运行的最佳状态。 3.合同项下设备的安装调试所发生费用及耗材包含在本次投标报价中。 4.中标人安装时须对各安装场地内的其它货物、设施有良好保护措施。 5.如该设备需要联接相关信息系统，中标人应当协调设备厂家配合信息系统提供方，联接调试好信息系统，并负责支付相关费用。</w:t>
            </w:r>
          </w:p>
          <w:p/>
          <w:p>
            <w:r>
              <w:rPr/>
              <w:t>（四）技术培训，1.中标供应商每台设备提供现场安装调试和培训。 2.中标供应商应提供完整的培训计划和方案，列明培训人员数量、达到的水平等，培训内容包括设备的操作、日常维修、简单故障的识别及排除等。培训所需全部费用均由中标供应商支付。 3.中标供应商除按设备售后规定，负责培训设备操作人员，还应当培训1-2名负责此设备维护、维修的工程师。</w:t>
            </w:r>
          </w:p>
          <w:p/>
          <w:p>
            <w:r>
              <w:rPr/>
              <w:t>（五）保修期，1.设备保修：项目整体验收合格后，提供不少于3年的保修期，保修期自双方代表在货物验收报告上签字之日起计算。保修期内中标人负责提供设备的三包（包修、包换、包退）服务，可随时上门提供维护、保修、技术支持等服务并登记。 2.自验收合格之日起一个月内，采购人所购设备各部件发生非人为损坏，中标人应给予无条件更换。自验收合格之日起一年内，如同一设备部件一个月内累计2次出现同一问题，中标人必须无条件更换该设备部件，只收零配件成本，不得加收其它任何费用。 3.保修期内货物各部件发生非人为故障的，中标人应无条件上门更换同种品牌规格型号的新部件；货物发生人为故障的，中标人应上门更换同种品牌规格型号的新部件，只收零配件成本，不得加收其它任何费用。 4.保修期内，中标人无条件提供7×24小时技术支持，永久性无条件提供电话技术指导和咨询服务。 5.在保修期届满后，中标人应对设备实行终身维修，提供长期上门维修服务，服务费不高于同期市场价。采购人如需修理设备部件，中标人应在收到需修理部件后半个月内修复。并在修复期间，中标人应无条件提供同型号或类似的设备部件给采购人使用，以避免采购人因设备部件损坏而不能正常运作。</w:t>
            </w:r>
          </w:p>
          <w:p/>
          <w:p>
            <w:r>
              <w:rPr/>
              <w:t>（六）售后服务，保修期内，货物故障报修响应时间为：故障响应时间不超过2小时，到达现场时间不超过4小时；当天无法修复的，需提供同等规格的产品代用，直至故障设备修复，中标人负责所有因设备质量问题而产生的费用，中标人售后服务人员定期回访，每三个月至少进行一次保养维护和登记。</w:t>
            </w:r>
          </w:p>
        </w:tc>
      </w:tr>
    </w:tbl>
    <w:p>
      <w:r>
        <w:rPr>
          <w:b/>
        </w:rPr>
        <w:t>2.技术标准与要求</w:t>
      </w:r>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物理治疗、康复及体育治疗仪器设备</w:t>
            </w:r>
          </w:p>
        </w:tc>
        <w:tc>
          <w:tcPr>
            <w:tcW w:type="dxa" w:w="831"/>
          </w:tcPr>
          <w:p>
            <w:pPr>
              <w:jc w:val="left"/>
            </w:pPr>
            <w:r>
              <w:rPr/>
              <w:t>磁振热治疗仪</w:t>
            </w:r>
          </w:p>
        </w:tc>
        <w:tc>
          <w:tcPr>
            <w:tcW w:type="dxa" w:w="831"/>
          </w:tcPr>
          <w:p>
            <w:pPr>
              <w:jc w:val="left"/>
            </w:pPr>
            <w:r>
              <w:rPr/>
              <w:t>套</w:t>
            </w:r>
          </w:p>
        </w:tc>
        <w:tc>
          <w:tcPr>
            <w:tcW w:type="dxa" w:w="831"/>
          </w:tcPr>
          <w:p>
            <w:pPr>
              <w:jc w:val="right"/>
            </w:pPr>
            <w:r>
              <w:rPr/>
              <w:t>1.00</w:t>
            </w:r>
          </w:p>
        </w:tc>
        <w:tc>
          <w:tcPr>
            <w:tcW w:type="dxa" w:w="831"/>
          </w:tcPr>
          <w:p>
            <w:pPr>
              <w:jc w:val="right"/>
            </w:pPr>
            <w:r>
              <w:rPr/>
              <w:t>56,000.00</w:t>
            </w:r>
          </w:p>
        </w:tc>
        <w:tc>
          <w:tcPr>
            <w:tcW w:type="dxa" w:w="831"/>
          </w:tcPr>
          <w:p>
            <w:pPr>
              <w:jc w:val="right"/>
            </w:pPr>
            <w:r>
              <w:rPr/>
              <w:t>56,000.00</w:t>
            </w:r>
          </w:p>
        </w:tc>
        <w:tc>
          <w:tcPr>
            <w:tcW w:type="dxa" w:w="831"/>
          </w:tcPr>
          <w:p>
            <w:r>
              <w:rPr/>
              <w:t>工业</w:t>
            </w:r>
          </w:p>
        </w:tc>
        <w:tc>
          <w:tcPr>
            <w:tcW w:type="dxa" w:w="831"/>
          </w:tcPr>
          <w:p>
            <w:r>
              <w:rPr/>
              <w:t>详见附表一</w:t>
            </w:r>
          </w:p>
        </w:tc>
      </w:tr>
    </w:tbl>
    <w:p/>
    <w:p>
      <w:r>
        <w:rPr>
          <w:b/>
        </w:rPr>
        <w:t>附表</w:t>
      </w:r>
      <w:r>
        <w:rPr>
          <w:b/>
        </w:rPr>
        <w:t>一</w:t>
      </w:r>
      <w:r>
        <w:rPr>
          <w:b/>
        </w:rPr>
        <w:t>：</w:t>
      </w:r>
      <w:r>
        <w:rPr>
          <w:b/>
        </w:rPr>
        <w:t>磁振热治疗仪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w:t>
            </w:r>
            <w:r>
              <w:rPr>
                <w:sz w:val="21"/>
              </w:rPr>
              <w:t>具备</w:t>
            </w:r>
            <w:r>
              <w:rPr>
                <w:sz w:val="21"/>
              </w:rPr>
              <w:t>加温性能</w:t>
            </w:r>
            <w:r>
              <w:rPr>
                <w:sz w:val="21"/>
              </w:rPr>
              <w:t>；</w:t>
            </w:r>
            <w:r>
              <w:rPr>
                <w:sz w:val="21"/>
              </w:rPr>
              <w:t xml:space="preserve"> </w:t>
            </w:r>
          </w:p>
          <w:p>
            <w:pPr>
              <w:jc w:val="both"/>
            </w:pPr>
            <w:r>
              <w:rPr>
                <w:sz w:val="21"/>
              </w:rPr>
              <w:t>2.温度范围：37～58℃连续可调，步进1℃，误差≤±3℃，最高温度≤60℃，自动控温装置；</w:t>
            </w:r>
          </w:p>
          <w:p>
            <w:pPr>
              <w:jc w:val="both"/>
            </w:pPr>
            <w:r>
              <w:rPr>
                <w:sz w:val="21"/>
              </w:rPr>
              <w:t>▲3.治疗仪最高温度应≤60℃，超温保护装置应能自动断电，停止输出；</w:t>
            </w:r>
          </w:p>
          <w:p>
            <w:pPr>
              <w:jc w:val="both"/>
            </w:pPr>
            <w:r>
              <w:rPr>
                <w:sz w:val="21"/>
              </w:rPr>
              <w:t>4.振动频率：50Hz±2Hz；最大值误差≤±2Hz</w:t>
            </w:r>
            <w:r>
              <w:rPr>
                <w:sz w:val="21"/>
              </w:rPr>
              <w:t>；</w:t>
            </w:r>
          </w:p>
          <w:p>
            <w:pPr>
              <w:jc w:val="both"/>
            </w:pPr>
            <w:r>
              <w:rPr>
                <w:sz w:val="21"/>
              </w:rPr>
              <w:t>5.负载时，最大输出电压有效值应＜36V；</w:t>
            </w:r>
          </w:p>
          <w:p>
            <w:pPr>
              <w:jc w:val="both"/>
            </w:pPr>
            <w:r>
              <w:rPr>
                <w:sz w:val="21"/>
              </w:rPr>
              <w:t>▲6.治疗周期：连续、2.5s、3s、4s 等多种模式；</w:t>
            </w:r>
          </w:p>
          <w:p>
            <w:pPr>
              <w:jc w:val="both"/>
            </w:pPr>
            <w:r>
              <w:rPr>
                <w:sz w:val="21"/>
              </w:rPr>
              <w:t>▲7.设备在有输出时的最大磁感应强度＜200mT，有输出时热疗振子表面最大磁感应强度为≥13mT，无输出时热疗振子表面最大磁感应强度为≥10mT</w:t>
            </w:r>
            <w:r>
              <w:rPr>
                <w:sz w:val="21"/>
              </w:rPr>
              <w:t>；</w:t>
            </w:r>
          </w:p>
          <w:p>
            <w:pPr>
              <w:jc w:val="both"/>
            </w:pPr>
            <w:r>
              <w:rPr>
                <w:sz w:val="21"/>
              </w:rPr>
              <w:t>▲8.热疗垫表面磁场强度应为：0.5mT～100mT；治疗仪工作区域为距离磁体表面1cm处，其输出磁场强度应在0.5mT～38mT</w:t>
            </w:r>
            <w:r>
              <w:rPr>
                <w:sz w:val="21"/>
              </w:rPr>
              <w:t>；</w:t>
            </w:r>
          </w:p>
          <w:p>
            <w:pPr>
              <w:jc w:val="both"/>
            </w:pPr>
            <w:r>
              <w:rPr>
                <w:sz w:val="21"/>
              </w:rPr>
              <w:t>9.磁场范围：治疗体上下的安全距离应≥10cm，环境中磁场强度应在≤0.5mT；</w:t>
            </w:r>
          </w:p>
          <w:p>
            <w:pPr>
              <w:jc w:val="both"/>
            </w:pPr>
            <w:r>
              <w:rPr>
                <w:sz w:val="21"/>
              </w:rPr>
              <w:t>10.治疗仪输出定时0～90min连续可调，步长为1min，最大值误差为±1min；</w:t>
            </w:r>
          </w:p>
          <w:p>
            <w:pPr>
              <w:jc w:val="both"/>
            </w:pPr>
            <w:r>
              <w:rPr>
                <w:sz w:val="21"/>
              </w:rPr>
              <w:t>11.产品结构：台式便携式设置，≥10寸超大触摸屏操作；</w:t>
            </w:r>
          </w:p>
          <w:p>
            <w:pPr>
              <w:jc w:val="both"/>
            </w:pPr>
            <w:r>
              <w:rPr>
                <w:sz w:val="21"/>
              </w:rPr>
              <w:t>12.治疗仪输出最大时，连续工作时间≥4h；</w:t>
            </w:r>
          </w:p>
          <w:p>
            <w:pPr>
              <w:jc w:val="both"/>
            </w:pPr>
            <w:r>
              <w:rPr>
                <w:sz w:val="21"/>
              </w:rPr>
              <w:t>▲13.产品通道数及配置：4通道，配置4个热疗振子，8块永磁磁体，可同时四人使用，适应多个部位。</w:t>
            </w:r>
          </w:p>
          <w:p>
            <w:pPr>
              <w:jc w:val="both"/>
            </w:pPr>
            <w:r>
              <w:rPr>
                <w:sz w:val="21"/>
              </w:rPr>
              <w:t>14.产品功能：超温保护，温度控制，断电保护</w:t>
            </w:r>
            <w:r>
              <w:rPr>
                <w:sz w:val="21"/>
              </w:rPr>
              <w:t>；</w:t>
            </w:r>
          </w:p>
          <w:p>
            <w:pPr>
              <w:jc w:val="both"/>
            </w:pPr>
            <w:r>
              <w:rPr>
                <w:sz w:val="21"/>
              </w:rPr>
              <w:t>15.配套系统软件一套</w:t>
            </w:r>
            <w:r>
              <w:rPr>
                <w:sz w:val="21"/>
              </w:rPr>
              <w:t>；</w:t>
            </w:r>
          </w:p>
          <w:p>
            <w:pPr>
              <w:jc w:val="both"/>
            </w:pPr>
            <w:r>
              <w:rPr>
                <w:sz w:val="21"/>
              </w:rPr>
              <w:t>16.配套台车</w:t>
            </w:r>
            <w:r>
              <w:rPr>
                <w:sz w:val="21"/>
              </w:rPr>
              <w:t>；</w:t>
            </w:r>
          </w:p>
          <w:p>
            <w:pPr>
              <w:jc w:val="both"/>
            </w:pPr>
            <w:r>
              <w:rPr>
                <w:sz w:val="21"/>
              </w:rPr>
              <w:t>▲17.5年内无条件更换热疗振子</w:t>
            </w:r>
            <w:r>
              <w:rPr>
                <w:sz w:val="21"/>
              </w:rPr>
              <w:t>；</w:t>
            </w:r>
          </w:p>
          <w:p>
            <w:pPr>
              <w:jc w:val="both"/>
            </w:pPr>
            <w:r>
              <w:rPr>
                <w:sz w:val="21"/>
              </w:rPr>
              <w:t>18.设备保修期：</w:t>
            </w:r>
            <w:r>
              <w:rPr>
                <w:sz w:val="21"/>
              </w:rPr>
              <w:t>≥</w:t>
            </w:r>
            <w:r>
              <w:rPr>
                <w:sz w:val="21"/>
              </w:rPr>
              <w:t>3年</w:t>
            </w:r>
            <w:r>
              <w:rPr>
                <w:sz w:val="21"/>
              </w:rPr>
              <w:t>。</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采购包6（上肢智能反馈训练系统）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交货期：合同签订之日起30日（日历日）内。</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中标人为非中小企业：全部合同设备到达采购人指定地点完成安装、调试、验收、培训并交付使用后，中标人凭：①合同、②正式发票、③验收调试报告（加盖采购人公章）、④中标通知书向采购人申请付款，采购人于6个月内向中标人支付合同总金额的95％，剩余5％待验收合格保修期满后一次性无息付清。 2.中标人为中小企业：签订合同之日起15个日历日内，中标人凭：①合同、②正式发票、③中标通知书向采购人申请付款，采购人根据中标人提供有效发票后的15个日历日内将按合同总金额的30%支付给中标人；全部合同设备到达采购人指定地点完成安装、调试、验收、培训并交付使用后，中标人凭：①合同、②正式发票、③验收调试报告（加盖采购人公章）、④中标通知书向采购人申请付款，采购人根据中标人提供有效发票后的15个日历日内将按合同总金额的65%支付给中标人，剩余5％待验收合格保修期满后一次性无息付清。</w:t>
            </w:r>
          </w:p>
        </w:tc>
      </w:tr>
      <w:tr>
        <w:tc>
          <w:tcPr>
            <w:tcW w:type="dxa" w:w="4153"/>
          </w:tcPr>
          <w:p>
            <w:r>
              <w:rPr/>
              <w:t>验收要求</w:t>
            </w:r>
          </w:p>
        </w:tc>
        <w:tc>
          <w:tcPr>
            <w:tcW w:type="dxa" w:w="4153"/>
          </w:tcPr>
          <w:p/>
          <w:p/>
          <w:p/>
          <w:p>
            <w:r>
              <w:rPr/>
              <w:t>1期：1.采购人按照采购合同规定的技术、服务、安全标准组织对中标人履约情况进行验收，并出具验收书。验收书应当包括每一项技术、服务、安全标准的履约情况。 2.交付验收标准依次序对照适用标准为：①符合中华人民共和国国家安全质量标准、环保标准或行业标准；②符合招标文件和投标承诺中采购人认可的合理最佳配置、参数及各项要求；③货物来源国官方标准。 3.货物为原厂商未启封全新包装，具有出厂合格证，序列号、包装箱号与出厂批号一致，并可追索查阅。所有随设备的附件必须齐全。收货时中标人按照采购人的通知，共同开箱检验，要求对全部货物、品牌、产品、型号、规格、数量、产地厂家、外型、外观、包装及资料、文件（如装箱单、保修单、随箱介质等）的验收。货物验收完毕，中标人向采购人递交货物验收清单，由双方代表签字生效。验收中如发现有质量不合格或型号规格、数量等与送货清单不符、提交的技术文件和资料不完整等情形，中标人应无条件更换或补齐，并承担因此发生的违约责任。 4.中标人将货物的用户手册、保修手册、有关单证资料及备品备件、随机工具等交付给采购人，使用操作及安全须知等重要资料应附有中文说明。 5.货物验收所发生的检验费用由中标人负担。 6.设备到货并经中标人技术人员安装后，采购人有权委托中国有资格的单位对上述设备进行校准或检验，设备校准或检验所产生的费用由中标人负担。 7.采购人组成验收小组，按照采购合同规定的技术、服务、安全标准组织对中标人履约情况进行验收。因货物质量问题发生争议时，由采购人本地质量技术监督部门鉴定。货物符合质量技术标准的，鉴定费由采购人承担；否则鉴定费由中标人承担。 8.当出现不合格产品时，中标人要无条件更换合格产品。除采购人认可，否则不接受任何形式的降格处理。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（一）包装与运输，包装箱应用坚固的材料制造，适用长途运输、防潮、防锈、防震、防粗暴装卸，适于空运和整体吊装，并注明起吊位置，起吊重量及重心位置。</w:t>
            </w:r>
          </w:p>
          <w:p/>
          <w:p>
            <w:r>
              <w:rPr/>
              <w:t>（二）保险，货物从出厂运至采购人指定地点的保险费用须包含在投标报价中。</w:t>
            </w:r>
          </w:p>
          <w:p/>
          <w:p>
            <w:r>
              <w:rPr/>
              <w:t>（三）安装与调试，1.除非采购人另有通知，中标人应按照合同的要求以及合同执行计划的时间安排，派出足够的人员进行现场安装和负责调试工作。在安装实施期间，严格遵守采购人的有关规定。 2.中标人必须依照招标文件的要求和投标文件的承诺，将设备、系统安装并调试至正常运行的最佳状态。 3.合同项下设备的安装调试所发生费用及耗材包含在本次投标报价中。 4.中标人安装时须对各安装场地内的其它货物、设施有良好保护措施。 5.如该设备需要联接相关信息系统，中标人应当协调设备厂家配合信息系统提供方，联接调试好信息系统，并负责支付相关费用。</w:t>
            </w:r>
          </w:p>
          <w:p/>
          <w:p>
            <w:r>
              <w:rPr/>
              <w:t>（四）技术培训，1.中标供应商每台设备提供现场安装调试和培训。 2.中标供应商应提供完整的培训计划和方案，列明培训人员数量、达到的水平等，培训内容包括设备的操作、日常维修、简单故障的识别及排除等。培训所需全部费用均由中标供应商支付。 3.中标供应商除按设备售后规定，负责培训设备操作人员，还应当培训1-2名负责此设备维护、维修的工程师。</w:t>
            </w:r>
          </w:p>
          <w:p/>
          <w:p>
            <w:r>
              <w:rPr/>
              <w:t>（五）保修期，1.设备保修：项目整体验收合格后，提供不少于3年的保修期，保修期自双方代表在货物验收报告上签字之日起计算。保修期内中标人负责提供设备的三包（包修、包换、包退）服务，可随时上门提供维护、保修、技术支持等服务并登记。 2.自验收合格之日起一个月内，采购人所购设备各部件发生非人为损坏，中标人应给予无条件更换。自验收合格之日起一年内，如同一设备部件一个月内累计2次出现同一问题，中标人必须无条件更换该设备部件，只收零配件成本，不得加收其它任何费用。 3.保修期内货物各部件发生非人为故障的，中标人应无条件上门更换同种品牌规格型号的新部件；货物发生人为故障的，中标人应上门更换同种品牌规格型号的新部件，只收零配件成本，不得加收其它任何费用。 4.保修期内，中标人无条件提供7×24小时技术支持，永久性无条件提供电话技术指导和咨询服务。 5.在保修期届满后，中标人应对设备实行终身维修，提供长期上门维修服务，服务费不高于同期市场价。采购人如需修理设备部件，中标人应在收到需修理部件后半个月内修复。并在修复期间，中标人应无条件提供同型号或类似的设备部件给采购人使用，以避免采购人因设备部件损坏而不能正常运作。</w:t>
            </w:r>
          </w:p>
          <w:p/>
          <w:p>
            <w:r>
              <w:rPr/>
              <w:t>（六）售后服务，保修期内，货物故障报修响应时间为：故障响应时间不超过2小时，到达现场时间不超过4小时；当天无法修复的，需提供同等规格的产品代用，直至故障设备修复，中标人负责所有因设备质量问题而产生的费用，中标人售后服务人员定期回访，每三个月至少进行一次保养维护和登记。</w:t>
            </w:r>
          </w:p>
        </w:tc>
      </w:tr>
    </w:tbl>
    <w:p>
      <w:r>
        <w:rPr>
          <w:b/>
        </w:rPr>
        <w:t>2.技术标准与要求</w:t>
      </w:r>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物理治疗、康复及体育治疗仪器设备</w:t>
            </w:r>
          </w:p>
        </w:tc>
        <w:tc>
          <w:tcPr>
            <w:tcW w:type="dxa" w:w="831"/>
          </w:tcPr>
          <w:p>
            <w:pPr>
              <w:jc w:val="left"/>
            </w:pPr>
            <w:r>
              <w:rPr/>
              <w:t>上肢智能反馈训练系统</w:t>
            </w:r>
          </w:p>
        </w:tc>
        <w:tc>
          <w:tcPr>
            <w:tcW w:type="dxa" w:w="831"/>
          </w:tcPr>
          <w:p>
            <w:pPr>
              <w:jc w:val="left"/>
            </w:pPr>
            <w:r>
              <w:rPr/>
              <w:t>套</w:t>
            </w:r>
          </w:p>
        </w:tc>
        <w:tc>
          <w:tcPr>
            <w:tcW w:type="dxa" w:w="831"/>
          </w:tcPr>
          <w:p>
            <w:pPr>
              <w:jc w:val="right"/>
            </w:pPr>
            <w:r>
              <w:rPr/>
              <w:t>1.00</w:t>
            </w:r>
          </w:p>
        </w:tc>
        <w:tc>
          <w:tcPr>
            <w:tcW w:type="dxa" w:w="831"/>
          </w:tcPr>
          <w:p>
            <w:pPr>
              <w:jc w:val="right"/>
            </w:pPr>
            <w:r>
              <w:rPr/>
              <w:t>430,000.00</w:t>
            </w:r>
          </w:p>
        </w:tc>
        <w:tc>
          <w:tcPr>
            <w:tcW w:type="dxa" w:w="831"/>
          </w:tcPr>
          <w:p>
            <w:pPr>
              <w:jc w:val="right"/>
            </w:pPr>
            <w:r>
              <w:rPr/>
              <w:t>430,000.00</w:t>
            </w:r>
          </w:p>
        </w:tc>
        <w:tc>
          <w:tcPr>
            <w:tcW w:type="dxa" w:w="831"/>
          </w:tcPr>
          <w:p>
            <w:r>
              <w:rPr/>
              <w:t>工业</w:t>
            </w:r>
          </w:p>
        </w:tc>
        <w:tc>
          <w:tcPr>
            <w:tcW w:type="dxa" w:w="831"/>
          </w:tcPr>
          <w:p>
            <w:r>
              <w:rPr/>
              <w:t>详见附表一</w:t>
            </w:r>
          </w:p>
        </w:tc>
      </w:tr>
    </w:tbl>
    <w:p/>
    <w:p>
      <w:r>
        <w:rPr>
          <w:b/>
        </w:rPr>
        <w:t>附表</w:t>
      </w:r>
      <w:r>
        <w:rPr>
          <w:b/>
        </w:rPr>
        <w:t>一</w:t>
      </w:r>
      <w:r>
        <w:rPr>
          <w:b/>
        </w:rPr>
        <w:t>：</w:t>
      </w:r>
      <w:r>
        <w:rPr>
          <w:b/>
        </w:rPr>
        <w:t>上肢智能反馈训练系统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w:t>
            </w:r>
            <w:r>
              <w:rPr>
                <w:sz w:val="21"/>
              </w:rPr>
              <w:t>机器人本体坐姿高度可调范围：</w:t>
            </w:r>
            <w:r>
              <w:rPr>
                <w:sz w:val="21"/>
              </w:rPr>
              <w:t>700</w:t>
            </w:r>
            <w:r>
              <w:rPr>
                <w:sz w:val="21"/>
              </w:rPr>
              <w:t>mm--9</w:t>
            </w:r>
            <w:r>
              <w:rPr>
                <w:sz w:val="21"/>
              </w:rPr>
              <w:t>50</w:t>
            </w:r>
            <w:r>
              <w:rPr>
                <w:sz w:val="21"/>
              </w:rPr>
              <w:t>mm</w:t>
            </w:r>
            <w:r>
              <w:rPr>
                <w:sz w:val="21"/>
              </w:rPr>
              <w:t>；</w:t>
            </w:r>
          </w:p>
          <w:p>
            <w:pPr>
              <w:jc w:val="left"/>
            </w:pPr>
            <w:r>
              <w:rPr>
                <w:sz w:val="21"/>
              </w:rPr>
              <w:t>2.</w:t>
            </w:r>
            <w:r>
              <w:rPr>
                <w:sz w:val="21"/>
              </w:rPr>
              <w:t>设备应能承受最大载荷</w:t>
            </w:r>
            <w:r>
              <w:rPr>
                <w:sz w:val="21"/>
              </w:rPr>
              <w:t>≥5.0KG，在规定载荷内，设备能保持正常运行</w:t>
            </w:r>
            <w:r>
              <w:rPr>
                <w:sz w:val="21"/>
              </w:rPr>
              <w:t>；</w:t>
            </w:r>
          </w:p>
          <w:p>
            <w:pPr>
              <w:jc w:val="left"/>
            </w:pPr>
            <w:r>
              <w:rPr>
                <w:sz w:val="21"/>
              </w:rPr>
              <w:t>3.</w:t>
            </w:r>
            <w:r>
              <w:rPr>
                <w:sz w:val="21"/>
              </w:rPr>
              <w:t>系统至少应配备一个紧急停止功能按钮</w:t>
            </w:r>
            <w:r>
              <w:rPr>
                <w:sz w:val="21"/>
              </w:rPr>
              <w:t>；</w:t>
            </w:r>
          </w:p>
          <w:p>
            <w:pPr>
              <w:jc w:val="left"/>
            </w:pPr>
            <w:r>
              <w:rPr>
                <w:sz w:val="21"/>
              </w:rPr>
              <w:t>4.</w:t>
            </w:r>
            <w:r>
              <w:rPr>
                <w:sz w:val="21"/>
              </w:rPr>
              <w:t>机械臂手掌圆盘灯不同颜色指示机械臂的不同状态</w:t>
            </w:r>
            <w:r>
              <w:rPr>
                <w:sz w:val="21"/>
              </w:rPr>
              <w:t>；</w:t>
            </w:r>
          </w:p>
          <w:p>
            <w:pPr>
              <w:jc w:val="left"/>
            </w:pPr>
            <w:r>
              <w:rPr>
                <w:sz w:val="21"/>
              </w:rPr>
              <w:t>▲</w:t>
            </w:r>
            <w:r>
              <w:rPr>
                <w:sz w:val="21"/>
              </w:rPr>
              <w:t>5.</w:t>
            </w:r>
            <w:r>
              <w:rPr>
                <w:sz w:val="21"/>
              </w:rPr>
              <w:t>机器人关节运动范围及扭矩（</w:t>
            </w:r>
            <w:r>
              <w:rPr>
                <w:sz w:val="21"/>
              </w:rPr>
              <w:t>N.m）：关节1（手部组件）：+15°~ -55°，扭矩≥30；关节2：+55°~ -55°，扭矩≥30；关节3（左患侧）：-150°~ -5°，扭矩≥40；关节3（右患侧）：+ 5°~ + 150°，扭矩≥40；患者应用端关节：+140°~ -140°</w:t>
            </w:r>
            <w:r>
              <w:rPr>
                <w:sz w:val="21"/>
              </w:rPr>
              <w:t>；</w:t>
            </w:r>
          </w:p>
          <w:p>
            <w:pPr>
              <w:jc w:val="left"/>
            </w:pPr>
            <w:r>
              <w:rPr>
                <w:sz w:val="21"/>
              </w:rPr>
              <w:t>6.</w:t>
            </w:r>
            <w:r>
              <w:rPr>
                <w:sz w:val="21"/>
              </w:rPr>
              <w:t>可通过无线键盘鼠标对操作系统配套的软件完成各项操作（比如：增加</w:t>
            </w:r>
            <w:r>
              <w:rPr>
                <w:sz w:val="21"/>
              </w:rPr>
              <w:t>/减少手臂减重辅助力、菜单操作、音量调整等）</w:t>
            </w:r>
            <w:r>
              <w:rPr>
                <w:sz w:val="21"/>
              </w:rPr>
              <w:t>；</w:t>
            </w:r>
          </w:p>
          <w:p>
            <w:pPr>
              <w:jc w:val="left"/>
            </w:pPr>
            <w:r>
              <w:rPr>
                <w:sz w:val="21"/>
              </w:rPr>
              <w:t>7.</w:t>
            </w:r>
            <w:r>
              <w:rPr>
                <w:sz w:val="21"/>
              </w:rPr>
              <w:t>机器人关节自由度：</w:t>
            </w:r>
            <w:r>
              <w:rPr>
                <w:sz w:val="21"/>
              </w:rPr>
              <w:t>≥3自由度</w:t>
            </w:r>
            <w:r>
              <w:rPr>
                <w:sz w:val="21"/>
              </w:rPr>
              <w:t>；</w:t>
            </w:r>
          </w:p>
          <w:p>
            <w:pPr>
              <w:jc w:val="left"/>
            </w:pPr>
            <w:r>
              <w:rPr>
                <w:sz w:val="21"/>
              </w:rPr>
              <w:t>8.</w:t>
            </w:r>
            <w:r>
              <w:rPr>
                <w:sz w:val="21"/>
              </w:rPr>
              <w:t>机械臂长度：</w:t>
            </w:r>
            <w:r>
              <w:rPr>
                <w:sz w:val="21"/>
              </w:rPr>
              <w:t>≥620mm；前臂长度：≥430mm</w:t>
            </w:r>
            <w:r>
              <w:rPr>
                <w:sz w:val="21"/>
              </w:rPr>
              <w:t>；</w:t>
            </w:r>
          </w:p>
          <w:p>
            <w:pPr>
              <w:jc w:val="left"/>
            </w:pPr>
            <w:r>
              <w:rPr>
                <w:sz w:val="21"/>
              </w:rPr>
              <w:t>9.</w:t>
            </w:r>
            <w:r>
              <w:rPr>
                <w:sz w:val="21"/>
              </w:rPr>
              <w:t>设备功率：</w:t>
            </w:r>
            <w:r>
              <w:rPr>
                <w:sz w:val="21"/>
              </w:rPr>
              <w:t>≤600W</w:t>
            </w:r>
            <w:r>
              <w:rPr>
                <w:sz w:val="21"/>
              </w:rPr>
              <w:t>；</w:t>
            </w:r>
          </w:p>
          <w:p>
            <w:pPr>
              <w:jc w:val="left"/>
            </w:pPr>
            <w:r>
              <w:rPr>
                <w:sz w:val="21"/>
              </w:rPr>
              <w:t>10.</w:t>
            </w:r>
            <w:r>
              <w:rPr>
                <w:sz w:val="21"/>
              </w:rPr>
              <w:t>显示器</w:t>
            </w:r>
            <w:r>
              <w:rPr>
                <w:sz w:val="21"/>
              </w:rPr>
              <w:t>≥43寸，有USB、HDMI扩展接口</w:t>
            </w:r>
            <w:r>
              <w:rPr>
                <w:sz w:val="21"/>
              </w:rPr>
              <w:t>；</w:t>
            </w:r>
          </w:p>
          <w:p>
            <w:pPr>
              <w:jc w:val="left"/>
            </w:pPr>
            <w:r>
              <w:rPr>
                <w:sz w:val="21"/>
              </w:rPr>
              <w:t>11.</w:t>
            </w:r>
            <w:r>
              <w:rPr>
                <w:sz w:val="21"/>
              </w:rPr>
              <w:t>工作站配置：处理器同等或优于</w:t>
            </w:r>
            <w:r>
              <w:rPr>
                <w:sz w:val="21"/>
              </w:rPr>
              <w:t>Intel i5；内存≥8G；硬盘SSD≥250G</w:t>
            </w:r>
            <w:r>
              <w:rPr>
                <w:sz w:val="21"/>
              </w:rPr>
              <w:t>；</w:t>
            </w:r>
          </w:p>
          <w:p>
            <w:pPr>
              <w:jc w:val="left"/>
            </w:pPr>
            <w:r>
              <w:rPr>
                <w:sz w:val="21"/>
              </w:rPr>
              <w:t>12.</w:t>
            </w:r>
            <w:r>
              <w:rPr>
                <w:sz w:val="21"/>
              </w:rPr>
              <w:t>训练模式：三维运动方向，可提供主动模式，被动模式，助力模式，抗阻模式，限制运动方向的主动模式（可完成空间、平面和轴向三种模式），限制运动方向的被动模式（可完成空间、平面和轴向三种模式）</w:t>
            </w:r>
            <w:r>
              <w:rPr>
                <w:sz w:val="21"/>
              </w:rPr>
              <w:t>；</w:t>
            </w:r>
          </w:p>
          <w:p>
            <w:pPr>
              <w:jc w:val="left"/>
            </w:pPr>
            <w:r>
              <w:rPr>
                <w:sz w:val="21"/>
              </w:rPr>
              <w:t>13.</w:t>
            </w:r>
            <w:r>
              <w:rPr>
                <w:sz w:val="21"/>
              </w:rPr>
              <w:t>减重辅助：</w:t>
            </w:r>
            <w:r>
              <w:rPr>
                <w:sz w:val="21"/>
              </w:rPr>
              <w:t>0.0kg～4.0kg，调整精度≤0.2kg</w:t>
            </w:r>
            <w:r>
              <w:rPr>
                <w:sz w:val="21"/>
              </w:rPr>
              <w:t>；</w:t>
            </w:r>
          </w:p>
          <w:p>
            <w:pPr>
              <w:jc w:val="left"/>
            </w:pPr>
            <w:r>
              <w:rPr>
                <w:sz w:val="21"/>
              </w:rPr>
              <w:t>14.</w:t>
            </w:r>
            <w:r>
              <w:rPr>
                <w:sz w:val="21"/>
              </w:rPr>
              <w:t>训练游戏：提供</w:t>
            </w:r>
            <w:r>
              <w:rPr>
                <w:sz w:val="21"/>
              </w:rPr>
              <w:t>9款以上情景互动训练游戏，提供患者沿矢状轴、冠状轴、垂直轴、冠状面、水平面方向的训练游戏，并可通过目标位置悬停、震动反馈等方式训练本体感觉</w:t>
            </w:r>
            <w:r>
              <w:rPr>
                <w:sz w:val="21"/>
              </w:rPr>
              <w:t>；</w:t>
            </w:r>
          </w:p>
          <w:p>
            <w:pPr>
              <w:jc w:val="left"/>
            </w:pPr>
            <w:r>
              <w:rPr>
                <w:sz w:val="21"/>
              </w:rPr>
              <w:t>15.</w:t>
            </w:r>
            <w:r>
              <w:rPr>
                <w:sz w:val="21"/>
              </w:rPr>
              <w:t>内置具有传统中医训练疗法</w:t>
            </w:r>
            <w:r>
              <w:rPr>
                <w:sz w:val="21"/>
              </w:rPr>
              <w:t>：</w:t>
            </w:r>
            <w:r>
              <w:rPr>
                <w:sz w:val="21"/>
              </w:rPr>
              <w:t>太极云手训练</w:t>
            </w:r>
            <w:r>
              <w:rPr>
                <w:sz w:val="21"/>
              </w:rPr>
              <w:t>；</w:t>
            </w:r>
          </w:p>
          <w:p>
            <w:pPr>
              <w:jc w:val="left"/>
            </w:pPr>
            <w:r>
              <w:rPr>
                <w:sz w:val="21"/>
              </w:rPr>
              <w:t>▲</w:t>
            </w:r>
            <w:r>
              <w:rPr>
                <w:sz w:val="21"/>
              </w:rPr>
              <w:t>16.</w:t>
            </w:r>
            <w:r>
              <w:rPr>
                <w:sz w:val="21"/>
              </w:rPr>
              <w:t>设备可左右侧切换，并通过软件可自动识别左右患侧设置</w:t>
            </w:r>
            <w:r>
              <w:rPr>
                <w:sz w:val="21"/>
              </w:rPr>
              <w:t>；</w:t>
            </w:r>
          </w:p>
          <w:p>
            <w:pPr>
              <w:jc w:val="left"/>
            </w:pPr>
            <w:r>
              <w:rPr>
                <w:sz w:val="21"/>
              </w:rPr>
              <w:t>17.</w:t>
            </w:r>
            <w:r>
              <w:rPr>
                <w:sz w:val="21"/>
              </w:rPr>
              <w:t>评估功能：肌肉力量评估、关节活动度评估、肩关节内收外展度评估，肩关节前屈度评估，肘关节屈曲度评估，尺桡关节旋前旋后度评估等</w:t>
            </w:r>
            <w:r>
              <w:rPr>
                <w:sz w:val="21"/>
              </w:rPr>
              <w:t>；</w:t>
            </w:r>
          </w:p>
          <w:p>
            <w:pPr>
              <w:jc w:val="left"/>
            </w:pPr>
            <w:r>
              <w:rPr>
                <w:sz w:val="21"/>
              </w:rPr>
              <w:t>18.</w:t>
            </w:r>
            <w:r>
              <w:rPr>
                <w:sz w:val="21"/>
              </w:rPr>
              <w:t>报告功能：一键查看并生成病例报告，包含主动运动评分、治疗时间、</w:t>
            </w:r>
            <w:r>
              <w:rPr>
                <w:sz w:val="21"/>
              </w:rPr>
              <w:t>ROM以及肌力等评估数据</w:t>
            </w:r>
            <w:r>
              <w:rPr>
                <w:sz w:val="21"/>
              </w:rPr>
              <w:t>；</w:t>
            </w:r>
          </w:p>
          <w:p>
            <w:pPr>
              <w:jc w:val="left"/>
            </w:pPr>
            <w:r>
              <w:rPr>
                <w:sz w:val="21"/>
              </w:rPr>
              <w:t>19.</w:t>
            </w:r>
            <w:r>
              <w:rPr>
                <w:sz w:val="21"/>
              </w:rPr>
              <w:t>数据库管理：自动采集并且储存患者在评估与治疗中的数据，具备实时管理患者信息的数据库，提供新增、删除、修改等功能</w:t>
            </w:r>
            <w:r>
              <w:rPr>
                <w:sz w:val="21"/>
              </w:rPr>
              <w:t>；</w:t>
            </w:r>
          </w:p>
          <w:p>
            <w:pPr>
              <w:jc w:val="left"/>
            </w:pPr>
            <w:r>
              <w:rPr>
                <w:sz w:val="21"/>
              </w:rPr>
              <w:t>20.</w:t>
            </w:r>
            <w:r>
              <w:rPr>
                <w:sz w:val="21"/>
              </w:rPr>
              <w:t>安全检测：系统实时检测，当活动轨迹超出预设置运动轨迹或外力施加于机器臂的力突破安全限值时，系统将停止助力功能</w:t>
            </w:r>
            <w:r>
              <w:rPr>
                <w:sz w:val="21"/>
              </w:rPr>
              <w:t>；</w:t>
            </w:r>
          </w:p>
          <w:p>
            <w:pPr>
              <w:jc w:val="left"/>
            </w:pPr>
            <w:r>
              <w:rPr>
                <w:sz w:val="21"/>
              </w:rPr>
              <w:t>21.</w:t>
            </w:r>
            <w:r>
              <w:rPr>
                <w:sz w:val="21"/>
              </w:rPr>
              <w:t>扩展性：可通过持续的软件升级，获得更新的训练模式和训练游戏内容</w:t>
            </w:r>
            <w:r>
              <w:rPr>
                <w:sz w:val="21"/>
              </w:rPr>
              <w:t>；</w:t>
            </w:r>
          </w:p>
          <w:p>
            <w:pPr>
              <w:jc w:val="both"/>
            </w:pPr>
            <w:r>
              <w:rPr>
                <w:sz w:val="21"/>
              </w:rPr>
              <w:t>22.</w:t>
            </w:r>
            <w:r>
              <w:rPr>
                <w:sz w:val="21"/>
              </w:rPr>
              <w:t>设备保修期：</w:t>
            </w:r>
            <w:r>
              <w:rPr>
                <w:sz w:val="21"/>
              </w:rPr>
              <w:t>≥</w:t>
            </w:r>
            <w:r>
              <w:rPr>
                <w:sz w:val="21"/>
              </w:rPr>
              <w:t>3年</w:t>
            </w:r>
            <w:r>
              <w:rPr>
                <w:sz w:val="21"/>
              </w:rPr>
              <w:t>。</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汕头大学医学院第一附属医院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6</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p>
            <w:r>
              <w:rPr/>
              <w:t>采购包3：综合评分法</w:t>
            </w:r>
          </w:p>
          <w:p>
            <w:r>
              <w:rPr/>
              <w:t>采购包4：综合评分法</w:t>
            </w:r>
          </w:p>
          <w:p>
            <w:r>
              <w:rPr/>
              <w:t>采购包5：综合评分法</w:t>
            </w:r>
          </w:p>
          <w:p>
            <w:r>
              <w:rPr/>
              <w:t>采购包6：综合评分法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p/>
          <w:p>
            <w:r>
              <w:rPr/>
              <w:t>采购包3：总价</w:t>
            </w:r>
          </w:p>
          <w:p/>
          <w:p>
            <w:r>
              <w:rPr/>
              <w:t>采购包4：总价</w:t>
            </w:r>
          </w:p>
          <w:p/>
          <w:p>
            <w:r>
              <w:rPr/>
              <w:t>采购包5：总价</w:t>
            </w:r>
          </w:p>
          <w:p/>
          <w:p>
            <w:r>
              <w:rPr/>
              <w:t>采购包6：总价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r>
              <w:rPr/>
              <w:t>采购包3：保证金人民币：0.00元整。</w:t>
            </w:r>
            <w:r>
              <w:rPr/>
              <w:t>采购包4：保证金人民币：0.00元整。</w:t>
            </w:r>
            <w:r>
              <w:rPr/>
              <w:t>采购包5：保证金人民币：0.00元整。</w:t>
            </w:r>
            <w:r>
              <w:rPr/>
              <w:t>采购包6：保证金人民币：0.00元整。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2家</w:t>
            </w:r>
          </w:p>
          <w:p>
            <w:r>
              <w:rPr/>
              <w:t>采购包3：</w:t>
            </w:r>
            <w:r>
              <w:rPr/>
              <w:t>2家</w:t>
            </w:r>
          </w:p>
          <w:p>
            <w:r>
              <w:rPr/>
              <w:t>采购包4：</w:t>
            </w:r>
            <w:r>
              <w:rPr/>
              <w:t>2家</w:t>
            </w:r>
          </w:p>
          <w:p>
            <w:r>
              <w:rPr/>
              <w:t>采购包5：</w:t>
            </w:r>
            <w:r>
              <w:rPr/>
              <w:t>2家</w:t>
            </w:r>
          </w:p>
          <w:p>
            <w:r>
              <w:rPr/>
              <w:t>采购包6：</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r>
              <w:rPr/>
              <w:t>采购包3：</w:t>
            </w:r>
            <w:r>
              <w:rPr/>
              <w:t>1家</w:t>
            </w:r>
          </w:p>
          <w:p>
            <w:r>
              <w:rPr/>
              <w:t>采购包4：</w:t>
            </w:r>
            <w:r>
              <w:rPr/>
              <w:t>1家</w:t>
            </w:r>
          </w:p>
          <w:p>
            <w:r>
              <w:rPr/>
              <w:t>采购包5：</w:t>
            </w:r>
            <w:r>
              <w:rPr/>
              <w:t>1家</w:t>
            </w:r>
          </w:p>
          <w:p>
            <w:r>
              <w:rPr/>
              <w:t>采购包6：</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Pr>
              <w:jc w:val="left"/>
            </w:pPr>
          </w:p>
          <w:p>
            <w:r>
              <w:rPr/>
              <w:t>采购包3：3家</w:t>
            </w:r>
          </w:p>
          <w:p>
            <w:pPr>
              <w:jc w:val="left"/>
            </w:pPr>
          </w:p>
          <w:p>
            <w:r>
              <w:rPr/>
              <w:t>采购包4：3家</w:t>
            </w:r>
          </w:p>
          <w:p>
            <w:pPr>
              <w:jc w:val="left"/>
            </w:pPr>
          </w:p>
          <w:p>
            <w:r>
              <w:rPr/>
              <w:t>采购包5：3家</w:t>
            </w:r>
          </w:p>
          <w:p>
            <w:pPr>
              <w:jc w:val="left"/>
            </w:pPr>
          </w:p>
          <w:p>
            <w:r>
              <w:rPr/>
              <w:t>采购包6：3家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无：本项目兼投兼中。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采购机构代理服务收费标准：本项目的招标代理服务费收费标准参照广东省物价局粤价函〔2013〕1233号规定的收费标准下浮20%，以各采购包中标金额为计算基数按差额定率累进法向中标人收取服务费。</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p>
            <w:pPr>
              <w:jc w:val="left"/>
            </w:pPr>
            <w:r>
              <w:rPr/>
              <w:t>采购包2：面向中小企业，采购包专门预留</w:t>
            </w:r>
          </w:p>
          <w:p>
            <w:pPr>
              <w:jc w:val="left"/>
            </w:pPr>
            <w:r>
              <w:rPr/>
              <w:t>采购包3：面向中小企业，采购包专门预留</w:t>
            </w:r>
          </w:p>
          <w:p>
            <w:pPr>
              <w:jc w:val="left"/>
            </w:pPr>
            <w:r>
              <w:rPr/>
              <w:t>采购包4：面向中小企业，采购包专门预留</w:t>
            </w:r>
          </w:p>
          <w:p>
            <w:pPr>
              <w:jc w:val="left"/>
            </w:pPr>
            <w:r>
              <w:rPr/>
              <w:t>采购包5：面向中小企业，采购包专门预留</w:t>
            </w:r>
          </w:p>
          <w:p>
            <w:pPr>
              <w:jc w:val="left"/>
            </w:pPr>
            <w:r>
              <w:rPr/>
              <w:t>采购包6：面向中小企业，采购包专门预留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郑淇筠、梁思瑶</w:t>
      </w:r>
    </w:p>
    <w:p>
      <w:pPr>
        <w:ind w:firstLine="480"/>
      </w:pPr>
      <w:r>
        <w:rPr/>
        <w:t>电话：</w:t>
      </w:r>
      <w:r>
        <w:rPr/>
        <w:t>0754-87230486、020-87687817</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采购包1(磁刺激治疗仪等一批设备)：综合评分法,是指投标文件满足招标文件全部实质性要求，且按照评审因素的量化指标评审得分最高的投标人为中标候选人的评标方法。（最低报价不是中标的唯一依据。）</w:t>
      </w:r>
    </w:p>
    <w:p/>
    <w:p>
      <w:r>
        <w:rPr/>
        <w:t>采购包2(体外冲击波治疗仪)：综合评分法,是指投标文件满足招标文件全部实质性要求，且按照评审因素的量化指标评审得分最高的投标人为中标候选人的评标方法。（最低报价不是中标的唯一依据。）</w:t>
      </w:r>
    </w:p>
    <w:p/>
    <w:p>
      <w:r>
        <w:rPr/>
        <w:t>采购包3(语言障碍康复评估训练系统等一批设备)：综合评分法,是指投标文件满足招标文件全部实质性要求，且按照评审因素的量化指标评审得分最高的投标人为中标候选人的评标方法。（最低报价不是中标的唯一依据。）</w:t>
      </w:r>
    </w:p>
    <w:p/>
    <w:p>
      <w:r>
        <w:rPr/>
        <w:t>采购包4(变频便携式体外膈肌起搏器)：综合评分法,是指投标文件满足招标文件全部实质性要求，且按照评审因素的量化指标评审得分最高的投标人为中标候选人的评标方法。（最低报价不是中标的唯一依据。）</w:t>
      </w:r>
    </w:p>
    <w:p/>
    <w:p>
      <w:r>
        <w:rPr/>
        <w:t>采购包5(磁振热治疗仪)：综合评分法,是指投标文件满足招标文件全部实质性要求，且按照评审因素的量化指标评审得分最高的投标人为中标候选人的评标方法。（最低报价不是中标的唯一依据。）</w:t>
      </w:r>
    </w:p>
    <w:p/>
    <w:p>
      <w:r>
        <w:rPr/>
        <w:t>采购包6(上肢智能反馈训练系统)：综合评分法,是指投标文件满足招标文件全部实质性要求，且按照评审因素的量化指标评审得分最高的投标人为中标候选人的评标方法。（最低报价不是中标的唯一依据。）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采购包1（磁刺激治疗仪等一批设备）：</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采购包2（体外冲击波治疗仪）：</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采购包3（语言障碍康复评估训练系统等一批设备）：</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采购包4（变频便携式体外膈肌起搏器）：</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采购包5（磁振热治疗仪）：</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采购包6（上肢智能反馈训练系统）：</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采购包1（磁刺激治疗仪等一批设备）：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供应商必须具有良好的商业信誉和健全的财务会计制度（提供2022年度财务状况报告或2023年至今任意1个月的财务状况报告复印件或基本开户行出具的资信证明）。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提供书面承诺声明函（格式自拟）或具有履行合同所必须的设备和专业技术能力的其他证明材料。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为本项目提供整体设计、规范编制或者项目管理、监理、检测等服务的供应商，不得再参与本项目投标。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采购包整体专门面向中小企业，全部货物须由中小微企业或监狱企业或残疾人福利性单位制造。</w:t>
            </w:r>
          </w:p>
        </w:tc>
      </w:tr>
    </w:tbl>
    <w:p/>
    <w:p>
      <w:r>
        <w:rPr/>
        <w:t>采购包2（体外冲击波治疗仪）：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供应商必须具有良好的商业信誉和健全的财务会计制度（提供2022年度财务状况报告或2023年至今任意1个月的财务状况报告复印件或基本开户行出具的资信证明）。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提供书面承诺声明函（格式自拟）或具有履行合同所必须的设备和专业技术能力的其他证明材料。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为本项目提供整体设计、规范编制或者项目管理、监理、检测等服务的供应商，不得再参与本项目投标。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采购包整体专门面向中小企业，全部货物须由中小微企业或监狱企业或残疾人福利性单位制造。</w:t>
            </w:r>
          </w:p>
        </w:tc>
      </w:tr>
    </w:tbl>
    <w:p/>
    <w:p>
      <w:r>
        <w:rPr/>
        <w:t>采购包3（语言障碍康复评估训练系统等一批设备）：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供应商必须具有良好的商业信誉和健全的财务会计制度（提供2022年度财务状况报告或2023年至今任意1个月的财务状况报告复印件或基本开户行出具的资信证明）。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提供书面承诺声明函（格式自拟）或具有履行合同所必须的设备和专业技术能力的其他证明材料。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为本项目提供整体设计、规范编制或者项目管理、监理、检测等服务的供应商，不得再参与本项目投标。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采购包整体专门面向中小企业，全部货物须由中小微企业或监狱企业或残疾人福利性单位制造。</w:t>
            </w:r>
          </w:p>
        </w:tc>
      </w:tr>
    </w:tbl>
    <w:p/>
    <w:p>
      <w:r>
        <w:rPr/>
        <w:t>采购包4（变频便携式体外膈肌起搏器）：</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供应商必须具有良好的商业信誉和健全的财务会计制度（提供2022年度财务状况报告或2023年至今任意1个月的财务状况报告复印件或基本开户行出具的资信证明）。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提供书面承诺声明函（格式自拟）或具有履行合同所必须的设备和专业技术能力的其他证明材料。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为本项目提供整体设计、规范编制或者项目管理、监理、检测等服务的供应商，不得再参与本项目投标。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采购包整体专门面向中小企业，全部货物须由中小微企业或监狱企业或残疾人福利性单位制造。</w:t>
            </w:r>
          </w:p>
        </w:tc>
      </w:tr>
    </w:tbl>
    <w:p/>
    <w:p>
      <w:r>
        <w:rPr/>
        <w:t>采购包5（磁振热治疗仪）：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供应商必须具有良好的商业信誉和健全的财务会计制度（提供2022年度财务状况报告或2023年至今任意1个月的财务状况报告复印件或基本开户行出具的资信证明）。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提供书面承诺声明函（格式自拟）或具有履行合同所必须的设备和专业技术能力的其他证明材料。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为本项目提供整体设计、规范编制或者项目管理、监理、检测等服务的供应商，不得再参与本项目投标。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采购包整体专门面向中小企业，全部货物须由中小微企业或监狱企业或残疾人福利性单位制造。</w:t>
            </w:r>
          </w:p>
        </w:tc>
      </w:tr>
    </w:tbl>
    <w:p/>
    <w:p>
      <w:r>
        <w:rPr/>
        <w:t>采购包6（上肢智能反馈训练系统）：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供应商必须具有良好的商业信誉和健全的财务会计制度（提供2022年度财务状况报告或2023年至今任意1个月的财务状况报告复印件或基本开户行出具的资信证明）。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提供书面承诺声明函（格式自拟）或具有履行合同所必须的设备和专业技术能力的其他证明材料。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为本项目提供整体设计、规范编制或者项目管理、监理、检测等服务的供应商，不得再参与本项目投标。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采购包整体专门面向中小企业，全部货物须由中小微企业或监狱企业或残疾人福利性单位制造。</w:t>
            </w:r>
          </w:p>
        </w:tc>
      </w:tr>
    </w:tbl>
    <w:p/>
    <w:p>
      <w:pPr>
        <w:ind w:firstLine="480"/>
      </w:pPr>
      <w:r>
        <w:rPr/>
        <w:t>表二符合性审查表：</w:t>
      </w:r>
    </w:p>
    <w:p>
      <w:pPr>
        <w:ind w:firstLine="480"/>
      </w:pPr>
    </w:p>
    <w:p/>
    <w:p>
      <w:r>
        <w:rPr/>
        <w:t>采购包1（磁刺激治疗仪等一批设备）：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投标报价是固定价且未超过本项目各采购包采购预算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t>采购包2（体外冲击波治疗仪）：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投标报价是固定价且未超过本项目各采购包采购预算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t>采购包3（语言障碍康复评估训练系统等一批设备）：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投标报价是固定价且未超过本项目各采购包采购预算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t>采购包4（变频便携式体外膈肌起搏器）：</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投标报价是固定价且未超过本项目各采购包采购预算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t>采购包5（磁振热治疗仪）：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投标报价是固定价且未超过本项目各采购包采购预算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t>采购包6（上肢智能反馈训练系统）：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投标报价是固定价且未超过本项目各采购包采购预算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采购包1(磁刺激治疗仪等一批设备):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带“▲”技术要求响应程度 (21.5分)</w:t>
            </w:r>
          </w:p>
        </w:tc>
        <w:tc>
          <w:tcPr>
            <w:tcW w:type="dxa" w:w="5076"/>
          </w:tcPr>
          <w:p>
            <w:pPr>
              <w:jc w:val="left"/>
            </w:pPr>
            <w:r>
              <w:rPr/>
              <w:t>“技术标准与要求”中所有带“▲”条款（共43项）完全响应或正偏离的，得21.5分；每有一项未响应或负偏离的扣0.5分。 注：如招标文件中有明确提供的证明资料的，则以招标文件中要求的为准，无或未按要求提供证明材料的不得分；如招标文件中无明确提供的证明资料，以投标人须提供投标产品彩页或相应技术参数的厂家技术白皮书或使用说明书或质量认可材料或第三方机构出具的检测报告等作为技术证明文件，否则评标委员会有权视相应技术参数响应为负偏离，不提供或资料不全的均不得分。</w:t>
            </w:r>
          </w:p>
        </w:tc>
      </w:tr>
      <w:tr>
        <w:tc>
          <w:tcPr>
            <w:tcW w:type="dxa" w:w="922"/>
            <w:gridSpan w:val="2"/>
            <w:vMerge/>
          </w:tcPr>
          <w:p/>
        </w:tc>
        <w:tc>
          <w:tcPr>
            <w:tcW w:type="dxa" w:w="2307"/>
          </w:tcPr>
          <w:p>
            <w:pPr>
              <w:jc w:val="left"/>
            </w:pPr>
            <w:r>
              <w:rPr/>
              <w:t>一般技术要求响应程度 (13.0分)</w:t>
            </w:r>
          </w:p>
        </w:tc>
        <w:tc>
          <w:tcPr>
            <w:tcW w:type="dxa" w:w="5076"/>
          </w:tcPr>
          <w:p>
            <w:pPr>
              <w:jc w:val="left"/>
            </w:pPr>
            <w:r>
              <w:rPr/>
              <w:t>序号1-1至1-13设备中一般技术参数条款（“技术标准与要求”中除“★”及“▲”之外的条款），只要有一条（或以上）负偏离或不满足，则对应设备“一般技术要求响应程度”不得分。每有一种设备完全满足所有一般技术参数条款的，得1分，本小点最高得13分。</w:t>
            </w:r>
          </w:p>
        </w:tc>
      </w:tr>
      <w:tr>
        <w:tc>
          <w:tcPr>
            <w:tcW w:type="dxa" w:w="922"/>
            <w:gridSpan w:val="2"/>
            <w:vMerge/>
          </w:tcPr>
          <w:p/>
        </w:tc>
        <w:tc>
          <w:tcPr>
            <w:tcW w:type="dxa" w:w="2307"/>
          </w:tcPr>
          <w:p>
            <w:pPr>
              <w:jc w:val="left"/>
            </w:pPr>
            <w:r>
              <w:rPr/>
              <w:t>质量保障措施方案（一） (4.0分)</w:t>
            </w:r>
          </w:p>
        </w:tc>
        <w:tc>
          <w:tcPr>
            <w:tcW w:type="dxa" w:w="5076"/>
          </w:tcPr>
          <w:p>
            <w:pPr>
              <w:jc w:val="left"/>
            </w:pPr>
            <w:r>
              <w:rPr/>
              <w:t>评标委员会根据投标人提供的质量保障措施方案（一）进行评审，方案应包括以下环节（投标文件中方案标题应以下列方案名称命名）： (1)货物来源； (2)货物质量控制； (3)货物稳定性； (4)货物运输。 提供全部内容得4分，每缺1项扣1分。</w:t>
            </w:r>
          </w:p>
        </w:tc>
      </w:tr>
      <w:tr>
        <w:tc>
          <w:tcPr>
            <w:tcW w:type="dxa" w:w="922"/>
            <w:gridSpan w:val="2"/>
            <w:vMerge/>
          </w:tcPr>
          <w:p/>
        </w:tc>
        <w:tc>
          <w:tcPr>
            <w:tcW w:type="dxa" w:w="2307"/>
          </w:tcPr>
          <w:p>
            <w:pPr>
              <w:jc w:val="left"/>
            </w:pPr>
            <w:r>
              <w:rPr/>
              <w:t>质量保障措施方案（二） (9.5分)</w:t>
            </w:r>
          </w:p>
        </w:tc>
        <w:tc>
          <w:tcPr>
            <w:tcW w:type="dxa" w:w="5076"/>
          </w:tcPr>
          <w:p>
            <w:pPr>
              <w:jc w:val="left"/>
            </w:pPr>
            <w:r>
              <w:rPr/>
              <w:t>评标委员会根据投标人提供的项目质量保障措施方案（一）详细内容进行综合评审： （1）设备及耗材的质量保障措施对需求响应全面具体、针对项目全部重点难点全面剖析，能针对全部重点难点提出科学合理、可直接执行的实施方案，有效保障本项目实施，有利于实现服务效果，得9.5分； （2）设备及耗材的质量保障措施对需求响应全面具体，针对部分重点难点进剖析，并提出具备执行条件的针对措施，基本保障本项目服务实施，基本满足服务效果，得5分； （3）设备及耗材的质量保障措施对需求响应不全面，只针对少部分重点或难点问题进行解析或没有剖析项目重点难点问题，提出的措施没有针对性或难以施行的，无法保障本项目服务实施或难以服务效果，得1分； （4）不提供不得分。</w:t>
            </w:r>
          </w:p>
        </w:tc>
      </w:tr>
      <w:tr>
        <w:tc>
          <w:tcPr>
            <w:tcW w:type="dxa" w:w="922"/>
            <w:gridSpan w:val="2"/>
            <w:vMerge/>
          </w:tcPr>
          <w:p/>
        </w:tc>
        <w:tc>
          <w:tcPr>
            <w:tcW w:type="dxa" w:w="2307"/>
          </w:tcPr>
          <w:p>
            <w:pPr>
              <w:jc w:val="left"/>
            </w:pPr>
            <w:r>
              <w:rPr/>
              <w:t>售后服务方案（一） (3.0分)</w:t>
            </w:r>
          </w:p>
        </w:tc>
        <w:tc>
          <w:tcPr>
            <w:tcW w:type="dxa" w:w="5076"/>
          </w:tcPr>
          <w:p>
            <w:pPr>
              <w:jc w:val="left"/>
            </w:pPr>
            <w:r>
              <w:rPr/>
              <w:t>评标委员会根据投标人提供的售后服务方案进行评审，售后服务方案应包括（投标文件中方案标题应以下列方案名称命名）： (1)售后承诺及服务计划； (2)日常保养方案； (3)故障解决及应急方案。 提供全部内容得3分，每缺1项扣1分。</w:t>
            </w:r>
          </w:p>
        </w:tc>
      </w:tr>
      <w:tr>
        <w:tc>
          <w:tcPr>
            <w:tcW w:type="dxa" w:w="922"/>
            <w:gridSpan w:val="2"/>
            <w:vMerge/>
          </w:tcPr>
          <w:p/>
        </w:tc>
        <w:tc>
          <w:tcPr>
            <w:tcW w:type="dxa" w:w="2307"/>
          </w:tcPr>
          <w:p>
            <w:pPr>
              <w:jc w:val="left"/>
            </w:pPr>
            <w:r>
              <w:rPr/>
              <w:t>售后服务方案（二） (9.0分)</w:t>
            </w:r>
          </w:p>
        </w:tc>
        <w:tc>
          <w:tcPr>
            <w:tcW w:type="dxa" w:w="5076"/>
          </w:tcPr>
          <w:p>
            <w:pPr>
              <w:jc w:val="left"/>
            </w:pPr>
            <w:r>
              <w:rPr/>
              <w:t>评标委员会根据投标人提供售后服务方案（一）的详细内容进行综合评审： （1）售后服务方案对需求响应全面具体，针对实施难点及关键点全面剖析，提出方案全面具体，售后服务计划详细完备并配备完善的保障人员和预备人员，方案可直接全面执行的，有效保障本项目实施，有利于实现服务效果，得9分； （2）售后服务方案对需求响应全面具体，只针对实施的部分难点或部分关键点进行剖析，售后服务计划不完善或者配备人员不足，但方案仍具备一定执行性的，基本保障本项目服务实施，基本满足服务效果，得5分； （3）售后服务方案对需求响应不全面，对实施难点重点认识不清晰，售后服务计划差或者人员配备差的，或者方案难以执行的，无法保障本项目服务实施，达不到服务效果，得1分； （4）不提供得0分。</w:t>
            </w:r>
          </w:p>
        </w:tc>
      </w:tr>
      <w:tr>
        <w:tc>
          <w:tcPr>
            <w:tcW w:type="dxa" w:w="922"/>
            <w:gridSpan w:val="2"/>
            <w:vMerge w:val="restart"/>
          </w:tcPr>
          <w:p>
            <w:pPr>
              <w:jc w:val="center"/>
            </w:pPr>
            <w:r>
              <w:rPr/>
              <w:t>商务部分</w:t>
            </w:r>
          </w:p>
        </w:tc>
        <w:tc>
          <w:tcPr>
            <w:tcW w:type="dxa" w:w="2307"/>
          </w:tcPr>
          <w:p>
            <w:pPr>
              <w:jc w:val="left"/>
            </w:pPr>
            <w:r>
              <w:rPr/>
              <w:t>同类项目业绩 (4.0分)</w:t>
            </w:r>
          </w:p>
        </w:tc>
        <w:tc>
          <w:tcPr>
            <w:tcW w:type="dxa" w:w="5076"/>
          </w:tcPr>
          <w:p>
            <w:pPr>
              <w:jc w:val="left"/>
            </w:pPr>
            <w:r>
              <w:rPr/>
              <w:t>投标人自2020年1月1日至今承担的同类项目业绩：每具备一项同类项目业绩（同类业绩是指：含有本次采购内容的同类产品）得1分，以此类推，最高得4分。 注：需提供合同关键页（合同关键页必须有用户单位名称、合同项目名称、合同标的主要采购内容、签订合同双方的落款盖章、合同签订日期）复印件，以合同的签订日期为准，不提供或专家无法认定的不得分。</w:t>
            </w:r>
          </w:p>
        </w:tc>
      </w:tr>
      <w:tr>
        <w:tc>
          <w:tcPr>
            <w:tcW w:type="dxa" w:w="922"/>
            <w:gridSpan w:val="2"/>
            <w:vMerge/>
          </w:tcPr>
          <w:p/>
        </w:tc>
        <w:tc>
          <w:tcPr>
            <w:tcW w:type="dxa" w:w="2307"/>
          </w:tcPr>
          <w:p>
            <w:pPr>
              <w:jc w:val="left"/>
            </w:pPr>
            <w:r>
              <w:rPr/>
              <w:t>用户评价 (2.0分)</w:t>
            </w:r>
          </w:p>
        </w:tc>
        <w:tc>
          <w:tcPr>
            <w:tcW w:type="dxa" w:w="5076"/>
          </w:tcPr>
          <w:p>
            <w:pPr>
              <w:jc w:val="left"/>
            </w:pPr>
            <w:r>
              <w:rPr/>
              <w:t>投标人具有2020年1月1日至今的用户评价材料，每提供一份得0.5分；最高得2分。 注：（1）须提供用户评价材料复印件，评价材料必须达到90分或注明“满意”或“好评”或“优秀”等相关正面评价字眼；（2）评价材料必须与同类项目业绩相对应，否则不得分。</w:t>
            </w:r>
          </w:p>
        </w:tc>
      </w:tr>
      <w:tr>
        <w:tc>
          <w:tcPr>
            <w:tcW w:type="dxa" w:w="922"/>
            <w:gridSpan w:val="2"/>
            <w:vMerge/>
          </w:tcPr>
          <w:p/>
        </w:tc>
        <w:tc>
          <w:tcPr>
            <w:tcW w:type="dxa" w:w="2307"/>
          </w:tcPr>
          <w:p>
            <w:pPr>
              <w:jc w:val="left"/>
            </w:pPr>
            <w:r>
              <w:rPr/>
              <w:t>投标人认证 (4.0分)</w:t>
            </w:r>
          </w:p>
        </w:tc>
        <w:tc>
          <w:tcPr>
            <w:tcW w:type="dxa" w:w="5076"/>
          </w:tcPr>
          <w:p>
            <w:pPr>
              <w:jc w:val="left"/>
            </w:pPr>
            <w:r>
              <w:rPr/>
              <w:t>投标人具备以下认证： （1）质量管理体系认证证书； （2）环境管理体系认证证书； 注：以上证书须在有效期内，提供证书等证明材料复印件。每提供一份得2分，最高得4分（需提供证书复印件加盖供应商公章）。</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采购包2(体外冲击波治疗仪):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带“▲”技术要求响应程度 (25.0分)</w:t>
            </w:r>
          </w:p>
        </w:tc>
        <w:tc>
          <w:tcPr>
            <w:tcW w:type="dxa" w:w="5076"/>
          </w:tcPr>
          <w:p>
            <w:pPr>
              <w:jc w:val="left"/>
            </w:pPr>
            <w:r>
              <w:rPr/>
              <w:t>“技术标准与要求”中所有带“▲”条款（共5项）完全响应或正偏离的，得25分；每有一项未响应或负偏离的扣5分，本项最低扣至0分。 注：如招标文件中有明确提供的证明资料的，则以招标文件中要求的为准，无或未按要求提供证明材料的不得分；如招标文件中无明确提供的证明资料，以投标人须提供投标产品彩页或相应技术参数的厂家技术白皮书或使用说明书或质量认可材料或第三方机构出具的检测报告等作为技术证明文件，否则评标委员会有权视相应技术参数响应为负偏离，不提供或资料不全的均不得分。</w:t>
            </w:r>
          </w:p>
        </w:tc>
      </w:tr>
      <w:tr>
        <w:tc>
          <w:tcPr>
            <w:tcW w:type="dxa" w:w="922"/>
            <w:gridSpan w:val="2"/>
            <w:vMerge/>
          </w:tcPr>
          <w:p/>
        </w:tc>
        <w:tc>
          <w:tcPr>
            <w:tcW w:type="dxa" w:w="2307"/>
          </w:tcPr>
          <w:p>
            <w:pPr>
              <w:jc w:val="left"/>
            </w:pPr>
            <w:r>
              <w:rPr/>
              <w:t>一般技术要求响应程度 (6.0分)</w:t>
            </w:r>
          </w:p>
        </w:tc>
        <w:tc>
          <w:tcPr>
            <w:tcW w:type="dxa" w:w="5076"/>
          </w:tcPr>
          <w:p>
            <w:pPr>
              <w:jc w:val="left"/>
            </w:pPr>
            <w:r>
              <w:rPr/>
              <w:t>一般技术参数条款（“技术标准与要求”中除“★”及“▲”之外的条款） （共15项）每有一项满足要求得0.4分，最高6分。</w:t>
            </w:r>
          </w:p>
        </w:tc>
      </w:tr>
      <w:tr>
        <w:tc>
          <w:tcPr>
            <w:tcW w:type="dxa" w:w="922"/>
            <w:gridSpan w:val="2"/>
            <w:vMerge/>
          </w:tcPr>
          <w:p/>
        </w:tc>
        <w:tc>
          <w:tcPr>
            <w:tcW w:type="dxa" w:w="2307"/>
          </w:tcPr>
          <w:p>
            <w:pPr>
              <w:jc w:val="left"/>
            </w:pPr>
            <w:r>
              <w:rPr/>
              <w:t>所投货物配置、选型及设备配套耗材（一） (3.0分)</w:t>
            </w:r>
          </w:p>
        </w:tc>
        <w:tc>
          <w:tcPr>
            <w:tcW w:type="dxa" w:w="5076"/>
          </w:tcPr>
          <w:p>
            <w:pPr>
              <w:jc w:val="left"/>
            </w:pPr>
            <w:r>
              <w:rPr/>
              <w:t>评标委员会根据投标人提供的所投货物配置、选型及设备配套耗材（一）进行评审，方案应包括以下环节（投标文件中方案标题应以下列方案名称命名）： (1)货物配置清单； (2)货物选型介绍； (3)设备配套耗材清单、报价及技术参数。 提供全部内容得3分，每缺1项扣1分。</w:t>
            </w:r>
          </w:p>
        </w:tc>
      </w:tr>
      <w:tr>
        <w:tc>
          <w:tcPr>
            <w:tcW w:type="dxa" w:w="922"/>
            <w:gridSpan w:val="2"/>
            <w:vMerge/>
          </w:tcPr>
          <w:p/>
        </w:tc>
        <w:tc>
          <w:tcPr>
            <w:tcW w:type="dxa" w:w="2307"/>
          </w:tcPr>
          <w:p>
            <w:pPr>
              <w:jc w:val="left"/>
            </w:pPr>
            <w:r>
              <w:rPr/>
              <w:t>所投货物配置、选型及设备配套耗材（二） (7.0分)</w:t>
            </w:r>
          </w:p>
        </w:tc>
        <w:tc>
          <w:tcPr>
            <w:tcW w:type="dxa" w:w="5076"/>
          </w:tcPr>
          <w:p>
            <w:pPr>
              <w:jc w:val="left"/>
            </w:pPr>
            <w:r>
              <w:rPr/>
              <w:t>评标委员会根据投标人提供的所投货物配置、选型及设备配套耗材（一）详细内容进行综合评审： （1）投标人所投货物配置、选型合理性高，可靠性强，设备配套耗材的种类丰富，耗材报价合理，具有竞争力，得7分； （2）投标人所投货物配置、选型合理，具有一定的可靠性，设备配套耗材的种类普通，耗材报价基本合理，得4分； （3）投标人所投货物配置、选型存在一定缺陷，可靠性一般，设备配套耗材的种类少，耗材报价合理性低，得1分。</w:t>
            </w:r>
          </w:p>
        </w:tc>
      </w:tr>
      <w:tr>
        <w:tc>
          <w:tcPr>
            <w:tcW w:type="dxa" w:w="922"/>
            <w:gridSpan w:val="2"/>
            <w:vMerge/>
          </w:tcPr>
          <w:p/>
        </w:tc>
        <w:tc>
          <w:tcPr>
            <w:tcW w:type="dxa" w:w="2307"/>
          </w:tcPr>
          <w:p>
            <w:pPr>
              <w:jc w:val="left"/>
            </w:pPr>
            <w:r>
              <w:rPr/>
              <w:t>质量保障措施方案（一） (4.0分)</w:t>
            </w:r>
          </w:p>
        </w:tc>
        <w:tc>
          <w:tcPr>
            <w:tcW w:type="dxa" w:w="5076"/>
          </w:tcPr>
          <w:p>
            <w:pPr>
              <w:jc w:val="left"/>
            </w:pPr>
            <w:r>
              <w:rPr/>
              <w:t>评标委员会根据投标人提供的质量保障措施方案（一）进行评审，方案应包括以下环节（投标文件中方案标题应以下列方案名称命名）： (1)货物来源； (2)货物质量控制； (3)货物稳定性； (4)货物运输。 提供全部内容得4分，每缺1项扣1分。</w:t>
            </w:r>
          </w:p>
        </w:tc>
      </w:tr>
      <w:tr>
        <w:tc>
          <w:tcPr>
            <w:tcW w:type="dxa" w:w="922"/>
            <w:gridSpan w:val="2"/>
            <w:vMerge/>
          </w:tcPr>
          <w:p/>
        </w:tc>
        <w:tc>
          <w:tcPr>
            <w:tcW w:type="dxa" w:w="2307"/>
          </w:tcPr>
          <w:p>
            <w:pPr>
              <w:jc w:val="left"/>
            </w:pPr>
            <w:r>
              <w:rPr/>
              <w:t>质量保障措施方案（二） (6.0分)</w:t>
            </w:r>
          </w:p>
        </w:tc>
        <w:tc>
          <w:tcPr>
            <w:tcW w:type="dxa" w:w="5076"/>
          </w:tcPr>
          <w:p>
            <w:pPr>
              <w:jc w:val="left"/>
            </w:pPr>
            <w:r>
              <w:rPr/>
              <w:t>评标委员会根据投标人提供的项目质量保障措施方案（一）详细内容进行综合评审： （1）质量保障措施对需求响应全面具体、针对项目全部重点难点全面剖析，能针对全部重点难点提出科学合理、可直接执行的实施方案，有效保障本项目实施，有利于实现服务效果，得6分； （2）质量保障措施对需求响应全面具体，针对部分重点难点进剖析，并提出具备执行条件的针对措施，基本保障本项目服务实施，基本满足服务效果，得3分； （3）质量保障措施对需求响应不全面，只针对少部分重点或难点问题进行解析或没有剖析项目重点难点问题，提出的措施没有针对性或难以施行的，无法保障本项目服务实施或难以服务效果，得1分； （4）不提供不得分。</w:t>
            </w:r>
          </w:p>
        </w:tc>
      </w:tr>
      <w:tr>
        <w:tc>
          <w:tcPr>
            <w:tcW w:type="dxa" w:w="922"/>
            <w:gridSpan w:val="2"/>
            <w:vMerge/>
          </w:tcPr>
          <w:p/>
        </w:tc>
        <w:tc>
          <w:tcPr>
            <w:tcW w:type="dxa" w:w="2307"/>
          </w:tcPr>
          <w:p>
            <w:pPr>
              <w:jc w:val="left"/>
            </w:pPr>
            <w:r>
              <w:rPr/>
              <w:t>售后服务方案（一） (3.0分)</w:t>
            </w:r>
          </w:p>
        </w:tc>
        <w:tc>
          <w:tcPr>
            <w:tcW w:type="dxa" w:w="5076"/>
          </w:tcPr>
          <w:p>
            <w:pPr>
              <w:jc w:val="left"/>
            </w:pPr>
            <w:r>
              <w:rPr/>
              <w:t>评标委员会根据投标人提供的售后服务方案进行评审，售后服务方案应包括（投标文件中方案标题应以下列方案名称命名）： (1)售后承诺及服务计划； (2)日常保养方案； (3)故障解决及应急方案。 提供全部内容得3分，每缺1项扣1分。</w:t>
            </w:r>
          </w:p>
        </w:tc>
      </w:tr>
      <w:tr>
        <w:tc>
          <w:tcPr>
            <w:tcW w:type="dxa" w:w="922"/>
            <w:gridSpan w:val="2"/>
            <w:vMerge/>
          </w:tcPr>
          <w:p/>
        </w:tc>
        <w:tc>
          <w:tcPr>
            <w:tcW w:type="dxa" w:w="2307"/>
          </w:tcPr>
          <w:p>
            <w:pPr>
              <w:jc w:val="left"/>
            </w:pPr>
            <w:r>
              <w:rPr/>
              <w:t>售后服务方案（二） (6.0分)</w:t>
            </w:r>
          </w:p>
        </w:tc>
        <w:tc>
          <w:tcPr>
            <w:tcW w:type="dxa" w:w="5076"/>
          </w:tcPr>
          <w:p>
            <w:pPr>
              <w:jc w:val="left"/>
            </w:pPr>
            <w:r>
              <w:rPr/>
              <w:t>评标委员会根据投标人提供售后服务方案（一）的详细内容进行综合评审： （1）售后服务方案对需求响应全面具体，针对实施难点及关键点全面剖析，提出方案全面具体，售后服务计划详细完备并配备完善的保障人员和预备人员，方案可直接全面执行的，有效保障本项目实施，有利于实现服务效果，得6分； （2）售后服务方案对需求响应全面具体，只针对实施的部分难点或部分关键点进行剖析，售后服务计划不完善或者配备人员不足，但方案仍具备一定执行性的，基本保障本项目服务实施，基本满足服务效果，得3分； （3）售后服务方案对需求响应不全面，对实施难点重点认识不清晰，售后服务计划差或者人员配备差的，或者方案难以执行的，无法保障本项目服务实施，达不到服务效果，得1分； （4）不提供得0分。</w:t>
            </w:r>
          </w:p>
        </w:tc>
      </w:tr>
      <w:tr>
        <w:tc>
          <w:tcPr>
            <w:tcW w:type="dxa" w:w="922"/>
            <w:gridSpan w:val="2"/>
            <w:vMerge w:val="restart"/>
          </w:tcPr>
          <w:p>
            <w:pPr>
              <w:jc w:val="center"/>
            </w:pPr>
            <w:r>
              <w:rPr/>
              <w:t>商务部分</w:t>
            </w:r>
          </w:p>
        </w:tc>
        <w:tc>
          <w:tcPr>
            <w:tcW w:type="dxa" w:w="2307"/>
          </w:tcPr>
          <w:p>
            <w:pPr>
              <w:jc w:val="left"/>
            </w:pPr>
            <w:r>
              <w:rPr/>
              <w:t>同类项目业绩 (4.0分)</w:t>
            </w:r>
          </w:p>
        </w:tc>
        <w:tc>
          <w:tcPr>
            <w:tcW w:type="dxa" w:w="5076"/>
          </w:tcPr>
          <w:p>
            <w:pPr>
              <w:jc w:val="left"/>
            </w:pPr>
            <w:r>
              <w:rPr/>
              <w:t>投标人自2020年1月1日至今承担的同类项目业绩：每具备一项同类项目业绩（同类业绩是指：含有本次采购内容的同类产品）得1分，以此类推，最高得4分。 注：需提供合同关键页（合同关键页必须有用户单位名称、合同项目名称、合同标的主要采购内容、签订合同双方的落款盖章、合同签订日期）复印件，以合同的签订日期为准，不提供或专家无法认定的不得分。</w:t>
            </w:r>
          </w:p>
        </w:tc>
      </w:tr>
      <w:tr>
        <w:tc>
          <w:tcPr>
            <w:tcW w:type="dxa" w:w="922"/>
            <w:gridSpan w:val="2"/>
            <w:vMerge/>
          </w:tcPr>
          <w:p/>
        </w:tc>
        <w:tc>
          <w:tcPr>
            <w:tcW w:type="dxa" w:w="2307"/>
          </w:tcPr>
          <w:p>
            <w:pPr>
              <w:jc w:val="left"/>
            </w:pPr>
            <w:r>
              <w:rPr/>
              <w:t>用户评价 (2.0分)</w:t>
            </w:r>
          </w:p>
        </w:tc>
        <w:tc>
          <w:tcPr>
            <w:tcW w:type="dxa" w:w="5076"/>
          </w:tcPr>
          <w:p>
            <w:pPr>
              <w:jc w:val="left"/>
            </w:pPr>
            <w:r>
              <w:rPr/>
              <w:t>投标人具有2020年1月1日至今的用户评价材料，每提供一份得0.5分；最高得2分。 注：（1）须提供用户评价材料复印件，评价材料必须达到90分或注明“满意”或“好评”或“优秀”等相关正面评价字眼；（2）评价材料必须与同类项目业绩相对应，否则不得分。</w:t>
            </w:r>
          </w:p>
        </w:tc>
      </w:tr>
      <w:tr>
        <w:tc>
          <w:tcPr>
            <w:tcW w:type="dxa" w:w="922"/>
            <w:gridSpan w:val="2"/>
            <w:vMerge/>
          </w:tcPr>
          <w:p/>
        </w:tc>
        <w:tc>
          <w:tcPr>
            <w:tcW w:type="dxa" w:w="2307"/>
          </w:tcPr>
          <w:p>
            <w:pPr>
              <w:jc w:val="left"/>
            </w:pPr>
            <w:r>
              <w:rPr/>
              <w:t>投标人认证 (4.0分)</w:t>
            </w:r>
          </w:p>
        </w:tc>
        <w:tc>
          <w:tcPr>
            <w:tcW w:type="dxa" w:w="5076"/>
          </w:tcPr>
          <w:p>
            <w:pPr>
              <w:jc w:val="left"/>
            </w:pPr>
            <w:r>
              <w:rPr/>
              <w:t>投标人具备以下认证： （1）质量管理体系认证证书； （2）环境管理体系认证证书； 注：以上证书须在有效期内，提供证书等证明材料复印件。每提供一份得2分，最高得4分（需提供证书复印件加盖供应商公章）。</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采购包3(语言障碍康复评估训练系统等一批设备):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带“▲”技术要求响应程度 (30.0分)</w:t>
            </w:r>
          </w:p>
        </w:tc>
        <w:tc>
          <w:tcPr>
            <w:tcW w:type="dxa" w:w="5076"/>
          </w:tcPr>
          <w:p>
            <w:pPr>
              <w:jc w:val="left"/>
            </w:pPr>
            <w:r>
              <w:rPr/>
              <w:t>“技术标准与要求”中所有带“▲”条款（共12项）完全响应或正偏离的，得30分；每有一项未响应或负偏离的扣2.5分。 注：如招标文件中有明确提供的证明资料的，则以招标文件中要求的为准，无或未按要求提供证明材料的不得分；如招标文件中无明确提供的证明资料，以投标人须提供投标产品彩页或相应技术参数的厂家技术白皮书或使用说明书或质量认可材料或第三方机构出具的检测报告等作为技术证明文件，否则评标委员会有权视相应技术参数响应为负偏离，不提供或资料不全的均不得分。</w:t>
            </w:r>
          </w:p>
        </w:tc>
      </w:tr>
      <w:tr>
        <w:tc>
          <w:tcPr>
            <w:tcW w:type="dxa" w:w="922"/>
            <w:gridSpan w:val="2"/>
            <w:vMerge/>
          </w:tcPr>
          <w:p/>
        </w:tc>
        <w:tc>
          <w:tcPr>
            <w:tcW w:type="dxa" w:w="2307"/>
          </w:tcPr>
          <w:p>
            <w:pPr>
              <w:jc w:val="left"/>
            </w:pPr>
            <w:r>
              <w:rPr/>
              <w:t>一般技术要求响应程度 (6.0分)</w:t>
            </w:r>
          </w:p>
        </w:tc>
        <w:tc>
          <w:tcPr>
            <w:tcW w:type="dxa" w:w="5076"/>
          </w:tcPr>
          <w:p>
            <w:pPr>
              <w:jc w:val="left"/>
            </w:pPr>
            <w:r>
              <w:rPr/>
              <w:t>序号3-1至3-3设备中一般技术参数条款（“技术标准与要求”中除“★”及“▲”之外的条款），只要有一条（或以上）负偏离或不满足，则对应设备“一般技术要求响应程度”不得分。每有一种设备完全满足所有一般技术参数条款的得2分，本小点最高得6分。</w:t>
            </w:r>
          </w:p>
        </w:tc>
      </w:tr>
      <w:tr>
        <w:tc>
          <w:tcPr>
            <w:tcW w:type="dxa" w:w="922"/>
            <w:gridSpan w:val="2"/>
            <w:vMerge/>
          </w:tcPr>
          <w:p/>
        </w:tc>
        <w:tc>
          <w:tcPr>
            <w:tcW w:type="dxa" w:w="2307"/>
          </w:tcPr>
          <w:p>
            <w:pPr>
              <w:jc w:val="left"/>
            </w:pPr>
            <w:r>
              <w:rPr/>
              <w:t>质量保障措施方案（一） (4.0分)</w:t>
            </w:r>
          </w:p>
        </w:tc>
        <w:tc>
          <w:tcPr>
            <w:tcW w:type="dxa" w:w="5076"/>
          </w:tcPr>
          <w:p>
            <w:pPr>
              <w:jc w:val="left"/>
            </w:pPr>
            <w:r>
              <w:rPr/>
              <w:t>评标委员会根据投标人提供的质量保障措施方案（一）进行评审，方案应包括以下环节（投标文件中方案标题应以下列方案名称命名）： (1)货物来源； (2)货物质量控制； (3)货物稳定性； (4)货物运输。 提供全部内容得4分，每缺1项扣1分。</w:t>
            </w:r>
          </w:p>
        </w:tc>
      </w:tr>
      <w:tr>
        <w:tc>
          <w:tcPr>
            <w:tcW w:type="dxa" w:w="922"/>
            <w:gridSpan w:val="2"/>
            <w:vMerge/>
          </w:tcPr>
          <w:p/>
        </w:tc>
        <w:tc>
          <w:tcPr>
            <w:tcW w:type="dxa" w:w="2307"/>
          </w:tcPr>
          <w:p>
            <w:pPr>
              <w:jc w:val="left"/>
            </w:pPr>
            <w:r>
              <w:rPr/>
              <w:t>质量保障措施方案（二） (8.0分)</w:t>
            </w:r>
          </w:p>
        </w:tc>
        <w:tc>
          <w:tcPr>
            <w:tcW w:type="dxa" w:w="5076"/>
          </w:tcPr>
          <w:p>
            <w:pPr>
              <w:jc w:val="left"/>
            </w:pPr>
            <w:r>
              <w:rPr/>
              <w:t>评标委员会根据投标人提供的项目质量保障措施方案（一）详细内容进行综合评审： （1）设备及耗材的质量保障措施对需求响应全面具体、针对项目全部重点难点全面剖析，能针对全部重点难点提出科学合理、可直接执行的实施方案，有效保障本项目实施，有利于实现服务效果，得8分； （2）设备及耗材的质量保障措施对需求响应全面具体，针对部分重点难点进剖析，并提出具备执行条件的针对措施，基本保障本项目服务实施，基本满足服务效果，得4分； （3）设备及耗材的质量保障措施对需求响应不全面，只针对少部分重点或难点问题进行解析或没有剖析项目重点难点问题，提出的措施没有针对性或难以施行的，无法保障本项目服务实施或难以服务效果，得1分； （4）不提供不得分。</w:t>
            </w:r>
          </w:p>
        </w:tc>
      </w:tr>
      <w:tr>
        <w:tc>
          <w:tcPr>
            <w:tcW w:type="dxa" w:w="922"/>
            <w:gridSpan w:val="2"/>
            <w:vMerge/>
          </w:tcPr>
          <w:p/>
        </w:tc>
        <w:tc>
          <w:tcPr>
            <w:tcW w:type="dxa" w:w="2307"/>
          </w:tcPr>
          <w:p>
            <w:pPr>
              <w:jc w:val="left"/>
            </w:pPr>
            <w:r>
              <w:rPr/>
              <w:t>售后服务方案（一） (3.0分)</w:t>
            </w:r>
          </w:p>
        </w:tc>
        <w:tc>
          <w:tcPr>
            <w:tcW w:type="dxa" w:w="5076"/>
          </w:tcPr>
          <w:p>
            <w:pPr>
              <w:jc w:val="left"/>
            </w:pPr>
            <w:r>
              <w:rPr/>
              <w:t>评标委员会根据投标人提供的售后服务方案进行评审，售后服务方案应包括（投标文件中方案标题应以下列方案名称命名）： (1)售后承诺及服务计划； (2)日常保养方案； (3)故障解决及应急方案。 提供全部内容得3分，每缺1项扣1分。</w:t>
            </w:r>
          </w:p>
        </w:tc>
      </w:tr>
      <w:tr>
        <w:tc>
          <w:tcPr>
            <w:tcW w:type="dxa" w:w="922"/>
            <w:gridSpan w:val="2"/>
            <w:vMerge/>
          </w:tcPr>
          <w:p/>
        </w:tc>
        <w:tc>
          <w:tcPr>
            <w:tcW w:type="dxa" w:w="2307"/>
          </w:tcPr>
          <w:p>
            <w:pPr>
              <w:jc w:val="left"/>
            </w:pPr>
            <w:r>
              <w:rPr/>
              <w:t>售后服务方案（二） (9.0分)</w:t>
            </w:r>
          </w:p>
        </w:tc>
        <w:tc>
          <w:tcPr>
            <w:tcW w:type="dxa" w:w="5076"/>
          </w:tcPr>
          <w:p>
            <w:pPr>
              <w:jc w:val="left"/>
            </w:pPr>
            <w:r>
              <w:rPr/>
              <w:t>评标委员会根据投标人提供售后服务方案（一）的详细内容进行综合评审： （1）售后服务方案对需求响应全面具体，针对实施难点及关键点全面剖析，提出方案全面具体，售后服务计划详细完备并配备完善的保障人员和预备人员，方案可直接全面执行的，有效保障本项目实施，有利于实现服务效果，得9分； （2）售后服务方案对需求响应全面具体，只针对实施的部分难点或部分关键点进行剖析，售后服务计划不完善或者配备人员不足，但方案仍具备一定执行性的，基本保障本项目服务实施，基本满足服务效果，得5分； （3）售后服务方案对需求响应不全面，对实施难点重点认识不清晰，售后服务计划差或者人员配备差的，或者方案难以执行的，无法保障本项目服务实施，达不到服务效果，得1分； （4）不提供得0分。</w:t>
            </w:r>
          </w:p>
        </w:tc>
      </w:tr>
      <w:tr>
        <w:tc>
          <w:tcPr>
            <w:tcW w:type="dxa" w:w="922"/>
            <w:gridSpan w:val="2"/>
            <w:vMerge w:val="restart"/>
          </w:tcPr>
          <w:p>
            <w:pPr>
              <w:jc w:val="center"/>
            </w:pPr>
            <w:r>
              <w:rPr/>
              <w:t>商务部分</w:t>
            </w:r>
          </w:p>
        </w:tc>
        <w:tc>
          <w:tcPr>
            <w:tcW w:type="dxa" w:w="2307"/>
          </w:tcPr>
          <w:p>
            <w:pPr>
              <w:jc w:val="left"/>
            </w:pPr>
            <w:r>
              <w:rPr/>
              <w:t>同类项目业绩 (4.0分)</w:t>
            </w:r>
          </w:p>
        </w:tc>
        <w:tc>
          <w:tcPr>
            <w:tcW w:type="dxa" w:w="5076"/>
          </w:tcPr>
          <w:p>
            <w:pPr>
              <w:jc w:val="left"/>
            </w:pPr>
            <w:r>
              <w:rPr/>
              <w:t>投标人自2020年1月1日至今承担的同类项目业绩：每具备一项同类项目业绩（同类业绩是指：含有本次采购内容的同类产品）得1分，以此类推，最高得4分。 注：需提供合同关键页（合同关键页必须有用户单位名称、合同项目名称、合同标的主要采购内容、签订合同双方的落款盖章、合同签订日期）复印件，以合同的签订日期为准，不提供或专家无法认定的不得分。</w:t>
            </w:r>
          </w:p>
        </w:tc>
      </w:tr>
      <w:tr>
        <w:tc>
          <w:tcPr>
            <w:tcW w:type="dxa" w:w="922"/>
            <w:gridSpan w:val="2"/>
            <w:vMerge/>
          </w:tcPr>
          <w:p/>
        </w:tc>
        <w:tc>
          <w:tcPr>
            <w:tcW w:type="dxa" w:w="2307"/>
          </w:tcPr>
          <w:p>
            <w:pPr>
              <w:jc w:val="left"/>
            </w:pPr>
            <w:r>
              <w:rPr/>
              <w:t>用户评价 (2.0分)</w:t>
            </w:r>
          </w:p>
        </w:tc>
        <w:tc>
          <w:tcPr>
            <w:tcW w:type="dxa" w:w="5076"/>
          </w:tcPr>
          <w:p>
            <w:pPr>
              <w:jc w:val="left"/>
            </w:pPr>
            <w:r>
              <w:rPr/>
              <w:t>投标人具有2020年1月1日至今的用户评价材料，每提供一份得0.5分；最高得2分。 注：（1）须提供用户评价材料复印件，评价材料必须达到90分或注明“满意”或“好评”或“优秀”等相关正面评价字眼；（2）评价材料必须与同类项目业绩相对应，否则不得分。</w:t>
            </w:r>
          </w:p>
        </w:tc>
      </w:tr>
      <w:tr>
        <w:tc>
          <w:tcPr>
            <w:tcW w:type="dxa" w:w="922"/>
            <w:gridSpan w:val="2"/>
            <w:vMerge/>
          </w:tcPr>
          <w:p/>
        </w:tc>
        <w:tc>
          <w:tcPr>
            <w:tcW w:type="dxa" w:w="2307"/>
          </w:tcPr>
          <w:p>
            <w:pPr>
              <w:jc w:val="left"/>
            </w:pPr>
            <w:r>
              <w:rPr/>
              <w:t>投标人认证 (4.0分)</w:t>
            </w:r>
          </w:p>
        </w:tc>
        <w:tc>
          <w:tcPr>
            <w:tcW w:type="dxa" w:w="5076"/>
          </w:tcPr>
          <w:p>
            <w:pPr>
              <w:jc w:val="left"/>
            </w:pPr>
            <w:r>
              <w:rPr/>
              <w:t>投标人具备以下认证： （1）质量管理体系认证证书； （2）环境管理体系认证证书； 注：以上证书须在有效期内，提供证书等证明材料复印件。每提供一份得2分，最高得4分（需提供证书复印件加盖供应商公章）。</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采购包4(变频便携式体外膈肌起搏器):</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带“▲”技术要求响应程度 (20.0分)</w:t>
            </w:r>
          </w:p>
        </w:tc>
        <w:tc>
          <w:tcPr>
            <w:tcW w:type="dxa" w:w="5076"/>
          </w:tcPr>
          <w:p>
            <w:pPr>
              <w:jc w:val="left"/>
            </w:pPr>
            <w:r>
              <w:rPr/>
              <w:t>“技术标准与要求”中所有带“▲”条款（共4项）完全响应或正偏离的，得20分；每有一项未响应或负偏离的扣5分，本项最低扣至0分。 注：如招标文件中有明确提供的证明资料的，则以招标文件中要求的为准，无或未按要求提供证明材料的不得分；如招标文件中无明确提供的证明资料，以投标人须提供投标产品彩页或相应技术参数的厂家技术白皮书或使用说明书或质量认可材料或第三方机构出具的检测报告等作为技术证明文件，否则评标委员会有权视相应技术参数响应为负偏离，不提供或资料不全的均不得分。</w:t>
            </w:r>
          </w:p>
        </w:tc>
      </w:tr>
      <w:tr>
        <w:tc>
          <w:tcPr>
            <w:tcW w:type="dxa" w:w="922"/>
            <w:gridSpan w:val="2"/>
            <w:vMerge/>
          </w:tcPr>
          <w:p/>
        </w:tc>
        <w:tc>
          <w:tcPr>
            <w:tcW w:type="dxa" w:w="2307"/>
          </w:tcPr>
          <w:p>
            <w:pPr>
              <w:jc w:val="left"/>
            </w:pPr>
            <w:r>
              <w:rPr/>
              <w:t>一般技术要求响应程度 (10.0分)</w:t>
            </w:r>
          </w:p>
        </w:tc>
        <w:tc>
          <w:tcPr>
            <w:tcW w:type="dxa" w:w="5076"/>
          </w:tcPr>
          <w:p>
            <w:pPr>
              <w:jc w:val="left"/>
            </w:pPr>
            <w:r>
              <w:rPr/>
              <w:t>一般技术参数条款（“技术标准与要求”中除“★”及“▲”之外的条款） （共10项）每有一项满足要求得1分，最高10分。</w:t>
            </w:r>
          </w:p>
        </w:tc>
      </w:tr>
      <w:tr>
        <w:tc>
          <w:tcPr>
            <w:tcW w:type="dxa" w:w="922"/>
            <w:gridSpan w:val="2"/>
            <w:vMerge/>
          </w:tcPr>
          <w:p/>
        </w:tc>
        <w:tc>
          <w:tcPr>
            <w:tcW w:type="dxa" w:w="2307"/>
          </w:tcPr>
          <w:p>
            <w:pPr>
              <w:jc w:val="left"/>
            </w:pPr>
            <w:r>
              <w:rPr/>
              <w:t>所投货物配置、选型及设备配套耗材（一） (3.0分)</w:t>
            </w:r>
          </w:p>
        </w:tc>
        <w:tc>
          <w:tcPr>
            <w:tcW w:type="dxa" w:w="5076"/>
          </w:tcPr>
          <w:p>
            <w:pPr>
              <w:jc w:val="left"/>
            </w:pPr>
            <w:r>
              <w:rPr/>
              <w:t>评标委员会根据投标人提供的所投货物配置、选型及设备配套耗材（一）进行评审，方案应包括以下环节（投标文件中方案标题应以下列方案名称命名）： (1)货物配置清单； (2)货物选型介绍； (3)设备配套耗材清单、报价及技术参数。 提供全部内容得3分，每缺1项扣1分。</w:t>
            </w:r>
          </w:p>
        </w:tc>
      </w:tr>
      <w:tr>
        <w:tc>
          <w:tcPr>
            <w:tcW w:type="dxa" w:w="922"/>
            <w:gridSpan w:val="2"/>
            <w:vMerge/>
          </w:tcPr>
          <w:p/>
        </w:tc>
        <w:tc>
          <w:tcPr>
            <w:tcW w:type="dxa" w:w="2307"/>
          </w:tcPr>
          <w:p>
            <w:pPr>
              <w:jc w:val="left"/>
            </w:pPr>
            <w:r>
              <w:rPr/>
              <w:t>所投货物配置、选型及设备配套耗材（二） (7.0分)</w:t>
            </w:r>
          </w:p>
        </w:tc>
        <w:tc>
          <w:tcPr>
            <w:tcW w:type="dxa" w:w="5076"/>
          </w:tcPr>
          <w:p>
            <w:pPr>
              <w:jc w:val="left"/>
            </w:pPr>
            <w:r>
              <w:rPr/>
              <w:t>评标委员会根据投标人提供的所投货物配置、选型及设备配套耗材（一）详细内容进行综合评审： （1）投标人所投货物配置、选型合理性高，可靠性强，设备配套耗材的种类丰富，耗材报价合理，具有竞争力，得7分； （2）投标人所投货物配置、选型合理，具有一定的可靠性，设备配套耗材的种类普通，耗材报价基本合理，得4分； （3）投标人所投货物配置、选型存在一定缺陷，可靠性一般，设备配套耗材的种类少，耗材报价合理性低，得1分。</w:t>
            </w:r>
          </w:p>
        </w:tc>
      </w:tr>
      <w:tr>
        <w:tc>
          <w:tcPr>
            <w:tcW w:type="dxa" w:w="922"/>
            <w:gridSpan w:val="2"/>
            <w:vMerge/>
          </w:tcPr>
          <w:p/>
        </w:tc>
        <w:tc>
          <w:tcPr>
            <w:tcW w:type="dxa" w:w="2307"/>
          </w:tcPr>
          <w:p>
            <w:pPr>
              <w:jc w:val="left"/>
            </w:pPr>
            <w:r>
              <w:rPr/>
              <w:t>质量保障措施方案（一） (4.0分)</w:t>
            </w:r>
          </w:p>
        </w:tc>
        <w:tc>
          <w:tcPr>
            <w:tcW w:type="dxa" w:w="5076"/>
          </w:tcPr>
          <w:p>
            <w:pPr>
              <w:jc w:val="left"/>
            </w:pPr>
            <w:r>
              <w:rPr/>
              <w:t>评标委员会根据投标人提供的质量保障措施方案（一）进行评审，方案应包括以下环节（投标文件中方案标题应以下列方案名称命名）： (1)货物来源； (2)货物质量控制； (3)货物稳定性； (4)货物运输。 提供全部内容得4分，每缺1项扣1分。</w:t>
            </w:r>
          </w:p>
        </w:tc>
      </w:tr>
      <w:tr>
        <w:tc>
          <w:tcPr>
            <w:tcW w:type="dxa" w:w="922"/>
            <w:gridSpan w:val="2"/>
            <w:vMerge/>
          </w:tcPr>
          <w:p/>
        </w:tc>
        <w:tc>
          <w:tcPr>
            <w:tcW w:type="dxa" w:w="2307"/>
          </w:tcPr>
          <w:p>
            <w:pPr>
              <w:jc w:val="left"/>
            </w:pPr>
            <w:r>
              <w:rPr/>
              <w:t>质量保障措施方案（二） (7.0分)</w:t>
            </w:r>
          </w:p>
        </w:tc>
        <w:tc>
          <w:tcPr>
            <w:tcW w:type="dxa" w:w="5076"/>
          </w:tcPr>
          <w:p>
            <w:pPr>
              <w:jc w:val="left"/>
            </w:pPr>
            <w:r>
              <w:rPr/>
              <w:t>评标委员会根据投标人提供的项目质量保障措施方案（一）详细内容进行综合评审： （1）质量保障措施对需求响应全面具体、针对项目全部重点难点全面剖析，能针对全部重点难点提出科学合理、可直接执行的实施方案，有效保障本项目实施，有利于实现服务效果，得7分； （2）质量保障措施对需求响应全面具体，针对部分重点难点进剖析，并提出具备执行条件的针对措施，基本保障本项目服务实施，基本满足服务效果，得4分； （3）质量保障措施对需求响应不全面，只针对少部分重点或难点问题进行解析或没有剖析项目重点难点问题，提出的措施没有针对性或难以施行的，无法保障本项目服务实施或难以服务效果，得1分； （4）不提供不得分。</w:t>
            </w:r>
          </w:p>
        </w:tc>
      </w:tr>
      <w:tr>
        <w:tc>
          <w:tcPr>
            <w:tcW w:type="dxa" w:w="922"/>
            <w:gridSpan w:val="2"/>
            <w:vMerge/>
          </w:tcPr>
          <w:p/>
        </w:tc>
        <w:tc>
          <w:tcPr>
            <w:tcW w:type="dxa" w:w="2307"/>
          </w:tcPr>
          <w:p>
            <w:pPr>
              <w:jc w:val="left"/>
            </w:pPr>
            <w:r>
              <w:rPr/>
              <w:t>售后服务方案（一） (3.0分)</w:t>
            </w:r>
          </w:p>
        </w:tc>
        <w:tc>
          <w:tcPr>
            <w:tcW w:type="dxa" w:w="5076"/>
          </w:tcPr>
          <w:p>
            <w:pPr>
              <w:jc w:val="left"/>
            </w:pPr>
            <w:r>
              <w:rPr/>
              <w:t>评标委员会根据投标人提供的售后服务方案进行评审，售后服务方案应包括（投标文件中方案标题应以下列方案名称命名）： (1)售后承诺及服务计划； (2)日常保养方案； (3)故障解决及应急方案。 提供全部内容得3分，每缺1项扣1分。</w:t>
            </w:r>
          </w:p>
        </w:tc>
      </w:tr>
      <w:tr>
        <w:tc>
          <w:tcPr>
            <w:tcW w:type="dxa" w:w="922"/>
            <w:gridSpan w:val="2"/>
            <w:vMerge/>
          </w:tcPr>
          <w:p/>
        </w:tc>
        <w:tc>
          <w:tcPr>
            <w:tcW w:type="dxa" w:w="2307"/>
          </w:tcPr>
          <w:p>
            <w:pPr>
              <w:jc w:val="left"/>
            </w:pPr>
            <w:r>
              <w:rPr/>
              <w:t>售后服务方案（二） (6.0分)</w:t>
            </w:r>
          </w:p>
        </w:tc>
        <w:tc>
          <w:tcPr>
            <w:tcW w:type="dxa" w:w="5076"/>
          </w:tcPr>
          <w:p>
            <w:pPr>
              <w:jc w:val="left"/>
            </w:pPr>
            <w:r>
              <w:rPr/>
              <w:t>评标委员会根据投标人提供售后服务方案（一）的详细内容进行综合评审： （1）售后服务方案对需求响应全面具体，针对实施难点及关键点全面剖析，提出方案全面具体，售后服务计划详细完备并配备完善的保障人员和预备人员，方案可直接全面执行的，有效保障本项目实施，有利于实现服务效果，得6分； （2）售后服务方案对需求响应全面具体，只针对实施的部分难点或部分关键点进行剖析，售后服务计划不完善或者配备人员不足，但方案仍具备一定执行性的，基本保障本项目服务实施，基本满足服务效果，得3分； （3）售后服务方案对需求响应不全面，对实施难点重点认识不清晰，售后服务计划差或者人员配备差的，或者方案难以执行的，无法保障本项目服务实施，达不到服务效果，得1分； （4）不提供得0分。</w:t>
            </w:r>
          </w:p>
        </w:tc>
      </w:tr>
      <w:tr>
        <w:tc>
          <w:tcPr>
            <w:tcW w:type="dxa" w:w="922"/>
            <w:gridSpan w:val="2"/>
            <w:vMerge w:val="restart"/>
          </w:tcPr>
          <w:p>
            <w:pPr>
              <w:jc w:val="center"/>
            </w:pPr>
            <w:r>
              <w:rPr/>
              <w:t>商务部分</w:t>
            </w:r>
          </w:p>
        </w:tc>
        <w:tc>
          <w:tcPr>
            <w:tcW w:type="dxa" w:w="2307"/>
          </w:tcPr>
          <w:p>
            <w:pPr>
              <w:jc w:val="left"/>
            </w:pPr>
            <w:r>
              <w:rPr/>
              <w:t>同类项目业绩 (4.0分)</w:t>
            </w:r>
          </w:p>
        </w:tc>
        <w:tc>
          <w:tcPr>
            <w:tcW w:type="dxa" w:w="5076"/>
          </w:tcPr>
          <w:p>
            <w:pPr>
              <w:jc w:val="left"/>
            </w:pPr>
            <w:r>
              <w:rPr/>
              <w:t>投标人自2020年1月1日至今承担的同类项目业绩：每具备一项同类项目业绩（同类业绩是指：含有本次采购内容的同类产品）得1分，以此类推，最高得4分。 注：需提供合同关键页（合同关键页必须有用户单位名称、合同项目名称、合同标的主要采购内容、签订合同双方的落款盖章、合同签订日期）复印件，以合同的签订日期为准，不提供或专家无法认定的不得分。</w:t>
            </w:r>
          </w:p>
        </w:tc>
      </w:tr>
      <w:tr>
        <w:tc>
          <w:tcPr>
            <w:tcW w:type="dxa" w:w="922"/>
            <w:gridSpan w:val="2"/>
            <w:vMerge/>
          </w:tcPr>
          <w:p/>
        </w:tc>
        <w:tc>
          <w:tcPr>
            <w:tcW w:type="dxa" w:w="2307"/>
          </w:tcPr>
          <w:p>
            <w:pPr>
              <w:jc w:val="left"/>
            </w:pPr>
            <w:r>
              <w:rPr/>
              <w:t>用户评价 (2.0分)</w:t>
            </w:r>
          </w:p>
        </w:tc>
        <w:tc>
          <w:tcPr>
            <w:tcW w:type="dxa" w:w="5076"/>
          </w:tcPr>
          <w:p>
            <w:pPr>
              <w:jc w:val="left"/>
            </w:pPr>
            <w:r>
              <w:rPr/>
              <w:t>投标人具有2020年1月1日至今的用户评价材料，每提供一份得0.5分；最高得2分。 注：（1）须提供用户评价材料复印件，评价材料必须达到90分或注明“满意”或“好评”或“优秀”等相关正面评价字眼；（2）评价材料必须与同类项目业绩相对应，否则不得分。</w:t>
            </w:r>
          </w:p>
        </w:tc>
      </w:tr>
      <w:tr>
        <w:tc>
          <w:tcPr>
            <w:tcW w:type="dxa" w:w="922"/>
            <w:gridSpan w:val="2"/>
            <w:vMerge/>
          </w:tcPr>
          <w:p/>
        </w:tc>
        <w:tc>
          <w:tcPr>
            <w:tcW w:type="dxa" w:w="2307"/>
          </w:tcPr>
          <w:p>
            <w:pPr>
              <w:jc w:val="left"/>
            </w:pPr>
            <w:r>
              <w:rPr/>
              <w:t>投标人认证 (4.0分)</w:t>
            </w:r>
          </w:p>
        </w:tc>
        <w:tc>
          <w:tcPr>
            <w:tcW w:type="dxa" w:w="5076"/>
          </w:tcPr>
          <w:p>
            <w:pPr>
              <w:jc w:val="left"/>
            </w:pPr>
            <w:r>
              <w:rPr/>
              <w:t>投标人具备以下认证： （1）质量管理体系认证证书； （2）环境管理体系认证证书； 注：以上证书须在有效期内，提供证书等证明材料复印件。每提供一份得2分，最高得4分（需提供证书复印件加盖供应商公章）。</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采购包5(磁振热治疗仪):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带“▲”技术要求响应程度 (30.0分)</w:t>
            </w:r>
          </w:p>
        </w:tc>
        <w:tc>
          <w:tcPr>
            <w:tcW w:type="dxa" w:w="5076"/>
          </w:tcPr>
          <w:p>
            <w:pPr>
              <w:jc w:val="left"/>
            </w:pPr>
            <w:r>
              <w:rPr/>
              <w:t>“技术标准与要求”中所有带“▲”条款（共6项）完全响应或正偏离的，得30分；每有一项未响应或负偏离的扣5分，本项最低扣至0分。 注：如招标文件中有明确提供的证明资料的，则以招标文件中要求的为准，无或未按要求提供证明材料的不得分；如招标文件中无明确提供的证明资料，以投标人须提供投标产品彩页或相应技术参数的厂家技术白皮书或使用说明书或质量认可材料或第三方机构出具的检测报告等作为技术证明文件，否则评标委员会有权视相应技术参数响应为负偏离，不提供或资料不全的均不得分。</w:t>
            </w:r>
          </w:p>
        </w:tc>
      </w:tr>
      <w:tr>
        <w:tc>
          <w:tcPr>
            <w:tcW w:type="dxa" w:w="922"/>
            <w:gridSpan w:val="2"/>
            <w:vMerge/>
          </w:tcPr>
          <w:p/>
        </w:tc>
        <w:tc>
          <w:tcPr>
            <w:tcW w:type="dxa" w:w="2307"/>
          </w:tcPr>
          <w:p>
            <w:pPr>
              <w:jc w:val="left"/>
            </w:pPr>
            <w:r>
              <w:rPr/>
              <w:t>一般技术要求响应程度 (6.0分)</w:t>
            </w:r>
          </w:p>
        </w:tc>
        <w:tc>
          <w:tcPr>
            <w:tcW w:type="dxa" w:w="5076"/>
          </w:tcPr>
          <w:p>
            <w:pPr>
              <w:jc w:val="left"/>
            </w:pPr>
            <w:r>
              <w:rPr/>
              <w:t>一般技术参数条款（“技术标准与要求”中除“★”及“▲”之外的条款） （共12项）每有一项满足要求得0.5分，最高6分。</w:t>
            </w:r>
          </w:p>
        </w:tc>
      </w:tr>
      <w:tr>
        <w:tc>
          <w:tcPr>
            <w:tcW w:type="dxa" w:w="922"/>
            <w:gridSpan w:val="2"/>
            <w:vMerge/>
          </w:tcPr>
          <w:p/>
        </w:tc>
        <w:tc>
          <w:tcPr>
            <w:tcW w:type="dxa" w:w="2307"/>
          </w:tcPr>
          <w:p>
            <w:pPr>
              <w:jc w:val="left"/>
            </w:pPr>
            <w:r>
              <w:rPr/>
              <w:t>质量保障措施方案（一） (4.0分)</w:t>
            </w:r>
          </w:p>
        </w:tc>
        <w:tc>
          <w:tcPr>
            <w:tcW w:type="dxa" w:w="5076"/>
          </w:tcPr>
          <w:p>
            <w:pPr>
              <w:jc w:val="left"/>
            </w:pPr>
            <w:r>
              <w:rPr/>
              <w:t>评标委员会根据投标人提供的质量保障措施方案（一）进行评审，方案应包括以下环节（投标文件中方案标题应以下列方案名称命名）： (1)货物来源； (2)货物质量控制； (3)货物稳定性； (4)货物运输。 提供全部内容得4分，每缺1项扣1分。</w:t>
            </w:r>
          </w:p>
        </w:tc>
      </w:tr>
      <w:tr>
        <w:tc>
          <w:tcPr>
            <w:tcW w:type="dxa" w:w="922"/>
            <w:gridSpan w:val="2"/>
            <w:vMerge/>
          </w:tcPr>
          <w:p/>
        </w:tc>
        <w:tc>
          <w:tcPr>
            <w:tcW w:type="dxa" w:w="2307"/>
          </w:tcPr>
          <w:p>
            <w:pPr>
              <w:jc w:val="left"/>
            </w:pPr>
            <w:r>
              <w:rPr/>
              <w:t>质量保障措施方案（二） (9.0分)</w:t>
            </w:r>
          </w:p>
        </w:tc>
        <w:tc>
          <w:tcPr>
            <w:tcW w:type="dxa" w:w="5076"/>
          </w:tcPr>
          <w:p>
            <w:pPr>
              <w:jc w:val="left"/>
            </w:pPr>
            <w:r>
              <w:rPr/>
              <w:t>评标委员会根据投标人提供的项目质量保障措施方案（一）详细内容进行综合评审： （1）设备及耗材的质量保障措施对需求响应全面具体、针对项目全部重点难点全面剖析，能针对全部重点难点提出科学合理、可直接执行的实施方案，有效保障本项目实施，有利于实现服务效果，得9分； （2）设备及耗材的质量保障措施对需求响应全面具体，针对部分重点难点进剖析，并提出具备执行条件的针对措施，基本保障本项目服务实施，基本满足服务效果，得5分； （3）设备及耗材的质量保障措施对需求响应不全面，只针对少部分重点或难点问题进行解析或没有剖析项目重点难点问题，提出的措施没有针对性或难以施行的，无法保障本项目服务实施或难以服务效果，得1分； （4）不提供不得分。</w:t>
            </w:r>
          </w:p>
        </w:tc>
      </w:tr>
      <w:tr>
        <w:tc>
          <w:tcPr>
            <w:tcW w:type="dxa" w:w="922"/>
            <w:gridSpan w:val="2"/>
            <w:vMerge/>
          </w:tcPr>
          <w:p/>
        </w:tc>
        <w:tc>
          <w:tcPr>
            <w:tcW w:type="dxa" w:w="2307"/>
          </w:tcPr>
          <w:p>
            <w:pPr>
              <w:jc w:val="left"/>
            </w:pPr>
            <w:r>
              <w:rPr/>
              <w:t>售后服务方案（一） (3.0分)</w:t>
            </w:r>
          </w:p>
        </w:tc>
        <w:tc>
          <w:tcPr>
            <w:tcW w:type="dxa" w:w="5076"/>
          </w:tcPr>
          <w:p>
            <w:pPr>
              <w:jc w:val="left"/>
            </w:pPr>
            <w:r>
              <w:rPr/>
              <w:t>评标委员会根据投标人提供的售后服务方案进行评审，售后服务方案应包括（投标文件中方案标题应以下列方案名称命名）： (1)售后承诺及服务计划； (2)日常保养方案； (3)故障解决及应急方案。 提供全部内容得3分，每缺1项扣1分。</w:t>
            </w:r>
          </w:p>
        </w:tc>
      </w:tr>
      <w:tr>
        <w:tc>
          <w:tcPr>
            <w:tcW w:type="dxa" w:w="922"/>
            <w:gridSpan w:val="2"/>
            <w:vMerge/>
          </w:tcPr>
          <w:p/>
        </w:tc>
        <w:tc>
          <w:tcPr>
            <w:tcW w:type="dxa" w:w="2307"/>
          </w:tcPr>
          <w:p>
            <w:pPr>
              <w:jc w:val="left"/>
            </w:pPr>
            <w:r>
              <w:rPr/>
              <w:t>售后服务方案（二） (8.0分)</w:t>
            </w:r>
          </w:p>
        </w:tc>
        <w:tc>
          <w:tcPr>
            <w:tcW w:type="dxa" w:w="5076"/>
          </w:tcPr>
          <w:p>
            <w:pPr>
              <w:jc w:val="left"/>
            </w:pPr>
            <w:r>
              <w:rPr/>
              <w:t>评标委员会根据投标人提供售后服务方案（一）的详细内容进行综合评审： （1）售后服务方案对需求响应全面具体，针对实施难点及关键点全面剖析，提出方案全面具体，售后服务计划详细完备并配备完善的保障人员和预备人员，方案可直接全面执行的，有效保障本项目实施，有利于实现服务效果，得8分； （2）售后服务方案对需求响应全面具体，只针对实施的部分难点或部分关键点进行剖析，售后服务计划不完善或者配备人员不足，但方案仍具备一定执行性的，基本保障本项目服务实施，基本满足服务效果，得4分； （3）售后服务方案对需求响应不全面，对实施难点重点认识不清晰，售后服务计划差或者人员配备差的，或者方案难以执行的，无法保障本项目服务实施，达不到服务效果，得1分； （4）不提供得0分。</w:t>
            </w:r>
          </w:p>
        </w:tc>
      </w:tr>
      <w:tr>
        <w:tc>
          <w:tcPr>
            <w:tcW w:type="dxa" w:w="922"/>
            <w:gridSpan w:val="2"/>
            <w:vMerge w:val="restart"/>
          </w:tcPr>
          <w:p>
            <w:pPr>
              <w:jc w:val="center"/>
            </w:pPr>
            <w:r>
              <w:rPr/>
              <w:t>商务部分</w:t>
            </w:r>
          </w:p>
        </w:tc>
        <w:tc>
          <w:tcPr>
            <w:tcW w:type="dxa" w:w="2307"/>
          </w:tcPr>
          <w:p>
            <w:pPr>
              <w:jc w:val="left"/>
            </w:pPr>
            <w:r>
              <w:rPr/>
              <w:t>同类项目业绩 (4.0分)</w:t>
            </w:r>
          </w:p>
        </w:tc>
        <w:tc>
          <w:tcPr>
            <w:tcW w:type="dxa" w:w="5076"/>
          </w:tcPr>
          <w:p>
            <w:pPr>
              <w:jc w:val="left"/>
            </w:pPr>
            <w:r>
              <w:rPr/>
              <w:t>投标人自2020年1月1日至今承担的同类项目业绩：每具备一项同类项目业绩（同类业绩是指：含有本次采购内容的同类产品）得1分，以此类推，最高得4分。 注：需提供合同关键页（合同关键页必须有用户单位名称、合同项目名称、合同标的主要采购内容、签订合同双方的落款盖章、合同签订日期）复印件，以合同的签订日期为准，不提供或专家无法认定的不得分。</w:t>
            </w:r>
          </w:p>
        </w:tc>
      </w:tr>
      <w:tr>
        <w:tc>
          <w:tcPr>
            <w:tcW w:type="dxa" w:w="922"/>
            <w:gridSpan w:val="2"/>
            <w:vMerge/>
          </w:tcPr>
          <w:p/>
        </w:tc>
        <w:tc>
          <w:tcPr>
            <w:tcW w:type="dxa" w:w="2307"/>
          </w:tcPr>
          <w:p>
            <w:pPr>
              <w:jc w:val="left"/>
            </w:pPr>
            <w:r>
              <w:rPr/>
              <w:t>用户评价 (2.0分)</w:t>
            </w:r>
          </w:p>
        </w:tc>
        <w:tc>
          <w:tcPr>
            <w:tcW w:type="dxa" w:w="5076"/>
          </w:tcPr>
          <w:p>
            <w:pPr>
              <w:jc w:val="left"/>
            </w:pPr>
            <w:r>
              <w:rPr/>
              <w:t>投标人具有2020年1月1日至今的用户评价材料，每提供一份得0.5分；最高得2分。 注：（1）须提供用户评价材料复印件，评价材料必须达到90分或注明“满意”或“好评”或“优秀”等相关正面评价字眼；（2）评价材料必须与同类项目业绩相对应，否则不得分。</w:t>
            </w:r>
          </w:p>
        </w:tc>
      </w:tr>
      <w:tr>
        <w:tc>
          <w:tcPr>
            <w:tcW w:type="dxa" w:w="922"/>
            <w:gridSpan w:val="2"/>
            <w:vMerge/>
          </w:tcPr>
          <w:p/>
        </w:tc>
        <w:tc>
          <w:tcPr>
            <w:tcW w:type="dxa" w:w="2307"/>
          </w:tcPr>
          <w:p>
            <w:pPr>
              <w:jc w:val="left"/>
            </w:pPr>
            <w:r>
              <w:rPr/>
              <w:t>投标人认证 (4.0分)</w:t>
            </w:r>
          </w:p>
        </w:tc>
        <w:tc>
          <w:tcPr>
            <w:tcW w:type="dxa" w:w="5076"/>
          </w:tcPr>
          <w:p>
            <w:pPr>
              <w:jc w:val="left"/>
            </w:pPr>
            <w:r>
              <w:rPr/>
              <w:t>投标人具备以下认证： （1）质量管理体系认证证书； （2）环境管理体系认证证书； 注：以上证书须在有效期内，提供证书等证明材料复印件。每提供一份得2分，最高得4分（需提供证书复印件加盖供应商公章）。</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采购包6(上肢智能反馈训练系统):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带“▲”技术要求响应程度 (10.0分)</w:t>
            </w:r>
          </w:p>
        </w:tc>
        <w:tc>
          <w:tcPr>
            <w:tcW w:type="dxa" w:w="5076"/>
          </w:tcPr>
          <w:p>
            <w:pPr>
              <w:jc w:val="left"/>
            </w:pPr>
            <w:r>
              <w:rPr/>
              <w:t>“技术标准与要求”中所有带“▲”条款（共2项）完全响应或正偏离的，得10分；每有一项未响应或负偏离的扣5分，本项最低扣至0分。 注：如招标文件中有明确提供的证明资料的，则以招标文件中要求的为准，无或未按要求提供证明材料的不得分；如招标文件中无明确提供的证明资料，以投标人须提供投标产品彩页或相应技术参数的厂家技术白皮书或使用说明书或质量认可材料或第三方机构出具的检测报告等作为技术证明文件，否则评标委员会有权视相应技术参数响应为负偏离，不提供或资料不全的均不得分。</w:t>
            </w:r>
          </w:p>
        </w:tc>
      </w:tr>
      <w:tr>
        <w:tc>
          <w:tcPr>
            <w:tcW w:type="dxa" w:w="922"/>
            <w:gridSpan w:val="2"/>
            <w:vMerge/>
          </w:tcPr>
          <w:p/>
        </w:tc>
        <w:tc>
          <w:tcPr>
            <w:tcW w:type="dxa" w:w="2307"/>
          </w:tcPr>
          <w:p>
            <w:pPr>
              <w:jc w:val="left"/>
            </w:pPr>
            <w:r>
              <w:rPr/>
              <w:t>一般技术要求响应程度 (30.0分)</w:t>
            </w:r>
          </w:p>
        </w:tc>
        <w:tc>
          <w:tcPr>
            <w:tcW w:type="dxa" w:w="5076"/>
          </w:tcPr>
          <w:p>
            <w:pPr>
              <w:jc w:val="left"/>
            </w:pPr>
            <w:r>
              <w:rPr/>
              <w:t>一般技术参数条款（“技术标准与要求”中除“★”及“▲”之外的条款） （共20项）每有一项满足要求得1.5分，最高30分。</w:t>
            </w:r>
          </w:p>
        </w:tc>
      </w:tr>
      <w:tr>
        <w:tc>
          <w:tcPr>
            <w:tcW w:type="dxa" w:w="922"/>
            <w:gridSpan w:val="2"/>
            <w:vMerge/>
          </w:tcPr>
          <w:p/>
        </w:tc>
        <w:tc>
          <w:tcPr>
            <w:tcW w:type="dxa" w:w="2307"/>
          </w:tcPr>
          <w:p>
            <w:pPr>
              <w:jc w:val="left"/>
            </w:pPr>
            <w:r>
              <w:rPr/>
              <w:t>质量保障措施方案（一） (4.0分)</w:t>
            </w:r>
          </w:p>
        </w:tc>
        <w:tc>
          <w:tcPr>
            <w:tcW w:type="dxa" w:w="5076"/>
          </w:tcPr>
          <w:p>
            <w:pPr>
              <w:jc w:val="left"/>
            </w:pPr>
            <w:r>
              <w:rPr/>
              <w:t>评标委员会根据投标人提供的质量保障措施方案（一）进行评审，方案应包括以下环节（投标文件中方案标题应以下列方案名称命名）： (1)货物来源； (2)货物质量控制； (3)货物稳定性； (4)货物运输。 提供全部内容得4分，每缺1项扣1分。</w:t>
            </w:r>
          </w:p>
        </w:tc>
      </w:tr>
      <w:tr>
        <w:tc>
          <w:tcPr>
            <w:tcW w:type="dxa" w:w="922"/>
            <w:gridSpan w:val="2"/>
            <w:vMerge/>
          </w:tcPr>
          <w:p/>
        </w:tc>
        <w:tc>
          <w:tcPr>
            <w:tcW w:type="dxa" w:w="2307"/>
          </w:tcPr>
          <w:p>
            <w:pPr>
              <w:jc w:val="left"/>
            </w:pPr>
            <w:r>
              <w:rPr/>
              <w:t>质量保障措施方案（二） (6.0分)</w:t>
            </w:r>
          </w:p>
        </w:tc>
        <w:tc>
          <w:tcPr>
            <w:tcW w:type="dxa" w:w="5076"/>
          </w:tcPr>
          <w:p>
            <w:pPr>
              <w:jc w:val="left"/>
            </w:pPr>
            <w:r>
              <w:rPr/>
              <w:t>评标委员会根据投标人提供的项目质量保障措施方案（一）详细内容进行综合评审： （1）设备及耗材的质量保障措施对需求响应全面具体、针对项目全部重点难点全面剖析，能针对全部重点难点提出科学合理、可直接执行的实施方案，有效保障本项目实施，有利于实现服务效果，得6分； （2）设备及耗材的质量保障措施对需求响应全面具体，针对部分重点难点进剖析，并提出具备执行条件的针对措施，基本保障本项目服务实施，基本满足服务效果，得3分； （3）设备及耗材的质量保障措施对需求响应不全面，只针对少部分重点或难点问题进行解析或没有剖析项目重点难点问题，提出的措施没有针对性或难以施行的，无法保障本项目服务实施或难以服务效果，得1分； （4）不提供不得分。</w:t>
            </w:r>
          </w:p>
        </w:tc>
      </w:tr>
      <w:tr>
        <w:tc>
          <w:tcPr>
            <w:tcW w:type="dxa" w:w="922"/>
            <w:gridSpan w:val="2"/>
            <w:vMerge/>
          </w:tcPr>
          <w:p/>
        </w:tc>
        <w:tc>
          <w:tcPr>
            <w:tcW w:type="dxa" w:w="2307"/>
          </w:tcPr>
          <w:p>
            <w:pPr>
              <w:jc w:val="left"/>
            </w:pPr>
            <w:r>
              <w:rPr/>
              <w:t>售后服务方案（一） (3.0分)</w:t>
            </w:r>
          </w:p>
        </w:tc>
        <w:tc>
          <w:tcPr>
            <w:tcW w:type="dxa" w:w="5076"/>
          </w:tcPr>
          <w:p>
            <w:pPr>
              <w:jc w:val="left"/>
            </w:pPr>
            <w:r>
              <w:rPr/>
              <w:t>评标委员会根据投标人提供的售后服务方案进行评审，售后服务方案应包括（投标文件中方案标题应以下列方案名称命名）： (1)售后承诺及服务计划； (2)日常保养方案； (3)故障解决及应急方案。 提供全部内容得3分，每缺1项扣1分。</w:t>
            </w:r>
          </w:p>
        </w:tc>
      </w:tr>
      <w:tr>
        <w:tc>
          <w:tcPr>
            <w:tcW w:type="dxa" w:w="922"/>
            <w:gridSpan w:val="2"/>
            <w:vMerge/>
          </w:tcPr>
          <w:p/>
        </w:tc>
        <w:tc>
          <w:tcPr>
            <w:tcW w:type="dxa" w:w="2307"/>
          </w:tcPr>
          <w:p>
            <w:pPr>
              <w:jc w:val="left"/>
            </w:pPr>
            <w:r>
              <w:rPr/>
              <w:t>售后服务方案（二） (7.0分)</w:t>
            </w:r>
          </w:p>
        </w:tc>
        <w:tc>
          <w:tcPr>
            <w:tcW w:type="dxa" w:w="5076"/>
          </w:tcPr>
          <w:p>
            <w:pPr>
              <w:jc w:val="left"/>
            </w:pPr>
            <w:r>
              <w:rPr/>
              <w:t>评标委员会根据投标人提供售后服务方案（一）的详细内容进行综合评审： （1）售后服务方案对需求响应全面具体，针对实施难点及关键点全面剖析，提出方案全面具体，售后服务计划详细完备并配备完善的保障人员和预备人员，方案可直接全面执行的，有效保障本项目实施，有利于实现服务效果，得7分； （2）售后服务方案对需求响应全面具体，只针对实施的部分难点或部分关键点进行剖析，售后服务计划不完善或者配备人员不足，但方案仍具备一定执行性的，基本保障本项目服务实施，基本满足服务效果，得4分； （3）售后服务方案对需求响应不全面，对实施难点重点认识不清晰，售后服务计划差或者人员配备差的，或者方案难以执行的，无法保障本项目服务实施，达不到服务效果，得1分； （4）不提供得0分。</w:t>
            </w:r>
          </w:p>
        </w:tc>
      </w:tr>
      <w:tr>
        <w:tc>
          <w:tcPr>
            <w:tcW w:type="dxa" w:w="922"/>
            <w:gridSpan w:val="2"/>
            <w:vMerge w:val="restart"/>
          </w:tcPr>
          <w:p>
            <w:pPr>
              <w:jc w:val="center"/>
            </w:pPr>
            <w:r>
              <w:rPr/>
              <w:t>商务部分</w:t>
            </w:r>
          </w:p>
        </w:tc>
        <w:tc>
          <w:tcPr>
            <w:tcW w:type="dxa" w:w="2307"/>
          </w:tcPr>
          <w:p>
            <w:pPr>
              <w:jc w:val="left"/>
            </w:pPr>
            <w:r>
              <w:rPr/>
              <w:t>同类项目业绩 (4.0分)</w:t>
            </w:r>
          </w:p>
        </w:tc>
        <w:tc>
          <w:tcPr>
            <w:tcW w:type="dxa" w:w="5076"/>
          </w:tcPr>
          <w:p>
            <w:pPr>
              <w:jc w:val="left"/>
            </w:pPr>
            <w:r>
              <w:rPr/>
              <w:t>投标人自2020年1月1日至今承担的同类项目业绩：每具备一项同类项目业绩（同类业绩是指：含有本次采购内容的同类产品）得1分，以此类推，最高得4分。 注：需提供合同关键页（合同关键页必须有用户单位名称、合同项目名称、合同标的主要采购内容、签订合同双方的落款盖章、合同签订日期）复印件，以合同的签订日期为准，不提供或专家无法认定的不得分。</w:t>
            </w:r>
          </w:p>
        </w:tc>
      </w:tr>
      <w:tr>
        <w:tc>
          <w:tcPr>
            <w:tcW w:type="dxa" w:w="922"/>
            <w:gridSpan w:val="2"/>
            <w:vMerge/>
          </w:tcPr>
          <w:p/>
        </w:tc>
        <w:tc>
          <w:tcPr>
            <w:tcW w:type="dxa" w:w="2307"/>
          </w:tcPr>
          <w:p>
            <w:pPr>
              <w:jc w:val="left"/>
            </w:pPr>
            <w:r>
              <w:rPr/>
              <w:t>用户评价 (2.0分)</w:t>
            </w:r>
          </w:p>
        </w:tc>
        <w:tc>
          <w:tcPr>
            <w:tcW w:type="dxa" w:w="5076"/>
          </w:tcPr>
          <w:p>
            <w:pPr>
              <w:jc w:val="left"/>
            </w:pPr>
            <w:r>
              <w:rPr/>
              <w:t>投标人具有2020年1月1日至今的用户评价材料，每提供一份得0.5分；最高得2分。 注：（1）须提供用户评价材料复印件，评价材料必须达到90分或注明“满意”或“好评”或“优秀”等相关正面评价字眼；（2）评价材料必须与同类项目业绩相对应，否则不得分。</w:t>
            </w:r>
          </w:p>
        </w:tc>
      </w:tr>
      <w:tr>
        <w:tc>
          <w:tcPr>
            <w:tcW w:type="dxa" w:w="922"/>
            <w:gridSpan w:val="2"/>
            <w:vMerge/>
          </w:tcPr>
          <w:p/>
        </w:tc>
        <w:tc>
          <w:tcPr>
            <w:tcW w:type="dxa" w:w="2307"/>
          </w:tcPr>
          <w:p>
            <w:pPr>
              <w:jc w:val="left"/>
            </w:pPr>
            <w:r>
              <w:rPr/>
              <w:t>投标人认证 (4.0分)</w:t>
            </w:r>
          </w:p>
        </w:tc>
        <w:tc>
          <w:tcPr>
            <w:tcW w:type="dxa" w:w="5076"/>
          </w:tcPr>
          <w:p>
            <w:pPr>
              <w:jc w:val="left"/>
            </w:pPr>
            <w:r>
              <w:rPr/>
              <w:t>投标人具备以下认证： （1）质量管理体系认证证书； （2）环境管理体系认证证书； 注：以上证书须在有效期内，提供证书等证明材料复印件。每提供一份得2分，最高得4分（需提供证书复印件加盖供应商公章）。</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采购包3：</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采购包4：</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采购包5：</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采购包6：</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4"/>
        </w:rPr>
        <w:t>注：本合同仅为合同的参考文本，合同签订双方可根据项目的具体要求进行修订，但不得偏离实质性条款；本项目合同为中小企业预留合同。</w:t>
      </w:r>
    </w:p>
    <w:p>
      <w:pPr>
        <w:jc w:val="left"/>
      </w:pPr>
      <w:r>
        <w:rPr/>
        <w:t xml:space="preserve"> </w:t>
      </w:r>
    </w:p>
    <w:p>
      <w:pPr>
        <w:ind w:firstLine="211"/>
        <w:jc w:val="left"/>
      </w:pPr>
    </w:p>
    <w:p>
      <w:pPr>
        <w:jc w:val="center"/>
      </w:pPr>
    </w:p>
    <w:p>
      <w:pPr>
        <w:jc w:val="center"/>
      </w:pPr>
    </w:p>
    <w:p>
      <w:pPr>
        <w:jc w:val="center"/>
      </w:pPr>
      <w:r>
        <w:rPr>
          <w:b/>
          <w:sz w:val="28"/>
        </w:rPr>
        <w:t>政府采购合同</w:t>
      </w:r>
    </w:p>
    <w:p>
      <w:pPr>
        <w:jc w:val="center"/>
      </w:pPr>
      <w:r>
        <w:rPr/>
        <w:t xml:space="preserve"> </w:t>
      </w:r>
    </w:p>
    <w:p>
      <w:pPr>
        <w:ind w:firstLine="420"/>
        <w:jc w:val="both"/>
      </w:pP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合同类别：货物</w:t>
      </w:r>
    </w:p>
    <w:p>
      <w:pPr>
        <w:jc w:val="both"/>
      </w:pPr>
      <w:r>
        <w:rPr>
          <w:sz w:val="21"/>
        </w:rPr>
        <w:t>签订日期：</w:t>
      </w:r>
    </w:p>
    <w:p>
      <w:pPr>
        <w:jc w:val="both"/>
      </w:pPr>
      <w:r>
        <w:rPr>
          <w:sz w:val="21"/>
        </w:rPr>
        <w:t>签订类型：单项合同</w:t>
      </w:r>
    </w:p>
    <w:p>
      <w:pPr>
        <w:jc w:val="both"/>
      </w:pPr>
      <w:r>
        <w:rPr>
          <w:sz w:val="21"/>
        </w:rPr>
        <w:t>合同范本：采购合同</w:t>
      </w:r>
    </w:p>
    <w:p>
      <w:pPr>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sz w:val="21"/>
        </w:rPr>
        <w:t>乙方（中标供应商）：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汕头大学医学院第一附属医院磁刺激治疗仪等康复设备项目</w:t>
      </w:r>
      <w:r>
        <w:rPr>
          <w:sz w:val="21"/>
        </w:rPr>
        <w:t>招标文件（项目编号：</w:t>
      </w:r>
      <w:r>
        <w:rPr>
          <w:sz w:val="21"/>
        </w:rPr>
        <w:t>GZGK23P306A1002Z，</w:t>
      </w:r>
      <w:r>
        <w:rPr>
          <w:sz w:val="21"/>
        </w:rPr>
        <w:t>采购包：</w:t>
      </w:r>
      <w:r>
        <w:rPr>
          <w:sz w:val="21"/>
        </w:rPr>
        <w:t>____</w:t>
      </w:r>
      <w:r>
        <w:rPr>
          <w:sz w:val="21"/>
        </w:rPr>
        <w:t>）的要求，经双方协商，本着平等互利和诚实信用的原则，一致同意签订本合同。</w:t>
      </w:r>
    </w:p>
    <w:p>
      <w:pPr>
        <w:jc w:val="both"/>
      </w:pPr>
      <w:r>
        <w:rPr>
          <w:b/>
          <w:sz w:val="21"/>
        </w:rPr>
        <w:t>一、合同采购内容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638"/>
        <w:gridCol w:w="1011"/>
        <w:gridCol w:w="905"/>
        <w:gridCol w:w="1024"/>
        <w:gridCol w:w="958"/>
        <w:gridCol w:w="905"/>
        <w:gridCol w:w="825"/>
        <w:gridCol w:w="945"/>
        <w:gridCol w:w="785"/>
        <w:gridCol w:w="785"/>
        <w:gridCol w:w="772"/>
        <w:gridCol w:w="758"/>
      </w:tblGrid>
      <w:tr>
        <w:tc>
          <w:tcPr>
            <w:tcW w:type="dxa" w:w="638"/>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011"/>
            <w:tcBorders>
              <w:top w:val="single" w:color="000000" w:sz="4"/>
              <w:left w:val="single" w:color="000000" w:sz="4"/>
              <w:bottom w:val="single" w:color="000000" w:sz="4"/>
              <w:right w:val="single" w:color="000000" w:sz="4"/>
            </w:tcBorders>
            <w:vAlign w:val="top"/>
          </w:tcPr>
          <w:p>
            <w:pPr>
              <w:jc w:val="center"/>
            </w:pPr>
            <w:r>
              <w:rPr>
                <w:sz w:val="21"/>
              </w:rPr>
              <w:t>货物名称</w:t>
            </w:r>
          </w:p>
        </w:tc>
        <w:tc>
          <w:tcPr>
            <w:tcW w:type="dxa" w:w="905"/>
            <w:tcBorders>
              <w:top w:val="single" w:color="000000" w:sz="4"/>
              <w:left w:val="single" w:color="000000" w:sz="4"/>
              <w:bottom w:val="single" w:color="000000" w:sz="4"/>
              <w:right w:val="single" w:color="000000" w:sz="4"/>
            </w:tcBorders>
            <w:vAlign w:val="top"/>
          </w:tcPr>
          <w:p>
            <w:pPr>
              <w:jc w:val="center"/>
            </w:pPr>
            <w:r>
              <w:rPr>
                <w:sz w:val="21"/>
              </w:rPr>
              <w:t>规格型号、品牌</w:t>
            </w:r>
          </w:p>
        </w:tc>
        <w:tc>
          <w:tcPr>
            <w:tcW w:type="dxa" w:w="1024"/>
            <w:tcBorders>
              <w:top w:val="single" w:color="000000" w:sz="4"/>
              <w:left w:val="single" w:color="000000" w:sz="4"/>
              <w:bottom w:val="single" w:color="000000" w:sz="4"/>
              <w:right w:val="single" w:color="000000" w:sz="4"/>
            </w:tcBorders>
            <w:vAlign w:val="top"/>
          </w:tcPr>
          <w:p>
            <w:pPr>
              <w:jc w:val="center"/>
            </w:pPr>
            <w:r>
              <w:rPr>
                <w:sz w:val="21"/>
              </w:rPr>
              <w:t>产地厂家</w:t>
            </w:r>
          </w:p>
        </w:tc>
        <w:tc>
          <w:tcPr>
            <w:tcW w:type="dxa" w:w="958"/>
            <w:tcBorders>
              <w:top w:val="single" w:color="000000" w:sz="4"/>
              <w:left w:val="single" w:color="000000" w:sz="4"/>
              <w:bottom w:val="single" w:color="000000" w:sz="4"/>
              <w:right w:val="single" w:color="000000" w:sz="4"/>
            </w:tcBorders>
            <w:vAlign w:val="top"/>
          </w:tcPr>
          <w:p>
            <w:pPr>
              <w:jc w:val="center"/>
            </w:pPr>
            <w:r>
              <w:rPr>
                <w:sz w:val="21"/>
              </w:rPr>
              <w:t>注册证号</w:t>
            </w:r>
          </w:p>
        </w:tc>
        <w:tc>
          <w:tcPr>
            <w:tcW w:type="dxa" w:w="905"/>
            <w:tcBorders>
              <w:top w:val="single" w:color="000000" w:sz="4"/>
              <w:left w:val="single" w:color="000000" w:sz="4"/>
              <w:bottom w:val="single" w:color="000000" w:sz="4"/>
              <w:right w:val="single" w:color="000000" w:sz="4"/>
            </w:tcBorders>
            <w:vAlign w:val="top"/>
          </w:tcPr>
          <w:p>
            <w:pPr>
              <w:jc w:val="center"/>
            </w:pPr>
            <w:r>
              <w:rPr>
                <w:sz w:val="21"/>
              </w:rPr>
              <w:t>单位</w:t>
            </w:r>
          </w:p>
        </w:tc>
        <w:tc>
          <w:tcPr>
            <w:tcW w:type="dxa" w:w="825"/>
            <w:tcBorders>
              <w:top w:val="single" w:color="000000" w:sz="4"/>
              <w:left w:val="single" w:color="000000" w:sz="4"/>
              <w:bottom w:val="single" w:color="000000" w:sz="4"/>
              <w:right w:val="single" w:color="000000" w:sz="4"/>
            </w:tcBorders>
            <w:vAlign w:val="top"/>
          </w:tcPr>
          <w:p>
            <w:pPr>
              <w:jc w:val="center"/>
            </w:pPr>
            <w:r>
              <w:rPr>
                <w:sz w:val="21"/>
              </w:rPr>
              <w:t>数量</w:t>
            </w:r>
          </w:p>
        </w:tc>
        <w:tc>
          <w:tcPr>
            <w:tcW w:type="dxa" w:w="945"/>
            <w:tcBorders>
              <w:top w:val="single" w:color="000000" w:sz="4"/>
              <w:left w:val="single" w:color="000000" w:sz="4"/>
              <w:bottom w:val="single" w:color="000000" w:sz="4"/>
              <w:right w:val="single" w:color="000000" w:sz="4"/>
            </w:tcBorders>
            <w:vAlign w:val="top"/>
          </w:tcPr>
          <w:p>
            <w:pPr>
              <w:jc w:val="center"/>
            </w:pPr>
            <w:r>
              <w:rPr>
                <w:sz w:val="21"/>
              </w:rPr>
              <w:t>单价</w:t>
            </w:r>
            <w:r>
              <w:rPr>
                <w:sz w:val="21"/>
              </w:rPr>
              <w:t>(</w:t>
            </w:r>
            <w:r>
              <w:rPr>
                <w:sz w:val="21"/>
              </w:rPr>
              <w:t>元</w:t>
            </w:r>
            <w:r>
              <w:rPr>
                <w:sz w:val="21"/>
              </w:rPr>
              <w:t>)</w:t>
            </w:r>
          </w:p>
        </w:tc>
        <w:tc>
          <w:tcPr>
            <w:tcW w:type="dxa" w:w="785"/>
            <w:tcBorders>
              <w:top w:val="single" w:color="000000" w:sz="4"/>
              <w:left w:val="single" w:color="000000" w:sz="4"/>
              <w:bottom w:val="single" w:color="000000" w:sz="4"/>
              <w:right w:val="single" w:color="000000" w:sz="4"/>
            </w:tcBorders>
            <w:vAlign w:val="top"/>
          </w:tcPr>
          <w:p>
            <w:pPr>
              <w:jc w:val="center"/>
            </w:pPr>
            <w:r>
              <w:rPr>
                <w:sz w:val="21"/>
              </w:rPr>
              <w:t>总价</w:t>
            </w:r>
            <w:r>
              <w:rPr>
                <w:sz w:val="21"/>
              </w:rPr>
              <w:t>(</w:t>
            </w:r>
            <w:r>
              <w:rPr>
                <w:sz w:val="21"/>
              </w:rPr>
              <w:t>元</w:t>
            </w:r>
            <w:r>
              <w:rPr>
                <w:sz w:val="21"/>
              </w:rPr>
              <w:t>)</w:t>
            </w:r>
          </w:p>
        </w:tc>
        <w:tc>
          <w:tcPr>
            <w:tcW w:type="dxa" w:w="785"/>
            <w:tcBorders>
              <w:top w:val="single" w:color="000000" w:sz="4"/>
              <w:left w:val="single" w:color="000000" w:sz="4"/>
              <w:bottom w:val="single" w:color="000000" w:sz="4"/>
              <w:right w:val="single" w:color="000000" w:sz="4"/>
            </w:tcBorders>
            <w:vAlign w:val="top"/>
          </w:tcPr>
          <w:p>
            <w:pPr>
              <w:jc w:val="center"/>
            </w:pPr>
            <w:r>
              <w:rPr>
                <w:sz w:val="21"/>
              </w:rPr>
              <w:t>随机配件</w:t>
            </w:r>
          </w:p>
        </w:tc>
        <w:tc>
          <w:tcPr>
            <w:tcW w:type="dxa" w:w="772"/>
            <w:tcBorders>
              <w:top w:val="single" w:color="000000" w:sz="4"/>
              <w:left w:val="single" w:color="000000" w:sz="4"/>
              <w:bottom w:val="single" w:color="000000" w:sz="4"/>
              <w:right w:val="single" w:color="000000" w:sz="4"/>
            </w:tcBorders>
            <w:vAlign w:val="top"/>
          </w:tcPr>
          <w:p>
            <w:pPr>
              <w:jc w:val="center"/>
            </w:pPr>
            <w:r>
              <w:rPr>
                <w:sz w:val="21"/>
              </w:rPr>
              <w:t>交货地点</w:t>
            </w:r>
          </w:p>
        </w:tc>
        <w:tc>
          <w:tcPr>
            <w:tcW w:type="dxa" w:w="758"/>
            <w:tcBorders>
              <w:top w:val="single" w:color="000000" w:sz="4"/>
              <w:left w:val="single" w:color="000000" w:sz="4"/>
              <w:bottom w:val="single" w:color="000000" w:sz="4"/>
              <w:right w:val="single" w:color="000000" w:sz="4"/>
            </w:tcBorders>
            <w:vAlign w:val="top"/>
          </w:tcPr>
          <w:p>
            <w:pPr>
              <w:jc w:val="center"/>
            </w:pPr>
            <w:r>
              <w:rPr>
                <w:sz w:val="21"/>
              </w:rPr>
              <w:t>交货时间</w:t>
            </w:r>
          </w:p>
        </w:tc>
      </w:tr>
      <w:tr>
        <w:tc>
          <w:tcPr>
            <w:tcW w:type="dxa" w:w="638"/>
            <w:tcBorders>
              <w:top w:val="none" w:color="000000" w:sz="4"/>
              <w:left w:val="single" w:color="000000" w:sz="4"/>
              <w:bottom w:val="single" w:color="000000" w:sz="4"/>
              <w:right w:val="single" w:color="000000" w:sz="4"/>
            </w:tcBorders>
            <w:vAlign w:val="top"/>
          </w:tcPr>
          <w:p>
            <w:pPr>
              <w:jc w:val="center"/>
            </w:pPr>
          </w:p>
        </w:tc>
        <w:tc>
          <w:tcPr>
            <w:tcW w:type="dxa" w:w="1011"/>
            <w:tcBorders>
              <w:top w:val="none" w:color="000000" w:sz="4"/>
              <w:left w:val="single" w:color="000000" w:sz="4"/>
              <w:bottom w:val="single" w:color="000000" w:sz="4"/>
              <w:right w:val="single" w:color="000000" w:sz="4"/>
            </w:tcBorders>
            <w:vAlign w:val="top"/>
          </w:tcPr>
          <w:p>
            <w:pPr>
              <w:jc w:val="center"/>
            </w:pPr>
          </w:p>
        </w:tc>
        <w:tc>
          <w:tcPr>
            <w:tcW w:type="dxa" w:w="905"/>
            <w:tcBorders>
              <w:top w:val="none" w:color="000000" w:sz="4"/>
              <w:left w:val="single" w:color="000000" w:sz="4"/>
              <w:bottom w:val="single" w:color="000000" w:sz="4"/>
              <w:right w:val="single" w:color="000000" w:sz="4"/>
            </w:tcBorders>
            <w:vAlign w:val="top"/>
          </w:tcPr>
          <w:p>
            <w:pPr>
              <w:jc w:val="center"/>
            </w:pPr>
          </w:p>
        </w:tc>
        <w:tc>
          <w:tcPr>
            <w:tcW w:type="dxa" w:w="1024"/>
            <w:tcBorders>
              <w:top w:val="none" w:color="000000" w:sz="4"/>
              <w:left w:val="single" w:color="000000" w:sz="4"/>
              <w:bottom w:val="single" w:color="000000" w:sz="4"/>
              <w:right w:val="single" w:color="000000" w:sz="4"/>
            </w:tcBorders>
            <w:vAlign w:val="top"/>
          </w:tcPr>
          <w:p>
            <w:pPr>
              <w:jc w:val="center"/>
            </w:pPr>
          </w:p>
        </w:tc>
        <w:tc>
          <w:tcPr>
            <w:tcW w:type="dxa" w:w="958"/>
            <w:tcBorders>
              <w:top w:val="none" w:color="000000" w:sz="4"/>
              <w:left w:val="single" w:color="000000" w:sz="4"/>
              <w:bottom w:val="single" w:color="000000" w:sz="4"/>
              <w:right w:val="single" w:color="000000" w:sz="4"/>
            </w:tcBorders>
            <w:vAlign w:val="top"/>
          </w:tcPr>
          <w:p>
            <w:pPr>
              <w:jc w:val="center"/>
            </w:pPr>
          </w:p>
        </w:tc>
        <w:tc>
          <w:tcPr>
            <w:tcW w:type="dxa" w:w="905"/>
            <w:tcBorders>
              <w:top w:val="none" w:color="000000" w:sz="4"/>
              <w:left w:val="single" w:color="000000" w:sz="4"/>
              <w:bottom w:val="single" w:color="000000" w:sz="4"/>
              <w:right w:val="single" w:color="000000" w:sz="4"/>
            </w:tcBorders>
            <w:vAlign w:val="top"/>
          </w:tcPr>
          <w:p>
            <w:pPr>
              <w:jc w:val="center"/>
            </w:pPr>
          </w:p>
        </w:tc>
        <w:tc>
          <w:tcPr>
            <w:tcW w:type="dxa" w:w="825"/>
            <w:tcBorders>
              <w:top w:val="none" w:color="000000" w:sz="4"/>
              <w:left w:val="single" w:color="000000" w:sz="4"/>
              <w:bottom w:val="single" w:color="000000" w:sz="4"/>
              <w:right w:val="single" w:color="000000" w:sz="4"/>
            </w:tcBorders>
            <w:vAlign w:val="top"/>
          </w:tcPr>
          <w:p>
            <w:r>
              <w:rPr>
                <w:sz w:val="19"/>
              </w:rPr>
              <w:t xml:space="preserve"> </w:t>
            </w:r>
          </w:p>
          <w:p>
            <w:pPr>
              <w:jc w:val="center"/>
            </w:pPr>
          </w:p>
        </w:tc>
        <w:tc>
          <w:tcPr>
            <w:tcW w:type="dxa" w:w="945"/>
            <w:tcBorders>
              <w:top w:val="none" w:color="000000" w:sz="4"/>
              <w:left w:val="single" w:color="000000" w:sz="4"/>
              <w:bottom w:val="single" w:color="000000" w:sz="4"/>
              <w:right w:val="single" w:color="000000" w:sz="4"/>
            </w:tcBorders>
            <w:vAlign w:val="top"/>
          </w:tcPr>
          <w:p>
            <w:pPr>
              <w:jc w:val="center"/>
            </w:pPr>
          </w:p>
        </w:tc>
        <w:tc>
          <w:tcPr>
            <w:tcW w:type="dxa" w:w="785"/>
            <w:tcBorders>
              <w:top w:val="none" w:color="000000" w:sz="4"/>
              <w:left w:val="single" w:color="000000" w:sz="4"/>
              <w:bottom w:val="single" w:color="000000" w:sz="4"/>
              <w:right w:val="single" w:color="000000" w:sz="4"/>
            </w:tcBorders>
            <w:vAlign w:val="top"/>
          </w:tcPr>
          <w:p>
            <w:pPr>
              <w:jc w:val="center"/>
            </w:pPr>
          </w:p>
        </w:tc>
        <w:tc>
          <w:tcPr>
            <w:tcW w:type="dxa" w:w="785"/>
            <w:tcBorders>
              <w:top w:val="none" w:color="000000" w:sz="4"/>
              <w:left w:val="single" w:color="000000" w:sz="4"/>
              <w:bottom w:val="single" w:color="000000" w:sz="4"/>
              <w:right w:val="single" w:color="000000" w:sz="4"/>
            </w:tcBorders>
            <w:vAlign w:val="top"/>
          </w:tcPr>
          <w:p>
            <w:pPr>
              <w:jc w:val="center"/>
            </w:pPr>
          </w:p>
        </w:tc>
        <w:tc>
          <w:tcPr>
            <w:tcW w:type="dxa" w:w="772"/>
            <w:tcBorders>
              <w:top w:val="none" w:color="000000" w:sz="4"/>
              <w:left w:val="single" w:color="000000" w:sz="4"/>
              <w:bottom w:val="single" w:color="000000" w:sz="4"/>
              <w:right w:val="single" w:color="000000" w:sz="4"/>
            </w:tcBorders>
            <w:vAlign w:val="top"/>
          </w:tcPr>
          <w:p>
            <w:pPr>
              <w:jc w:val="center"/>
            </w:pPr>
          </w:p>
        </w:tc>
        <w:tc>
          <w:tcPr>
            <w:tcW w:type="dxa" w:w="758"/>
            <w:tcBorders>
              <w:top w:val="none" w:color="000000" w:sz="4"/>
              <w:left w:val="single" w:color="000000" w:sz="4"/>
              <w:bottom w:val="single" w:color="000000" w:sz="4"/>
              <w:right w:val="single" w:color="000000" w:sz="4"/>
            </w:tcBorders>
            <w:vAlign w:val="top"/>
          </w:tcPr>
          <w:p>
            <w:pPr>
              <w:jc w:val="center"/>
            </w:pPr>
          </w:p>
        </w:tc>
      </w:tr>
      <w:tr>
        <w:tc>
          <w:tcPr>
            <w:tcW w:type="dxa" w:w="638"/>
            <w:tcBorders>
              <w:top w:val="none" w:color="000000" w:sz="4"/>
              <w:left w:val="single" w:color="000000" w:sz="4"/>
              <w:bottom w:val="single" w:color="000000" w:sz="4"/>
              <w:right w:val="single" w:color="000000" w:sz="4"/>
            </w:tcBorders>
            <w:vAlign w:val="top"/>
          </w:tcPr>
          <w:p>
            <w:pPr>
              <w:jc w:val="center"/>
            </w:pPr>
          </w:p>
        </w:tc>
        <w:tc>
          <w:tcPr>
            <w:tcW w:type="dxa" w:w="1011"/>
            <w:tcBorders>
              <w:top w:val="none" w:color="000000" w:sz="4"/>
              <w:left w:val="single" w:color="000000" w:sz="4"/>
              <w:bottom w:val="single" w:color="000000" w:sz="4"/>
              <w:right w:val="single" w:color="000000" w:sz="4"/>
            </w:tcBorders>
            <w:vAlign w:val="top"/>
          </w:tcPr>
          <w:p>
            <w:pPr>
              <w:jc w:val="center"/>
            </w:pPr>
          </w:p>
        </w:tc>
        <w:tc>
          <w:tcPr>
            <w:tcW w:type="dxa" w:w="905"/>
            <w:tcBorders>
              <w:top w:val="none" w:color="000000" w:sz="4"/>
              <w:left w:val="single" w:color="000000" w:sz="4"/>
              <w:bottom w:val="single" w:color="000000" w:sz="4"/>
              <w:right w:val="single" w:color="000000" w:sz="4"/>
            </w:tcBorders>
            <w:vAlign w:val="top"/>
          </w:tcPr>
          <w:p>
            <w:pPr>
              <w:jc w:val="center"/>
            </w:pPr>
          </w:p>
        </w:tc>
        <w:tc>
          <w:tcPr>
            <w:tcW w:type="dxa" w:w="1024"/>
            <w:tcBorders>
              <w:top w:val="none" w:color="000000" w:sz="4"/>
              <w:left w:val="single" w:color="000000" w:sz="4"/>
              <w:bottom w:val="single" w:color="000000" w:sz="4"/>
              <w:right w:val="single" w:color="000000" w:sz="4"/>
            </w:tcBorders>
            <w:vAlign w:val="top"/>
          </w:tcPr>
          <w:p>
            <w:pPr>
              <w:jc w:val="center"/>
            </w:pPr>
          </w:p>
        </w:tc>
        <w:tc>
          <w:tcPr>
            <w:tcW w:type="dxa" w:w="958"/>
            <w:tcBorders>
              <w:top w:val="none" w:color="000000" w:sz="4"/>
              <w:left w:val="single" w:color="000000" w:sz="4"/>
              <w:bottom w:val="single" w:color="000000" w:sz="4"/>
              <w:right w:val="single" w:color="000000" w:sz="4"/>
            </w:tcBorders>
            <w:vAlign w:val="top"/>
          </w:tcPr>
          <w:p>
            <w:pPr>
              <w:jc w:val="center"/>
            </w:pPr>
          </w:p>
        </w:tc>
        <w:tc>
          <w:tcPr>
            <w:tcW w:type="dxa" w:w="905"/>
            <w:tcBorders>
              <w:top w:val="none" w:color="000000" w:sz="4"/>
              <w:left w:val="single" w:color="000000" w:sz="4"/>
              <w:bottom w:val="single" w:color="000000" w:sz="4"/>
              <w:right w:val="single" w:color="000000" w:sz="4"/>
            </w:tcBorders>
            <w:vAlign w:val="top"/>
          </w:tcPr>
          <w:p>
            <w:pPr>
              <w:jc w:val="center"/>
            </w:pPr>
          </w:p>
        </w:tc>
        <w:tc>
          <w:tcPr>
            <w:tcW w:type="dxa" w:w="825"/>
            <w:tcBorders>
              <w:top w:val="none" w:color="000000" w:sz="4"/>
              <w:left w:val="single" w:color="000000" w:sz="4"/>
              <w:bottom w:val="single" w:color="000000" w:sz="4"/>
              <w:right w:val="single" w:color="000000" w:sz="4"/>
            </w:tcBorders>
            <w:vAlign w:val="top"/>
          </w:tcPr>
          <w:p>
            <w:r>
              <w:rPr>
                <w:sz w:val="19"/>
              </w:rPr>
              <w:t xml:space="preserve"> </w:t>
            </w:r>
          </w:p>
          <w:p>
            <w:pPr>
              <w:jc w:val="center"/>
            </w:pPr>
          </w:p>
        </w:tc>
        <w:tc>
          <w:tcPr>
            <w:tcW w:type="dxa" w:w="945"/>
            <w:tcBorders>
              <w:top w:val="none" w:color="000000" w:sz="4"/>
              <w:left w:val="single" w:color="000000" w:sz="4"/>
              <w:bottom w:val="single" w:color="000000" w:sz="4"/>
              <w:right w:val="single" w:color="000000" w:sz="4"/>
            </w:tcBorders>
            <w:vAlign w:val="top"/>
          </w:tcPr>
          <w:p>
            <w:pPr>
              <w:jc w:val="center"/>
            </w:pPr>
          </w:p>
        </w:tc>
        <w:tc>
          <w:tcPr>
            <w:tcW w:type="dxa" w:w="785"/>
            <w:tcBorders>
              <w:top w:val="none" w:color="000000" w:sz="4"/>
              <w:left w:val="single" w:color="000000" w:sz="4"/>
              <w:bottom w:val="single" w:color="000000" w:sz="4"/>
              <w:right w:val="single" w:color="000000" w:sz="4"/>
            </w:tcBorders>
            <w:vAlign w:val="top"/>
          </w:tcPr>
          <w:p>
            <w:pPr>
              <w:jc w:val="center"/>
            </w:pPr>
          </w:p>
        </w:tc>
        <w:tc>
          <w:tcPr>
            <w:tcW w:type="dxa" w:w="785"/>
            <w:tcBorders>
              <w:top w:val="none" w:color="000000" w:sz="4"/>
              <w:left w:val="single" w:color="000000" w:sz="4"/>
              <w:bottom w:val="single" w:color="000000" w:sz="4"/>
              <w:right w:val="single" w:color="000000" w:sz="4"/>
            </w:tcBorders>
            <w:vAlign w:val="top"/>
          </w:tcPr>
          <w:p>
            <w:pPr>
              <w:jc w:val="center"/>
            </w:pPr>
          </w:p>
        </w:tc>
        <w:tc>
          <w:tcPr>
            <w:tcW w:type="dxa" w:w="772"/>
            <w:tcBorders>
              <w:top w:val="none" w:color="000000" w:sz="4"/>
              <w:left w:val="single" w:color="000000" w:sz="4"/>
              <w:bottom w:val="single" w:color="000000" w:sz="4"/>
              <w:right w:val="single" w:color="000000" w:sz="4"/>
            </w:tcBorders>
            <w:vAlign w:val="top"/>
          </w:tcPr>
          <w:p>
            <w:pPr>
              <w:jc w:val="center"/>
            </w:pPr>
          </w:p>
        </w:tc>
        <w:tc>
          <w:tcPr>
            <w:tcW w:type="dxa" w:w="758"/>
            <w:tcBorders>
              <w:top w:val="none" w:color="000000" w:sz="4"/>
              <w:left w:val="single" w:color="000000" w:sz="4"/>
              <w:bottom w:val="single" w:color="000000" w:sz="4"/>
              <w:right w:val="single" w:color="000000" w:sz="4"/>
            </w:tcBorders>
            <w:vAlign w:val="top"/>
          </w:tcPr>
          <w:p>
            <w:pPr>
              <w:jc w:val="center"/>
            </w:pPr>
          </w:p>
        </w:tc>
      </w:tr>
      <w:tr>
        <w:tc>
          <w:tcPr>
            <w:tcW w:type="dxa" w:w="638"/>
            <w:tcBorders>
              <w:top w:val="none" w:color="000000" w:sz="4"/>
              <w:left w:val="single" w:color="000000" w:sz="4"/>
              <w:bottom w:val="single" w:color="000000" w:sz="4"/>
              <w:right w:val="single" w:color="000000" w:sz="4"/>
            </w:tcBorders>
            <w:vAlign w:val="top"/>
          </w:tcPr>
          <w:p>
            <w:pPr>
              <w:jc w:val="center"/>
            </w:pPr>
          </w:p>
        </w:tc>
        <w:tc>
          <w:tcPr>
            <w:tcW w:type="dxa" w:w="1011"/>
            <w:tcBorders>
              <w:top w:val="none" w:color="000000" w:sz="4"/>
              <w:left w:val="single" w:color="000000" w:sz="4"/>
              <w:bottom w:val="single" w:color="000000" w:sz="4"/>
              <w:right w:val="single" w:color="000000" w:sz="4"/>
            </w:tcBorders>
            <w:vAlign w:val="top"/>
          </w:tcPr>
          <w:p>
            <w:pPr>
              <w:jc w:val="center"/>
            </w:pPr>
          </w:p>
        </w:tc>
        <w:tc>
          <w:tcPr>
            <w:tcW w:type="dxa" w:w="905"/>
            <w:tcBorders>
              <w:top w:val="none" w:color="000000" w:sz="4"/>
              <w:left w:val="single" w:color="000000" w:sz="4"/>
              <w:bottom w:val="single" w:color="000000" w:sz="4"/>
              <w:right w:val="single" w:color="000000" w:sz="4"/>
            </w:tcBorders>
            <w:vAlign w:val="top"/>
          </w:tcPr>
          <w:p>
            <w:pPr>
              <w:jc w:val="center"/>
            </w:pPr>
          </w:p>
        </w:tc>
        <w:tc>
          <w:tcPr>
            <w:tcW w:type="dxa" w:w="1024"/>
            <w:tcBorders>
              <w:top w:val="none" w:color="000000" w:sz="4"/>
              <w:left w:val="single" w:color="000000" w:sz="4"/>
              <w:bottom w:val="single" w:color="000000" w:sz="4"/>
              <w:right w:val="single" w:color="000000" w:sz="4"/>
            </w:tcBorders>
            <w:vAlign w:val="top"/>
          </w:tcPr>
          <w:p>
            <w:pPr>
              <w:jc w:val="center"/>
            </w:pPr>
          </w:p>
        </w:tc>
        <w:tc>
          <w:tcPr>
            <w:tcW w:type="dxa" w:w="958"/>
            <w:tcBorders>
              <w:top w:val="none" w:color="000000" w:sz="4"/>
              <w:left w:val="single" w:color="000000" w:sz="4"/>
              <w:bottom w:val="single" w:color="000000" w:sz="4"/>
              <w:right w:val="single" w:color="000000" w:sz="4"/>
            </w:tcBorders>
            <w:vAlign w:val="top"/>
          </w:tcPr>
          <w:p>
            <w:pPr>
              <w:jc w:val="center"/>
            </w:pPr>
          </w:p>
        </w:tc>
        <w:tc>
          <w:tcPr>
            <w:tcW w:type="dxa" w:w="905"/>
            <w:tcBorders>
              <w:top w:val="none" w:color="000000" w:sz="4"/>
              <w:left w:val="single" w:color="000000" w:sz="4"/>
              <w:bottom w:val="single" w:color="000000" w:sz="4"/>
              <w:right w:val="single" w:color="000000" w:sz="4"/>
            </w:tcBorders>
            <w:vAlign w:val="top"/>
          </w:tcPr>
          <w:p>
            <w:pPr>
              <w:jc w:val="center"/>
            </w:pPr>
          </w:p>
        </w:tc>
        <w:tc>
          <w:tcPr>
            <w:tcW w:type="dxa" w:w="825"/>
            <w:tcBorders>
              <w:top w:val="none" w:color="000000" w:sz="4"/>
              <w:left w:val="single" w:color="000000" w:sz="4"/>
              <w:bottom w:val="single" w:color="000000" w:sz="4"/>
              <w:right w:val="single" w:color="000000" w:sz="4"/>
            </w:tcBorders>
            <w:vAlign w:val="top"/>
          </w:tcPr>
          <w:p>
            <w:pPr>
              <w:jc w:val="center"/>
            </w:pPr>
          </w:p>
        </w:tc>
        <w:tc>
          <w:tcPr>
            <w:tcW w:type="dxa" w:w="945"/>
            <w:tcBorders>
              <w:top w:val="none" w:color="000000" w:sz="4"/>
              <w:left w:val="single" w:color="000000" w:sz="4"/>
              <w:bottom w:val="single" w:color="000000" w:sz="4"/>
              <w:right w:val="single" w:color="000000" w:sz="4"/>
            </w:tcBorders>
            <w:vAlign w:val="top"/>
          </w:tcPr>
          <w:p>
            <w:r>
              <w:rPr>
                <w:sz w:val="19"/>
              </w:rPr>
              <w:t xml:space="preserve"> </w:t>
            </w:r>
          </w:p>
          <w:p>
            <w:pPr>
              <w:jc w:val="center"/>
            </w:pPr>
          </w:p>
        </w:tc>
        <w:tc>
          <w:tcPr>
            <w:tcW w:type="dxa" w:w="785"/>
            <w:tcBorders>
              <w:top w:val="none" w:color="000000" w:sz="4"/>
              <w:left w:val="single" w:color="000000" w:sz="4"/>
              <w:bottom w:val="single" w:color="000000" w:sz="4"/>
              <w:right w:val="single" w:color="000000" w:sz="4"/>
            </w:tcBorders>
            <w:vAlign w:val="top"/>
          </w:tcPr>
          <w:p>
            <w:pPr>
              <w:jc w:val="center"/>
            </w:pPr>
          </w:p>
        </w:tc>
        <w:tc>
          <w:tcPr>
            <w:tcW w:type="dxa" w:w="785"/>
            <w:tcBorders>
              <w:top w:val="none" w:color="000000" w:sz="4"/>
              <w:left w:val="single" w:color="000000" w:sz="4"/>
              <w:bottom w:val="single" w:color="000000" w:sz="4"/>
              <w:right w:val="single" w:color="000000" w:sz="4"/>
            </w:tcBorders>
            <w:vAlign w:val="top"/>
          </w:tcPr>
          <w:p>
            <w:pPr>
              <w:jc w:val="center"/>
            </w:pPr>
          </w:p>
        </w:tc>
        <w:tc>
          <w:tcPr>
            <w:tcW w:type="dxa" w:w="772"/>
            <w:tcBorders>
              <w:top w:val="none" w:color="000000" w:sz="4"/>
              <w:left w:val="single" w:color="000000" w:sz="4"/>
              <w:bottom w:val="single" w:color="000000" w:sz="4"/>
              <w:right w:val="single" w:color="000000" w:sz="4"/>
            </w:tcBorders>
            <w:vAlign w:val="top"/>
          </w:tcPr>
          <w:p>
            <w:pPr>
              <w:jc w:val="center"/>
            </w:pPr>
          </w:p>
        </w:tc>
        <w:tc>
          <w:tcPr>
            <w:tcW w:type="dxa" w:w="758"/>
            <w:tcBorders>
              <w:top w:val="none" w:color="000000" w:sz="4"/>
              <w:left w:val="single" w:color="000000" w:sz="4"/>
              <w:bottom w:val="single" w:color="000000" w:sz="4"/>
              <w:right w:val="single" w:color="000000" w:sz="4"/>
            </w:tcBorders>
            <w:vAlign w:val="top"/>
          </w:tcPr>
          <w:p>
            <w:pPr>
              <w:jc w:val="center"/>
            </w:pPr>
          </w:p>
        </w:tc>
      </w:tr>
      <w:tr>
        <w:tc>
          <w:tcPr>
            <w:tcW w:type="dxa" w:w="10311"/>
            <w:gridSpan w:val="12"/>
            <w:tcBorders>
              <w:top w:val="none" w:color="000000" w:sz="4"/>
              <w:left w:val="single" w:color="000000" w:sz="4"/>
              <w:bottom w:val="single" w:color="000000" w:sz="4"/>
              <w:right w:val="single" w:color="000000" w:sz="4"/>
            </w:tcBorders>
            <w:vAlign w:val="top"/>
          </w:tcPr>
          <w:p>
            <w:pPr>
              <w:ind w:firstLine="1470"/>
              <w:jc w:val="both"/>
            </w:pPr>
            <w:r>
              <w:rPr>
                <w:sz w:val="21"/>
              </w:rPr>
              <w:t>合计总额：￥</w:t>
            </w:r>
            <w:r>
              <w:rPr>
                <w:sz w:val="21"/>
                <w:u w:val="single"/>
              </w:rPr>
              <w:t xml:space="preserve">                  </w:t>
            </w:r>
            <w:r>
              <w:rPr>
                <w:sz w:val="21"/>
              </w:rPr>
              <w:t>元；</w:t>
            </w:r>
            <w:r>
              <w:rPr>
                <w:sz w:val="21"/>
              </w:rPr>
              <w:t xml:space="preserve">   </w:t>
            </w:r>
            <w:r>
              <w:rPr>
                <w:sz w:val="21"/>
              </w:rPr>
              <w:t>大写：</w:t>
            </w:r>
            <w:r>
              <w:rPr>
                <w:sz w:val="21"/>
                <w:u w:val="single"/>
              </w:rPr>
              <w:t xml:space="preserve">                  </w:t>
            </w:r>
          </w:p>
        </w:tc>
      </w:tr>
    </w:tbl>
    <w:p>
      <w:pPr>
        <w:ind w:firstLine="720"/>
        <w:jc w:val="center"/>
      </w:pPr>
    </w:p>
    <w:p>
      <w:pPr>
        <w:ind w:firstLine="413"/>
        <w:jc w:val="both"/>
      </w:pPr>
      <w:r>
        <w:rPr>
          <w:b/>
          <w:sz w:val="21"/>
        </w:rPr>
        <w:t>注：货物名称内容必须与投标文件中货物名称内容一致。</w:t>
      </w:r>
    </w:p>
    <w:p>
      <w:pPr>
        <w:ind w:firstLine="420"/>
        <w:jc w:val="both"/>
      </w:pPr>
      <w:r>
        <w:rPr>
          <w:sz w:val="21"/>
        </w:rPr>
        <w:t>合同总额包括货款、设计、安装、随机零配件、标配工具、运输保险、调试、培训、</w:t>
      </w:r>
      <w:r>
        <w:rPr>
          <w:sz w:val="21"/>
        </w:rPr>
        <w:t>保修期</w:t>
      </w:r>
      <w:r>
        <w:rPr>
          <w:sz w:val="21"/>
        </w:rPr>
        <w:t>服务、各项税费及合同实施过程中不可预见费用等。</w:t>
      </w:r>
    </w:p>
    <w:p>
      <w:pPr>
        <w:ind w:firstLine="720"/>
        <w:jc w:val="center"/>
      </w:pPr>
      <w:r>
        <w:rPr>
          <w:b/>
          <w:sz w:val="21"/>
        </w:rPr>
        <w:t>专机配套耗材报价表</w:t>
      </w:r>
    </w:p>
    <w:tbl>
      <w:tblPr>
        <w:tblW w:w="0" w:type="auto"/>
        <w:tblBorders>
          <w:top w:val="none" w:color="000000" w:sz="4"/>
          <w:left w:val="none" w:color="000000" w:sz="4"/>
          <w:bottom w:val="none" w:color="000000" w:sz="4"/>
          <w:right w:val="none" w:color="000000" w:sz="4"/>
          <w:insideH w:val="none"/>
          <w:insideV w:val="none"/>
        </w:tblBorders>
      </w:tblPr>
      <w:tblGrid>
        <w:gridCol w:w="515"/>
        <w:gridCol w:w="829"/>
        <w:gridCol w:w="1143"/>
        <w:gridCol w:w="779"/>
        <w:gridCol w:w="804"/>
        <w:gridCol w:w="766"/>
        <w:gridCol w:w="0"/>
        <w:gridCol w:w="716"/>
        <w:gridCol w:w="1005"/>
        <w:gridCol w:w="37"/>
        <w:gridCol w:w="1105"/>
        <w:gridCol w:w="1331"/>
        <w:gridCol w:w="590"/>
        <w:gridCol w:w="691"/>
      </w:tblGrid>
      <w:tr>
        <w:tc>
          <w:tcPr>
            <w:tcW w:type="dxa" w:w="515"/>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829"/>
            <w:tcBorders>
              <w:top w:val="single" w:color="000000" w:sz="4"/>
              <w:left w:val="single" w:color="000000" w:sz="4"/>
              <w:bottom w:val="single" w:color="000000" w:sz="4"/>
              <w:right w:val="single" w:color="000000" w:sz="4"/>
            </w:tcBorders>
            <w:vAlign w:val="top"/>
          </w:tcPr>
          <w:p>
            <w:pPr>
              <w:jc w:val="center"/>
            </w:pPr>
            <w:r>
              <w:rPr>
                <w:color w:val="000000"/>
                <w:sz w:val="21"/>
              </w:rPr>
              <w:t>专机配套</w:t>
            </w:r>
            <w:r>
              <w:rPr>
                <w:color w:val="000000"/>
                <w:sz w:val="21"/>
              </w:rPr>
              <w:t>耗材名称</w:t>
            </w:r>
          </w:p>
        </w:tc>
        <w:tc>
          <w:tcPr>
            <w:tcW w:type="dxa" w:w="1143"/>
            <w:tcBorders>
              <w:top w:val="single" w:color="000000" w:sz="4"/>
              <w:left w:val="single" w:color="000000" w:sz="4"/>
              <w:bottom w:val="single" w:color="000000" w:sz="4"/>
              <w:right w:val="single" w:color="000000" w:sz="4"/>
            </w:tcBorders>
            <w:vAlign w:val="top"/>
          </w:tcPr>
          <w:p>
            <w:pPr>
              <w:jc w:val="center"/>
            </w:pPr>
            <w:r>
              <w:rPr>
                <w:color w:val="000000"/>
                <w:sz w:val="21"/>
              </w:rPr>
              <w:t>是否具有</w:t>
            </w:r>
          </w:p>
          <w:p>
            <w:pPr>
              <w:jc w:val="center"/>
            </w:pPr>
            <w:r>
              <w:rPr>
                <w:color w:val="000000"/>
                <w:sz w:val="21"/>
              </w:rPr>
              <w:t>（具有：</w:t>
            </w:r>
            <w:r>
              <w:rPr>
                <w:color w:val="000000"/>
                <w:sz w:val="21"/>
              </w:rPr>
              <w:t>√；</w:t>
            </w:r>
          </w:p>
          <w:p>
            <w:pPr>
              <w:jc w:val="center"/>
            </w:pPr>
            <w:r>
              <w:rPr>
                <w:color w:val="000000"/>
                <w:sz w:val="21"/>
              </w:rPr>
              <w:t>不具有：</w:t>
            </w:r>
            <w:r>
              <w:rPr>
                <w:color w:val="000000"/>
                <w:sz w:val="21"/>
              </w:rPr>
              <w:t>×）</w:t>
            </w:r>
          </w:p>
        </w:tc>
        <w:tc>
          <w:tcPr>
            <w:tcW w:type="dxa" w:w="779"/>
            <w:tcBorders>
              <w:top w:val="single" w:color="000000" w:sz="4"/>
              <w:left w:val="single" w:color="000000" w:sz="4"/>
              <w:bottom w:val="single" w:color="000000" w:sz="4"/>
              <w:right w:val="single" w:color="000000" w:sz="4"/>
            </w:tcBorders>
            <w:vAlign w:val="top"/>
          </w:tcPr>
          <w:p>
            <w:pPr>
              <w:jc w:val="center"/>
            </w:pPr>
            <w:r>
              <w:rPr>
                <w:color w:val="000000"/>
                <w:sz w:val="21"/>
              </w:rPr>
              <w:t>品牌</w:t>
            </w:r>
          </w:p>
        </w:tc>
        <w:tc>
          <w:tcPr>
            <w:tcW w:type="dxa" w:w="804"/>
            <w:tcBorders>
              <w:top w:val="single" w:color="000000" w:sz="4"/>
              <w:left w:val="single" w:color="000000" w:sz="4"/>
              <w:bottom w:val="single" w:color="000000" w:sz="4"/>
              <w:right w:val="single" w:color="000000" w:sz="4"/>
            </w:tcBorders>
            <w:vAlign w:val="top"/>
          </w:tcPr>
          <w:p>
            <w:pPr>
              <w:jc w:val="center"/>
            </w:pPr>
            <w:r>
              <w:rPr>
                <w:color w:val="000000"/>
                <w:sz w:val="21"/>
              </w:rPr>
              <w:t>规格型号</w:t>
            </w:r>
          </w:p>
        </w:tc>
        <w:tc>
          <w:tcPr>
            <w:tcW w:type="dxa" w:w="766"/>
            <w:gridSpan w:val="2"/>
            <w:tcBorders>
              <w:top w:val="single" w:color="000000" w:sz="4"/>
              <w:left w:val="single" w:color="000000" w:sz="4"/>
              <w:bottom w:val="single" w:color="000000" w:sz="4"/>
              <w:right w:val="single" w:color="000000" w:sz="4"/>
            </w:tcBorders>
            <w:vAlign w:val="top"/>
          </w:tcPr>
          <w:p>
            <w:pPr>
              <w:jc w:val="center"/>
            </w:pPr>
            <w:r>
              <w:rPr>
                <w:color w:val="000000"/>
                <w:sz w:val="21"/>
              </w:rPr>
              <w:t>技术</w:t>
            </w:r>
          </w:p>
          <w:p>
            <w:pPr>
              <w:jc w:val="center"/>
            </w:pPr>
            <w:r>
              <w:rPr>
                <w:color w:val="000000"/>
                <w:sz w:val="21"/>
              </w:rPr>
              <w:t>参数</w:t>
            </w:r>
          </w:p>
        </w:tc>
        <w:tc>
          <w:tcPr>
            <w:tcW w:type="dxa" w:w="716"/>
            <w:tcBorders>
              <w:top w:val="single" w:color="000000" w:sz="4"/>
              <w:left w:val="single" w:color="000000" w:sz="4"/>
              <w:bottom w:val="single" w:color="000000" w:sz="4"/>
              <w:right w:val="single" w:color="000000" w:sz="4"/>
            </w:tcBorders>
            <w:vAlign w:val="top"/>
          </w:tcPr>
          <w:p>
            <w:pPr>
              <w:jc w:val="center"/>
            </w:pPr>
            <w:r>
              <w:rPr>
                <w:color w:val="000000"/>
                <w:sz w:val="21"/>
              </w:rPr>
              <w:t>制造商、产地</w:t>
            </w:r>
          </w:p>
        </w:tc>
        <w:tc>
          <w:tcPr>
            <w:tcW w:type="dxa" w:w="1005"/>
            <w:tcBorders>
              <w:top w:val="single" w:color="000000" w:sz="4"/>
              <w:left w:val="single" w:color="000000" w:sz="4"/>
              <w:bottom w:val="single" w:color="000000" w:sz="4"/>
              <w:right w:val="single" w:color="000000" w:sz="4"/>
            </w:tcBorders>
            <w:vAlign w:val="top"/>
          </w:tcPr>
          <w:p>
            <w:pPr>
              <w:jc w:val="center"/>
            </w:pPr>
            <w:r>
              <w:rPr>
                <w:color w:val="000000"/>
                <w:sz w:val="21"/>
              </w:rPr>
              <w:t>注册证名称及注册证号</w:t>
            </w:r>
          </w:p>
        </w:tc>
        <w:tc>
          <w:tcPr>
            <w:tcW w:type="dxa" w:w="1142"/>
            <w:gridSpan w:val="2"/>
            <w:tcBorders>
              <w:top w:val="single" w:color="000000" w:sz="4"/>
              <w:left w:val="single" w:color="000000" w:sz="4"/>
              <w:bottom w:val="single" w:color="000000" w:sz="4"/>
              <w:right w:val="single" w:color="000000" w:sz="4"/>
            </w:tcBorders>
            <w:vAlign w:val="top"/>
          </w:tcPr>
          <w:p>
            <w:pPr>
              <w:jc w:val="center"/>
            </w:pPr>
            <w:r>
              <w:rPr>
                <w:color w:val="000000"/>
                <w:sz w:val="21"/>
              </w:rPr>
              <w:t>省药品交易平台采购报价（元）</w:t>
            </w:r>
          </w:p>
        </w:tc>
        <w:tc>
          <w:tcPr>
            <w:tcW w:type="dxa" w:w="1331"/>
            <w:tcBorders>
              <w:top w:val="single" w:color="000000" w:sz="4"/>
              <w:left w:val="single" w:color="000000" w:sz="4"/>
              <w:bottom w:val="single" w:color="000000" w:sz="4"/>
              <w:right w:val="single" w:color="000000" w:sz="4"/>
            </w:tcBorders>
            <w:vAlign w:val="top"/>
          </w:tcPr>
          <w:p>
            <w:pPr>
              <w:jc w:val="center"/>
            </w:pPr>
            <w:r>
              <w:rPr>
                <w:color w:val="000000"/>
                <w:sz w:val="21"/>
              </w:rPr>
              <w:t>省药品交易平台联盟区采购报价（元）</w:t>
            </w:r>
          </w:p>
        </w:tc>
        <w:tc>
          <w:tcPr>
            <w:tcW w:type="dxa" w:w="590"/>
            <w:tcBorders>
              <w:top w:val="single" w:color="000000" w:sz="4"/>
              <w:left w:val="single" w:color="000000" w:sz="4"/>
              <w:bottom w:val="single" w:color="000000" w:sz="4"/>
              <w:right w:val="single" w:color="000000" w:sz="4"/>
            </w:tcBorders>
            <w:vAlign w:val="top"/>
          </w:tcPr>
          <w:p>
            <w:pPr>
              <w:jc w:val="center"/>
            </w:pPr>
            <w:r>
              <w:rPr>
                <w:color w:val="000000"/>
                <w:sz w:val="21"/>
              </w:rPr>
              <w:t>单位</w:t>
            </w:r>
          </w:p>
        </w:tc>
        <w:tc>
          <w:tcPr>
            <w:tcW w:type="dxa" w:w="691"/>
            <w:tcBorders>
              <w:top w:val="single" w:color="000000" w:sz="4"/>
              <w:left w:val="single" w:color="000000" w:sz="4"/>
              <w:bottom w:val="single" w:color="000000" w:sz="4"/>
              <w:right w:val="single" w:color="000000" w:sz="4"/>
            </w:tcBorders>
            <w:vAlign w:val="top"/>
          </w:tcPr>
          <w:p>
            <w:pPr>
              <w:jc w:val="center"/>
            </w:pPr>
            <w:r>
              <w:rPr>
                <w:color w:val="000000"/>
                <w:sz w:val="21"/>
              </w:rPr>
              <w:t>投标</w:t>
            </w:r>
            <w:r>
              <w:rPr>
                <w:color w:val="000000"/>
                <w:sz w:val="21"/>
              </w:rPr>
              <w:t>单价（元）</w:t>
            </w:r>
          </w:p>
        </w:tc>
      </w:tr>
      <w:tr>
        <w:tc>
          <w:tcPr>
            <w:tcW w:type="dxa" w:w="10311"/>
            <w:gridSpan w:val="14"/>
            <w:tcBorders>
              <w:top w:val="none" w:color="000000" w:sz="4"/>
              <w:left w:val="single" w:color="000000" w:sz="4"/>
              <w:bottom w:val="single" w:color="000000" w:sz="4"/>
              <w:right w:val="single" w:color="000000" w:sz="4"/>
            </w:tcBorders>
            <w:vAlign w:val="top"/>
          </w:tcPr>
          <w:p>
            <w:pPr>
              <w:jc w:val="both"/>
            </w:pPr>
            <w:r>
              <w:rPr>
                <w:color w:val="000000"/>
                <w:sz w:val="21"/>
              </w:rPr>
              <w:t>设备名称：</w:t>
            </w: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29"/>
            <w:tcBorders>
              <w:top w:val="single" w:color="000000" w:sz="4"/>
              <w:left w:val="single" w:color="000000" w:sz="4"/>
              <w:bottom w:val="single" w:color="000000" w:sz="4"/>
              <w:right w:val="single" w:color="000000" w:sz="4"/>
            </w:tcBorders>
            <w:vAlign w:val="top"/>
          </w:tcPr>
          <w:p>
            <w:pPr>
              <w:jc w:val="center"/>
            </w:pPr>
          </w:p>
        </w:tc>
        <w:tc>
          <w:tcPr>
            <w:tcW w:type="dxa" w:w="1143"/>
            <w:tcBorders>
              <w:top w:val="single" w:color="000000" w:sz="4"/>
              <w:left w:val="single" w:color="000000" w:sz="4"/>
              <w:bottom w:val="single" w:color="000000" w:sz="4"/>
              <w:right w:val="single" w:color="000000" w:sz="4"/>
            </w:tcBorders>
            <w:vAlign w:val="top"/>
          </w:tcPr>
          <w:p>
            <w:pPr>
              <w:jc w:val="center"/>
            </w:pPr>
          </w:p>
        </w:tc>
        <w:tc>
          <w:tcPr>
            <w:tcW w:type="dxa" w:w="779"/>
            <w:tcBorders>
              <w:top w:val="single" w:color="000000" w:sz="4"/>
              <w:left w:val="single" w:color="000000" w:sz="4"/>
              <w:bottom w:val="single" w:color="000000" w:sz="4"/>
              <w:right w:val="single" w:color="000000" w:sz="4"/>
            </w:tcBorders>
            <w:vAlign w:val="top"/>
          </w:tcPr>
          <w:p>
            <w:pPr>
              <w:jc w:val="center"/>
            </w:pPr>
          </w:p>
        </w:tc>
        <w:tc>
          <w:tcPr>
            <w:tcW w:type="dxa" w:w="804"/>
            <w:tcBorders>
              <w:top w:val="single" w:color="000000" w:sz="4"/>
              <w:left w:val="single" w:color="000000" w:sz="4"/>
              <w:bottom w:val="single" w:color="000000" w:sz="4"/>
              <w:right w:val="single" w:color="000000" w:sz="4"/>
            </w:tcBorders>
            <w:vAlign w:val="top"/>
          </w:tcPr>
          <w:p>
            <w:pPr>
              <w:jc w:val="center"/>
            </w:pPr>
          </w:p>
        </w:tc>
        <w:tc>
          <w:tcPr>
            <w:tcW w:type="dxa" w:w="766"/>
            <w:gridSpan w:val="2"/>
            <w:tcBorders>
              <w:top w:val="single" w:color="000000" w:sz="4"/>
              <w:left w:val="single" w:color="000000" w:sz="4"/>
              <w:bottom w:val="single" w:color="000000" w:sz="4"/>
              <w:right w:val="single" w:color="000000" w:sz="4"/>
            </w:tcBorders>
            <w:vAlign w:val="top"/>
          </w:tcPr>
          <w:p>
            <w:pPr>
              <w:jc w:val="center"/>
            </w:pPr>
          </w:p>
        </w:tc>
        <w:tc>
          <w:tcPr>
            <w:tcW w:type="dxa" w:w="716"/>
            <w:tcBorders>
              <w:top w:val="single" w:color="000000" w:sz="4"/>
              <w:left w:val="single" w:color="000000" w:sz="4"/>
              <w:bottom w:val="single" w:color="000000" w:sz="4"/>
              <w:right w:val="single" w:color="000000" w:sz="4"/>
            </w:tcBorders>
            <w:vAlign w:val="top"/>
          </w:tcPr>
          <w:p>
            <w:pPr>
              <w:jc w:val="center"/>
            </w:pPr>
          </w:p>
        </w:tc>
        <w:tc>
          <w:tcPr>
            <w:tcW w:type="dxa" w:w="1005"/>
            <w:tcBorders>
              <w:top w:val="single" w:color="000000" w:sz="4"/>
              <w:left w:val="single" w:color="000000" w:sz="4"/>
              <w:bottom w:val="single" w:color="000000" w:sz="4"/>
              <w:right w:val="single" w:color="000000" w:sz="4"/>
            </w:tcBorders>
            <w:vAlign w:val="top"/>
          </w:tcPr>
          <w:p>
            <w:pPr>
              <w:jc w:val="center"/>
            </w:pPr>
          </w:p>
        </w:tc>
        <w:tc>
          <w:tcPr>
            <w:tcW w:type="dxa" w:w="1142"/>
            <w:gridSpan w:val="2"/>
            <w:tcBorders>
              <w:top w:val="single" w:color="000000" w:sz="4"/>
              <w:left w:val="single" w:color="000000" w:sz="4"/>
              <w:bottom w:val="single" w:color="000000" w:sz="4"/>
              <w:right w:val="single" w:color="000000" w:sz="4"/>
            </w:tcBorders>
            <w:vAlign w:val="top"/>
          </w:tcPr>
          <w:p>
            <w:pPr>
              <w:jc w:val="center"/>
            </w:pPr>
          </w:p>
        </w:tc>
        <w:tc>
          <w:tcPr>
            <w:tcW w:type="dxa" w:w="1331"/>
            <w:tcBorders>
              <w:top w:val="single" w:color="000000" w:sz="4"/>
              <w:left w:val="single" w:color="000000" w:sz="4"/>
              <w:bottom w:val="single" w:color="000000" w:sz="4"/>
              <w:right w:val="single" w:color="000000" w:sz="4"/>
            </w:tcBorders>
            <w:vAlign w:val="top"/>
          </w:tcPr>
          <w:p>
            <w:pPr>
              <w:jc w:val="center"/>
            </w:pPr>
          </w:p>
        </w:tc>
        <w:tc>
          <w:tcPr>
            <w:tcW w:type="dxa" w:w="590"/>
            <w:tcBorders>
              <w:top w:val="single" w:color="000000" w:sz="4"/>
              <w:left w:val="single" w:color="000000" w:sz="4"/>
              <w:bottom w:val="single" w:color="000000" w:sz="4"/>
              <w:right w:val="single" w:color="000000" w:sz="4"/>
            </w:tcBorders>
            <w:vAlign w:val="top"/>
          </w:tcPr>
          <w:p>
            <w:pPr>
              <w:jc w:val="center"/>
            </w:pPr>
          </w:p>
        </w:tc>
        <w:tc>
          <w:tcPr>
            <w:tcW w:type="dxa" w:w="691"/>
            <w:tcBorders>
              <w:top w:val="single" w:color="000000" w:sz="4"/>
              <w:left w:val="single" w:color="000000" w:sz="4"/>
              <w:bottom w:val="single" w:color="000000" w:sz="4"/>
              <w:right w:val="single" w:color="000000" w:sz="4"/>
            </w:tcBorders>
            <w:vAlign w:val="top"/>
          </w:tcPr>
          <w:p>
            <w:pPr>
              <w:jc w:val="center"/>
            </w:pP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29"/>
            <w:tcBorders>
              <w:top w:val="none" w:color="000000" w:sz="4"/>
              <w:left w:val="single" w:color="000000" w:sz="4"/>
              <w:bottom w:val="single" w:color="000000" w:sz="4"/>
              <w:right w:val="single" w:color="000000" w:sz="4"/>
            </w:tcBorders>
            <w:vAlign w:val="top"/>
          </w:tcPr>
          <w:p>
            <w:pPr>
              <w:jc w:val="center"/>
            </w:pPr>
          </w:p>
        </w:tc>
        <w:tc>
          <w:tcPr>
            <w:tcW w:type="dxa" w:w="1143"/>
            <w:tcBorders>
              <w:top w:val="none" w:color="000000" w:sz="4"/>
              <w:left w:val="single" w:color="000000" w:sz="4"/>
              <w:bottom w:val="single" w:color="000000" w:sz="4"/>
              <w:right w:val="single" w:color="000000" w:sz="4"/>
            </w:tcBorders>
            <w:vAlign w:val="top"/>
          </w:tcPr>
          <w:p>
            <w:pPr>
              <w:jc w:val="center"/>
            </w:pPr>
          </w:p>
        </w:tc>
        <w:tc>
          <w:tcPr>
            <w:tcW w:type="dxa" w:w="779"/>
            <w:tcBorders>
              <w:top w:val="none" w:color="000000" w:sz="4"/>
              <w:left w:val="single" w:color="000000" w:sz="4"/>
              <w:bottom w:val="single" w:color="000000" w:sz="4"/>
              <w:right w:val="single" w:color="000000" w:sz="4"/>
            </w:tcBorders>
            <w:vAlign w:val="top"/>
          </w:tcPr>
          <w:p>
            <w:pPr>
              <w:jc w:val="center"/>
            </w:pPr>
          </w:p>
        </w:tc>
        <w:tc>
          <w:tcPr>
            <w:tcW w:type="dxa" w:w="804"/>
            <w:tcBorders>
              <w:top w:val="none" w:color="000000" w:sz="4"/>
              <w:left w:val="single" w:color="000000" w:sz="4"/>
              <w:bottom w:val="single" w:color="000000" w:sz="4"/>
              <w:right w:val="single" w:color="000000" w:sz="4"/>
            </w:tcBorders>
            <w:vAlign w:val="top"/>
          </w:tcPr>
          <w:p>
            <w:pPr>
              <w:jc w:val="center"/>
            </w:pPr>
          </w:p>
        </w:tc>
        <w:tc>
          <w:tcPr>
            <w:tcW w:type="dxa" w:w="766"/>
            <w:gridSpan w:val="2"/>
            <w:tcBorders>
              <w:top w:val="none" w:color="000000" w:sz="4"/>
              <w:left w:val="single" w:color="000000" w:sz="4"/>
              <w:bottom w:val="single" w:color="000000" w:sz="4"/>
              <w:right w:val="single" w:color="000000" w:sz="4"/>
            </w:tcBorders>
            <w:vAlign w:val="top"/>
          </w:tcPr>
          <w:p>
            <w:pPr>
              <w:jc w:val="center"/>
            </w:pPr>
          </w:p>
        </w:tc>
        <w:tc>
          <w:tcPr>
            <w:tcW w:type="dxa" w:w="716"/>
            <w:tcBorders>
              <w:top w:val="none" w:color="000000" w:sz="4"/>
              <w:left w:val="single" w:color="000000" w:sz="4"/>
              <w:bottom w:val="single" w:color="000000" w:sz="4"/>
              <w:right w:val="single" w:color="000000" w:sz="4"/>
            </w:tcBorders>
            <w:vAlign w:val="top"/>
          </w:tcPr>
          <w:p>
            <w:pPr>
              <w:jc w:val="center"/>
            </w:pPr>
          </w:p>
        </w:tc>
        <w:tc>
          <w:tcPr>
            <w:tcW w:type="dxa" w:w="1005"/>
            <w:tcBorders>
              <w:top w:val="none" w:color="000000" w:sz="4"/>
              <w:left w:val="single" w:color="000000" w:sz="4"/>
              <w:bottom w:val="single" w:color="000000" w:sz="4"/>
              <w:right w:val="single" w:color="000000" w:sz="4"/>
            </w:tcBorders>
            <w:vAlign w:val="top"/>
          </w:tcPr>
          <w:p>
            <w:pPr>
              <w:jc w:val="center"/>
            </w:pPr>
          </w:p>
        </w:tc>
        <w:tc>
          <w:tcPr>
            <w:tcW w:type="dxa" w:w="1142"/>
            <w:gridSpan w:val="2"/>
            <w:tcBorders>
              <w:top w:val="none" w:color="000000" w:sz="4"/>
              <w:left w:val="single" w:color="000000" w:sz="4"/>
              <w:bottom w:val="single" w:color="000000" w:sz="4"/>
              <w:right w:val="single" w:color="000000" w:sz="4"/>
            </w:tcBorders>
            <w:vAlign w:val="top"/>
          </w:tcPr>
          <w:p>
            <w:pPr>
              <w:jc w:val="center"/>
            </w:pPr>
          </w:p>
        </w:tc>
        <w:tc>
          <w:tcPr>
            <w:tcW w:type="dxa" w:w="1331"/>
            <w:tcBorders>
              <w:top w:val="none" w:color="000000" w:sz="4"/>
              <w:left w:val="single" w:color="000000" w:sz="4"/>
              <w:bottom w:val="single" w:color="000000" w:sz="4"/>
              <w:right w:val="single" w:color="000000" w:sz="4"/>
            </w:tcBorders>
            <w:vAlign w:val="top"/>
          </w:tcPr>
          <w:p>
            <w:pPr>
              <w:jc w:val="center"/>
            </w:pPr>
          </w:p>
        </w:tc>
        <w:tc>
          <w:tcPr>
            <w:tcW w:type="dxa" w:w="590"/>
            <w:tcBorders>
              <w:top w:val="none" w:color="000000" w:sz="4"/>
              <w:left w:val="single" w:color="000000" w:sz="4"/>
              <w:bottom w:val="single" w:color="000000" w:sz="4"/>
              <w:right w:val="single" w:color="000000" w:sz="4"/>
            </w:tcBorders>
            <w:vAlign w:val="top"/>
          </w:tcPr>
          <w:p>
            <w:pPr>
              <w:jc w:val="center"/>
            </w:pPr>
          </w:p>
        </w:tc>
        <w:tc>
          <w:tcPr>
            <w:tcW w:type="dxa" w:w="691"/>
            <w:tcBorders>
              <w:top w:val="none" w:color="000000" w:sz="4"/>
              <w:left w:val="single" w:color="000000" w:sz="4"/>
              <w:bottom w:val="single" w:color="000000" w:sz="4"/>
              <w:right w:val="single" w:color="000000" w:sz="4"/>
            </w:tcBorders>
            <w:vAlign w:val="top"/>
          </w:tcPr>
          <w:p>
            <w:pPr>
              <w:jc w:val="center"/>
            </w:pP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829"/>
            <w:tcBorders>
              <w:top w:val="none" w:color="000000" w:sz="4"/>
              <w:left w:val="single" w:color="000000" w:sz="4"/>
              <w:bottom w:val="single" w:color="000000" w:sz="4"/>
              <w:right w:val="single" w:color="000000" w:sz="4"/>
            </w:tcBorders>
            <w:vAlign w:val="top"/>
          </w:tcPr>
          <w:p>
            <w:pPr>
              <w:jc w:val="center"/>
            </w:pPr>
          </w:p>
        </w:tc>
        <w:tc>
          <w:tcPr>
            <w:tcW w:type="dxa" w:w="1143"/>
            <w:tcBorders>
              <w:top w:val="none" w:color="000000" w:sz="4"/>
              <w:left w:val="single" w:color="000000" w:sz="4"/>
              <w:bottom w:val="single" w:color="000000" w:sz="4"/>
              <w:right w:val="single" w:color="000000" w:sz="4"/>
            </w:tcBorders>
            <w:vAlign w:val="top"/>
          </w:tcPr>
          <w:p>
            <w:pPr>
              <w:jc w:val="center"/>
            </w:pPr>
          </w:p>
        </w:tc>
        <w:tc>
          <w:tcPr>
            <w:tcW w:type="dxa" w:w="779"/>
            <w:tcBorders>
              <w:top w:val="none" w:color="000000" w:sz="4"/>
              <w:left w:val="single" w:color="000000" w:sz="4"/>
              <w:bottom w:val="single" w:color="000000" w:sz="4"/>
              <w:right w:val="single" w:color="000000" w:sz="4"/>
            </w:tcBorders>
            <w:vAlign w:val="top"/>
          </w:tcPr>
          <w:p>
            <w:pPr>
              <w:jc w:val="center"/>
            </w:pPr>
          </w:p>
        </w:tc>
        <w:tc>
          <w:tcPr>
            <w:tcW w:type="dxa" w:w="804"/>
            <w:tcBorders>
              <w:top w:val="none" w:color="000000" w:sz="4"/>
              <w:left w:val="single" w:color="000000" w:sz="4"/>
              <w:bottom w:val="single" w:color="000000" w:sz="4"/>
              <w:right w:val="single" w:color="000000" w:sz="4"/>
            </w:tcBorders>
            <w:vAlign w:val="top"/>
          </w:tcPr>
          <w:p>
            <w:pPr>
              <w:jc w:val="center"/>
            </w:pPr>
          </w:p>
        </w:tc>
        <w:tc>
          <w:tcPr>
            <w:tcW w:type="dxa" w:w="766"/>
            <w:gridSpan w:val="2"/>
            <w:tcBorders>
              <w:top w:val="none" w:color="000000" w:sz="4"/>
              <w:left w:val="single" w:color="000000" w:sz="4"/>
              <w:bottom w:val="single" w:color="000000" w:sz="4"/>
              <w:right w:val="single" w:color="000000" w:sz="4"/>
            </w:tcBorders>
            <w:vAlign w:val="top"/>
          </w:tcPr>
          <w:p>
            <w:pPr>
              <w:jc w:val="center"/>
            </w:pPr>
          </w:p>
        </w:tc>
        <w:tc>
          <w:tcPr>
            <w:tcW w:type="dxa" w:w="716"/>
            <w:tcBorders>
              <w:top w:val="none" w:color="000000" w:sz="4"/>
              <w:left w:val="single" w:color="000000" w:sz="4"/>
              <w:bottom w:val="single" w:color="000000" w:sz="4"/>
              <w:right w:val="single" w:color="000000" w:sz="4"/>
            </w:tcBorders>
            <w:vAlign w:val="top"/>
          </w:tcPr>
          <w:p>
            <w:pPr>
              <w:jc w:val="center"/>
            </w:pPr>
          </w:p>
        </w:tc>
        <w:tc>
          <w:tcPr>
            <w:tcW w:type="dxa" w:w="1005"/>
            <w:tcBorders>
              <w:top w:val="none" w:color="000000" w:sz="4"/>
              <w:left w:val="single" w:color="000000" w:sz="4"/>
              <w:bottom w:val="single" w:color="000000" w:sz="4"/>
              <w:right w:val="single" w:color="000000" w:sz="4"/>
            </w:tcBorders>
            <w:vAlign w:val="top"/>
          </w:tcPr>
          <w:p>
            <w:pPr>
              <w:jc w:val="center"/>
            </w:pPr>
          </w:p>
        </w:tc>
        <w:tc>
          <w:tcPr>
            <w:tcW w:type="dxa" w:w="1142"/>
            <w:gridSpan w:val="2"/>
            <w:tcBorders>
              <w:top w:val="none" w:color="000000" w:sz="4"/>
              <w:left w:val="single" w:color="000000" w:sz="4"/>
              <w:bottom w:val="single" w:color="000000" w:sz="4"/>
              <w:right w:val="single" w:color="000000" w:sz="4"/>
            </w:tcBorders>
            <w:vAlign w:val="top"/>
          </w:tcPr>
          <w:p>
            <w:pPr>
              <w:jc w:val="center"/>
            </w:pPr>
          </w:p>
        </w:tc>
        <w:tc>
          <w:tcPr>
            <w:tcW w:type="dxa" w:w="1331"/>
            <w:tcBorders>
              <w:top w:val="none" w:color="000000" w:sz="4"/>
              <w:left w:val="single" w:color="000000" w:sz="4"/>
              <w:bottom w:val="single" w:color="000000" w:sz="4"/>
              <w:right w:val="single" w:color="000000" w:sz="4"/>
            </w:tcBorders>
            <w:vAlign w:val="top"/>
          </w:tcPr>
          <w:p>
            <w:pPr>
              <w:jc w:val="center"/>
            </w:pPr>
          </w:p>
        </w:tc>
        <w:tc>
          <w:tcPr>
            <w:tcW w:type="dxa" w:w="590"/>
            <w:tcBorders>
              <w:top w:val="none" w:color="000000" w:sz="4"/>
              <w:left w:val="single" w:color="000000" w:sz="4"/>
              <w:bottom w:val="single" w:color="000000" w:sz="4"/>
              <w:right w:val="single" w:color="000000" w:sz="4"/>
            </w:tcBorders>
            <w:vAlign w:val="top"/>
          </w:tcPr>
          <w:p>
            <w:pPr>
              <w:jc w:val="center"/>
            </w:pPr>
          </w:p>
        </w:tc>
        <w:tc>
          <w:tcPr>
            <w:tcW w:type="dxa" w:w="691"/>
            <w:tcBorders>
              <w:top w:val="none" w:color="000000" w:sz="4"/>
              <w:left w:val="single" w:color="000000" w:sz="4"/>
              <w:bottom w:val="single" w:color="000000" w:sz="4"/>
              <w:right w:val="single" w:color="000000" w:sz="4"/>
            </w:tcBorders>
            <w:vAlign w:val="top"/>
          </w:tcPr>
          <w:p>
            <w:pPr>
              <w:jc w:val="center"/>
            </w:pP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w:t>
            </w:r>
          </w:p>
        </w:tc>
        <w:tc>
          <w:tcPr>
            <w:tcW w:type="dxa" w:w="829"/>
            <w:tcBorders>
              <w:top w:val="none" w:color="000000" w:sz="4"/>
              <w:left w:val="single" w:color="000000" w:sz="4"/>
              <w:bottom w:val="single" w:color="000000" w:sz="4"/>
              <w:right w:val="single" w:color="000000" w:sz="4"/>
            </w:tcBorders>
            <w:vAlign w:val="top"/>
          </w:tcPr>
          <w:p>
            <w:pPr>
              <w:jc w:val="center"/>
            </w:pPr>
          </w:p>
        </w:tc>
        <w:tc>
          <w:tcPr>
            <w:tcW w:type="dxa" w:w="1143"/>
            <w:tcBorders>
              <w:top w:val="none" w:color="000000" w:sz="4"/>
              <w:left w:val="single" w:color="000000" w:sz="4"/>
              <w:bottom w:val="single" w:color="000000" w:sz="4"/>
              <w:right w:val="single" w:color="000000" w:sz="4"/>
            </w:tcBorders>
            <w:vAlign w:val="top"/>
          </w:tcPr>
          <w:p>
            <w:pPr>
              <w:jc w:val="center"/>
            </w:pPr>
          </w:p>
        </w:tc>
        <w:tc>
          <w:tcPr>
            <w:tcW w:type="dxa" w:w="779"/>
            <w:tcBorders>
              <w:top w:val="none" w:color="000000" w:sz="4"/>
              <w:left w:val="single" w:color="000000" w:sz="4"/>
              <w:bottom w:val="single" w:color="000000" w:sz="4"/>
              <w:right w:val="single" w:color="000000" w:sz="4"/>
            </w:tcBorders>
            <w:vAlign w:val="top"/>
          </w:tcPr>
          <w:p>
            <w:pPr>
              <w:jc w:val="center"/>
            </w:pPr>
          </w:p>
        </w:tc>
        <w:tc>
          <w:tcPr>
            <w:tcW w:type="dxa" w:w="804"/>
            <w:tcBorders>
              <w:top w:val="none" w:color="000000" w:sz="4"/>
              <w:left w:val="single" w:color="000000" w:sz="4"/>
              <w:bottom w:val="single" w:color="000000" w:sz="4"/>
              <w:right w:val="single" w:color="000000" w:sz="4"/>
            </w:tcBorders>
            <w:vAlign w:val="top"/>
          </w:tcPr>
          <w:p>
            <w:pPr>
              <w:jc w:val="center"/>
            </w:pPr>
          </w:p>
        </w:tc>
        <w:tc>
          <w:tcPr>
            <w:tcW w:type="dxa" w:w="766"/>
            <w:gridSpan w:val="2"/>
            <w:tcBorders>
              <w:top w:val="none" w:color="000000" w:sz="4"/>
              <w:left w:val="single" w:color="000000" w:sz="4"/>
              <w:bottom w:val="single" w:color="000000" w:sz="4"/>
              <w:right w:val="single" w:color="000000" w:sz="4"/>
            </w:tcBorders>
            <w:vAlign w:val="top"/>
          </w:tcPr>
          <w:p>
            <w:pPr>
              <w:jc w:val="center"/>
            </w:pPr>
          </w:p>
        </w:tc>
        <w:tc>
          <w:tcPr>
            <w:tcW w:type="dxa" w:w="716"/>
            <w:tcBorders>
              <w:top w:val="none" w:color="000000" w:sz="4"/>
              <w:left w:val="single" w:color="000000" w:sz="4"/>
              <w:bottom w:val="single" w:color="000000" w:sz="4"/>
              <w:right w:val="single" w:color="000000" w:sz="4"/>
            </w:tcBorders>
            <w:vAlign w:val="top"/>
          </w:tcPr>
          <w:p>
            <w:pPr>
              <w:jc w:val="center"/>
            </w:pPr>
          </w:p>
        </w:tc>
        <w:tc>
          <w:tcPr>
            <w:tcW w:type="dxa" w:w="1005"/>
            <w:tcBorders>
              <w:top w:val="none" w:color="000000" w:sz="4"/>
              <w:left w:val="single" w:color="000000" w:sz="4"/>
              <w:bottom w:val="single" w:color="000000" w:sz="4"/>
              <w:right w:val="single" w:color="000000" w:sz="4"/>
            </w:tcBorders>
            <w:vAlign w:val="top"/>
          </w:tcPr>
          <w:p>
            <w:pPr>
              <w:jc w:val="center"/>
            </w:pPr>
          </w:p>
        </w:tc>
        <w:tc>
          <w:tcPr>
            <w:tcW w:type="dxa" w:w="1142"/>
            <w:gridSpan w:val="2"/>
            <w:tcBorders>
              <w:top w:val="none" w:color="000000" w:sz="4"/>
              <w:left w:val="single" w:color="000000" w:sz="4"/>
              <w:bottom w:val="single" w:color="000000" w:sz="4"/>
              <w:right w:val="single" w:color="000000" w:sz="4"/>
            </w:tcBorders>
            <w:vAlign w:val="top"/>
          </w:tcPr>
          <w:p>
            <w:pPr>
              <w:jc w:val="center"/>
            </w:pPr>
          </w:p>
        </w:tc>
        <w:tc>
          <w:tcPr>
            <w:tcW w:type="dxa" w:w="1331"/>
            <w:tcBorders>
              <w:top w:val="none" w:color="000000" w:sz="4"/>
              <w:left w:val="single" w:color="000000" w:sz="4"/>
              <w:bottom w:val="single" w:color="000000" w:sz="4"/>
              <w:right w:val="single" w:color="000000" w:sz="4"/>
            </w:tcBorders>
            <w:vAlign w:val="top"/>
          </w:tcPr>
          <w:p>
            <w:pPr>
              <w:jc w:val="center"/>
            </w:pPr>
          </w:p>
        </w:tc>
        <w:tc>
          <w:tcPr>
            <w:tcW w:type="dxa" w:w="590"/>
            <w:tcBorders>
              <w:top w:val="none" w:color="000000" w:sz="4"/>
              <w:left w:val="single" w:color="000000" w:sz="4"/>
              <w:bottom w:val="single" w:color="000000" w:sz="4"/>
              <w:right w:val="single" w:color="000000" w:sz="4"/>
            </w:tcBorders>
            <w:vAlign w:val="top"/>
          </w:tcPr>
          <w:p>
            <w:pPr>
              <w:jc w:val="center"/>
            </w:pPr>
          </w:p>
        </w:tc>
        <w:tc>
          <w:tcPr>
            <w:tcW w:type="dxa" w:w="691"/>
            <w:tcBorders>
              <w:top w:val="none" w:color="000000" w:sz="4"/>
              <w:left w:val="single" w:color="000000" w:sz="4"/>
              <w:bottom w:val="single" w:color="000000" w:sz="4"/>
              <w:right w:val="single" w:color="000000" w:sz="4"/>
            </w:tcBorders>
            <w:vAlign w:val="top"/>
          </w:tcPr>
          <w:p>
            <w:pPr>
              <w:jc w:val="center"/>
            </w:pPr>
          </w:p>
        </w:tc>
      </w:tr>
      <w:tr>
        <w:tc>
          <w:tcPr>
            <w:tcW w:type="dxa" w:w="10311"/>
            <w:gridSpan w:val="14"/>
            <w:tcBorders>
              <w:top w:val="none" w:color="000000" w:sz="4"/>
              <w:left w:val="single" w:color="000000" w:sz="4"/>
              <w:bottom w:val="single" w:color="000000" w:sz="4"/>
              <w:right w:val="single" w:color="000000" w:sz="4"/>
            </w:tcBorders>
            <w:vAlign w:val="top"/>
          </w:tcPr>
          <w:p>
            <w:pPr>
              <w:jc w:val="both"/>
            </w:pPr>
            <w:r>
              <w:rPr>
                <w:color w:val="000000"/>
                <w:sz w:val="21"/>
              </w:rPr>
              <w:t>设备名称：</w:t>
            </w: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29"/>
            <w:tcBorders>
              <w:top w:val="single" w:color="000000" w:sz="4"/>
              <w:left w:val="single" w:color="000000" w:sz="4"/>
              <w:bottom w:val="single" w:color="000000" w:sz="4"/>
              <w:right w:val="single" w:color="000000" w:sz="4"/>
            </w:tcBorders>
            <w:vAlign w:val="top"/>
          </w:tcPr>
          <w:p>
            <w:pPr>
              <w:jc w:val="center"/>
            </w:pPr>
          </w:p>
        </w:tc>
        <w:tc>
          <w:tcPr>
            <w:tcW w:type="dxa" w:w="1143"/>
            <w:tcBorders>
              <w:top w:val="single" w:color="000000" w:sz="4"/>
              <w:left w:val="single" w:color="000000" w:sz="4"/>
              <w:bottom w:val="single" w:color="000000" w:sz="4"/>
              <w:right w:val="single" w:color="000000" w:sz="4"/>
            </w:tcBorders>
            <w:vAlign w:val="top"/>
          </w:tcPr>
          <w:p>
            <w:pPr>
              <w:jc w:val="center"/>
            </w:pPr>
          </w:p>
        </w:tc>
        <w:tc>
          <w:tcPr>
            <w:tcW w:type="dxa" w:w="779"/>
            <w:tcBorders>
              <w:top w:val="single" w:color="000000" w:sz="4"/>
              <w:left w:val="single" w:color="000000" w:sz="4"/>
              <w:bottom w:val="single" w:color="000000" w:sz="4"/>
              <w:right w:val="single" w:color="000000" w:sz="4"/>
            </w:tcBorders>
            <w:vAlign w:val="top"/>
          </w:tcPr>
          <w:p>
            <w:pPr>
              <w:jc w:val="center"/>
            </w:pPr>
          </w:p>
        </w:tc>
        <w:tc>
          <w:tcPr>
            <w:tcW w:type="dxa" w:w="804"/>
            <w:tcBorders>
              <w:top w:val="single" w:color="000000" w:sz="4"/>
              <w:left w:val="single" w:color="000000" w:sz="4"/>
              <w:bottom w:val="single" w:color="000000" w:sz="4"/>
              <w:right w:val="single" w:color="000000" w:sz="4"/>
            </w:tcBorders>
            <w:vAlign w:val="top"/>
          </w:tcPr>
          <w:p>
            <w:pPr>
              <w:jc w:val="center"/>
            </w:pPr>
          </w:p>
        </w:tc>
        <w:tc>
          <w:tcPr>
            <w:tcW w:type="dxa" w:w="766"/>
            <w:tcBorders>
              <w:top w:val="single" w:color="000000" w:sz="4"/>
              <w:left w:val="single" w:color="000000" w:sz="4"/>
              <w:bottom w:val="single" w:color="000000" w:sz="4"/>
              <w:right w:val="single" w:color="000000" w:sz="4"/>
            </w:tcBorders>
            <w:vAlign w:val="top"/>
          </w:tcPr>
          <w:p>
            <w:pPr>
              <w:jc w:val="center"/>
            </w:pPr>
          </w:p>
        </w:tc>
        <w:tc>
          <w:tcPr>
            <w:tcW w:type="dxa" w:w="716"/>
            <w:gridSpan w:val="2"/>
            <w:tcBorders>
              <w:top w:val="single" w:color="000000" w:sz="4"/>
              <w:left w:val="single" w:color="000000" w:sz="4"/>
              <w:bottom w:val="single" w:color="000000" w:sz="4"/>
              <w:right w:val="single" w:color="000000" w:sz="4"/>
            </w:tcBorders>
            <w:vAlign w:val="top"/>
          </w:tcPr>
          <w:p>
            <w:pPr>
              <w:jc w:val="center"/>
            </w:pPr>
          </w:p>
        </w:tc>
        <w:tc>
          <w:tcPr>
            <w:tcW w:type="dxa" w:w="1042"/>
            <w:gridSpan w:val="2"/>
            <w:tcBorders>
              <w:top w:val="single" w:color="000000" w:sz="4"/>
              <w:left w:val="single" w:color="000000" w:sz="4"/>
              <w:bottom w:val="single" w:color="000000" w:sz="4"/>
              <w:right w:val="single" w:color="000000" w:sz="4"/>
            </w:tcBorders>
            <w:vAlign w:val="top"/>
          </w:tcPr>
          <w:p>
            <w:pPr>
              <w:jc w:val="center"/>
            </w:pPr>
          </w:p>
        </w:tc>
        <w:tc>
          <w:tcPr>
            <w:tcW w:type="dxa" w:w="1105"/>
            <w:tcBorders>
              <w:top w:val="single" w:color="000000" w:sz="4"/>
              <w:left w:val="single" w:color="000000" w:sz="4"/>
              <w:bottom w:val="single" w:color="000000" w:sz="4"/>
              <w:right w:val="single" w:color="000000" w:sz="4"/>
            </w:tcBorders>
            <w:vAlign w:val="top"/>
          </w:tcPr>
          <w:p>
            <w:pPr>
              <w:jc w:val="center"/>
            </w:pPr>
          </w:p>
        </w:tc>
        <w:tc>
          <w:tcPr>
            <w:tcW w:type="dxa" w:w="1331"/>
            <w:tcBorders>
              <w:top w:val="single" w:color="000000" w:sz="4"/>
              <w:left w:val="single" w:color="000000" w:sz="4"/>
              <w:bottom w:val="single" w:color="000000" w:sz="4"/>
              <w:right w:val="single" w:color="000000" w:sz="4"/>
            </w:tcBorders>
            <w:vAlign w:val="top"/>
          </w:tcPr>
          <w:p>
            <w:pPr>
              <w:jc w:val="center"/>
            </w:pPr>
          </w:p>
        </w:tc>
        <w:tc>
          <w:tcPr>
            <w:tcW w:type="dxa" w:w="590"/>
            <w:tcBorders>
              <w:top w:val="single" w:color="000000" w:sz="4"/>
              <w:left w:val="single" w:color="000000" w:sz="4"/>
              <w:bottom w:val="single" w:color="000000" w:sz="4"/>
              <w:right w:val="single" w:color="000000" w:sz="4"/>
            </w:tcBorders>
            <w:vAlign w:val="top"/>
          </w:tcPr>
          <w:p>
            <w:pPr>
              <w:jc w:val="center"/>
            </w:pPr>
          </w:p>
        </w:tc>
        <w:tc>
          <w:tcPr>
            <w:tcW w:type="dxa" w:w="691"/>
            <w:tcBorders>
              <w:top w:val="single" w:color="000000" w:sz="4"/>
              <w:left w:val="single" w:color="000000" w:sz="4"/>
              <w:bottom w:val="single" w:color="000000" w:sz="4"/>
              <w:right w:val="single" w:color="000000" w:sz="4"/>
            </w:tcBorders>
            <w:vAlign w:val="top"/>
          </w:tcPr>
          <w:p>
            <w:pPr>
              <w:jc w:val="center"/>
            </w:pP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29"/>
            <w:tcBorders>
              <w:top w:val="none" w:color="000000" w:sz="4"/>
              <w:left w:val="single" w:color="000000" w:sz="4"/>
              <w:bottom w:val="single" w:color="000000" w:sz="4"/>
              <w:right w:val="single" w:color="000000" w:sz="4"/>
            </w:tcBorders>
            <w:vAlign w:val="top"/>
          </w:tcPr>
          <w:p>
            <w:pPr>
              <w:jc w:val="center"/>
            </w:pPr>
          </w:p>
        </w:tc>
        <w:tc>
          <w:tcPr>
            <w:tcW w:type="dxa" w:w="1143"/>
            <w:tcBorders>
              <w:top w:val="none" w:color="000000" w:sz="4"/>
              <w:left w:val="single" w:color="000000" w:sz="4"/>
              <w:bottom w:val="single" w:color="000000" w:sz="4"/>
              <w:right w:val="single" w:color="000000" w:sz="4"/>
            </w:tcBorders>
            <w:vAlign w:val="top"/>
          </w:tcPr>
          <w:p>
            <w:pPr>
              <w:jc w:val="center"/>
            </w:pPr>
          </w:p>
        </w:tc>
        <w:tc>
          <w:tcPr>
            <w:tcW w:type="dxa" w:w="779"/>
            <w:tcBorders>
              <w:top w:val="none" w:color="000000" w:sz="4"/>
              <w:left w:val="single" w:color="000000" w:sz="4"/>
              <w:bottom w:val="single" w:color="000000" w:sz="4"/>
              <w:right w:val="single" w:color="000000" w:sz="4"/>
            </w:tcBorders>
            <w:vAlign w:val="top"/>
          </w:tcPr>
          <w:p>
            <w:pPr>
              <w:jc w:val="center"/>
            </w:pPr>
          </w:p>
        </w:tc>
        <w:tc>
          <w:tcPr>
            <w:tcW w:type="dxa" w:w="804"/>
            <w:tcBorders>
              <w:top w:val="none" w:color="000000" w:sz="4"/>
              <w:left w:val="single" w:color="000000" w:sz="4"/>
              <w:bottom w:val="single" w:color="000000" w:sz="4"/>
              <w:right w:val="single" w:color="000000" w:sz="4"/>
            </w:tcBorders>
            <w:vAlign w:val="top"/>
          </w:tcPr>
          <w:p>
            <w:pPr>
              <w:jc w:val="center"/>
            </w:pPr>
          </w:p>
        </w:tc>
        <w:tc>
          <w:tcPr>
            <w:tcW w:type="dxa" w:w="766"/>
            <w:tcBorders>
              <w:top w:val="none" w:color="000000" w:sz="4"/>
              <w:left w:val="single" w:color="000000" w:sz="4"/>
              <w:bottom w:val="single" w:color="000000" w:sz="4"/>
              <w:right w:val="single" w:color="000000" w:sz="4"/>
            </w:tcBorders>
            <w:vAlign w:val="top"/>
          </w:tcPr>
          <w:p>
            <w:pPr>
              <w:jc w:val="center"/>
            </w:pPr>
          </w:p>
        </w:tc>
        <w:tc>
          <w:tcPr>
            <w:tcW w:type="dxa" w:w="716"/>
            <w:gridSpan w:val="2"/>
            <w:tcBorders>
              <w:top w:val="none" w:color="000000" w:sz="4"/>
              <w:left w:val="single" w:color="000000" w:sz="4"/>
              <w:bottom w:val="single" w:color="000000" w:sz="4"/>
              <w:right w:val="single" w:color="000000" w:sz="4"/>
            </w:tcBorders>
            <w:vAlign w:val="top"/>
          </w:tcPr>
          <w:p>
            <w:pPr>
              <w:jc w:val="center"/>
            </w:pPr>
          </w:p>
        </w:tc>
        <w:tc>
          <w:tcPr>
            <w:tcW w:type="dxa" w:w="1042"/>
            <w:gridSpan w:val="2"/>
            <w:tcBorders>
              <w:top w:val="none" w:color="000000" w:sz="4"/>
              <w:left w:val="single" w:color="000000" w:sz="4"/>
              <w:bottom w:val="single" w:color="000000" w:sz="4"/>
              <w:right w:val="single" w:color="000000" w:sz="4"/>
            </w:tcBorders>
            <w:vAlign w:val="top"/>
          </w:tcPr>
          <w:p>
            <w:pPr>
              <w:jc w:val="center"/>
            </w:pPr>
          </w:p>
        </w:tc>
        <w:tc>
          <w:tcPr>
            <w:tcW w:type="dxa" w:w="1105"/>
            <w:tcBorders>
              <w:top w:val="none" w:color="000000" w:sz="4"/>
              <w:left w:val="single" w:color="000000" w:sz="4"/>
              <w:bottom w:val="single" w:color="000000" w:sz="4"/>
              <w:right w:val="single" w:color="000000" w:sz="4"/>
            </w:tcBorders>
            <w:vAlign w:val="top"/>
          </w:tcPr>
          <w:p>
            <w:pPr>
              <w:jc w:val="center"/>
            </w:pPr>
          </w:p>
        </w:tc>
        <w:tc>
          <w:tcPr>
            <w:tcW w:type="dxa" w:w="1331"/>
            <w:tcBorders>
              <w:top w:val="none" w:color="000000" w:sz="4"/>
              <w:left w:val="single" w:color="000000" w:sz="4"/>
              <w:bottom w:val="single" w:color="000000" w:sz="4"/>
              <w:right w:val="single" w:color="000000" w:sz="4"/>
            </w:tcBorders>
            <w:vAlign w:val="top"/>
          </w:tcPr>
          <w:p>
            <w:pPr>
              <w:jc w:val="center"/>
            </w:pPr>
          </w:p>
        </w:tc>
        <w:tc>
          <w:tcPr>
            <w:tcW w:type="dxa" w:w="590"/>
            <w:tcBorders>
              <w:top w:val="none" w:color="000000" w:sz="4"/>
              <w:left w:val="single" w:color="000000" w:sz="4"/>
              <w:bottom w:val="single" w:color="000000" w:sz="4"/>
              <w:right w:val="single" w:color="000000" w:sz="4"/>
            </w:tcBorders>
            <w:vAlign w:val="top"/>
          </w:tcPr>
          <w:p>
            <w:pPr>
              <w:jc w:val="center"/>
            </w:pPr>
          </w:p>
        </w:tc>
        <w:tc>
          <w:tcPr>
            <w:tcW w:type="dxa" w:w="691"/>
            <w:tcBorders>
              <w:top w:val="none" w:color="000000" w:sz="4"/>
              <w:left w:val="single" w:color="000000" w:sz="4"/>
              <w:bottom w:val="single" w:color="000000" w:sz="4"/>
              <w:right w:val="single" w:color="000000" w:sz="4"/>
            </w:tcBorders>
            <w:vAlign w:val="top"/>
          </w:tcPr>
          <w:p>
            <w:pPr>
              <w:jc w:val="center"/>
            </w:pP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829"/>
            <w:tcBorders>
              <w:top w:val="none" w:color="000000" w:sz="4"/>
              <w:left w:val="single" w:color="000000" w:sz="4"/>
              <w:bottom w:val="single" w:color="000000" w:sz="4"/>
              <w:right w:val="single" w:color="000000" w:sz="4"/>
            </w:tcBorders>
            <w:vAlign w:val="top"/>
          </w:tcPr>
          <w:p>
            <w:pPr>
              <w:jc w:val="center"/>
            </w:pPr>
          </w:p>
        </w:tc>
        <w:tc>
          <w:tcPr>
            <w:tcW w:type="dxa" w:w="1143"/>
            <w:tcBorders>
              <w:top w:val="none" w:color="000000" w:sz="4"/>
              <w:left w:val="single" w:color="000000" w:sz="4"/>
              <w:bottom w:val="single" w:color="000000" w:sz="4"/>
              <w:right w:val="single" w:color="000000" w:sz="4"/>
            </w:tcBorders>
            <w:vAlign w:val="top"/>
          </w:tcPr>
          <w:p>
            <w:pPr>
              <w:jc w:val="center"/>
            </w:pPr>
          </w:p>
        </w:tc>
        <w:tc>
          <w:tcPr>
            <w:tcW w:type="dxa" w:w="779"/>
            <w:tcBorders>
              <w:top w:val="none" w:color="000000" w:sz="4"/>
              <w:left w:val="single" w:color="000000" w:sz="4"/>
              <w:bottom w:val="single" w:color="000000" w:sz="4"/>
              <w:right w:val="single" w:color="000000" w:sz="4"/>
            </w:tcBorders>
            <w:vAlign w:val="top"/>
          </w:tcPr>
          <w:p>
            <w:pPr>
              <w:jc w:val="center"/>
            </w:pPr>
          </w:p>
        </w:tc>
        <w:tc>
          <w:tcPr>
            <w:tcW w:type="dxa" w:w="804"/>
            <w:tcBorders>
              <w:top w:val="none" w:color="000000" w:sz="4"/>
              <w:left w:val="single" w:color="000000" w:sz="4"/>
              <w:bottom w:val="single" w:color="000000" w:sz="4"/>
              <w:right w:val="single" w:color="000000" w:sz="4"/>
            </w:tcBorders>
            <w:vAlign w:val="top"/>
          </w:tcPr>
          <w:p>
            <w:pPr>
              <w:jc w:val="center"/>
            </w:pPr>
          </w:p>
        </w:tc>
        <w:tc>
          <w:tcPr>
            <w:tcW w:type="dxa" w:w="766"/>
            <w:tcBorders>
              <w:top w:val="none" w:color="000000" w:sz="4"/>
              <w:left w:val="single" w:color="000000" w:sz="4"/>
              <w:bottom w:val="single" w:color="000000" w:sz="4"/>
              <w:right w:val="single" w:color="000000" w:sz="4"/>
            </w:tcBorders>
            <w:vAlign w:val="top"/>
          </w:tcPr>
          <w:p>
            <w:pPr>
              <w:jc w:val="center"/>
            </w:pPr>
          </w:p>
        </w:tc>
        <w:tc>
          <w:tcPr>
            <w:tcW w:type="dxa" w:w="716"/>
            <w:gridSpan w:val="2"/>
            <w:tcBorders>
              <w:top w:val="none" w:color="000000" w:sz="4"/>
              <w:left w:val="single" w:color="000000" w:sz="4"/>
              <w:bottom w:val="single" w:color="000000" w:sz="4"/>
              <w:right w:val="single" w:color="000000" w:sz="4"/>
            </w:tcBorders>
            <w:vAlign w:val="top"/>
          </w:tcPr>
          <w:p>
            <w:pPr>
              <w:jc w:val="center"/>
            </w:pPr>
          </w:p>
        </w:tc>
        <w:tc>
          <w:tcPr>
            <w:tcW w:type="dxa" w:w="1042"/>
            <w:gridSpan w:val="2"/>
            <w:tcBorders>
              <w:top w:val="none" w:color="000000" w:sz="4"/>
              <w:left w:val="single" w:color="000000" w:sz="4"/>
              <w:bottom w:val="single" w:color="000000" w:sz="4"/>
              <w:right w:val="single" w:color="000000" w:sz="4"/>
            </w:tcBorders>
            <w:vAlign w:val="top"/>
          </w:tcPr>
          <w:p>
            <w:pPr>
              <w:jc w:val="center"/>
            </w:pPr>
          </w:p>
        </w:tc>
        <w:tc>
          <w:tcPr>
            <w:tcW w:type="dxa" w:w="1105"/>
            <w:tcBorders>
              <w:top w:val="none" w:color="000000" w:sz="4"/>
              <w:left w:val="single" w:color="000000" w:sz="4"/>
              <w:bottom w:val="single" w:color="000000" w:sz="4"/>
              <w:right w:val="single" w:color="000000" w:sz="4"/>
            </w:tcBorders>
            <w:vAlign w:val="top"/>
          </w:tcPr>
          <w:p>
            <w:pPr>
              <w:jc w:val="center"/>
            </w:pPr>
          </w:p>
        </w:tc>
        <w:tc>
          <w:tcPr>
            <w:tcW w:type="dxa" w:w="1331"/>
            <w:tcBorders>
              <w:top w:val="none" w:color="000000" w:sz="4"/>
              <w:left w:val="single" w:color="000000" w:sz="4"/>
              <w:bottom w:val="single" w:color="000000" w:sz="4"/>
              <w:right w:val="single" w:color="000000" w:sz="4"/>
            </w:tcBorders>
            <w:vAlign w:val="top"/>
          </w:tcPr>
          <w:p>
            <w:pPr>
              <w:jc w:val="center"/>
            </w:pPr>
          </w:p>
        </w:tc>
        <w:tc>
          <w:tcPr>
            <w:tcW w:type="dxa" w:w="590"/>
            <w:tcBorders>
              <w:top w:val="none" w:color="000000" w:sz="4"/>
              <w:left w:val="single" w:color="000000" w:sz="4"/>
              <w:bottom w:val="single" w:color="000000" w:sz="4"/>
              <w:right w:val="single" w:color="000000" w:sz="4"/>
            </w:tcBorders>
            <w:vAlign w:val="top"/>
          </w:tcPr>
          <w:p>
            <w:pPr>
              <w:jc w:val="center"/>
            </w:pPr>
          </w:p>
        </w:tc>
        <w:tc>
          <w:tcPr>
            <w:tcW w:type="dxa" w:w="691"/>
            <w:tcBorders>
              <w:top w:val="none" w:color="000000" w:sz="4"/>
              <w:left w:val="single" w:color="000000" w:sz="4"/>
              <w:bottom w:val="single" w:color="000000" w:sz="4"/>
              <w:right w:val="single" w:color="000000" w:sz="4"/>
            </w:tcBorders>
            <w:vAlign w:val="top"/>
          </w:tcPr>
          <w:p>
            <w:pPr>
              <w:jc w:val="center"/>
            </w:pP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w:t>
            </w:r>
          </w:p>
        </w:tc>
        <w:tc>
          <w:tcPr>
            <w:tcW w:type="dxa" w:w="829"/>
            <w:tcBorders>
              <w:top w:val="none" w:color="000000" w:sz="4"/>
              <w:left w:val="single" w:color="000000" w:sz="4"/>
              <w:bottom w:val="single" w:color="000000" w:sz="4"/>
              <w:right w:val="single" w:color="000000" w:sz="4"/>
            </w:tcBorders>
            <w:vAlign w:val="top"/>
          </w:tcPr>
          <w:p>
            <w:pPr>
              <w:jc w:val="center"/>
            </w:pPr>
          </w:p>
        </w:tc>
        <w:tc>
          <w:tcPr>
            <w:tcW w:type="dxa" w:w="1143"/>
            <w:tcBorders>
              <w:top w:val="none" w:color="000000" w:sz="4"/>
              <w:left w:val="single" w:color="000000" w:sz="4"/>
              <w:bottom w:val="single" w:color="000000" w:sz="4"/>
              <w:right w:val="single" w:color="000000" w:sz="4"/>
            </w:tcBorders>
            <w:vAlign w:val="top"/>
          </w:tcPr>
          <w:p>
            <w:pPr>
              <w:jc w:val="center"/>
            </w:pPr>
          </w:p>
        </w:tc>
        <w:tc>
          <w:tcPr>
            <w:tcW w:type="dxa" w:w="779"/>
            <w:tcBorders>
              <w:top w:val="none" w:color="000000" w:sz="4"/>
              <w:left w:val="single" w:color="000000" w:sz="4"/>
              <w:bottom w:val="single" w:color="000000" w:sz="4"/>
              <w:right w:val="single" w:color="000000" w:sz="4"/>
            </w:tcBorders>
            <w:vAlign w:val="top"/>
          </w:tcPr>
          <w:p>
            <w:pPr>
              <w:jc w:val="center"/>
            </w:pPr>
          </w:p>
        </w:tc>
        <w:tc>
          <w:tcPr>
            <w:tcW w:type="dxa" w:w="804"/>
            <w:tcBorders>
              <w:top w:val="none" w:color="000000" w:sz="4"/>
              <w:left w:val="single" w:color="000000" w:sz="4"/>
              <w:bottom w:val="single" w:color="000000" w:sz="4"/>
              <w:right w:val="single" w:color="000000" w:sz="4"/>
            </w:tcBorders>
            <w:vAlign w:val="top"/>
          </w:tcPr>
          <w:p>
            <w:pPr>
              <w:jc w:val="center"/>
            </w:pPr>
          </w:p>
        </w:tc>
        <w:tc>
          <w:tcPr>
            <w:tcW w:type="dxa" w:w="766"/>
            <w:tcBorders>
              <w:top w:val="none" w:color="000000" w:sz="4"/>
              <w:left w:val="single" w:color="000000" w:sz="4"/>
              <w:bottom w:val="single" w:color="000000" w:sz="4"/>
              <w:right w:val="single" w:color="000000" w:sz="4"/>
            </w:tcBorders>
            <w:vAlign w:val="top"/>
          </w:tcPr>
          <w:p>
            <w:pPr>
              <w:jc w:val="center"/>
            </w:pPr>
          </w:p>
        </w:tc>
        <w:tc>
          <w:tcPr>
            <w:tcW w:type="dxa" w:w="716"/>
            <w:gridSpan w:val="2"/>
            <w:tcBorders>
              <w:top w:val="none" w:color="000000" w:sz="4"/>
              <w:left w:val="single" w:color="000000" w:sz="4"/>
              <w:bottom w:val="single" w:color="000000" w:sz="4"/>
              <w:right w:val="single" w:color="000000" w:sz="4"/>
            </w:tcBorders>
            <w:vAlign w:val="top"/>
          </w:tcPr>
          <w:p>
            <w:pPr>
              <w:jc w:val="center"/>
            </w:pPr>
          </w:p>
        </w:tc>
        <w:tc>
          <w:tcPr>
            <w:tcW w:type="dxa" w:w="1042"/>
            <w:gridSpan w:val="2"/>
            <w:tcBorders>
              <w:top w:val="none" w:color="000000" w:sz="4"/>
              <w:left w:val="single" w:color="000000" w:sz="4"/>
              <w:bottom w:val="single" w:color="000000" w:sz="4"/>
              <w:right w:val="single" w:color="000000" w:sz="4"/>
            </w:tcBorders>
            <w:vAlign w:val="top"/>
          </w:tcPr>
          <w:p>
            <w:pPr>
              <w:jc w:val="center"/>
            </w:pPr>
          </w:p>
        </w:tc>
        <w:tc>
          <w:tcPr>
            <w:tcW w:type="dxa" w:w="1105"/>
            <w:tcBorders>
              <w:top w:val="none" w:color="000000" w:sz="4"/>
              <w:left w:val="single" w:color="000000" w:sz="4"/>
              <w:bottom w:val="single" w:color="000000" w:sz="4"/>
              <w:right w:val="single" w:color="000000" w:sz="4"/>
            </w:tcBorders>
            <w:vAlign w:val="top"/>
          </w:tcPr>
          <w:p>
            <w:pPr>
              <w:jc w:val="center"/>
            </w:pPr>
          </w:p>
        </w:tc>
        <w:tc>
          <w:tcPr>
            <w:tcW w:type="dxa" w:w="1331"/>
            <w:tcBorders>
              <w:top w:val="none" w:color="000000" w:sz="4"/>
              <w:left w:val="single" w:color="000000" w:sz="4"/>
              <w:bottom w:val="single" w:color="000000" w:sz="4"/>
              <w:right w:val="single" w:color="000000" w:sz="4"/>
            </w:tcBorders>
            <w:vAlign w:val="top"/>
          </w:tcPr>
          <w:p>
            <w:pPr>
              <w:jc w:val="center"/>
            </w:pPr>
          </w:p>
        </w:tc>
        <w:tc>
          <w:tcPr>
            <w:tcW w:type="dxa" w:w="590"/>
            <w:tcBorders>
              <w:top w:val="none" w:color="000000" w:sz="4"/>
              <w:left w:val="single" w:color="000000" w:sz="4"/>
              <w:bottom w:val="single" w:color="000000" w:sz="4"/>
              <w:right w:val="single" w:color="000000" w:sz="4"/>
            </w:tcBorders>
            <w:vAlign w:val="top"/>
          </w:tcPr>
          <w:p>
            <w:pPr>
              <w:jc w:val="center"/>
            </w:pPr>
          </w:p>
        </w:tc>
        <w:tc>
          <w:tcPr>
            <w:tcW w:type="dxa" w:w="691"/>
            <w:tcBorders>
              <w:top w:val="none" w:color="000000" w:sz="4"/>
              <w:left w:val="single" w:color="000000" w:sz="4"/>
              <w:bottom w:val="single" w:color="000000" w:sz="4"/>
              <w:right w:val="single" w:color="000000" w:sz="4"/>
            </w:tcBorders>
            <w:vAlign w:val="top"/>
          </w:tcPr>
          <w:p>
            <w:pPr>
              <w:jc w:val="center"/>
            </w:pPr>
          </w:p>
        </w:tc>
      </w:tr>
      <w:tr>
        <w:tc>
          <w:tcPr>
            <w:tcW w:type="dxa" w:w="10311"/>
            <w:gridSpan w:val="14"/>
            <w:tcBorders>
              <w:top w:val="none" w:color="000000" w:sz="4"/>
              <w:left w:val="single" w:color="000000" w:sz="4"/>
              <w:bottom w:val="single" w:color="000000" w:sz="4"/>
              <w:right w:val="single" w:color="000000" w:sz="4"/>
            </w:tcBorders>
            <w:vAlign w:val="top"/>
          </w:tcPr>
          <w:p>
            <w:pPr>
              <w:jc w:val="both"/>
            </w:pPr>
            <w:r>
              <w:rPr>
                <w:color w:val="000000"/>
                <w:sz w:val="21"/>
              </w:rPr>
              <w:t>设备名称：</w:t>
            </w:r>
            <w:r>
              <w:rPr>
                <w:sz w:val="21"/>
              </w:rPr>
              <w:t>…</w:t>
            </w:r>
          </w:p>
        </w:tc>
      </w:tr>
      <w:tr>
        <w:tc>
          <w:tcPr>
            <w:tcW w:type="dxa" w:w="515"/>
            <w:tcBorders>
              <w:top w:val="none" w:color="000000" w:sz="4"/>
              <w:left w:val="single" w:color="000000" w:sz="4"/>
              <w:bottom w:val="single" w:color="000000" w:sz="4"/>
              <w:right w:val="single" w:color="000000" w:sz="4"/>
            </w:tcBorders>
            <w:vAlign w:val="top"/>
          </w:tcPr>
          <w:p>
            <w:pPr>
              <w:jc w:val="center"/>
            </w:pPr>
            <w:r>
              <w:rPr>
                <w:sz w:val="21"/>
              </w:rPr>
              <w:t>…</w:t>
            </w:r>
          </w:p>
        </w:tc>
        <w:tc>
          <w:tcPr>
            <w:tcW w:type="dxa" w:w="829"/>
            <w:tcBorders>
              <w:top w:val="single" w:color="000000" w:sz="4"/>
              <w:left w:val="single" w:color="000000" w:sz="4"/>
              <w:bottom w:val="single" w:color="000000" w:sz="4"/>
              <w:right w:val="single" w:color="000000" w:sz="4"/>
            </w:tcBorders>
            <w:vAlign w:val="top"/>
          </w:tcPr>
          <w:p>
            <w:pPr>
              <w:jc w:val="center"/>
            </w:pPr>
          </w:p>
        </w:tc>
        <w:tc>
          <w:tcPr>
            <w:tcW w:type="dxa" w:w="1143"/>
            <w:tcBorders>
              <w:top w:val="single" w:color="000000" w:sz="4"/>
              <w:left w:val="single" w:color="000000" w:sz="4"/>
              <w:bottom w:val="single" w:color="000000" w:sz="4"/>
              <w:right w:val="single" w:color="000000" w:sz="4"/>
            </w:tcBorders>
            <w:vAlign w:val="top"/>
          </w:tcPr>
          <w:p>
            <w:pPr>
              <w:jc w:val="center"/>
            </w:pPr>
          </w:p>
        </w:tc>
        <w:tc>
          <w:tcPr>
            <w:tcW w:type="dxa" w:w="779"/>
            <w:tcBorders>
              <w:top w:val="single" w:color="000000" w:sz="4"/>
              <w:left w:val="single" w:color="000000" w:sz="4"/>
              <w:bottom w:val="single" w:color="000000" w:sz="4"/>
              <w:right w:val="single" w:color="000000" w:sz="4"/>
            </w:tcBorders>
            <w:vAlign w:val="top"/>
          </w:tcPr>
          <w:p>
            <w:pPr>
              <w:jc w:val="center"/>
            </w:pPr>
          </w:p>
        </w:tc>
        <w:tc>
          <w:tcPr>
            <w:tcW w:type="dxa" w:w="804"/>
            <w:tcBorders>
              <w:top w:val="single" w:color="000000" w:sz="4"/>
              <w:left w:val="single" w:color="000000" w:sz="4"/>
              <w:bottom w:val="single" w:color="000000" w:sz="4"/>
              <w:right w:val="single" w:color="000000" w:sz="4"/>
            </w:tcBorders>
            <w:vAlign w:val="top"/>
          </w:tcPr>
          <w:p>
            <w:pPr>
              <w:jc w:val="center"/>
            </w:pPr>
          </w:p>
        </w:tc>
        <w:tc>
          <w:tcPr>
            <w:tcW w:type="dxa" w:w="766"/>
            <w:tcBorders>
              <w:top w:val="single" w:color="000000" w:sz="4"/>
              <w:left w:val="single" w:color="000000" w:sz="4"/>
              <w:bottom w:val="single" w:color="000000" w:sz="4"/>
              <w:right w:val="single" w:color="000000" w:sz="4"/>
            </w:tcBorders>
            <w:vAlign w:val="top"/>
          </w:tcPr>
          <w:p>
            <w:pPr>
              <w:jc w:val="center"/>
            </w:pPr>
          </w:p>
        </w:tc>
        <w:tc>
          <w:tcPr>
            <w:tcW w:type="dxa" w:w="716"/>
            <w:gridSpan w:val="2"/>
            <w:tcBorders>
              <w:top w:val="single" w:color="000000" w:sz="4"/>
              <w:left w:val="single" w:color="000000" w:sz="4"/>
              <w:bottom w:val="single" w:color="000000" w:sz="4"/>
              <w:right w:val="single" w:color="000000" w:sz="4"/>
            </w:tcBorders>
            <w:vAlign w:val="top"/>
          </w:tcPr>
          <w:p>
            <w:pPr>
              <w:jc w:val="center"/>
            </w:pPr>
          </w:p>
        </w:tc>
        <w:tc>
          <w:tcPr>
            <w:tcW w:type="dxa" w:w="1042"/>
            <w:gridSpan w:val="2"/>
            <w:tcBorders>
              <w:top w:val="single" w:color="000000" w:sz="4"/>
              <w:left w:val="single" w:color="000000" w:sz="4"/>
              <w:bottom w:val="single" w:color="000000" w:sz="4"/>
              <w:right w:val="single" w:color="000000" w:sz="4"/>
            </w:tcBorders>
            <w:vAlign w:val="top"/>
          </w:tcPr>
          <w:p>
            <w:pPr>
              <w:jc w:val="center"/>
            </w:pPr>
          </w:p>
        </w:tc>
        <w:tc>
          <w:tcPr>
            <w:tcW w:type="dxa" w:w="1105"/>
            <w:tcBorders>
              <w:top w:val="single" w:color="000000" w:sz="4"/>
              <w:left w:val="single" w:color="000000" w:sz="4"/>
              <w:bottom w:val="single" w:color="000000" w:sz="4"/>
              <w:right w:val="single" w:color="000000" w:sz="4"/>
            </w:tcBorders>
            <w:vAlign w:val="top"/>
          </w:tcPr>
          <w:p>
            <w:pPr>
              <w:jc w:val="center"/>
            </w:pPr>
          </w:p>
        </w:tc>
        <w:tc>
          <w:tcPr>
            <w:tcW w:type="dxa" w:w="1331"/>
            <w:tcBorders>
              <w:top w:val="single" w:color="000000" w:sz="4"/>
              <w:left w:val="single" w:color="000000" w:sz="4"/>
              <w:bottom w:val="single" w:color="000000" w:sz="4"/>
              <w:right w:val="single" w:color="000000" w:sz="4"/>
            </w:tcBorders>
            <w:vAlign w:val="top"/>
          </w:tcPr>
          <w:p>
            <w:pPr>
              <w:jc w:val="center"/>
            </w:pPr>
          </w:p>
        </w:tc>
        <w:tc>
          <w:tcPr>
            <w:tcW w:type="dxa" w:w="590"/>
            <w:tcBorders>
              <w:top w:val="single" w:color="000000" w:sz="4"/>
              <w:left w:val="single" w:color="000000" w:sz="4"/>
              <w:bottom w:val="single" w:color="000000" w:sz="4"/>
              <w:right w:val="single" w:color="000000" w:sz="4"/>
            </w:tcBorders>
            <w:vAlign w:val="top"/>
          </w:tcPr>
          <w:p>
            <w:pPr>
              <w:jc w:val="center"/>
            </w:pPr>
          </w:p>
        </w:tc>
        <w:tc>
          <w:tcPr>
            <w:tcW w:type="dxa" w:w="691"/>
            <w:tcBorders>
              <w:top w:val="single" w:color="000000" w:sz="4"/>
              <w:left w:val="single" w:color="000000" w:sz="4"/>
              <w:bottom w:val="single" w:color="000000" w:sz="4"/>
              <w:right w:val="single" w:color="000000" w:sz="4"/>
            </w:tcBorders>
            <w:vAlign w:val="top"/>
          </w:tcPr>
          <w:p>
            <w:pPr>
              <w:jc w:val="center"/>
            </w:pPr>
          </w:p>
        </w:tc>
      </w:tr>
      <w:tr>
        <w:tc>
          <w:tcPr>
            <w:tcW w:type="dxa" w:w="10311"/>
            <w:gridSpan w:val="14"/>
            <w:tcBorders>
              <w:top w:val="none" w:color="000000" w:sz="4"/>
              <w:left w:val="single" w:color="000000" w:sz="4"/>
              <w:bottom w:val="single" w:color="000000" w:sz="4"/>
              <w:right w:val="single" w:color="000000" w:sz="4"/>
            </w:tcBorders>
            <w:vAlign w:val="top"/>
          </w:tcPr>
          <w:p>
            <w:pPr>
              <w:jc w:val="left"/>
            </w:pPr>
            <w:r>
              <w:rPr>
                <w:color w:val="000000"/>
                <w:sz w:val="21"/>
              </w:rPr>
              <w:t>1</w:t>
            </w:r>
            <w:r>
              <w:rPr>
                <w:color w:val="000000"/>
                <w:sz w:val="21"/>
              </w:rPr>
              <w:t>、专机配套耗材报价表所列单价为出厂价</w:t>
            </w:r>
            <w:r>
              <w:rPr>
                <w:color w:val="000000"/>
                <w:sz w:val="21"/>
              </w:rPr>
              <w:t>(</w:t>
            </w:r>
            <w:r>
              <w:rPr>
                <w:color w:val="000000"/>
                <w:sz w:val="21"/>
              </w:rPr>
              <w:t>货款、运输、保险费、装卸费以及可能产生的全部相关费用</w:t>
            </w:r>
            <w:r>
              <w:rPr>
                <w:color w:val="000000"/>
                <w:sz w:val="21"/>
              </w:rPr>
              <w:t>)</w:t>
            </w:r>
            <w:r>
              <w:rPr>
                <w:color w:val="000000"/>
                <w:sz w:val="21"/>
              </w:rPr>
              <w:t>；</w:t>
            </w:r>
          </w:p>
          <w:p>
            <w:pPr>
              <w:jc w:val="left"/>
            </w:pPr>
            <w:r>
              <w:rPr>
                <w:color w:val="000000"/>
                <w:sz w:val="21"/>
              </w:rPr>
              <w:t>2</w:t>
            </w:r>
            <w:r>
              <w:rPr>
                <w:color w:val="000000"/>
                <w:sz w:val="21"/>
              </w:rPr>
              <w:t>、</w:t>
            </w:r>
            <w:r>
              <w:rPr>
                <w:color w:val="000000"/>
                <w:sz w:val="21"/>
              </w:rPr>
              <w:t>如乙方所投设备有专机耗材的，</w:t>
            </w:r>
            <w:r>
              <w:rPr>
                <w:color w:val="000000"/>
                <w:sz w:val="21"/>
              </w:rPr>
              <w:t>应在报出</w:t>
            </w:r>
            <w:r>
              <w:rPr>
                <w:color w:val="000000"/>
                <w:sz w:val="21"/>
              </w:rPr>
              <w:t>各</w:t>
            </w:r>
            <w:r>
              <w:rPr>
                <w:color w:val="000000"/>
                <w:sz w:val="21"/>
              </w:rPr>
              <w:t>设备</w:t>
            </w:r>
            <w:r>
              <w:rPr>
                <w:color w:val="000000"/>
                <w:sz w:val="21"/>
              </w:rPr>
              <w:t>的专</w:t>
            </w:r>
            <w:r>
              <w:rPr>
                <w:color w:val="000000"/>
                <w:sz w:val="21"/>
              </w:rPr>
              <w:t>机</w:t>
            </w:r>
            <w:r>
              <w:rPr>
                <w:color w:val="000000"/>
                <w:sz w:val="21"/>
              </w:rPr>
              <w:t>配套耗材的名称、价格、注册证名称、注册证号、规格型号、品牌等信</w:t>
            </w:r>
            <w:r>
              <w:rPr>
                <w:color w:val="000000"/>
                <w:sz w:val="21"/>
              </w:rPr>
              <w:t>息</w:t>
            </w:r>
            <w:r>
              <w:rPr>
                <w:color w:val="000000"/>
                <w:sz w:val="21"/>
              </w:rPr>
              <w:t>，</w:t>
            </w:r>
            <w:r>
              <w:rPr>
                <w:color w:val="000000"/>
                <w:sz w:val="21"/>
              </w:rPr>
              <w:t>报价不得超过</w:t>
            </w:r>
            <w:r>
              <w:rPr>
                <w:color w:val="000000"/>
                <w:sz w:val="21"/>
              </w:rPr>
              <w:t>耗材的省药品交易平台采购报价</w:t>
            </w:r>
            <w:r>
              <w:rPr>
                <w:color w:val="000000"/>
                <w:sz w:val="21"/>
              </w:rPr>
              <w:t>及</w:t>
            </w:r>
            <w:r>
              <w:rPr>
                <w:color w:val="000000"/>
                <w:sz w:val="21"/>
              </w:rPr>
              <w:t>省药品交易平台联盟区采购报价。如</w:t>
            </w:r>
            <w:r>
              <w:rPr>
                <w:color w:val="000000"/>
                <w:sz w:val="21"/>
              </w:rPr>
              <w:t>甲方</w:t>
            </w:r>
            <w:r>
              <w:rPr>
                <w:color w:val="000000"/>
                <w:sz w:val="21"/>
              </w:rPr>
              <w:t>在设备的使用过程中</w:t>
            </w:r>
            <w:r>
              <w:rPr>
                <w:color w:val="000000"/>
                <w:sz w:val="21"/>
              </w:rPr>
              <w:t>需</w:t>
            </w:r>
            <w:r>
              <w:rPr>
                <w:color w:val="000000"/>
                <w:sz w:val="21"/>
              </w:rPr>
              <w:t>购买该耗材，则按照</w:t>
            </w:r>
            <w:r>
              <w:rPr>
                <w:color w:val="000000"/>
                <w:sz w:val="21"/>
              </w:rPr>
              <w:t>乙方</w:t>
            </w:r>
            <w:r>
              <w:rPr>
                <w:color w:val="000000"/>
                <w:sz w:val="21"/>
              </w:rPr>
              <w:t>投标文件中所报的价格作为</w:t>
            </w:r>
            <w:r>
              <w:rPr>
                <w:color w:val="000000"/>
                <w:sz w:val="21"/>
              </w:rPr>
              <w:t>采购</w:t>
            </w:r>
            <w:r>
              <w:rPr>
                <w:color w:val="000000"/>
                <w:sz w:val="21"/>
              </w:rPr>
              <w:t>价格，实际采购数量以</w:t>
            </w:r>
            <w:r>
              <w:rPr>
                <w:color w:val="000000"/>
                <w:sz w:val="21"/>
              </w:rPr>
              <w:t>甲方</w:t>
            </w:r>
            <w:r>
              <w:rPr>
                <w:color w:val="000000"/>
                <w:sz w:val="21"/>
              </w:rPr>
              <w:t>人需求通知下单的数量为准，费用按实结算，不包含在本项目的</w:t>
            </w:r>
            <w:r>
              <w:rPr>
                <w:color w:val="000000"/>
                <w:sz w:val="21"/>
              </w:rPr>
              <w:t>合同金额</w:t>
            </w:r>
            <w:r>
              <w:rPr>
                <w:color w:val="000000"/>
                <w:sz w:val="21"/>
              </w:rPr>
              <w:t>之中。</w:t>
            </w:r>
          </w:p>
        </w:tc>
      </w:tr>
    </w:tbl>
    <w:p>
      <w:pPr>
        <w:ind w:firstLine="720"/>
        <w:jc w:val="center"/>
      </w:pPr>
    </w:p>
    <w:p>
      <w:pPr>
        <w:jc w:val="both"/>
      </w:pPr>
      <w:r>
        <w:rPr>
          <w:b/>
          <w:sz w:val="21"/>
        </w:rPr>
        <w:t>二、合同金额</w:t>
      </w:r>
    </w:p>
    <w:p>
      <w:pPr>
        <w:jc w:val="both"/>
      </w:pPr>
      <w:r>
        <w:rPr>
          <w:sz w:val="21"/>
        </w:rPr>
        <w:t>合同总金额：小写：￥</w:t>
      </w:r>
      <w:r>
        <w:rPr>
          <w:sz w:val="21"/>
          <w:u w:val="single"/>
        </w:rPr>
        <w:t xml:space="preserve">                  </w:t>
      </w:r>
      <w:r>
        <w:rPr>
          <w:sz w:val="21"/>
        </w:rPr>
        <w:t>；</w:t>
      </w:r>
      <w:r>
        <w:rPr>
          <w:sz w:val="21"/>
        </w:rPr>
        <w:t>大写：人民币</w:t>
      </w:r>
      <w:r>
        <w:rPr>
          <w:sz w:val="21"/>
          <w:u w:val="single"/>
        </w:rPr>
        <w:t xml:space="preserve">             </w:t>
      </w:r>
      <w:r>
        <w:rPr>
          <w:sz w:val="21"/>
        </w:rPr>
        <w:t>。</w:t>
      </w:r>
    </w:p>
    <w:p>
      <w:pPr>
        <w:jc w:val="both"/>
      </w:pPr>
      <w:r>
        <w:rPr>
          <w:b/>
          <w:sz w:val="21"/>
        </w:rPr>
        <w:t>三、设备要求</w:t>
      </w:r>
    </w:p>
    <w:p>
      <w:pPr>
        <w:ind w:firstLine="420"/>
        <w:jc w:val="both"/>
      </w:pPr>
      <w:r>
        <w:rPr>
          <w:sz w:val="21"/>
        </w:rPr>
        <w:t>1、乙方提供的货物必须符合中华人民共和国国家安全环保标准。</w:t>
      </w:r>
    </w:p>
    <w:p>
      <w:pPr>
        <w:ind w:firstLine="420"/>
        <w:jc w:val="both"/>
      </w:pPr>
      <w:r>
        <w:rPr>
          <w:sz w:val="21"/>
        </w:rPr>
        <w:t>2、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p>
    <w:p>
      <w:pPr>
        <w:ind w:firstLine="420"/>
        <w:jc w:val="both"/>
      </w:pPr>
      <w:r>
        <w:rPr>
          <w:sz w:val="21"/>
        </w:rPr>
        <w:t>3、货物为原厂商未启封全新包装，具出厂合格证，序列号、包装箱号与出厂批号一致，并可追索查阅。</w:t>
      </w:r>
    </w:p>
    <w:p>
      <w:pPr>
        <w:ind w:firstLine="420"/>
        <w:jc w:val="both"/>
      </w:pPr>
      <w:r>
        <w:rPr>
          <w:sz w:val="21"/>
        </w:rPr>
        <w:t>4、乙方应将关键主机设备的用户手册、保修手册、有关单证资料及配备件、随机工具等交付给甲方，使用操作及安全须知等重要资料应附有中文说明。</w:t>
      </w:r>
    </w:p>
    <w:p>
      <w:pPr>
        <w:ind w:firstLine="420"/>
        <w:jc w:val="both"/>
      </w:pPr>
      <w:r>
        <w:rPr>
          <w:sz w:val="21"/>
        </w:rPr>
        <w:t>5、如果发现货物的质量和规格与合同规定不符或货物在</w:t>
      </w:r>
      <w:r>
        <w:rPr>
          <w:sz w:val="21"/>
        </w:rPr>
        <w:t>保修期</w:t>
      </w:r>
      <w:r>
        <w:rPr>
          <w:sz w:val="21"/>
        </w:rPr>
        <w:t>内被证明有缺陷，包括内在缺陷或使用不适当原材料，甲方将有权要求有关部门进行检验，并依据检验证书向乙方索赔。</w:t>
      </w:r>
    </w:p>
    <w:p>
      <w:pPr>
        <w:jc w:val="both"/>
      </w:pPr>
      <w:r>
        <w:rPr>
          <w:b/>
          <w:sz w:val="21"/>
        </w:rPr>
        <w:t>四、知识产权</w:t>
      </w:r>
    </w:p>
    <w:p>
      <w:pPr>
        <w:ind w:firstLine="420"/>
        <w:jc w:val="both"/>
      </w:pPr>
      <w:r>
        <w:rPr>
          <w:sz w:val="21"/>
        </w:rPr>
        <w:t>1、乙方保证合同项下提供的货物不侵犯任何第三方的专利权、商标权或其它知识产权。否则，乙方须承担对第三方的专利权、商标权或其它知识产权的侵权责任并承担因此而发生的所有费用及给甲方造成的损失。</w:t>
      </w:r>
    </w:p>
    <w:p>
      <w:pPr>
        <w:jc w:val="both"/>
      </w:pPr>
      <w:r>
        <w:rPr>
          <w:b/>
          <w:sz w:val="21"/>
        </w:rPr>
        <w:t>五、交付时间、地点、方式</w:t>
      </w:r>
    </w:p>
    <w:p>
      <w:pPr>
        <w:ind w:firstLine="420"/>
        <w:jc w:val="both"/>
      </w:pPr>
      <w:r>
        <w:rPr>
          <w:sz w:val="21"/>
        </w:rPr>
        <w:t>1、交付时间：</w:t>
      </w:r>
      <w:r>
        <w:rPr>
          <w:sz w:val="21"/>
        </w:rPr>
        <w:t>合同签订之日起</w:t>
      </w:r>
      <w:r>
        <w:rPr>
          <w:sz w:val="21"/>
          <w:u w:val="single"/>
        </w:rPr>
        <w:t xml:space="preserve">    </w:t>
      </w:r>
      <w:r>
        <w:rPr>
          <w:sz w:val="21"/>
        </w:rPr>
        <w:t>日（日历日）内。</w:t>
      </w:r>
    </w:p>
    <w:p>
      <w:pPr>
        <w:ind w:firstLine="420"/>
        <w:jc w:val="both"/>
      </w:pPr>
      <w:r>
        <w:rPr>
          <w:sz w:val="21"/>
        </w:rPr>
        <w:t>2、交付地点：甲方指定地点</w:t>
      </w:r>
    </w:p>
    <w:p>
      <w:pPr>
        <w:ind w:firstLine="420"/>
        <w:jc w:val="both"/>
      </w:pPr>
      <w:r>
        <w:rPr>
          <w:sz w:val="21"/>
        </w:rPr>
        <w:t>3、交付条件：项目验收通过</w:t>
      </w:r>
    </w:p>
    <w:p>
      <w:pPr>
        <w:ind w:firstLine="420"/>
        <w:jc w:val="both"/>
      </w:pPr>
      <w:r>
        <w:rPr>
          <w:sz w:val="21"/>
        </w:rPr>
        <w:t>4、甲方联系人及联系电话：</w:t>
      </w:r>
    </w:p>
    <w:p>
      <w:pPr>
        <w:ind w:firstLine="420"/>
        <w:jc w:val="both"/>
      </w:pPr>
      <w:r>
        <w:rPr>
          <w:sz w:val="21"/>
        </w:rPr>
        <w:t>5、乙方联系人及联系电话：</w:t>
      </w:r>
    </w:p>
    <w:p>
      <w:pPr>
        <w:jc w:val="both"/>
      </w:pPr>
      <w:r>
        <w:rPr>
          <w:b/>
          <w:sz w:val="21"/>
        </w:rPr>
        <w:t>六、付款方式、时间及付款条件</w:t>
      </w:r>
    </w:p>
    <w:p>
      <w:pPr>
        <w:ind w:firstLine="420"/>
        <w:jc w:val="both"/>
      </w:pPr>
      <w:r>
        <w:rPr>
          <w:sz w:val="21"/>
        </w:rPr>
        <w:t>1</w:t>
      </w:r>
      <w:r>
        <w:rPr>
          <w:sz w:val="21"/>
        </w:rPr>
        <w:t>、乙方</w:t>
      </w:r>
      <w:r>
        <w:rPr>
          <w:sz w:val="21"/>
        </w:rPr>
        <w:t>为非中小企业：</w:t>
      </w:r>
      <w:r>
        <w:rPr>
          <w:sz w:val="21"/>
        </w:rPr>
        <w:t>全部</w:t>
      </w:r>
      <w:r>
        <w:rPr>
          <w:sz w:val="21"/>
        </w:rPr>
        <w:t>合同设备到达</w:t>
      </w:r>
      <w:r>
        <w:rPr>
          <w:sz w:val="21"/>
        </w:rPr>
        <w:t>甲方</w:t>
      </w:r>
      <w:r>
        <w:rPr>
          <w:sz w:val="21"/>
        </w:rPr>
        <w:t>指定地点完成安装、调试、验收、培训并交付使用后，</w:t>
      </w:r>
      <w:r>
        <w:rPr>
          <w:sz w:val="21"/>
        </w:rPr>
        <w:t>乙方</w:t>
      </w:r>
      <w:r>
        <w:rPr>
          <w:sz w:val="21"/>
        </w:rPr>
        <w:t>凭：</w:t>
      </w:r>
      <w:r>
        <w:rPr>
          <w:sz w:val="21"/>
        </w:rPr>
        <w:t>①合同、②正式发票、③验收调试报告（加盖</w:t>
      </w:r>
      <w:r>
        <w:rPr>
          <w:sz w:val="21"/>
        </w:rPr>
        <w:t>甲方</w:t>
      </w:r>
      <w:r>
        <w:rPr>
          <w:sz w:val="21"/>
        </w:rPr>
        <w:t>公章）、</w:t>
      </w:r>
      <w:r>
        <w:rPr>
          <w:sz w:val="21"/>
        </w:rPr>
        <w:t>④中标通知书向</w:t>
      </w:r>
      <w:r>
        <w:rPr>
          <w:sz w:val="21"/>
        </w:rPr>
        <w:t>甲方</w:t>
      </w:r>
      <w:r>
        <w:rPr>
          <w:sz w:val="21"/>
        </w:rPr>
        <w:t>申请付款，</w:t>
      </w:r>
      <w:r>
        <w:rPr>
          <w:sz w:val="21"/>
        </w:rPr>
        <w:t>甲方</w:t>
      </w:r>
      <w:r>
        <w:rPr>
          <w:sz w:val="21"/>
        </w:rPr>
        <w:t>于</w:t>
      </w:r>
      <w:r>
        <w:rPr>
          <w:sz w:val="21"/>
        </w:rPr>
        <w:t>6个月内向</w:t>
      </w:r>
      <w:r>
        <w:rPr>
          <w:sz w:val="21"/>
        </w:rPr>
        <w:t>乙方</w:t>
      </w:r>
      <w:r>
        <w:rPr>
          <w:sz w:val="21"/>
        </w:rPr>
        <w:t>支付合同总金额的</w:t>
      </w:r>
      <w:r>
        <w:rPr>
          <w:sz w:val="21"/>
        </w:rPr>
        <w:t>95％，剩余5％待验收合格保修期满后一次性无息付清。</w:t>
      </w:r>
    </w:p>
    <w:p>
      <w:pPr>
        <w:ind w:firstLine="420"/>
        <w:jc w:val="both"/>
      </w:pPr>
      <w:r>
        <w:rPr>
          <w:sz w:val="21"/>
        </w:rPr>
        <w:t>2</w:t>
      </w:r>
      <w:r>
        <w:rPr>
          <w:sz w:val="21"/>
        </w:rPr>
        <w:t>、乙方</w:t>
      </w:r>
      <w:r>
        <w:rPr>
          <w:sz w:val="21"/>
        </w:rPr>
        <w:t>为中小企业：签订合同之日起</w:t>
      </w:r>
      <w:r>
        <w:rPr>
          <w:sz w:val="21"/>
        </w:rPr>
        <w:t>15个日历日内，</w:t>
      </w:r>
      <w:r>
        <w:rPr>
          <w:sz w:val="21"/>
        </w:rPr>
        <w:t>乙方</w:t>
      </w:r>
      <w:r>
        <w:rPr>
          <w:sz w:val="21"/>
        </w:rPr>
        <w:t>凭：</w:t>
      </w:r>
      <w:r>
        <w:rPr>
          <w:sz w:val="21"/>
        </w:rPr>
        <w:t>①合同、②正式发票、③中标通知书向</w:t>
      </w:r>
      <w:r>
        <w:rPr>
          <w:sz w:val="21"/>
        </w:rPr>
        <w:t>甲方</w:t>
      </w:r>
      <w:r>
        <w:rPr>
          <w:sz w:val="21"/>
        </w:rPr>
        <w:t>申请付款，</w:t>
      </w:r>
      <w:r>
        <w:rPr>
          <w:sz w:val="21"/>
        </w:rPr>
        <w:t>甲方</w:t>
      </w:r>
      <w:r>
        <w:rPr>
          <w:sz w:val="21"/>
        </w:rPr>
        <w:t>根据</w:t>
      </w:r>
      <w:r>
        <w:rPr>
          <w:sz w:val="21"/>
        </w:rPr>
        <w:t>乙方</w:t>
      </w:r>
      <w:r>
        <w:rPr>
          <w:sz w:val="21"/>
        </w:rPr>
        <w:t>提供有效发票后的</w:t>
      </w:r>
      <w:r>
        <w:rPr>
          <w:sz w:val="21"/>
        </w:rPr>
        <w:t>15个日历日内将按合同总金额的30%支付给</w:t>
      </w:r>
      <w:r>
        <w:rPr>
          <w:sz w:val="21"/>
        </w:rPr>
        <w:t>乙方</w:t>
      </w:r>
      <w:r>
        <w:rPr>
          <w:sz w:val="21"/>
        </w:rPr>
        <w:t>；</w:t>
      </w:r>
      <w:r>
        <w:rPr>
          <w:sz w:val="21"/>
        </w:rPr>
        <w:t>全部</w:t>
      </w:r>
      <w:r>
        <w:rPr>
          <w:sz w:val="21"/>
        </w:rPr>
        <w:t>合同设备到达</w:t>
      </w:r>
      <w:r>
        <w:rPr>
          <w:sz w:val="21"/>
        </w:rPr>
        <w:t>甲方</w:t>
      </w:r>
      <w:r>
        <w:rPr>
          <w:sz w:val="21"/>
        </w:rPr>
        <w:t>指定地点完成安装、调试、验收、培训并交付使用后，</w:t>
      </w:r>
      <w:r>
        <w:rPr>
          <w:sz w:val="21"/>
        </w:rPr>
        <w:t>乙方</w:t>
      </w:r>
      <w:r>
        <w:rPr>
          <w:sz w:val="21"/>
        </w:rPr>
        <w:t>凭：</w:t>
      </w:r>
      <w:r>
        <w:rPr>
          <w:sz w:val="21"/>
        </w:rPr>
        <w:t>①合同、②正式发票、③验收调试报告（加盖</w:t>
      </w:r>
      <w:r>
        <w:rPr>
          <w:sz w:val="21"/>
        </w:rPr>
        <w:t>甲方</w:t>
      </w:r>
      <w:r>
        <w:rPr>
          <w:sz w:val="21"/>
        </w:rPr>
        <w:t>公章）、</w:t>
      </w:r>
      <w:r>
        <w:rPr>
          <w:sz w:val="21"/>
        </w:rPr>
        <w:t>④中标通知书向</w:t>
      </w:r>
      <w:r>
        <w:rPr>
          <w:sz w:val="21"/>
        </w:rPr>
        <w:t>甲方</w:t>
      </w:r>
      <w:r>
        <w:rPr>
          <w:sz w:val="21"/>
        </w:rPr>
        <w:t>申请付款，</w:t>
      </w:r>
      <w:r>
        <w:rPr>
          <w:sz w:val="21"/>
        </w:rPr>
        <w:t>甲方</w:t>
      </w:r>
      <w:r>
        <w:rPr>
          <w:sz w:val="21"/>
        </w:rPr>
        <w:t>根据</w:t>
      </w:r>
      <w:r>
        <w:rPr>
          <w:sz w:val="21"/>
        </w:rPr>
        <w:t>乙方</w:t>
      </w:r>
      <w:r>
        <w:rPr>
          <w:sz w:val="21"/>
        </w:rPr>
        <w:t>提供有效发票后的</w:t>
      </w:r>
      <w:r>
        <w:rPr>
          <w:sz w:val="21"/>
        </w:rPr>
        <w:t>15个日历日内将按合同总金额的65%支付给</w:t>
      </w:r>
      <w:r>
        <w:rPr>
          <w:sz w:val="21"/>
        </w:rPr>
        <w:t>乙方</w:t>
      </w:r>
      <w:r>
        <w:rPr>
          <w:sz w:val="21"/>
        </w:rPr>
        <w:t>，剩余</w:t>
      </w:r>
      <w:r>
        <w:rPr>
          <w:sz w:val="21"/>
        </w:rPr>
        <w:t>5％待验收合格保修期满后一次性无息付清。</w:t>
      </w:r>
    </w:p>
    <w:p>
      <w:pPr>
        <w:jc w:val="both"/>
      </w:pPr>
      <w:r>
        <w:rPr>
          <w:b/>
          <w:color w:val="000000"/>
          <w:sz w:val="21"/>
        </w:rPr>
        <w:t>七、培训、</w:t>
      </w:r>
      <w:r>
        <w:rPr>
          <w:b/>
          <w:color w:val="000000"/>
          <w:sz w:val="21"/>
        </w:rPr>
        <w:t>保修期</w:t>
      </w:r>
      <w:r>
        <w:rPr>
          <w:b/>
          <w:color w:val="000000"/>
          <w:sz w:val="21"/>
        </w:rPr>
        <w:t>及售后服务要求</w:t>
      </w:r>
    </w:p>
    <w:p>
      <w:pPr>
        <w:ind w:firstLine="420"/>
        <w:jc w:val="both"/>
      </w:pPr>
      <w:r>
        <w:rPr>
          <w:color w:val="000000"/>
          <w:sz w:val="21"/>
        </w:rPr>
        <w:t>1、乙方负责甲方使用人员的使用操作技术及维护技术的培训，并随时提供开箱验货、安装、调试或维修等服务。</w:t>
      </w:r>
    </w:p>
    <w:p>
      <w:pPr>
        <w:ind w:firstLine="420"/>
        <w:jc w:val="both"/>
      </w:pPr>
      <w:r>
        <w:rPr>
          <w:color w:val="000000"/>
          <w:sz w:val="21"/>
        </w:rPr>
        <w:t>2、乙方应提供完整的培训计划和方案，列明培训人员数量、达到的水平等，培训内容包括设备的操作、日常维修、简单故障的识别及排除等。培训所需全部费用均由乙方支付。</w:t>
      </w:r>
    </w:p>
    <w:p>
      <w:pPr>
        <w:ind w:firstLine="420"/>
        <w:jc w:val="both"/>
      </w:pPr>
      <w:r>
        <w:rPr>
          <w:color w:val="000000"/>
          <w:sz w:val="21"/>
        </w:rPr>
        <w:t>3、乙方除按设备售后规定，负责培训设备操作人员，还应当培训1-2名负责此设备维护、维修的工程师。</w:t>
      </w:r>
    </w:p>
    <w:p>
      <w:pPr>
        <w:ind w:firstLine="420"/>
        <w:jc w:val="both"/>
      </w:pPr>
      <w:r>
        <w:rPr>
          <w:color w:val="000000"/>
          <w:sz w:val="21"/>
        </w:rPr>
        <w:t>4、本合同的</w:t>
      </w:r>
      <w:r>
        <w:rPr>
          <w:color w:val="000000"/>
          <w:sz w:val="21"/>
        </w:rPr>
        <w:t>保修期</w:t>
      </w:r>
      <w:r>
        <w:rPr>
          <w:color w:val="000000"/>
          <w:sz w:val="21"/>
        </w:rPr>
        <w:t>（简称</w:t>
      </w:r>
      <w:r>
        <w:rPr>
          <w:color w:val="000000"/>
          <w:sz w:val="21"/>
        </w:rPr>
        <w:t>“</w:t>
      </w:r>
      <w:r>
        <w:rPr>
          <w:color w:val="000000"/>
          <w:sz w:val="21"/>
        </w:rPr>
        <w:t>保修期</w:t>
      </w:r>
      <w:r>
        <w:rPr>
          <w:color w:val="000000"/>
          <w:sz w:val="21"/>
        </w:rPr>
        <w:t>”）为</w:t>
      </w:r>
      <w:r>
        <w:rPr>
          <w:sz w:val="21"/>
          <w:u w:val="single"/>
        </w:rPr>
        <w:t xml:space="preserve">    </w:t>
      </w:r>
      <w:r>
        <w:rPr>
          <w:color w:val="000000"/>
          <w:sz w:val="21"/>
        </w:rPr>
        <w:t>年，自甲乙双方代表在货物安装调试验收后的验收书上签字之日起计算。</w:t>
      </w:r>
      <w:r>
        <w:rPr>
          <w:color w:val="000000"/>
          <w:sz w:val="21"/>
        </w:rPr>
        <w:t>保修期内</w:t>
      </w:r>
      <w:r>
        <w:rPr>
          <w:color w:val="000000"/>
          <w:sz w:val="21"/>
        </w:rPr>
        <w:t>乙方</w:t>
      </w:r>
      <w:r>
        <w:rPr>
          <w:color w:val="000000"/>
          <w:sz w:val="21"/>
        </w:rPr>
        <w:t>负责提供设备的三包（包修、包换、包退）服务，可随时上门提供维护、保修、技术支持等服务并登记。</w:t>
      </w:r>
    </w:p>
    <w:p>
      <w:pPr>
        <w:ind w:firstLine="420"/>
        <w:jc w:val="both"/>
      </w:pPr>
      <w:r>
        <w:rPr>
          <w:sz w:val="21"/>
        </w:rPr>
        <w:t>5、自验</w:t>
      </w:r>
      <w:r>
        <w:rPr>
          <w:color w:val="000000"/>
          <w:sz w:val="21"/>
        </w:rPr>
        <w:t>收合格之日起一个月内，甲方所购设备各部件发生非人为损坏，乙方应给予无条件更换。自验收合格之日起一年内，如同一设备部件一个月内累计</w:t>
      </w:r>
      <w:r>
        <w:rPr>
          <w:color w:val="000000"/>
          <w:sz w:val="21"/>
        </w:rPr>
        <w:t>2次出现同一问题，乙方必须无条件更换该设备部件</w:t>
      </w:r>
      <w:r>
        <w:rPr>
          <w:color w:val="000000"/>
          <w:sz w:val="21"/>
        </w:rPr>
        <w:t>，只收零配件成本，不得加收其它任何费用</w:t>
      </w:r>
      <w:r>
        <w:rPr>
          <w:color w:val="000000"/>
          <w:sz w:val="21"/>
        </w:rPr>
        <w:t>。</w:t>
      </w:r>
    </w:p>
    <w:p>
      <w:pPr>
        <w:ind w:firstLine="420"/>
        <w:jc w:val="both"/>
      </w:pPr>
      <w:r>
        <w:rPr>
          <w:sz w:val="21"/>
        </w:rPr>
        <w:t>6、</w:t>
      </w:r>
      <w:r>
        <w:rPr>
          <w:sz w:val="21"/>
        </w:rPr>
        <w:t>保修期</w:t>
      </w:r>
      <w:r>
        <w:rPr>
          <w:sz w:val="21"/>
        </w:rPr>
        <w:t>内，货物各部件发生非人为故障的，乙方应无条件上门更换同种品牌规格型号的新部件，产生的所有费用均由乙方承担；货物发生人为故障的，乙方应上门更换同种品牌规格型号的新部件，只收零配件成本价格，不得加收其它任何费用。</w:t>
      </w:r>
    </w:p>
    <w:p>
      <w:pPr>
        <w:ind w:firstLine="420"/>
        <w:jc w:val="both"/>
      </w:pPr>
      <w:r>
        <w:rPr>
          <w:sz w:val="21"/>
        </w:rPr>
        <w:t>7、</w:t>
      </w:r>
      <w:r>
        <w:rPr>
          <w:sz w:val="21"/>
        </w:rPr>
        <w:t>保修期</w:t>
      </w:r>
      <w:r>
        <w:rPr>
          <w:sz w:val="21"/>
        </w:rPr>
        <w:t>内，乙方无条件提供</w:t>
      </w:r>
      <w:r>
        <w:rPr>
          <w:sz w:val="21"/>
        </w:rPr>
        <w:t>7×24小时技术支持，无条件提供电话技术指导和咨询服务。</w:t>
      </w:r>
    </w:p>
    <w:p>
      <w:pPr>
        <w:ind w:firstLine="420"/>
        <w:jc w:val="both"/>
      </w:pPr>
      <w:r>
        <w:rPr>
          <w:sz w:val="21"/>
        </w:rPr>
        <w:t>8、在在</w:t>
      </w:r>
      <w:r>
        <w:rPr>
          <w:sz w:val="21"/>
        </w:rPr>
        <w:t>保修期</w:t>
      </w:r>
      <w:r>
        <w:rPr>
          <w:sz w:val="21"/>
        </w:rPr>
        <w:t>届满后，乙方应对设备实行终身维修，提供长期上门维修服务，服务费不高于同期市场价。</w:t>
      </w:r>
      <w:r>
        <w:rPr>
          <w:sz w:val="21"/>
        </w:rPr>
        <w:t>甲方</w:t>
      </w:r>
      <w:r>
        <w:rPr>
          <w:sz w:val="21"/>
        </w:rPr>
        <w:t>如需修理设备部件，乙方应在收到需修理部件后半个月内修复。并在修复期间，乙方应无条件提供同型号或类似的设备部件给</w:t>
      </w:r>
      <w:r>
        <w:rPr>
          <w:sz w:val="21"/>
        </w:rPr>
        <w:t>甲方</w:t>
      </w:r>
      <w:r>
        <w:rPr>
          <w:sz w:val="21"/>
        </w:rPr>
        <w:t>使用，以避免</w:t>
      </w:r>
      <w:r>
        <w:rPr>
          <w:sz w:val="21"/>
        </w:rPr>
        <w:t>甲方</w:t>
      </w:r>
      <w:r>
        <w:rPr>
          <w:sz w:val="21"/>
        </w:rPr>
        <w:t>因设备部件损坏而不能正常运作。</w:t>
      </w:r>
    </w:p>
    <w:p>
      <w:pPr>
        <w:ind w:firstLine="420"/>
        <w:jc w:val="both"/>
      </w:pPr>
      <w:r>
        <w:rPr>
          <w:color w:val="000000"/>
          <w:sz w:val="21"/>
        </w:rPr>
        <w:t>9、</w:t>
      </w:r>
      <w:r>
        <w:rPr>
          <w:color w:val="000000"/>
          <w:sz w:val="21"/>
        </w:rPr>
        <w:t>保修期</w:t>
      </w:r>
      <w:r>
        <w:rPr>
          <w:color w:val="000000"/>
          <w:sz w:val="21"/>
        </w:rPr>
        <w:t>内，如设备或零部件因非人为因素出现故障而造成短期停用</w:t>
      </w:r>
      <w:r>
        <w:rPr>
          <w:sz w:val="21"/>
        </w:rPr>
        <w:t>时，则</w:t>
      </w:r>
      <w:r>
        <w:rPr>
          <w:sz w:val="21"/>
        </w:rPr>
        <w:t>保修期</w:t>
      </w:r>
      <w:r>
        <w:rPr>
          <w:sz w:val="21"/>
        </w:rPr>
        <w:t>相应顺延。如停用时间累计超过</w:t>
      </w:r>
      <w:r>
        <w:rPr>
          <w:sz w:val="21"/>
        </w:rPr>
        <w:t>60天则</w:t>
      </w:r>
      <w:r>
        <w:rPr>
          <w:sz w:val="21"/>
        </w:rPr>
        <w:t>保修期</w:t>
      </w:r>
      <w:r>
        <w:rPr>
          <w:sz w:val="21"/>
        </w:rPr>
        <w:t>重新计算。</w:t>
      </w:r>
    </w:p>
    <w:p>
      <w:pPr>
        <w:ind w:firstLine="420"/>
        <w:jc w:val="both"/>
      </w:pPr>
      <w:r>
        <w:rPr>
          <w:sz w:val="21"/>
        </w:rPr>
        <w:t>10、在</w:t>
      </w:r>
      <w:r>
        <w:rPr>
          <w:sz w:val="21"/>
        </w:rPr>
        <w:t>保修期</w:t>
      </w:r>
      <w:r>
        <w:rPr>
          <w:sz w:val="21"/>
        </w:rPr>
        <w:t>内，如货品非因甲方的人为原因而出现的问题由乙方负责保修、包换或包退，并承担修理、调换或退货的实际费用。</w:t>
      </w:r>
    </w:p>
    <w:p>
      <w:pPr>
        <w:ind w:firstLine="420"/>
        <w:jc w:val="both"/>
      </w:pPr>
      <w:r>
        <w:rPr>
          <w:sz w:val="21"/>
        </w:rPr>
        <w:t>11、乙方负责对其提供的货物整机进行维修和系统维护，不再收取任何费用，但非乙方责任的人为因素、自然因素（如火灾、雷击等）造成的故障除外。</w:t>
      </w:r>
    </w:p>
    <w:p>
      <w:pPr>
        <w:ind w:firstLine="420"/>
        <w:jc w:val="both"/>
      </w:pPr>
      <w:r>
        <w:rPr>
          <w:color w:val="000000"/>
          <w:sz w:val="21"/>
        </w:rPr>
        <w:t>12、 对甲方的服务通知，乙方在接报后</w:t>
      </w:r>
      <w:r>
        <w:rPr>
          <w:sz w:val="21"/>
          <w:u w:val="single"/>
        </w:rPr>
        <w:t xml:space="preserve">   </w:t>
      </w:r>
      <w:r>
        <w:rPr>
          <w:color w:val="000000"/>
          <w:sz w:val="21"/>
        </w:rPr>
        <w:t>小时内响应，</w:t>
      </w:r>
      <w:r>
        <w:rPr>
          <w:sz w:val="21"/>
          <w:u w:val="single"/>
        </w:rPr>
        <w:t xml:space="preserve">   </w:t>
      </w:r>
      <w:r>
        <w:rPr>
          <w:color w:val="000000"/>
          <w:sz w:val="21"/>
        </w:rPr>
        <w:t>小时内到达现场，</w:t>
      </w:r>
      <w:r>
        <w:rPr>
          <w:sz w:val="21"/>
          <w:u w:val="single"/>
        </w:rPr>
        <w:t xml:space="preserve">   </w:t>
      </w:r>
      <w:r>
        <w:rPr>
          <w:color w:val="000000"/>
          <w:sz w:val="21"/>
        </w:rPr>
        <w:t>小时内处理完毕。若在</w:t>
      </w:r>
      <w:r>
        <w:rPr>
          <w:sz w:val="21"/>
          <w:u w:val="single"/>
        </w:rPr>
        <w:t xml:space="preserve">   </w:t>
      </w:r>
      <w:r>
        <w:rPr>
          <w:color w:val="000000"/>
          <w:sz w:val="21"/>
        </w:rPr>
        <w:t>小时内仍未能有效解决，中标供应商</w:t>
      </w:r>
      <w:r>
        <w:rPr>
          <w:color w:val="000000"/>
          <w:sz w:val="21"/>
        </w:rPr>
        <w:t>须提供同一档次的设备予甲方临时使用并负责所有因设备质量问题而产生的费用</w:t>
      </w:r>
      <w:r>
        <w:rPr>
          <w:color w:val="000000"/>
          <w:sz w:val="21"/>
        </w:rPr>
        <w:t>，</w:t>
      </w:r>
      <w:r>
        <w:rPr>
          <w:color w:val="000000"/>
          <w:sz w:val="21"/>
        </w:rPr>
        <w:t>乙方</w:t>
      </w:r>
      <w:r>
        <w:rPr>
          <w:color w:val="000000"/>
          <w:sz w:val="21"/>
        </w:rPr>
        <w:t>需提供同等规格的产品代用，直至故障设备修复，</w:t>
      </w:r>
      <w:r>
        <w:rPr>
          <w:color w:val="000000"/>
          <w:sz w:val="21"/>
        </w:rPr>
        <w:t>乙方</w:t>
      </w:r>
      <w:r>
        <w:rPr>
          <w:color w:val="000000"/>
          <w:sz w:val="21"/>
        </w:rPr>
        <w:t>负责所有因设备质量问题而产生的费用，</w:t>
      </w:r>
      <w:r>
        <w:rPr>
          <w:color w:val="000000"/>
          <w:sz w:val="21"/>
        </w:rPr>
        <w:t>乙方</w:t>
      </w:r>
      <w:r>
        <w:rPr>
          <w:color w:val="000000"/>
          <w:sz w:val="21"/>
        </w:rPr>
        <w:t>售后服务人员定期回访，每三个月</w:t>
      </w:r>
      <w:r>
        <w:rPr>
          <w:color w:val="000000"/>
          <w:sz w:val="21"/>
        </w:rPr>
        <w:t>至少</w:t>
      </w:r>
      <w:r>
        <w:rPr>
          <w:color w:val="000000"/>
          <w:sz w:val="21"/>
        </w:rPr>
        <w:t>进行一次保养维护和登记</w:t>
      </w:r>
      <w:r>
        <w:rPr>
          <w:color w:val="000000"/>
          <w:sz w:val="21"/>
        </w:rPr>
        <w:t>。</w:t>
      </w:r>
    </w:p>
    <w:p>
      <w:pPr>
        <w:ind w:firstLine="420"/>
        <w:jc w:val="both"/>
      </w:pPr>
      <w:r>
        <w:rPr>
          <w:color w:val="000000"/>
          <w:sz w:val="21"/>
        </w:rPr>
        <w:t>13、</w:t>
      </w:r>
      <w:r>
        <w:rPr>
          <w:color w:val="000000"/>
          <w:sz w:val="21"/>
        </w:rPr>
        <w:t>保修期</w:t>
      </w:r>
      <w:r>
        <w:rPr>
          <w:color w:val="000000"/>
          <w:sz w:val="21"/>
        </w:rPr>
        <w:t>间，同一硬件一个月内连续</w:t>
      </w:r>
      <w:r>
        <w:rPr>
          <w:color w:val="000000"/>
          <w:sz w:val="21"/>
        </w:rPr>
        <w:t>2次出现同一故障，乙方须无偿更换同一档次货物。</w:t>
      </w:r>
    </w:p>
    <w:p>
      <w:pPr>
        <w:ind w:firstLine="420"/>
        <w:jc w:val="both"/>
      </w:pPr>
      <w:r>
        <w:rPr>
          <w:color w:val="000000"/>
          <w:sz w:val="21"/>
        </w:rPr>
        <w:t>14、 负责售后服务维修的单位名称（如有）：</w:t>
      </w:r>
      <w:r>
        <w:rPr>
          <w:sz w:val="21"/>
          <w:u w:val="single"/>
        </w:rPr>
        <w:t xml:space="preserve">                       </w:t>
      </w:r>
    </w:p>
    <w:p>
      <w:pPr>
        <w:ind w:firstLine="420"/>
        <w:jc w:val="both"/>
      </w:pPr>
      <w:r>
        <w:rPr>
          <w:sz w:val="21"/>
        </w:rPr>
        <w:t>地址：</w:t>
      </w:r>
      <w:r>
        <w:rPr>
          <w:sz w:val="21"/>
          <w:u w:val="single"/>
        </w:rPr>
        <w:t xml:space="preserve">                                       </w:t>
      </w:r>
    </w:p>
    <w:p>
      <w:pPr>
        <w:ind w:firstLine="420"/>
        <w:jc w:val="both"/>
      </w:pPr>
      <w:r>
        <w:rPr>
          <w:sz w:val="21"/>
        </w:rPr>
        <w:t>联系人：</w:t>
      </w:r>
      <w:r>
        <w:rPr>
          <w:sz w:val="21"/>
          <w:u w:val="single"/>
        </w:rPr>
        <w:t xml:space="preserve">                                     </w:t>
      </w:r>
    </w:p>
    <w:p>
      <w:pPr>
        <w:ind w:firstLine="420"/>
        <w:jc w:val="both"/>
      </w:pPr>
      <w:r>
        <w:rPr>
          <w:sz w:val="21"/>
        </w:rPr>
        <w:t>联系电话</w:t>
      </w:r>
      <w:r>
        <w:rPr>
          <w:sz w:val="21"/>
          <w:u w:val="single"/>
        </w:rPr>
        <w:t xml:space="preserve">                                     </w:t>
      </w:r>
    </w:p>
    <w:p>
      <w:pPr>
        <w:ind w:firstLine="420"/>
        <w:jc w:val="both"/>
      </w:pPr>
      <w:r>
        <w:rPr>
          <w:sz w:val="21"/>
        </w:rPr>
        <w:t>手机号码：</w:t>
      </w:r>
      <w:r>
        <w:rPr>
          <w:sz w:val="21"/>
          <w:u w:val="single"/>
        </w:rPr>
        <w:t xml:space="preserve">                                   </w:t>
      </w:r>
    </w:p>
    <w:p>
      <w:pPr>
        <w:ind w:firstLine="420"/>
        <w:jc w:val="both"/>
      </w:pPr>
      <w:r>
        <w:rPr>
          <w:sz w:val="21"/>
        </w:rPr>
        <w:t>传真号码：</w:t>
      </w:r>
      <w:r>
        <w:rPr>
          <w:sz w:val="21"/>
          <w:u w:val="single"/>
        </w:rPr>
        <w:t xml:space="preserve">                                   </w:t>
      </w:r>
    </w:p>
    <w:p>
      <w:pPr>
        <w:jc w:val="both"/>
      </w:pPr>
      <w:r>
        <w:rPr>
          <w:b/>
          <w:sz w:val="21"/>
        </w:rPr>
        <w:t>八、包装、到货检验、</w:t>
      </w:r>
      <w:r>
        <w:rPr>
          <w:b/>
          <w:sz w:val="21"/>
        </w:rPr>
        <w:t>安装与调试</w:t>
      </w:r>
      <w:r>
        <w:rPr>
          <w:sz w:val="21"/>
        </w:rPr>
        <w:t>:</w:t>
      </w:r>
    </w:p>
    <w:p>
      <w:pPr>
        <w:ind w:firstLine="420"/>
        <w:jc w:val="both"/>
      </w:pPr>
      <w:r>
        <w:rPr>
          <w:sz w:val="21"/>
        </w:rPr>
        <w:t>1、合同货物的包装：货物的包装均应有良好的防湿、防锈、防潮、防雨、防腐及防碰撞的措施。凡由于包装不良造成的损失和由此产生的费用均由乙方承担。</w:t>
      </w:r>
    </w:p>
    <w:p>
      <w:pPr>
        <w:ind w:firstLine="420"/>
        <w:jc w:val="both"/>
      </w:pPr>
      <w:r>
        <w:rPr>
          <w:sz w:val="21"/>
        </w:rPr>
        <w:t>2、到货检验</w:t>
      </w:r>
    </w:p>
    <w:p>
      <w:pPr>
        <w:ind w:firstLine="420"/>
        <w:jc w:val="both"/>
      </w:pPr>
      <w:r>
        <w:rPr>
          <w:sz w:val="21"/>
        </w:rPr>
        <w:t>（</w:t>
      </w:r>
      <w:r>
        <w:rPr>
          <w:sz w:val="21"/>
        </w:rPr>
        <w:t>1）货物的到货验收包括：型号、规格、数量、外观质量及货物包装完整无破损，在货物抵达交货目的地后，甲乙双方就货物外观质量、规格和型号进行初步检验。货物为原厂商未启封全新包装，具出厂合格证，序列号、包装箱号与出厂批号一致，并可追索查阅。所有随货物的附件必须齐全。如果发现到货的外观质量、规格和型号与合同不符，甲方有权拒收货物，并可向乙方索赔。</w:t>
      </w:r>
    </w:p>
    <w:p>
      <w:pPr>
        <w:ind w:firstLine="420"/>
        <w:jc w:val="both"/>
      </w:pPr>
      <w:r>
        <w:rPr>
          <w:sz w:val="21"/>
        </w:rPr>
        <w:t>（</w:t>
      </w:r>
      <w:r>
        <w:rPr>
          <w:sz w:val="21"/>
        </w:rPr>
        <w:t>2）货物送到甲方指定场地后，甲、乙双方同时在场时才能开封检验。</w:t>
      </w:r>
    </w:p>
    <w:p>
      <w:pPr>
        <w:ind w:firstLine="420"/>
        <w:jc w:val="both"/>
      </w:pPr>
      <w:r>
        <w:rPr>
          <w:sz w:val="21"/>
        </w:rPr>
        <w:t>3、 合同货物的安装调试：</w:t>
      </w:r>
    </w:p>
    <w:p>
      <w:pPr>
        <w:ind w:firstLine="420"/>
        <w:jc w:val="both"/>
      </w:pPr>
      <w:r>
        <w:rPr>
          <w:sz w:val="21"/>
        </w:rPr>
        <w:t>（</w:t>
      </w:r>
      <w:r>
        <w:rPr>
          <w:sz w:val="21"/>
        </w:rPr>
        <w:t>1）除非甲方另有通知，乙方应按照合同的要求以及合同执行计划的时间安排，派出足够的人员进行现场安装和负责调试工作。</w:t>
      </w:r>
    </w:p>
    <w:p>
      <w:pPr>
        <w:ind w:firstLine="420"/>
        <w:jc w:val="both"/>
      </w:pPr>
      <w:r>
        <w:rPr>
          <w:sz w:val="21"/>
        </w:rPr>
        <w:t>（</w:t>
      </w:r>
      <w:r>
        <w:rPr>
          <w:sz w:val="21"/>
        </w:rPr>
        <w:t>2）乙方必须依照招标文件的要求和投标文件的承诺，将设备、系统安装并调试至正常运行的最佳状态。</w:t>
      </w:r>
    </w:p>
    <w:p>
      <w:pPr>
        <w:ind w:firstLine="420"/>
        <w:jc w:val="both"/>
      </w:pPr>
      <w:r>
        <w:rPr>
          <w:sz w:val="21"/>
        </w:rPr>
        <w:t>（</w:t>
      </w:r>
      <w:r>
        <w:rPr>
          <w:sz w:val="21"/>
        </w:rPr>
        <w:t>3）合同项下的安装调试所发生费用及耗材由乙方承担。</w:t>
      </w:r>
    </w:p>
    <w:p>
      <w:pPr>
        <w:ind w:firstLine="420"/>
        <w:jc w:val="both"/>
      </w:pPr>
      <w:r>
        <w:rPr>
          <w:sz w:val="21"/>
        </w:rPr>
        <w:t>（</w:t>
      </w:r>
      <w:r>
        <w:rPr>
          <w:sz w:val="21"/>
        </w:rPr>
        <w:t>4）乙方安装时须对各安装场地内的其它货物、设施有良好保护措施。</w:t>
      </w:r>
    </w:p>
    <w:p>
      <w:pPr>
        <w:ind w:firstLine="420"/>
        <w:jc w:val="both"/>
      </w:pPr>
      <w:r>
        <w:rPr>
          <w:sz w:val="21"/>
        </w:rPr>
        <w:t>（</w:t>
      </w:r>
      <w:r>
        <w:rPr>
          <w:sz w:val="21"/>
        </w:rPr>
        <w:t>5</w:t>
      </w:r>
      <w:r>
        <w:rPr>
          <w:sz w:val="21"/>
        </w:rPr>
        <w:t>）</w:t>
      </w:r>
      <w:r>
        <w:rPr>
          <w:sz w:val="21"/>
        </w:rPr>
        <w:t>如该设备需要联接相关信息系统，乙方</w:t>
      </w:r>
      <w:r>
        <w:rPr>
          <w:sz w:val="21"/>
        </w:rPr>
        <w:t>应当</w:t>
      </w:r>
      <w:r>
        <w:rPr>
          <w:sz w:val="21"/>
        </w:rPr>
        <w:t>协调设备厂家配合信息系统提供方，联接调试好信息系统，并负责支付相关费用。</w:t>
      </w:r>
    </w:p>
    <w:p>
      <w:pPr>
        <w:jc w:val="both"/>
      </w:pPr>
      <w:r>
        <w:rPr>
          <w:b/>
          <w:sz w:val="21"/>
        </w:rPr>
        <w:t>九、验收：</w:t>
      </w:r>
    </w:p>
    <w:p>
      <w:pPr>
        <w:ind w:firstLine="420"/>
        <w:jc w:val="both"/>
      </w:pPr>
      <w:r>
        <w:rPr>
          <w:sz w:val="21"/>
        </w:rPr>
        <w:t>1、甲方按照采购合同规定的技术、服务、安全标准组织对乙方履约情况进行验收，并出具验收书。验收书应当包括每一项技术、服务、安全标准的履约情况。</w:t>
      </w:r>
    </w:p>
    <w:p>
      <w:pPr>
        <w:ind w:firstLine="420"/>
        <w:jc w:val="both"/>
      </w:pPr>
      <w:r>
        <w:rPr>
          <w:sz w:val="21"/>
        </w:rPr>
        <w:t>2、交付验收标准依次序对照适用标准为：</w:t>
      </w:r>
    </w:p>
    <w:p>
      <w:pPr>
        <w:ind w:firstLine="420"/>
        <w:jc w:val="both"/>
      </w:pPr>
      <w:r>
        <w:rPr>
          <w:sz w:val="21"/>
        </w:rPr>
        <w:t>（</w:t>
      </w:r>
      <w:r>
        <w:rPr>
          <w:sz w:val="21"/>
        </w:rPr>
        <w:t>1）符合中华人民共和国国家安全质量标准、环保标准或行业标准；</w:t>
      </w:r>
    </w:p>
    <w:p>
      <w:pPr>
        <w:ind w:firstLine="420"/>
        <w:jc w:val="both"/>
      </w:pPr>
      <w:r>
        <w:rPr>
          <w:sz w:val="21"/>
        </w:rPr>
        <w:t>（</w:t>
      </w:r>
      <w:r>
        <w:rPr>
          <w:sz w:val="21"/>
        </w:rPr>
        <w:t>2）符合招标文件和投标承诺中甲方认可的合理最佳配置、参数及各项要求；</w:t>
      </w:r>
    </w:p>
    <w:p>
      <w:pPr>
        <w:ind w:firstLine="420"/>
        <w:jc w:val="both"/>
      </w:pPr>
      <w:r>
        <w:rPr>
          <w:sz w:val="21"/>
        </w:rPr>
        <w:t>（</w:t>
      </w:r>
      <w:r>
        <w:rPr>
          <w:sz w:val="21"/>
        </w:rPr>
        <w:t>3）货物来源国官方标准。</w:t>
      </w:r>
    </w:p>
    <w:p>
      <w:pPr>
        <w:ind w:firstLine="420"/>
        <w:jc w:val="both"/>
      </w:pPr>
      <w:r>
        <w:rPr>
          <w:sz w:val="21"/>
        </w:rPr>
        <w:t>3、货物为原厂商未启封全新包装，具有出厂合格证，序列号、包装箱号与出厂批号一致，并可追索查阅。所有随设备的附件必须齐全。收货时乙方按照甲方的通知，共同开箱检验，要求对全部货物、品牌、产品、型号、规格、数量、产地厂家、外型、外观、包装及资料、文件（如装箱单、保修单、随箱介质等）的验收。货物验收完毕，乙方向甲方递交货物验收清单，由双方代表签字生效。验收中如发现有质量不合格或型号规格、数量等与送货清单不符、提交的技术文件和资料不完整等情形，乙方应无条件更换或补齐，并承担因此发生的违约责任。货物为原厂商未启封全新包装，具出厂合格证，序列号、包装箱号与出厂批号一致，并可追索查阅。所有随设备的附件必须齐全。</w:t>
      </w:r>
    </w:p>
    <w:p>
      <w:pPr>
        <w:ind w:firstLine="420"/>
        <w:jc w:val="both"/>
      </w:pPr>
      <w:r>
        <w:rPr>
          <w:sz w:val="21"/>
        </w:rPr>
        <w:t>4、乙方将货物的用户手册、保修手册、有关单证资料及备品备件、随机工具等交付给甲方，使用操作及安全须知等重要资料应附有中文说明。</w:t>
      </w:r>
    </w:p>
    <w:p>
      <w:pPr>
        <w:ind w:firstLine="420"/>
        <w:jc w:val="both"/>
      </w:pPr>
      <w:r>
        <w:rPr>
          <w:sz w:val="21"/>
        </w:rPr>
        <w:t>5、货物验收所发生的检验费用由乙方负担。</w:t>
      </w:r>
    </w:p>
    <w:p>
      <w:pPr>
        <w:ind w:firstLine="420"/>
        <w:jc w:val="both"/>
      </w:pPr>
      <w:r>
        <w:rPr>
          <w:sz w:val="21"/>
        </w:rPr>
        <w:t>6、设备到货并经乙方技术人员安装后，甲方有权委托中国有资格的单位对上述设备进行校准或检验，设备校准或检验所产生的费用由乙方负担。</w:t>
      </w:r>
    </w:p>
    <w:p>
      <w:pPr>
        <w:ind w:firstLine="420"/>
        <w:jc w:val="both"/>
      </w:pPr>
      <w:r>
        <w:rPr>
          <w:sz w:val="21"/>
        </w:rPr>
        <w:t>7、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p>
    <w:p>
      <w:pPr>
        <w:ind w:firstLine="420"/>
        <w:jc w:val="both"/>
      </w:pPr>
      <w:r>
        <w:rPr>
          <w:sz w:val="21"/>
        </w:rPr>
        <w:t>8、当出现不合格产品时，乙方要无条件更换合格产品。除甲方认可，否则不接受任何形式的降格处理。</w:t>
      </w:r>
    </w:p>
    <w:p>
      <w:pPr>
        <w:ind w:firstLine="420"/>
        <w:jc w:val="both"/>
      </w:pPr>
      <w:r>
        <w:rPr>
          <w:color w:val="000000"/>
          <w:sz w:val="21"/>
        </w:rPr>
        <w:t>9、验收期限：全部货物到货并安装完毕后</w:t>
      </w:r>
      <w:r>
        <w:rPr>
          <w:sz w:val="21"/>
          <w:u w:val="single"/>
        </w:rPr>
        <w:t xml:space="preserve">   </w:t>
      </w:r>
      <w:r>
        <w:rPr>
          <w:color w:val="000000"/>
          <w:sz w:val="21"/>
        </w:rPr>
        <w:t>天内完成项目验收（换货、鉴定、检验期间不计入在内）。</w:t>
      </w:r>
    </w:p>
    <w:p>
      <w:pPr>
        <w:jc w:val="both"/>
      </w:pPr>
      <w:r>
        <w:rPr>
          <w:b/>
          <w:sz w:val="21"/>
        </w:rPr>
        <w:t>十、</w:t>
      </w:r>
      <w:r>
        <w:rPr>
          <w:b/>
          <w:sz w:val="21"/>
        </w:rPr>
        <w:t>违约责任与赔偿损失</w:t>
      </w:r>
    </w:p>
    <w:p>
      <w:pPr>
        <w:ind w:firstLine="420"/>
        <w:jc w:val="both"/>
      </w:pPr>
      <w:r>
        <w:rPr>
          <w:sz w:val="21"/>
        </w:rPr>
        <w:t>1、乙方交付的货物不符合招标文件、投标文件或本合同规定的，甲方有权拒收，并且乙方须向甲方支付本合同总价5%的违约金。</w:t>
      </w:r>
    </w:p>
    <w:p>
      <w:pPr>
        <w:ind w:firstLine="420"/>
        <w:jc w:val="both"/>
      </w:pPr>
      <w:r>
        <w:rPr>
          <w:sz w:val="21"/>
        </w:rPr>
        <w:t>2、乙方未能按本合同规定的交货时间交付货物的，从逾期之日起每日按本合同总价3‰的数额向甲方支付违约金；逾期半个月以上的，甲方有权终止合同，由此造成的甲方经济损失由乙方承担。</w:t>
      </w:r>
    </w:p>
    <w:p>
      <w:pPr>
        <w:ind w:firstLine="420"/>
        <w:jc w:val="both"/>
      </w:pPr>
      <w:r>
        <w:rPr>
          <w:sz w:val="21"/>
        </w:rPr>
        <w:t>3、甲方无正当理由拒收货物，不按合同约定付款的，甲方向乙方偿付本合同总价5%的违约金。甲方逾期未按合同约定时间支付款项的，则每日按本合同总价的3‰向乙方偿付违约金。</w:t>
      </w:r>
    </w:p>
    <w:p>
      <w:pPr>
        <w:ind w:firstLine="420"/>
        <w:jc w:val="both"/>
      </w:pPr>
      <w:r>
        <w:rPr>
          <w:sz w:val="21"/>
        </w:rPr>
        <w:t>4、乙方如没有按合同规定履行售后服务承诺，甲方可由第三方单位进行修复，其费用全部由乙方支付，否则，追究乙方违约的法律责任。</w:t>
      </w:r>
    </w:p>
    <w:p>
      <w:pPr>
        <w:ind w:firstLine="420"/>
        <w:jc w:val="both"/>
      </w:pPr>
      <w:r>
        <w:rPr>
          <w:sz w:val="21"/>
        </w:rPr>
        <w:t>5、其它违约责任按《中华人民共和国民法典》处理。</w:t>
      </w:r>
    </w:p>
    <w:p>
      <w:pPr>
        <w:jc w:val="both"/>
      </w:pPr>
      <w:r>
        <w:rPr>
          <w:b/>
          <w:sz w:val="21"/>
        </w:rPr>
        <w:t>十一、争议的解决</w:t>
      </w:r>
    </w:p>
    <w:p>
      <w:pPr>
        <w:ind w:firstLine="420"/>
        <w:jc w:val="both"/>
      </w:pPr>
      <w:r>
        <w:rPr>
          <w:sz w:val="21"/>
        </w:rPr>
        <w:t>合同执行过程中发生的任何争议，双方应通过友好协商解决，若经协商不能达成协议时，则向甲方所在地有管辖权的人民法院提起诉讼。诉讼期间，双方应继续执行合同其余部分。</w:t>
      </w:r>
    </w:p>
    <w:p>
      <w:pPr>
        <w:jc w:val="both"/>
      </w:pPr>
      <w:r>
        <w:rPr>
          <w:b/>
          <w:sz w:val="21"/>
        </w:rPr>
        <w:t>十二、不可抗力</w:t>
      </w:r>
    </w:p>
    <w:p>
      <w:pPr>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十三、税费</w:t>
      </w:r>
    </w:p>
    <w:p>
      <w:pPr>
        <w:ind w:firstLine="420"/>
        <w:jc w:val="both"/>
      </w:pPr>
      <w:r>
        <w:rPr>
          <w:sz w:val="21"/>
        </w:rPr>
        <w:t>在中国境内、外发生的与本合同执行有关的一切税费均由乙方负担。</w:t>
      </w:r>
    </w:p>
    <w:p>
      <w:pPr>
        <w:jc w:val="both"/>
      </w:pPr>
      <w:r>
        <w:rPr>
          <w:b/>
          <w:sz w:val="21"/>
        </w:rPr>
        <w:t>十四、其它</w:t>
      </w:r>
    </w:p>
    <w:p>
      <w:pPr>
        <w:ind w:firstLine="420"/>
        <w:jc w:val="both"/>
      </w:pPr>
      <w:r>
        <w:rPr>
          <w:sz w:val="21"/>
        </w:rPr>
        <w:t>1、本合同所有附件、招标文件、投标文件、中标通知书均为合同的有效组成部分，与本合同具有同等法律效力。</w:t>
      </w:r>
    </w:p>
    <w:p>
      <w:pPr>
        <w:ind w:firstLine="420"/>
        <w:jc w:val="both"/>
      </w:pPr>
      <w:r>
        <w:rPr>
          <w:sz w:val="21"/>
        </w:rPr>
        <w:t>2、在执行本合同的过程中，所有经双方签署确认的文件（包括会议纪要、补充协议、往来信函）即成为本合同的有效组成部分。</w:t>
      </w:r>
    </w:p>
    <w:p>
      <w:pPr>
        <w:ind w:firstLine="420"/>
        <w:jc w:val="both"/>
      </w:pPr>
      <w:r>
        <w:rPr>
          <w:sz w:val="21"/>
        </w:rPr>
        <w:t>3、如一方地址、电话、传真号码有变更，应在变更当日内书面通知对方，否则，应承担相应责任。</w:t>
      </w:r>
    </w:p>
    <w:p>
      <w:pPr>
        <w:ind w:firstLine="420"/>
        <w:jc w:val="both"/>
      </w:pPr>
      <w:r>
        <w:rPr>
          <w:sz w:val="21"/>
        </w:rPr>
        <w:t>4、除甲方事先书面同意外，乙方不得部分或全部转让其应履行的合同项下的义务。</w:t>
      </w:r>
    </w:p>
    <w:p>
      <w:pPr>
        <w:jc w:val="both"/>
      </w:pPr>
      <w:r>
        <w:rPr>
          <w:b/>
          <w:sz w:val="21"/>
        </w:rPr>
        <w:t>十五、合同生效</w:t>
      </w:r>
    </w:p>
    <w:p>
      <w:pPr>
        <w:ind w:firstLine="420"/>
        <w:jc w:val="both"/>
      </w:pPr>
      <w:r>
        <w:rPr>
          <w:sz w:val="21"/>
        </w:rPr>
        <w:t>1、本合同在乙方提交履约保证金并甲乙双方法人代表或其授权代表签字盖章后生效。如果不需要提交履约保证金的则甲乙双方法人代表或其授权代表签字并盖章后生效。合同生效日期以后一个签字的日期为准。</w:t>
      </w:r>
    </w:p>
    <w:p>
      <w:pPr>
        <w:ind w:firstLine="420"/>
        <w:jc w:val="both"/>
      </w:pPr>
      <w:r>
        <w:rPr>
          <w:sz w:val="21"/>
        </w:rPr>
        <w:t>2</w:t>
      </w:r>
      <w:r>
        <w:rPr>
          <w:sz w:val="21"/>
        </w:rPr>
        <w:t>、</w:t>
      </w:r>
      <w:r>
        <w:rPr>
          <w:sz w:val="21"/>
        </w:rPr>
        <w:t>本合同一式</w:t>
      </w:r>
      <w:r>
        <w:rPr>
          <w:sz w:val="21"/>
          <w:u w:val="single"/>
        </w:rPr>
        <w:t>陆</w:t>
      </w:r>
      <w:r>
        <w:rPr>
          <w:sz w:val="21"/>
        </w:rPr>
        <w:t>份，具有同等法律效力，甲方执</w:t>
      </w:r>
      <w:r>
        <w:rPr>
          <w:sz w:val="21"/>
          <w:u w:val="single"/>
        </w:rPr>
        <w:t>肆</w:t>
      </w:r>
      <w:r>
        <w:rPr>
          <w:sz w:val="21"/>
        </w:rPr>
        <w:t>份，乙方执</w:t>
      </w:r>
      <w:r>
        <w:rPr>
          <w:sz w:val="21"/>
          <w:u w:val="single"/>
        </w:rPr>
        <w:t>壹</w:t>
      </w:r>
      <w:r>
        <w:rPr>
          <w:sz w:val="21"/>
        </w:rPr>
        <w:t>份，招标代理机构执</w:t>
      </w:r>
      <w:r>
        <w:rPr>
          <w:sz w:val="21"/>
          <w:u w:val="single"/>
        </w:rPr>
        <w:t>壹</w:t>
      </w:r>
      <w:r>
        <w:rPr>
          <w:sz w:val="21"/>
        </w:rPr>
        <w:t>份</w:t>
      </w:r>
      <w:r>
        <w:rPr>
          <w:color w:val="000000"/>
          <w:sz w:val="21"/>
        </w:rPr>
        <w:t>，具同等法律效力。</w:t>
      </w:r>
    </w:p>
    <w:p>
      <w:pPr>
        <w:ind w:firstLine="420"/>
        <w:jc w:val="both"/>
      </w:pPr>
      <w:r>
        <w:rPr>
          <w:sz w:val="21"/>
        </w:rPr>
        <w:t>3</w:t>
      </w:r>
      <w:r>
        <w:rPr>
          <w:sz w:val="21"/>
        </w:rPr>
        <w:t>、乙方提供加盖法人公章的营业执照（执业许可）副本及履约所需的相关资质证明文件复印件。合同签约人为法定代表人时，合同相对人需提供加盖法人公章的《法定代表人证明书》；签约人为授权代表时，合同相对人需提供由法定代表人签字并加盖法人公章的《授权委托书》。</w:t>
      </w:r>
    </w:p>
    <w:p>
      <w:pPr>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3"/>
        <w:gridCol w:w="4643"/>
      </w:tblGrid>
      <w:tr>
        <w:tc>
          <w:tcPr>
            <w:tcW w:type="dxa" w:w="3663"/>
            <w:tcBorders>
              <w:top w:val="none" w:color="000000" w:sz="4"/>
              <w:left w:val="none" w:color="000000" w:sz="4"/>
              <w:bottom w:val="none" w:color="000000" w:sz="4"/>
              <w:right w:val="none" w:color="000000" w:sz="4"/>
            </w:tcBorders>
            <w:vAlign w:val="top"/>
          </w:tcPr>
          <w:p>
            <w:pPr>
              <w:jc w:val="both"/>
            </w:pPr>
            <w:r>
              <w:rPr>
                <w:color w:val="000000"/>
                <w:sz w:val="21"/>
              </w:rPr>
              <w:t>甲方（公章）：</w:t>
            </w:r>
            <w:r>
              <w:rPr>
                <w:sz w:val="21"/>
              </w:rPr>
              <w:t xml:space="preserve"> </w:t>
            </w:r>
          </w:p>
          <w:p>
            <w:pPr>
              <w:jc w:val="both"/>
            </w:pPr>
            <w:r>
              <w:rPr>
                <w:color w:val="000000"/>
                <w:sz w:val="21"/>
              </w:rPr>
              <w:t>授权代表：</w:t>
            </w:r>
          </w:p>
          <w:p>
            <w:pPr>
              <w:jc w:val="both"/>
            </w:pPr>
            <w:r>
              <w:rPr>
                <w:color w:val="000000"/>
                <w:sz w:val="21"/>
              </w:rPr>
              <w:t>地址：</w:t>
            </w:r>
          </w:p>
          <w:p>
            <w:pPr>
              <w:jc w:val="both"/>
            </w:pPr>
            <w:r>
              <w:rPr>
                <w:color w:val="000000"/>
                <w:sz w:val="21"/>
              </w:rPr>
              <w:t>联系方式：</w:t>
            </w:r>
          </w:p>
          <w:p>
            <w:pPr>
              <w:jc w:val="both"/>
            </w:pPr>
          </w:p>
          <w:p>
            <w:pPr>
              <w:jc w:val="both"/>
            </w:pPr>
          </w:p>
          <w:p>
            <w:pPr>
              <w:jc w:val="both"/>
            </w:pPr>
          </w:p>
          <w:p>
            <w:pPr>
              <w:jc w:val="both"/>
            </w:pPr>
          </w:p>
          <w:p>
            <w:pPr>
              <w:jc w:val="both"/>
            </w:pPr>
          </w:p>
          <w:p>
            <w:pPr>
              <w:jc w:val="both"/>
            </w:pPr>
          </w:p>
        </w:tc>
        <w:tc>
          <w:tcPr>
            <w:tcW w:type="dxa" w:w="4643"/>
            <w:tcBorders>
              <w:top w:val="none" w:color="000000" w:sz="4"/>
              <w:left w:val="none" w:color="000000" w:sz="4"/>
              <w:bottom w:val="none" w:color="000000" w:sz="4"/>
              <w:right w:val="none" w:color="000000" w:sz="4"/>
            </w:tcBorders>
            <w:vAlign w:val="top"/>
          </w:tcPr>
          <w:p>
            <w:pPr>
              <w:jc w:val="both"/>
            </w:pPr>
            <w:r>
              <w:rPr>
                <w:color w:val="000000"/>
                <w:sz w:val="21"/>
              </w:rPr>
              <w:t>乙方（公章）：</w:t>
            </w:r>
            <w:r>
              <w:rPr>
                <w:sz w:val="21"/>
              </w:rPr>
              <w:t xml:space="preserve"> </w:t>
            </w:r>
          </w:p>
          <w:p>
            <w:pPr>
              <w:jc w:val="both"/>
            </w:pPr>
            <w:r>
              <w:rPr>
                <w:color w:val="000000"/>
                <w:sz w:val="21"/>
              </w:rPr>
              <w:t>授权代表：</w:t>
            </w:r>
          </w:p>
          <w:p>
            <w:pPr>
              <w:jc w:val="both"/>
            </w:pPr>
            <w:r>
              <w:rPr>
                <w:color w:val="000000"/>
                <w:sz w:val="21"/>
              </w:rPr>
              <w:t>供应商规模：（大型企业</w:t>
            </w:r>
            <w:r>
              <w:rPr>
                <w:color w:val="000000"/>
                <w:sz w:val="21"/>
              </w:rPr>
              <w:t>/中型企业/小微型企业/其他）</w:t>
            </w:r>
          </w:p>
          <w:p>
            <w:pPr>
              <w:jc w:val="both"/>
            </w:pPr>
            <w:r>
              <w:rPr>
                <w:color w:val="000000"/>
                <w:sz w:val="21"/>
              </w:rPr>
              <w:t>供应商特殊性质：（监狱企业</w:t>
            </w:r>
            <w:r>
              <w:rPr>
                <w:color w:val="000000"/>
                <w:sz w:val="21"/>
              </w:rPr>
              <w:t>/残疾人福利性单位/其他）</w:t>
            </w:r>
          </w:p>
          <w:p>
            <w:pPr>
              <w:jc w:val="both"/>
            </w:pPr>
            <w:r>
              <w:rPr>
                <w:color w:val="000000"/>
                <w:sz w:val="21"/>
              </w:rPr>
              <w:t>开户名称：</w:t>
            </w:r>
          </w:p>
          <w:p>
            <w:pPr>
              <w:jc w:val="both"/>
            </w:pPr>
            <w:r>
              <w:rPr>
                <w:color w:val="000000"/>
                <w:sz w:val="21"/>
              </w:rPr>
              <w:t>开户银行：</w:t>
            </w:r>
          </w:p>
          <w:p>
            <w:pPr>
              <w:jc w:val="both"/>
            </w:pPr>
            <w:r>
              <w:rPr>
                <w:color w:val="000000"/>
                <w:sz w:val="21"/>
              </w:rPr>
              <w:t>银行账号：</w:t>
            </w:r>
          </w:p>
          <w:p>
            <w:pPr>
              <w:jc w:val="both"/>
            </w:pPr>
            <w:r>
              <w:rPr>
                <w:color w:val="000000"/>
                <w:sz w:val="21"/>
              </w:rPr>
              <w:t>纳税人识别号：</w:t>
            </w:r>
          </w:p>
          <w:p>
            <w:pPr>
              <w:jc w:val="both"/>
            </w:pPr>
            <w:r>
              <w:rPr>
                <w:color w:val="000000"/>
                <w:sz w:val="21"/>
              </w:rPr>
              <w:t>供应商所在区域：</w:t>
            </w:r>
          </w:p>
          <w:p>
            <w:pPr>
              <w:jc w:val="both"/>
            </w:pPr>
            <w:r>
              <w:rPr>
                <w:color w:val="000000"/>
                <w:sz w:val="21"/>
              </w:rPr>
              <w:t>地址：</w:t>
            </w:r>
          </w:p>
          <w:p>
            <w:pPr>
              <w:jc w:val="both"/>
            </w:pPr>
            <w:r>
              <w:rPr>
                <w:color w:val="000000"/>
                <w:sz w:val="21"/>
              </w:rPr>
              <w:t>联系方式：</w:t>
            </w:r>
          </w:p>
          <w:p>
            <w:pPr>
              <w:jc w:val="both"/>
            </w:pPr>
          </w:p>
        </w:tc>
      </w:tr>
    </w:tbl>
    <w:p>
      <w:pPr>
        <w:jc w:val="both"/>
      </w:pPr>
      <w:r>
        <w:rPr/>
        <w:t xml:space="preserve"> </w:t>
      </w:r>
    </w:p>
    <w:p>
      <w:pPr>
        <w:jc w:val="both"/>
      </w:pPr>
      <w:r>
        <w:rPr/>
        <w:t xml:space="preserve"> </w:t>
      </w:r>
    </w:p>
    <w:p>
      <w:pPr>
        <w:jc w:val="both"/>
      </w:pPr>
      <w:r>
        <w:rPr/>
        <w:t xml:space="preserve"> </w:t>
      </w:r>
    </w:p>
    <w:p>
      <w:pPr>
        <w:jc w:val="both"/>
      </w:pPr>
      <w:r>
        <w:br/>
      </w:r>
    </w:p>
    <w:p>
      <w:pPr>
        <w:jc w:val="both"/>
      </w:pPr>
    </w:p>
    <w:p>
      <w:pPr>
        <w:ind w:firstLine="720"/>
        <w:jc w:val="center"/>
      </w:pPr>
    </w:p>
    <w:p>
      <w:pPr>
        <w:ind w:firstLine="720"/>
        <w:jc w:val="center"/>
      </w:pPr>
    </w:p>
    <w:p>
      <w:pPr>
        <w:ind w:firstLine="720"/>
        <w:jc w:val="center"/>
      </w:pPr>
    </w:p>
    <w:p>
      <w:pPr>
        <w:jc w:val="center"/>
      </w:pPr>
      <w:r>
        <w:rPr>
          <w:b/>
          <w:sz w:val="30"/>
        </w:rPr>
        <w:t>汕</w:t>
      </w:r>
      <w:r>
        <w:rPr>
          <w:b/>
          <w:sz w:val="30"/>
        </w:rPr>
        <w:t>头大学医学院第一附属医院</w:t>
      </w:r>
    </w:p>
    <w:p>
      <w:pPr>
        <w:jc w:val="center"/>
      </w:pPr>
      <w:r>
        <w:rPr>
          <w:b/>
          <w:sz w:val="30"/>
        </w:rPr>
        <w:t>医疗卫生机构医药产品廉洁购销合同</w:t>
      </w:r>
    </w:p>
    <w:p>
      <w:pPr>
        <w:jc w:val="center"/>
      </w:pPr>
      <w:r>
        <w:rPr/>
        <w:t xml:space="preserve"> </w:t>
      </w:r>
    </w:p>
    <w:p>
      <w:pPr>
        <w:jc w:val="both"/>
      </w:pPr>
      <w:r>
        <w:rPr>
          <w:b/>
          <w:sz w:val="21"/>
        </w:rPr>
        <w:t>甲方</w:t>
      </w:r>
      <w:r>
        <w:rPr>
          <w:sz w:val="21"/>
        </w:rPr>
        <w:t>（医疗卫生机构）：</w:t>
      </w:r>
      <w:r>
        <w:rPr>
          <w:b/>
          <w:sz w:val="21"/>
        </w:rPr>
        <w:t>汕头大学医学院第一附属医院</w:t>
      </w:r>
    </w:p>
    <w:p>
      <w:pPr>
        <w:jc w:val="both"/>
      </w:pPr>
      <w:r>
        <w:rPr>
          <w:b/>
          <w:sz w:val="21"/>
        </w:rPr>
        <w:t>乙方</w:t>
      </w:r>
      <w:r>
        <w:rPr>
          <w:sz w:val="21"/>
        </w:rPr>
        <w:t>（医药生产经营企业及其代理人）：</w:t>
      </w:r>
    </w:p>
    <w:p>
      <w:pPr>
        <w:ind w:firstLine="420"/>
        <w:jc w:val="both"/>
      </w:pPr>
      <w:r>
        <w:rPr>
          <w:sz w:val="21"/>
        </w:rPr>
        <w:t>为进一步加强医疗卫生行风建设，规范医疗卫生机构医药购销行为，有效防范商业贿赂行为，营造公平交易、诚实守信的购销环境，经甲、乙双方协商，同意签订本合同，并共同遵守：</w:t>
      </w:r>
    </w:p>
    <w:p>
      <w:pPr>
        <w:ind w:firstLine="420"/>
        <w:jc w:val="both"/>
      </w:pPr>
      <w:r>
        <w:rPr>
          <w:sz w:val="21"/>
        </w:rPr>
        <w:t>一、甲乙双方按照《中华人民共和国民法典》及医药产品购销合同约定购销药品、医用设备、医用耗材等医药产品。</w:t>
      </w:r>
    </w:p>
    <w:p>
      <w:pPr>
        <w:ind w:firstLine="420"/>
        <w:jc w:val="both"/>
      </w:pPr>
      <w:r>
        <w:rPr>
          <w:sz w:val="21"/>
        </w:rPr>
        <w:t>二、甲方应当严格执行医药产品购销合同验收、入库制度，对采购医药产品及发票进行查验，不得违反有关规定合同外采购、违价采购或从非规定渠道采购。</w:t>
      </w:r>
    </w:p>
    <w:p>
      <w:pPr>
        <w:ind w:firstLine="420"/>
        <w:jc w:val="both"/>
      </w:pPr>
      <w:r>
        <w:rPr>
          <w:sz w:val="21"/>
        </w:rPr>
        <w:t>三、甲方严禁接受乙方以任何名义、形式给予的回（huí）</w:t>
      </w:r>
      <w:r>
        <w:rPr>
          <w:sz w:val="21"/>
        </w:rPr>
        <w:t>扣，不得将接受捐赠资助与采购挂钩。甲方工作人员不得参加乙方安排并支付费用的营业性娱乐场所的娱乐活动，不得以任何形式向乙方索要现金、有价证券、支付凭证和贵重礼品等。被迫接受乙方给予的钱物，应予退还，无法退还的，有责任如实向有关纪检监察部门反映情况。</w:t>
      </w:r>
    </w:p>
    <w:p>
      <w:pPr>
        <w:ind w:firstLine="420"/>
        <w:jc w:val="both"/>
      </w:pPr>
      <w:r>
        <w:rPr>
          <w:sz w:val="21"/>
        </w:rPr>
        <w:t>四、严禁甲方工作人员利用任何途径和方式，为乙方统计医师个人及临床科室有关医药产品用量信息，或为乙方统计提供便利。</w:t>
      </w:r>
    </w:p>
    <w:p>
      <w:pPr>
        <w:ind w:firstLine="420"/>
        <w:jc w:val="both"/>
      </w:pPr>
      <w:r>
        <w:rPr>
          <w:sz w:val="21"/>
        </w:rPr>
        <w:t>五、乙方不得以回（huí）</w:t>
      </w:r>
      <w:r>
        <w:rPr>
          <w:sz w:val="21"/>
        </w:rPr>
        <w:t>扣、宴请等方式影响甲方工作人员采购或使用医药产品的选择权，不得在学术活动中提供旅游、超标准支付食宿费用。</w:t>
      </w:r>
    </w:p>
    <w:p>
      <w:pPr>
        <w:ind w:firstLine="420"/>
        <w:jc w:val="both"/>
      </w:pPr>
      <w:r>
        <w:rPr>
          <w:sz w:val="21"/>
        </w:rPr>
        <w:t>六、乙方指定</w:t>
      </w:r>
      <w:r>
        <w:rPr>
          <w:sz w:val="21"/>
          <w:u w:val="single"/>
        </w:rPr>
        <w:t xml:space="preserve">                        </w:t>
      </w:r>
      <w:r>
        <w:rPr>
          <w:sz w:val="21"/>
        </w:rPr>
        <w:t>作为销售代表洽谈业务。销售代表必须在工作时间到甲方指定地点联系商谈，不得到住院部、门诊部、医技科室等</w:t>
      </w:r>
    </w:p>
    <w:p>
      <w:pPr>
        <w:jc w:val="both"/>
      </w:pPr>
      <w:r>
        <w:rPr>
          <w:sz w:val="21"/>
        </w:rPr>
        <w:t>推销医药产品，不得借故到甲方相关领导、部门负责人及相关工作人员家中访谈</w:t>
      </w:r>
    </w:p>
    <w:p>
      <w:pPr>
        <w:jc w:val="both"/>
      </w:pPr>
      <w:r>
        <w:rPr>
          <w:sz w:val="21"/>
        </w:rPr>
        <w:t>并提供任何好处费。</w:t>
      </w:r>
    </w:p>
    <w:p>
      <w:pPr>
        <w:ind w:firstLine="420"/>
        <w:jc w:val="both"/>
      </w:pPr>
      <w:r>
        <w:rPr>
          <w:sz w:val="21"/>
        </w:rPr>
        <w:t>七、乙方如违反本合同，一经发现，甲方有权终止购销合同，并向有关卫生计生行政部门报告。如乙方被列入商业贿赂不良记录，则严格按照《国家卫生计生委关于建立医药购销领域商业贿赂不良记录的规定》</w:t>
      </w:r>
      <w:r>
        <w:rPr>
          <w:color w:val="000000"/>
          <w:sz w:val="21"/>
        </w:rPr>
        <w:t>（国卫法制发〔</w:t>
      </w:r>
      <w:r>
        <w:rPr>
          <w:color w:val="000000"/>
          <w:sz w:val="21"/>
        </w:rPr>
        <w:t>2013〕50号）</w:t>
      </w:r>
      <w:r>
        <w:rPr>
          <w:sz w:val="21"/>
        </w:rPr>
        <w:t>相关规定处理。</w:t>
      </w:r>
    </w:p>
    <w:p>
      <w:pPr>
        <w:ind w:firstLine="420"/>
        <w:jc w:val="both"/>
      </w:pPr>
      <w:r>
        <w:rPr>
          <w:sz w:val="21"/>
        </w:rPr>
        <w:t>八、乙方因行贿甲方职工而涉嫌犯罪移送司法机关依法处理的，或因行贿导致甲方职工涉嫌犯罪的，甲方对乙方已供给甲方涉案的物资的货款支付方法为：案发前已支付的货款不追回，对未付货款将予冻结。同时终止甲方与乙方（涉案具体品种）的购销合同。结案后，解冻涉案具体品种被冻结的货款，被解冻的货款由甲方代该涉案具体品种的供货商（乙方）转入公益基金项目的账户。</w:t>
      </w:r>
    </w:p>
    <w:p>
      <w:pPr>
        <w:ind w:firstLine="315"/>
        <w:jc w:val="both"/>
      </w:pPr>
      <w:r>
        <w:rPr>
          <w:sz w:val="21"/>
        </w:rPr>
        <w:t>九、本合同作为医药产品购销合同的重要组成部分，与购销合同一并执行，具有同等的法律效力。</w:t>
      </w:r>
    </w:p>
    <w:p>
      <w:pPr>
        <w:ind w:firstLine="315"/>
        <w:jc w:val="both"/>
      </w:pPr>
      <w:r>
        <w:rPr>
          <w:sz w:val="21"/>
        </w:rPr>
        <w:t>十、本合同一式</w:t>
      </w:r>
      <w:r>
        <w:rPr>
          <w:sz w:val="21"/>
        </w:rPr>
        <w:t>五</w:t>
      </w:r>
      <w:r>
        <w:rPr>
          <w:sz w:val="21"/>
        </w:rPr>
        <w:t>份，甲方执</w:t>
      </w:r>
      <w:r>
        <w:rPr>
          <w:sz w:val="21"/>
        </w:rPr>
        <w:t>三</w:t>
      </w:r>
      <w:r>
        <w:rPr>
          <w:sz w:val="21"/>
        </w:rPr>
        <w:t>份，甲方纪检监察部门（基层医疗卫生机构上报上级卫生计生行政部门）执一份，乙方执</w:t>
      </w:r>
      <w:r>
        <w:rPr>
          <w:sz w:val="21"/>
        </w:rPr>
        <w:t>一份</w:t>
      </w:r>
      <w:r>
        <w:rPr>
          <w:sz w:val="21"/>
        </w:rPr>
        <w:t>，从签订之日起生效。</w:t>
      </w:r>
    </w:p>
    <w:p>
      <w:pPr>
        <w:jc w:val="both"/>
      </w:pPr>
    </w:p>
    <w:p>
      <w:pPr>
        <w:jc w:val="both"/>
      </w:pPr>
    </w:p>
    <w:p>
      <w:pPr>
        <w:jc w:val="both"/>
      </w:pPr>
      <w:r>
        <w:rPr>
          <w:b/>
          <w:sz w:val="21"/>
        </w:rPr>
        <w:t>甲方（盖章）：</w:t>
      </w:r>
      <w:r>
        <w:rPr>
          <w:b/>
          <w:sz w:val="21"/>
        </w:rPr>
        <w:t xml:space="preserve">                     </w:t>
      </w:r>
      <w:r>
        <w:rPr>
          <w:b/>
          <w:sz w:val="21"/>
        </w:rPr>
        <w:t xml:space="preserve">            </w:t>
      </w:r>
      <w:r>
        <w:rPr>
          <w:b/>
          <w:sz w:val="21"/>
        </w:rPr>
        <w:t>乙方（盖章）：</w:t>
      </w:r>
    </w:p>
    <w:p>
      <w:pPr>
        <w:jc w:val="both"/>
      </w:pPr>
      <w:r>
        <w:rPr>
          <w:b/>
          <w:sz w:val="21"/>
        </w:rPr>
        <w:t>法定代表人（授权代表）：</w:t>
      </w:r>
      <w:r>
        <w:rPr>
          <w:b/>
          <w:sz w:val="21"/>
        </w:rPr>
        <w:t xml:space="preserve">        </w:t>
      </w:r>
      <w:r>
        <w:rPr>
          <w:b/>
          <w:sz w:val="21"/>
        </w:rPr>
        <w:t xml:space="preserve">       </w:t>
      </w:r>
      <w:r>
        <w:rPr>
          <w:b/>
          <w:sz w:val="21"/>
        </w:rPr>
        <w:t xml:space="preserve"> </w:t>
      </w:r>
      <w:r>
        <w:rPr>
          <w:b/>
          <w:sz w:val="21"/>
        </w:rPr>
        <w:t>法定代表人（授权代表）：</w:t>
      </w:r>
    </w:p>
    <w:p>
      <w:pPr>
        <w:jc w:val="both"/>
      </w:pPr>
      <w:r>
        <w:rPr>
          <w:b/>
          <w:sz w:val="21"/>
        </w:rPr>
        <w:t>经办人签名：</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经办人签名：</w:t>
      </w:r>
    </w:p>
    <w:p>
      <w:pPr>
        <w:ind w:firstLine="315"/>
        <w:jc w:val="both"/>
      </w:pP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 xml:space="preserve">                 </w:t>
      </w:r>
      <w:r>
        <w:rPr>
          <w:sz w:val="21"/>
        </w:rPr>
        <w:t>年</w:t>
      </w:r>
      <w:r>
        <w:rPr>
          <w:sz w:val="21"/>
        </w:rPr>
        <w:t xml:space="preserve">  </w:t>
      </w:r>
      <w:r>
        <w:rPr>
          <w:sz w:val="21"/>
        </w:rPr>
        <w:t>月</w:t>
      </w:r>
      <w:r>
        <w:rPr>
          <w:sz w:val="21"/>
        </w:rPr>
        <w:t xml:space="preserve"> </w:t>
      </w:r>
      <w:r>
        <w:rPr>
          <w:sz w:val="21"/>
        </w:rPr>
        <w:t>日</w:t>
      </w:r>
    </w:p>
    <w:p>
      <w:pPr>
        <w:jc w:val="both"/>
      </w:pPr>
    </w:p>
    <w:p>
      <w:pPr>
        <w:jc w:val="left"/>
      </w:pPr>
    </w:p>
    <w:p>
      <w:pPr>
        <w:ind w:firstLine="315"/>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440001-2023-61571</w:t>
      </w:r>
    </w:p>
    <w:p>
      <w:pPr>
        <w:jc w:val="center"/>
      </w:pPr>
      <w:r>
        <w:rPr>
          <w:b/>
          <w:sz w:val="24"/>
        </w:rPr>
        <w:t>采购项目编号：</w:t>
      </w:r>
      <w:r>
        <w:rPr>
          <w:b/>
          <w:sz w:val="24"/>
        </w:rPr>
        <w:t>GZGK23P306A1002Z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汕头大学医学院第一附属医院磁刺激治疗仪等康复设备项目</w:t>
      </w:r>
      <w:r>
        <w:rPr>
          <w:u w:val="single"/>
        </w:rPr>
        <w:t>”</w:t>
      </w:r>
      <w:r>
        <w:rPr/>
        <w:t>项目的招标[采购项目编号为：</w:t>
      </w:r>
      <w:r>
        <w:rPr>
          <w:u w:val="single"/>
        </w:rPr>
        <w:t>GZGK23P306A1002Z</w:t>
      </w:r>
      <w:r>
        <w:rPr/>
        <w:t>]，我方愿参与投标。</w:t>
      </w:r>
    </w:p>
    <w:p>
      <w:pPr>
        <w:ind w:firstLine="480"/>
      </w:pPr>
      <w:r>
        <w:rPr/>
        <w:t>我方确认收到贵方提供的</w:t>
      </w:r>
      <w:r>
        <w:rPr>
          <w:u w:val="single"/>
        </w:rPr>
        <w:t>“</w:t>
      </w:r>
      <w:r>
        <w:rPr>
          <w:u w:val="single"/>
        </w:rPr>
        <w:t>汕头大学医学院第一附属医院磁刺激治疗仪等康复设备项目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汕头大学医学院第一附属医院磁刺激治疗仪等康复设备项目</w:t>
      </w:r>
      <w:r>
        <w:rPr/>
        <w:t>”项目采购[采购项目编号为</w:t>
      </w:r>
      <w:r>
        <w:rPr/>
        <w:t>GZGK23P306A1002Z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汕头大学医学院第一附属医院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汕头大学医学院第一附属医院磁刺激治疗仪等康复设备项目</w:t>
      </w:r>
      <w:r>
        <w:rPr/>
        <w:t>招标中获中标（采购项目编号：</w:t>
      </w:r>
      <w:r>
        <w:rPr/>
        <w:t>GZGK23P306A1002Z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汕头大学医学院第一附属医院磁刺激治疗仪等康复设备项目</w:t>
      </w:r>
      <w:r>
        <w:rPr/>
        <w:t>”项目（采购项目编号：</w:t>
      </w:r>
      <w:r>
        <w:rPr/>
        <w:t>GZGK23P306A1002Z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