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440001-2023-52620</w:t>
      </w:r>
    </w:p>
    <w:p>
      <w:pPr>
        <w:jc w:val="center"/>
      </w:pPr>
      <w:r>
        <w:rPr>
          <w:b/>
          <w:sz w:val="24"/>
        </w:rPr>
        <w:t>采购项目编号：</w:t>
      </w:r>
      <w:r>
        <w:rPr>
          <w:b/>
          <w:sz w:val="24"/>
        </w:rPr>
        <w:t>GZGK23P270A0889Z</w:t>
      </w:r>
    </w:p>
    <w:p>
      <w:pPr>
        <w:jc w:val="center"/>
      </w:pPr>
      <w:r>
        <w:rPr>
          <w:b/>
          <w:sz w:val="24"/>
        </w:rPr>
        <w:t>项目名称：</w:t>
      </w:r>
      <w:r>
        <w:rPr>
          <w:b/>
          <w:sz w:val="24"/>
        </w:rPr>
        <w:t>汕头大学医学院第二附属医院快速全自动微生物质谱鉴定系统采购项目(二次)</w:t>
      </w:r>
    </w:p>
    <w:p>
      <w:pPr>
        <w:jc w:val="center"/>
      </w:pPr>
      <w:r>
        <w:rPr>
          <w:b/>
          <w:sz w:val="24"/>
        </w:rPr>
        <w:t>采购人：</w:t>
      </w:r>
      <w:r>
        <w:rPr>
          <w:b/>
          <w:sz w:val="24"/>
        </w:rPr>
        <w:t>汕头大学医学院第二附属医院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汕头大学医学院第二附属医院</w:t>
      </w:r>
      <w:r>
        <w:rPr/>
        <w:t>的委托，采用</w:t>
      </w:r>
      <w:r>
        <w:rPr/>
        <w:t>公开招标</w:t>
      </w:r>
      <w:r>
        <w:rPr/>
        <w:t>方式组织采购</w:t>
      </w:r>
      <w:r>
        <w:rPr/>
        <w:t>汕头大学医学院第二附属医院快速全自动微生物质谱鉴定系统采购项目(二次)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汕头大学医学院第二附属医院快速全自动微生物质谱鉴定系统采购项目(二次)</w:t>
      </w:r>
    </w:p>
    <w:p>
      <w:pPr>
        <w:ind w:firstLine="480"/>
      </w:pPr>
      <w:r>
        <w:rPr/>
        <w:t>采购计划编号：</w:t>
      </w:r>
      <w:r>
        <w:rPr/>
        <w:t>440001-2023-52620</w:t>
      </w:r>
    </w:p>
    <w:p>
      <w:pPr>
        <w:ind w:firstLine="480"/>
      </w:pPr>
      <w:r>
        <w:rPr/>
        <w:t>采购项目编号：</w:t>
      </w:r>
      <w:r>
        <w:rPr/>
        <w:t>GZGK23P270A0889Z</w:t>
      </w:r>
    </w:p>
    <w:p>
      <w:pPr>
        <w:ind w:firstLine="480"/>
      </w:pPr>
      <w:r>
        <w:rPr/>
        <w:t>采购方式：</w:t>
      </w:r>
      <w:r>
        <w:rPr/>
        <w:t>公开招标</w:t>
      </w:r>
    </w:p>
    <w:p>
      <w:pPr>
        <w:ind w:firstLine="480"/>
      </w:pPr>
      <w:r>
        <w:rPr/>
        <w:t>预算金额：</w:t>
      </w:r>
      <w:r>
        <w:rPr/>
        <w:t>2,000,000.00</w:t>
      </w:r>
      <w:r>
        <w:rPr/>
        <w:t>元</w:t>
      </w:r>
    </w:p>
    <w:p>
      <w:r>
        <w:rPr>
          <w:b/>
          <w:sz w:val="24"/>
        </w:rPr>
        <w:t>2.项目内容及需求情况（采购项目技术规格、参数及要求）</w:t>
      </w:r>
    </w:p>
    <w:p>
      <w:pPr>
        <w:ind w:firstLine="480"/>
      </w:pPr>
    </w:p>
    <w:p/>
    <w:p>
      <w:r>
        <w:rPr/>
        <w:t>采购包1(快速全自动微生物质谱鉴定系统):</w:t>
      </w:r>
    </w:p>
    <w:p>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临床检验设备</w:t>
            </w:r>
          </w:p>
        </w:tc>
        <w:tc>
          <w:tcPr>
            <w:tcW w:type="dxa" w:w="2136"/>
          </w:tcPr>
          <w:p>
            <w:r>
              <w:rPr/>
              <w:t>快速全自动微生物质谱鉴定系统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3）具有良好的商业信誉和健全的财务会计制度：供应商必须具有良好的商业信誉和健全的财务会计制度（提供2022年度财务状况报告或基本开户行出具的资信证明）。</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采购包1（快速全自动微生物质谱鉴定系统）：</w:t>
      </w:r>
      <w:r>
        <w:rPr/>
        <w:t>采购包整体专门面向中小企业，全部货物须由中小微企业或监狱企业或残疾人福利性单位制造。</w:t>
      </w:r>
    </w:p>
    <w:p/>
    <w:p>
      <w:r>
        <w:rPr>
          <w:b/>
          <w:sz w:val="24"/>
        </w:rPr>
        <w:t>3.本项目特定的资格要求：</w:t>
      </w:r>
    </w:p>
    <w:p>
      <w:pPr>
        <w:ind w:firstLine="480"/>
      </w:pPr>
    </w:p>
    <w:p/>
    <w:p>
      <w:r>
        <w:rPr/>
        <w:t>采购包1（快速全自动微生物质谱鉴定系统）：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p>
    <w:p>
      <w:r>
        <w:rPr>
          <w:b/>
          <w:sz w:val="28"/>
        </w:rPr>
        <w:t>六.本项目联系方式：</w:t>
      </w:r>
    </w:p>
    <w:p>
      <w:r>
        <w:rPr>
          <w:b/>
          <w:sz w:val="24"/>
        </w:rPr>
        <w:t>1.采购人信息</w:t>
      </w:r>
    </w:p>
    <w:p>
      <w:pPr>
        <w:ind w:firstLine="480"/>
      </w:pPr>
      <w:r>
        <w:rPr/>
        <w:t>名称：</w:t>
      </w:r>
      <w:r>
        <w:rPr/>
        <w:t>汕头大学医学院第二附属医院</w:t>
      </w:r>
    </w:p>
    <w:p>
      <w:pPr>
        <w:ind w:firstLine="480"/>
      </w:pPr>
      <w:r>
        <w:rPr/>
        <w:t>地址：</w:t>
      </w:r>
      <w:r>
        <w:rPr/>
        <w:t>汕头市东厦北路北段</w:t>
      </w:r>
    </w:p>
    <w:p>
      <w:pPr>
        <w:ind w:firstLine="480"/>
      </w:pPr>
      <w:r>
        <w:rPr/>
        <w:t>联系方式：</w:t>
      </w:r>
      <w:r>
        <w:rPr/>
        <w:t>0754-88915625</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0754-87230486、020-87687817</w:t>
      </w:r>
    </w:p>
    <w:p>
      <w:r>
        <w:rPr>
          <w:b/>
          <w:sz w:val="24"/>
        </w:rPr>
        <w:t>3.项目联系方式</w:t>
      </w:r>
    </w:p>
    <w:p>
      <w:pPr>
        <w:ind w:firstLine="480"/>
      </w:pPr>
      <w:r>
        <w:rPr/>
        <w:t>项目联系人：</w:t>
      </w:r>
      <w:r>
        <w:rPr/>
        <w:t>郑淇筠、梁思瑶</w:t>
      </w:r>
    </w:p>
    <w:p>
      <w:pPr>
        <w:ind w:firstLine="480"/>
      </w:pPr>
      <w:r>
        <w:rPr/>
        <w:t>电话：</w:t>
      </w:r>
      <w:r>
        <w:rPr/>
        <w:t>0754-87230486、020-87687817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w:t>
      </w:r>
      <w:r>
        <w:rPr>
          <w:b/>
          <w:sz w:val="21"/>
        </w:rPr>
        <w:t>项目编号：</w:t>
      </w:r>
      <w:r>
        <w:rPr>
          <w:sz w:val="21"/>
        </w:rPr>
        <w:t>GZGK23P270A0889Z</w:t>
      </w:r>
    </w:p>
    <w:p>
      <w:pPr>
        <w:jc w:val="both"/>
      </w:pPr>
      <w:r>
        <w:rPr>
          <w:b/>
          <w:sz w:val="21"/>
        </w:rPr>
        <w:t>（二）</w:t>
      </w:r>
      <w:r>
        <w:rPr>
          <w:b/>
          <w:sz w:val="21"/>
        </w:rPr>
        <w:t>项目名称：</w:t>
      </w:r>
      <w:r>
        <w:rPr>
          <w:sz w:val="21"/>
        </w:rPr>
        <w:t>汕头大学医学院第二附属医院快速全自动微生物质谱鉴定系统采购项目</w:t>
      </w:r>
      <w:r>
        <w:rPr>
          <w:sz w:val="21"/>
        </w:rPr>
        <w:t>（二次）</w:t>
      </w:r>
    </w:p>
    <w:p>
      <w:pPr>
        <w:jc w:val="both"/>
      </w:pPr>
      <w:r>
        <w:rPr>
          <w:b/>
          <w:sz w:val="21"/>
        </w:rPr>
        <w:t>（三）</w:t>
      </w:r>
      <w:r>
        <w:rPr>
          <w:b/>
          <w:sz w:val="21"/>
        </w:rPr>
        <w:t>总体要求说明：</w:t>
      </w:r>
    </w:p>
    <w:p>
      <w:pPr>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“★”的条款未响应或负偏离，将按无效投标处理。</w:t>
      </w:r>
    </w:p>
    <w:p>
      <w:pPr>
        <w:jc w:val="both"/>
      </w:pPr>
      <w:r>
        <w:rPr>
          <w:sz w:val="21"/>
        </w:rPr>
        <w:t>2、</w:t>
      </w:r>
      <w:r>
        <w:rPr>
          <w:sz w:val="21"/>
        </w:rPr>
        <w:t>标有</w:t>
      </w:r>
      <w:r>
        <w:rPr>
          <w:sz w:val="21"/>
        </w:rPr>
        <w:t>“▲”的条款为重要性要求，投标人如有“▲”的条款未响应或负偏离的将被严重扣分。</w:t>
      </w:r>
    </w:p>
    <w:p>
      <w:pPr>
        <w:jc w:val="both"/>
      </w:pPr>
      <w:r>
        <w:rPr>
          <w:sz w:val="21"/>
        </w:rPr>
        <w:t>3、</w:t>
      </w:r>
      <w:r>
        <w:rPr>
          <w:sz w:val="21"/>
        </w:rPr>
        <w:t>投标人必须承诺提供厂商原装、全新的、符合国家及用户提出的有关质量标准的设备。</w:t>
      </w:r>
    </w:p>
    <w:p>
      <w:pPr>
        <w:jc w:val="both"/>
      </w:pPr>
      <w:r>
        <w:rPr>
          <w:sz w:val="21"/>
        </w:rPr>
        <w:t>4、</w:t>
      </w:r>
      <w:r>
        <w:rPr>
          <w:sz w:val="21"/>
        </w:rPr>
        <w:t>投标人应对采购需求中的设备性能和技术指标在响应详细内容中列出具体数值。如果投标人只注明</w:t>
      </w:r>
      <w:r>
        <w:rPr>
          <w:sz w:val="21"/>
        </w:rPr>
        <w:t>“正偏离”或“无偏离”，将</w:t>
      </w:r>
      <w:r>
        <w:rPr>
          <w:sz w:val="21"/>
        </w:rPr>
        <w:t>可能</w:t>
      </w:r>
      <w:r>
        <w:rPr>
          <w:sz w:val="21"/>
        </w:rPr>
        <w:t>被视为</w:t>
      </w:r>
      <w:r>
        <w:rPr>
          <w:sz w:val="21"/>
        </w:rPr>
        <w:t>“负偏离”，从而可能导致严重影响评标结果。</w:t>
      </w:r>
    </w:p>
    <w:p>
      <w:pPr>
        <w:jc w:val="both"/>
      </w:pPr>
      <w:r>
        <w:rPr>
          <w:sz w:val="21"/>
        </w:rPr>
        <w:t>5、</w:t>
      </w:r>
      <w:r>
        <w:rPr>
          <w:sz w:val="21"/>
        </w:rPr>
        <w:t>投标人所投产品除项目采购文件中明确规定要求提供彩页或相应检测报告等证明材料以外，所有技术参数描述均以投标文件为准（投标文件内厂家提供的技术参数描述与投标人投标技术参数描述不一致时，以厂家提供的技术参数描述为准）。投标人须对所投产品技术参数的真实性承担法律责任。</w:t>
      </w:r>
    </w:p>
    <w:p>
      <w:pPr>
        <w:jc w:val="both"/>
      </w:pPr>
      <w:r>
        <w:rPr>
          <w:sz w:val="21"/>
        </w:rPr>
        <w:t>6、</w:t>
      </w:r>
      <w:r>
        <w:rPr>
          <w:sz w:val="21"/>
        </w:rPr>
        <w:t>凡列入《中华人民共和国实施强制性产品认证的产品目录》的产品在验收时必须出具</w:t>
      </w:r>
      <w:r>
        <w:rPr>
          <w:sz w:val="21"/>
        </w:rPr>
        <w:t>CCC认证证书复印件，并以在产品外部加施认证标志作为验收依据之一。</w:t>
      </w:r>
    </w:p>
    <w:p>
      <w:pPr>
        <w:jc w:val="both"/>
      </w:pPr>
      <w:r>
        <w:rPr>
          <w:sz w:val="21"/>
        </w:rPr>
        <w:t>7、</w:t>
      </w:r>
      <w:r>
        <w:rPr>
          <w:sz w:val="21"/>
        </w:rPr>
        <w:t>节能产品的优先采购和强制采购以财政部、发展改革委、生态环境部等部门公布的最新《节能产品政府采购品目清单》中所列产品及相关规定为准。如果涉及到政府强制采购节能，供应商必须在投标文件中明确列明具体产品的名称并提供国家确定的认证机构出具的处于有效期之内的节能产品认证证书。</w:t>
      </w:r>
    </w:p>
    <w:p>
      <w:pPr>
        <w:jc w:val="both"/>
      </w:pPr>
      <w:r>
        <w:rPr>
          <w:sz w:val="21"/>
        </w:rPr>
        <w:t>8、</w:t>
      </w:r>
      <w:r>
        <w:rPr>
          <w:sz w:val="21"/>
        </w:rPr>
        <w:t>环境标志产品的优先采购以财政部、发展改革委、生态环境部等部门公布的最新《环境标志产品政府采购品目清单》所列产品为准。投标产品涉及到环境标志产品的，供应商需在投标文件（响应文件）中明确列明具体产品的名称并提供国家确定的认证机构出具的处于有效期之内的环境标志产品认证证书。</w:t>
      </w:r>
    </w:p>
    <w:p>
      <w:pPr>
        <w:jc w:val="both"/>
      </w:pPr>
      <w:r>
        <w:rPr>
          <w:sz w:val="21"/>
        </w:rPr>
        <w:t>9、</w:t>
      </w:r>
      <w:r>
        <w:rPr>
          <w:sz w:val="21"/>
        </w:rPr>
        <w:t>涉及到软件产品的，必须采购和使用正版软件，项目中涉及计算机办公产品的，必须预装正版操作系统软件。</w:t>
      </w:r>
    </w:p>
    <w:p>
      <w:pPr>
        <w:jc w:val="both"/>
      </w:pPr>
      <w:r>
        <w:rPr>
          <w:sz w:val="21"/>
        </w:rPr>
        <w:t>10、</w:t>
      </w:r>
      <w:r>
        <w:rPr>
          <w:sz w:val="21"/>
        </w:rPr>
        <w:t>投标人没有在投标文件中注明偏离（文字说明或在响应表注明）的参数、配置、条款视为被投标人完全接受。</w:t>
      </w:r>
    </w:p>
    <w:p>
      <w:pPr>
        <w:jc w:val="both"/>
      </w:pPr>
      <w:r>
        <w:rPr>
          <w:sz w:val="21"/>
        </w:rPr>
        <w:t>11、</w:t>
      </w:r>
      <w:r>
        <w:rPr>
          <w:sz w:val="21"/>
        </w:rPr>
        <w:t>投标人应保证，采购人在中华人民共和国使用该货物或货物的任何一部分时，免受第三方提出的侵犯其专利权、商标权、著作权或其它知识产权的起诉。</w:t>
      </w:r>
    </w:p>
    <w:p>
      <w:pPr>
        <w:jc w:val="both"/>
      </w:pPr>
      <w:r>
        <w:rPr>
          <w:sz w:val="21"/>
        </w:rPr>
        <w:t>12、</w:t>
      </w:r>
      <w:r>
        <w:rPr>
          <w:sz w:val="21"/>
        </w:rPr>
        <w:t>小型和微型企业、监狱企业和残疾人福利性单位必须按照投标须知的内容提供相应的资料。</w:t>
      </w:r>
    </w:p>
    <w:p>
      <w:pPr>
        <w:jc w:val="both"/>
      </w:pPr>
      <w:r>
        <w:rPr>
          <w:sz w:val="21"/>
        </w:rPr>
        <w:t>13、</w:t>
      </w:r>
      <w:r>
        <w:rPr>
          <w:sz w:val="21"/>
        </w:rPr>
        <w:t>需落实政府采购政策为：促进中小企业发展政策、支持监狱企业发展政策、支持残疾人福利性单位发展政策、</w:t>
      </w:r>
      <w:r>
        <w:rPr>
          <w:sz w:val="21"/>
        </w:rPr>
        <w:t>优先</w:t>
      </w:r>
      <w:r>
        <w:rPr>
          <w:sz w:val="21"/>
        </w:rPr>
        <w:t>采购节能产品、环境标志产品相关政策等。</w:t>
      </w:r>
    </w:p>
    <w:p>
      <w:pPr>
        <w:jc w:val="both"/>
      </w:pPr>
      <w:r>
        <w:rPr>
          <w:sz w:val="21"/>
        </w:rPr>
        <w:t>14、</w:t>
      </w:r>
      <w:r>
        <w:rPr>
          <w:sz w:val="21"/>
        </w:rPr>
        <w:t>提供相同品牌核心产品且通过资格审查、符合性审查的不同投标人参加同一合同项下投标的，按一家投标人计算。</w:t>
      </w:r>
    </w:p>
    <w:p>
      <w:pPr>
        <w:jc w:val="both"/>
      </w:pPr>
      <w:r>
        <w:rPr>
          <w:sz w:val="21"/>
        </w:rPr>
        <w:t>15、</w:t>
      </w:r>
      <w:r>
        <w:rPr>
          <w:sz w:val="21"/>
        </w:rPr>
        <w:t>不允许中标供应商转包、分包中标采购包的内容。</w:t>
      </w:r>
    </w:p>
    <w:p>
      <w:pPr>
        <w:ind w:firstLine="420"/>
        <w:jc w:val="left"/>
      </w:pPr>
      <w:r>
        <w:rPr>
          <w:sz w:val="21"/>
        </w:rPr>
        <w:t>★</w:t>
      </w:r>
      <w:r>
        <w:rPr>
          <w:sz w:val="21"/>
        </w:rPr>
        <w:t>16、</w:t>
      </w:r>
      <w:r>
        <w:rPr>
          <w:sz w:val="21"/>
        </w:rPr>
        <w:t>投标产品应具备《医疗器械注册证》（无强制要求的除外，以国家药品监督管理局网上的数据库中查询的数据为准）；投标人若为经销商须提供第二类医疗器械经营备案凭证或承诺签订合同前取得第二类医疗器械经营备案凭证（须在投标文件内提供证明文件复印件或承诺函），若为生产厂家则须提供《医疗器械生产许可证》</w:t>
      </w:r>
      <w:r>
        <w:rPr>
          <w:sz w:val="21"/>
        </w:rPr>
        <w:t>（如国家另有规定，则适用其规定）</w:t>
      </w:r>
      <w:r>
        <w:rPr>
          <w:sz w:val="21"/>
        </w:rPr>
        <w:t>（须在投标文件内提供证明文件复印件）。</w:t>
      </w:r>
    </w:p>
    <w:p>
      <w:pPr>
        <w:jc w:val="both"/>
      </w:pPr>
      <w:r>
        <w:rPr>
          <w:b/>
          <w:sz w:val="21"/>
        </w:rPr>
        <w:t>（四）</w:t>
      </w:r>
      <w:r>
        <w:rPr>
          <w:b/>
          <w:sz w:val="21"/>
        </w:rPr>
        <w:t>其他说明：</w:t>
      </w:r>
    </w:p>
    <w:p>
      <w:pPr>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w:t>
      </w:r>
      <w:r>
        <w:rPr>
          <w:sz w:val="21"/>
        </w:rPr>
        <w:t>30</w:t>
      </w:r>
      <w:r>
        <w:rPr>
          <w:sz w:val="21"/>
        </w:rPr>
        <w:t>分钟内完成，不需要委派代表前往开标现场。</w:t>
      </w:r>
    </w:p>
    <w:p>
      <w:pPr>
        <w:jc w:val="both"/>
      </w:pPr>
      <w:r>
        <w:rPr>
          <w:sz w:val="21"/>
        </w:rPr>
        <w:t>2、</w:t>
      </w:r>
      <w:r>
        <w:rPr>
          <w:sz w:val="21"/>
        </w:rPr>
        <w:t>纸质投标文件邮寄地址（邮寄地址：</w:t>
      </w:r>
      <w:r>
        <w:rPr>
          <w:sz w:val="21"/>
        </w:rPr>
        <w:t>广东省汕头市金霞街道高新区科技中路</w:t>
      </w:r>
      <w:r>
        <w:rPr>
          <w:sz w:val="21"/>
        </w:rPr>
        <w:t>25号聚盛大厦B座511</w:t>
      </w:r>
      <w:r>
        <w:rPr>
          <w:sz w:val="21"/>
        </w:rPr>
        <w:t>，收件人及电话：详见项目公告的项目联系人）。投标人如选择邮寄投标文件，请提前安排时间邮寄，务必保证投标文件于提交投标文件截止时间前到达上述地址（以签收时间为准），并及时将快递单号发送至招标代理机构邮箱：</w:t>
      </w:r>
      <w:r>
        <w:rPr>
          <w:sz w:val="21"/>
        </w:rPr>
        <w:t>gzgk@gzgkbidding.com</w:t>
      </w:r>
      <w:r>
        <w:rPr>
          <w:sz w:val="21"/>
        </w:rPr>
        <w:t>。</w:t>
      </w:r>
    </w:p>
    <w:p>
      <w:pPr>
        <w:jc w:val="both"/>
      </w:pPr>
      <w:r>
        <w:rPr>
          <w:sz w:val="21"/>
        </w:rPr>
        <w:t>3、</w:t>
      </w:r>
      <w:r>
        <w:rPr>
          <w:sz w:val="21"/>
        </w:rPr>
        <w:t>供应商电脑需提前安装</w:t>
      </w:r>
      <w:r>
        <w:rPr>
          <w:sz w:val="21"/>
        </w:rPr>
        <w:t>CA</w:t>
      </w:r>
      <w:r>
        <w:rPr>
          <w:sz w:val="21"/>
        </w:rPr>
        <w:t>签章客户端，并运行</w:t>
      </w:r>
      <w:r>
        <w:rPr>
          <w:sz w:val="21"/>
        </w:rPr>
        <w:t>CA</w:t>
      </w:r>
      <w:r>
        <w:rPr>
          <w:sz w:val="21"/>
        </w:rPr>
        <w:t>证书。</w:t>
      </w:r>
    </w:p>
    <w:p>
      <w:pPr>
        <w:jc w:val="both"/>
      </w:pPr>
      <w:r>
        <w:rPr>
          <w:sz w:val="21"/>
        </w:rPr>
        <w:t>4、</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w:t>
      </w:r>
      <w:r>
        <w:rPr>
          <w:b/>
          <w:sz w:val="21"/>
        </w:rPr>
        <w:t>证书的密码，如遗忘，请及时重置，以免影响投标文件的解密。</w:t>
      </w:r>
    </w:p>
    <w:p>
      <w:pPr>
        <w:jc w:val="both"/>
      </w:pPr>
      <w:r>
        <w:rPr>
          <w:b/>
          <w:sz w:val="21"/>
        </w:rPr>
        <w:t>（五）</w:t>
      </w:r>
      <w:r>
        <w:rPr>
          <w:b/>
          <w:sz w:val="21"/>
        </w:rPr>
        <w:t>投标报价说明：</w:t>
      </w:r>
    </w:p>
    <w:p>
      <w:pPr>
        <w:ind w:firstLine="420"/>
        <w:jc w:val="both"/>
      </w:pPr>
      <w:r>
        <w:rPr>
          <w:sz w:val="21"/>
        </w:rPr>
        <w:t>投标报价包括：货款、设计、安装、随机零配件、标配工具、运输保险、调试、培训、质量保证期服务、各项税费及合同实施过程中不可预见费用等。</w:t>
      </w:r>
    </w:p>
    <w:p>
      <w:pPr>
        <w:jc w:val="both"/>
      </w:pPr>
      <w:r>
        <w:rPr>
          <w:b/>
          <w:sz w:val="21"/>
        </w:rPr>
        <w:t>（六）</w:t>
      </w:r>
      <w:r>
        <w:rPr>
          <w:b/>
          <w:sz w:val="21"/>
        </w:rPr>
        <w:t>实现的功能</w:t>
      </w:r>
    </w:p>
    <w:p>
      <w:pPr>
        <w:ind w:firstLine="420"/>
        <w:jc w:val="both"/>
      </w:pPr>
      <w:r>
        <w:rPr>
          <w:sz w:val="21"/>
        </w:rPr>
        <w:t>该设备用于细菌、真菌的快速鉴定。</w:t>
      </w:r>
    </w:p>
    <w:p>
      <w:pPr>
        <w:jc w:val="both"/>
      </w:pPr>
      <w:r>
        <w:rPr>
          <w:b/>
          <w:sz w:val="21"/>
        </w:rPr>
        <w:t>（七）</w:t>
      </w:r>
      <w:r>
        <w:rPr>
          <w:b/>
          <w:sz w:val="21"/>
        </w:rPr>
        <w:t>需执行国家相关标准、行业标准、地方标准或者其他标准、规范</w:t>
      </w:r>
    </w:p>
    <w:p/>
    <w:p>
      <w:pPr>
        <w:ind w:firstLine="480"/>
      </w:pPr>
    </w:p>
    <w:p/>
    <w:p>
      <w:r>
        <w:rPr/>
        <w:t>采购包1（快速全自动微生物质谱鉴定系统）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合同签订之日起30日（日历日）内。</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1期：支付比例30%,合同生效后7个工作日内，采购人向中标人支付合同总价的30%；</w:t>
            </w:r>
          </w:p>
          <w:p/>
          <w:p>
            <w:r>
              <w:rPr/>
              <w:t>2期：支付比例70%,全部货物完成安装、调试并通过验收后60日内，采购人向中标人支付合同总价的70%。 注：（1）每笔款项支付前，中标人须提交与每笔款项金额相等的正式发票。 （2）支付方式：采用支票、银行汇付（含电汇）等形式。</w:t>
            </w:r>
          </w:p>
        </w:tc>
      </w:tr>
      <w:tr>
        <w:tc>
          <w:tcPr>
            <w:tcW w:type="dxa" w:w="4153"/>
          </w:tcPr>
          <w:p>
            <w:r>
              <w:rPr/>
              <w:t>验收要求</w:t>
            </w:r>
          </w:p>
        </w:tc>
        <w:tc>
          <w:tcPr>
            <w:tcW w:type="dxa" w:w="4153"/>
          </w:tcPr>
          <w:p/>
          <w:p/>
          <w:p/>
          <w:p>
            <w:r>
              <w:rPr/>
              <w:t>1期：1、采购人按照采购合同规定的技术、服务、安全标准组织对中标供应商履约情况进行验收，并出具验收书。验收书应当包括每一项技术、服务、安全标准的履约情况。 2、交付验收标准依次序对照适用标准为：①符合中华人民共和国国家安全质量标准、环保标准或行业标准；②符合项目采购文件和投标承诺中采购人认可的合理最佳配置、参数及各项要求；③货物来源国官方标准。 3、货物为原厂商未启封全新包装，具有出厂合格证，序列号、包装箱号与出厂批号一致，并可追索查阅。所有随设备的附件必须齐全。 4、中标供应商将货物的用户手册、保修手册、有关单证资料及备品备件、随机工具等交付给采购人，使用操作及安全须知等重要资料应附有中文说明。 5、货物验收所发生的检验费用由中标供应商负担。 6、设备到货并经中标供应商技术人员安装后，采购人有权委托中国有资格的单位对上述设备进行校准或检验，设备校准或检定所需的费用由中标供应商负担。 7、采购人组成验收小组，按照采购合同规定的技术、服务、安全标准组织对中标供应商履约情况进行验收。因货物质量问题发生争议时，由采购人本地质量技术监督部门鉴定。货物符合质量技术标准的，鉴定费由采购人承担；否则鉴定费由中标供应商承担。 8、当出现不合格产品时，中标供应商要无条件更换合格产品。除采购人认可，否则不接受任何形式的降格处理。</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包装与运输，包装箱应用坚固的材料制造，适用长途运输、防潮、防锈、防震、防粗暴装卸，适于空运和整体吊装，并注明起吊位置，起吊重量及重心位置。</w:t>
            </w:r>
          </w:p>
          <w:p/>
          <w:p>
            <w:r>
              <w:rPr/>
              <w:t>保险，货物从出厂运至采购人指定地点的保险费用须包含在投标报价中。</w:t>
            </w:r>
          </w:p>
          <w:p/>
          <w:p>
            <w:r>
              <w:rPr/>
              <w:t>安装与调试，1、中标供应商必须按项目进度安排计划，派出适当的技术人员到安装现场负责安装和调试工作。在安装施工期间，严格遵守采购人的有关规定。 2、中标供应商必须依照项目采购文件的要求和投标文件的承诺，将设备、系统安装并调试至正常运行的最佳状态。</w:t>
            </w:r>
          </w:p>
          <w:p/>
          <w:p>
            <w:r>
              <w:rPr/>
              <w:t>技术培训，1、中标供应商每台设备提供现场安装调试和培训。 2、中标供应商应提供完整的培训计划和方案，列明培训人员数量、达到的水平等，培训内容包括设备的操作、日常维修、简单故障的识别及排除等。培训所需全部费用均由中标供应商负责。</w:t>
            </w:r>
          </w:p>
          <w:p/>
          <w:p>
            <w:r>
              <w:rPr/>
              <w:t>质量保证期，1、质量保证期不少于3年。并提供终身维修服务。质量保证期内，所有服务及配件全部包含在报价中。“技术标准与要求”中另有要求的，以其中的要求为准。 2、质量保证期自采购人和中标供应商代表在货物安装调试验收后的验收书上签字之日起计算。质量保证期内中标供应商对所供货物实行包修、包换、包退、包维护保养，质量保证期后设备维修配件更换只收取成本费用。 3、质量保证期内，如设备或零部件因非人为因素出现故障而造成短期停用时，则质量保证期相应顺延。如停用时间累计超过60天则质量保证期重新计算。 4、在质量保证期内，如货品非因采购人的人为原因而出现的问题由中标供应商负责保修、包换或包退，并承担修理、调换或退货的实际费用。 5、质量保证期内，中标供应商负责对其提供的货物整机进行维修和系统维护，不再收取任何费用，但非中标供应商责任的人为因素、自然因素（如火灾、雷击等）造成的故障除外。 6、质量保证期间，同一硬件一个月内连续2次出现同一故障，中标供应商须无偿更换同一档次货物。</w:t>
            </w:r>
          </w:p>
          <w:p/>
          <w:p>
            <w:r>
              <w:rPr/>
              <w:t>售后服务，对采购人的服务通知，中标供应商在接报后2小时内响应，24小时内到达现场，48小时内处理完毕。若在48小时内仍未能有效解决，中标供应商须提供同一档次的设备予采购人临时使用，并支持数据库、软件终身无条件升级到最新版本。</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临床检验设备</w:t>
            </w:r>
          </w:p>
        </w:tc>
        <w:tc>
          <w:tcPr>
            <w:tcW w:type="dxa" w:w="831"/>
          </w:tcPr>
          <w:p>
            <w:pPr>
              <w:jc w:val="left"/>
            </w:pPr>
            <w:r>
              <w:rPr/>
              <w:t>快速全自动微生物质谱鉴定系统</w:t>
            </w:r>
          </w:p>
        </w:tc>
        <w:tc>
          <w:tcPr>
            <w:tcW w:type="dxa" w:w="831"/>
          </w:tcPr>
          <w:p>
            <w:pPr>
              <w:jc w:val="left"/>
            </w:pPr>
            <w:r>
              <w:rPr/>
              <w:t>套</w:t>
            </w:r>
          </w:p>
        </w:tc>
        <w:tc>
          <w:tcPr>
            <w:tcW w:type="dxa" w:w="831"/>
          </w:tcPr>
          <w:p>
            <w:pPr>
              <w:jc w:val="right"/>
            </w:pPr>
            <w:r>
              <w:rPr/>
              <w:t>1.00</w:t>
            </w:r>
          </w:p>
        </w:tc>
        <w:tc>
          <w:tcPr>
            <w:tcW w:type="dxa" w:w="831"/>
          </w:tcPr>
          <w:p>
            <w:pPr>
              <w:jc w:val="right"/>
            </w:pPr>
            <w:r>
              <w:rPr/>
              <w:t>2,000,000.00</w:t>
            </w:r>
          </w:p>
        </w:tc>
        <w:tc>
          <w:tcPr>
            <w:tcW w:type="dxa" w:w="831"/>
          </w:tcPr>
          <w:p>
            <w:pPr>
              <w:jc w:val="right"/>
            </w:pPr>
            <w:r>
              <w:rPr/>
              <w:t>2,000,000.00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快速全自动微生物质谱鉴定系统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 主要用途及基本要求</w:t>
            </w:r>
          </w:p>
          <w:p>
            <w:pPr>
              <w:ind w:firstLine="420"/>
              <w:jc w:val="both"/>
            </w:pPr>
            <w:r>
              <w:rPr>
                <w:sz w:val="21"/>
              </w:rPr>
              <w:t>该</w:t>
            </w:r>
            <w:r>
              <w:rPr>
                <w:sz w:val="21"/>
              </w:rPr>
              <w:t>快速全自动微生物质谱鉴定系统</w:t>
            </w:r>
            <w:r>
              <w:rPr>
                <w:sz w:val="21"/>
              </w:rPr>
              <w:t>的应用范围应包括但不限于对细菌、真菌的鉴定</w:t>
            </w:r>
            <w:r>
              <w:rPr>
                <w:sz w:val="21"/>
              </w:rPr>
              <w:t>。</w:t>
            </w:r>
          </w:p>
          <w:p>
            <w:pPr>
              <w:jc w:val="both"/>
            </w:pPr>
            <w:r>
              <w:rPr>
                <w:b/>
                <w:sz w:val="21"/>
              </w:rPr>
              <w:t>2. 硬件参数要求</w:t>
            </w:r>
          </w:p>
          <w:p>
            <w:pPr>
              <w:ind w:firstLine="315"/>
              <w:jc w:val="both"/>
            </w:pPr>
            <w:r>
              <w:rPr>
                <w:sz w:val="21"/>
              </w:rPr>
              <w:t>（</w:t>
            </w:r>
            <w:r>
              <w:rPr>
                <w:sz w:val="21"/>
              </w:rPr>
              <w:t>1）飞行管：采用直线形飞行管，长度</w:t>
            </w:r>
            <w:r>
              <w:rPr>
                <w:sz w:val="21"/>
              </w:rPr>
              <w:t>≥</w:t>
            </w:r>
            <w:r>
              <w:rPr>
                <w:sz w:val="21"/>
              </w:rPr>
              <w:t>1米。同时飞行管须具备温度平衡功能（提供相关</w:t>
            </w:r>
            <w:r>
              <w:rPr>
                <w:sz w:val="21"/>
              </w:rPr>
              <w:t>的证明材料）。</w:t>
            </w:r>
          </w:p>
          <w:p>
            <w:pPr>
              <w:ind w:firstLine="140"/>
              <w:jc w:val="both"/>
            </w:pPr>
            <w:r>
              <w:rPr>
                <w:sz w:val="21"/>
              </w:rPr>
              <w:t>▲（2）激光器：采用氮气激光器，波长</w:t>
            </w:r>
            <w:r>
              <w:rPr>
                <w:sz w:val="21"/>
              </w:rPr>
              <w:t>≥335</w:t>
            </w:r>
            <w:r>
              <w:rPr>
                <w:sz w:val="21"/>
              </w:rPr>
              <w:t>nm，频率在1</w:t>
            </w:r>
            <w:r>
              <w:rPr>
                <w:sz w:val="21"/>
              </w:rPr>
              <w:t>～</w:t>
            </w:r>
            <w:r>
              <w:rPr>
                <w:sz w:val="21"/>
              </w:rPr>
              <w:t>60Hz内连续可调，发射次数</w:t>
            </w:r>
            <w:r>
              <w:rPr>
                <w:sz w:val="21"/>
              </w:rPr>
              <w:t>≥</w:t>
            </w:r>
            <w:r>
              <w:rPr>
                <w:sz w:val="21"/>
              </w:rPr>
              <w:t>4</w:t>
            </w:r>
            <w:r>
              <w:rPr>
                <w:sz w:val="21"/>
              </w:rPr>
              <w:t>´</w:t>
            </w:r>
            <w:r>
              <w:rPr>
                <w:sz w:val="21"/>
              </w:rPr>
              <w:t>10</w:t>
            </w:r>
            <w:r>
              <w:rPr>
                <w:sz w:val="21"/>
                <w:vertAlign w:val="superscript"/>
              </w:rPr>
              <w:t>8</w:t>
            </w:r>
            <w:r>
              <w:rPr>
                <w:sz w:val="21"/>
              </w:rPr>
              <w:t>次（提供相关的证明材料）。</w:t>
            </w:r>
          </w:p>
          <w:p>
            <w:pPr>
              <w:ind w:firstLine="140"/>
              <w:jc w:val="both"/>
            </w:pPr>
            <w:r>
              <w:rPr>
                <w:sz w:val="21"/>
              </w:rPr>
              <w:t>▲（3）真空系统：仪器内置</w:t>
            </w:r>
            <w:r>
              <w:rPr>
                <w:sz w:val="21"/>
              </w:rPr>
              <w:t>≥</w:t>
            </w:r>
            <w:r>
              <w:rPr>
                <w:sz w:val="21"/>
              </w:rPr>
              <w:t>2个泵，其中前级</w:t>
            </w:r>
            <w:r>
              <w:rPr>
                <w:sz w:val="21"/>
              </w:rPr>
              <w:t>泵应为内置无油隔膜泵，高真空泵应为分子涡轮泵，分子涡轮泵的抽</w:t>
            </w:r>
            <w:r>
              <w:rPr>
                <w:sz w:val="21"/>
              </w:rPr>
              <w:t>速</w:t>
            </w:r>
            <w:r>
              <w:rPr>
                <w:sz w:val="21"/>
              </w:rPr>
              <w:t>≥</w:t>
            </w:r>
            <w:r>
              <w:rPr>
                <w:sz w:val="21"/>
              </w:rPr>
              <w:t>32</w:t>
            </w:r>
            <w:r>
              <w:rPr>
                <w:sz w:val="21"/>
              </w:rPr>
              <w:t>0L/S（提供</w:t>
            </w:r>
            <w:r>
              <w:rPr>
                <w:sz w:val="21"/>
              </w:rPr>
              <w:t>仪器图片及</w:t>
            </w:r>
            <w:r>
              <w:rPr>
                <w:sz w:val="21"/>
              </w:rPr>
              <w:t>产品</w:t>
            </w:r>
            <w:r>
              <w:rPr>
                <w:sz w:val="21"/>
              </w:rPr>
              <w:t>说明书</w:t>
            </w:r>
            <w:r>
              <w:rPr>
                <w:sz w:val="21"/>
              </w:rPr>
              <w:t>或</w:t>
            </w:r>
            <w:r>
              <w:rPr>
                <w:sz w:val="21"/>
              </w:rPr>
              <w:t>产品彩页或技术白皮书</w:t>
            </w:r>
            <w:r>
              <w:rPr>
                <w:sz w:val="21"/>
              </w:rPr>
              <w:t>作为</w:t>
            </w:r>
            <w:r>
              <w:rPr>
                <w:sz w:val="21"/>
              </w:rPr>
              <w:t>证明材料）。为保障应急检测，从样品靶板放入快速全自动微生物质谱鉴定系统后到真空抽到</w:t>
            </w:r>
            <w:r>
              <w:rPr>
                <w:sz w:val="21"/>
              </w:rPr>
              <w:t>3×10</w:t>
            </w:r>
            <w:r>
              <w:rPr>
                <w:sz w:val="21"/>
                <w:vertAlign w:val="superscript"/>
              </w:rPr>
              <w:t>-6</w:t>
            </w:r>
            <w:r>
              <w:rPr>
                <w:sz w:val="21"/>
              </w:rPr>
              <w:t>mbar所需的时间</w:t>
            </w:r>
            <w:r>
              <w:rPr>
                <w:sz w:val="21"/>
              </w:rPr>
              <w:t>＜</w:t>
            </w:r>
            <w:r>
              <w:rPr>
                <w:sz w:val="21"/>
              </w:rPr>
              <w:t>50s（提供</w:t>
            </w:r>
            <w:r>
              <w:rPr>
                <w:sz w:val="21"/>
              </w:rPr>
              <w:t>具备资质的第三方检测机构</w:t>
            </w:r>
            <w:r>
              <w:rPr>
                <w:sz w:val="21"/>
              </w:rPr>
              <w:t>出具的检测报告）。</w:t>
            </w:r>
          </w:p>
          <w:p>
            <w:pPr>
              <w:ind w:firstLine="140"/>
              <w:jc w:val="both"/>
            </w:pPr>
            <w:r>
              <w:rPr>
                <w:sz w:val="21"/>
              </w:rPr>
              <w:t>▲（4</w:t>
            </w:r>
            <w:r>
              <w:rPr>
                <w:sz w:val="21"/>
              </w:rPr>
              <w:t>）</w:t>
            </w:r>
            <w:r>
              <w:rPr>
                <w:sz w:val="21"/>
              </w:rPr>
              <w:t>仪器含正负</w:t>
            </w:r>
            <w:r>
              <w:rPr>
                <w:sz w:val="21"/>
              </w:rPr>
              <w:t>双</w:t>
            </w:r>
            <w:r>
              <w:rPr>
                <w:sz w:val="21"/>
              </w:rPr>
              <w:t>离子模式，模式一键切换，</w:t>
            </w:r>
            <w:r>
              <w:rPr>
                <w:sz w:val="21"/>
              </w:rPr>
              <w:t>可</w:t>
            </w:r>
            <w:r>
              <w:rPr>
                <w:sz w:val="21"/>
              </w:rPr>
              <w:t>拓展脂类，多粘菌素</w:t>
            </w:r>
            <w:r>
              <w:rPr>
                <w:sz w:val="21"/>
              </w:rPr>
              <w:t>、</w:t>
            </w:r>
            <w:r>
              <w:rPr>
                <w:sz w:val="21"/>
              </w:rPr>
              <w:t>脂质及蛋白质的检测（提供</w:t>
            </w:r>
            <w:r>
              <w:rPr>
                <w:sz w:val="21"/>
              </w:rPr>
              <w:t>具备资质的第三方检测机构</w:t>
            </w:r>
            <w:r>
              <w:rPr>
                <w:sz w:val="21"/>
              </w:rPr>
              <w:t>出</w:t>
            </w:r>
            <w:r>
              <w:rPr>
                <w:sz w:val="21"/>
              </w:rPr>
              <w:t>具的检测报告）。</w:t>
            </w:r>
          </w:p>
          <w:p>
            <w:pPr>
              <w:ind w:firstLine="315"/>
              <w:jc w:val="both"/>
            </w:pPr>
            <w:r>
              <w:rPr>
                <w:sz w:val="21"/>
              </w:rPr>
              <w:t>（</w:t>
            </w:r>
            <w:r>
              <w:rPr>
                <w:sz w:val="21"/>
              </w:rPr>
              <w:t>5）生物安全配置：泵口过滤器为≤0.01</w:t>
            </w:r>
            <w:r>
              <w:rPr>
                <w:sz w:val="21"/>
              </w:rPr>
              <w:t>m</w:t>
            </w:r>
            <w:r>
              <w:rPr>
                <w:sz w:val="21"/>
              </w:rPr>
              <w:t>m的高精度泵口过滤器，可过滤</w:t>
            </w:r>
            <w:r>
              <w:rPr>
                <w:sz w:val="21"/>
              </w:rPr>
              <w:t>≥</w:t>
            </w:r>
            <w:r>
              <w:rPr>
                <w:sz w:val="21"/>
              </w:rPr>
              <w:t>99.9%的病原微生物。</w:t>
            </w:r>
          </w:p>
          <w:p>
            <w:pPr>
              <w:jc w:val="both"/>
            </w:pPr>
            <w:r>
              <w:rPr>
                <w:b/>
                <w:sz w:val="21"/>
              </w:rPr>
              <w:t>3. 数据库参数要求</w:t>
            </w:r>
          </w:p>
          <w:p>
            <w:pPr>
              <w:ind w:firstLine="140"/>
              <w:jc w:val="both"/>
            </w:pPr>
            <w:r>
              <w:rPr>
                <w:sz w:val="21"/>
              </w:rPr>
              <w:t>▲（1）采用非云端数据库，数据库可鉴定菌</w:t>
            </w:r>
            <w:r>
              <w:rPr>
                <w:sz w:val="21"/>
              </w:rPr>
              <w:t>种</w:t>
            </w:r>
            <w:r>
              <w:rPr>
                <w:sz w:val="21"/>
              </w:rPr>
              <w:t>≥</w:t>
            </w:r>
            <w:r>
              <w:rPr>
                <w:sz w:val="21"/>
              </w:rPr>
              <w:t>5000种，能涵盖</w:t>
            </w:r>
            <w:r>
              <w:rPr>
                <w:sz w:val="21"/>
              </w:rPr>
              <w:t>包括但不限于</w:t>
            </w:r>
            <w:r>
              <w:rPr>
                <w:sz w:val="21"/>
              </w:rPr>
              <w:t>临床</w:t>
            </w:r>
            <w:r>
              <w:rPr>
                <w:sz w:val="21"/>
              </w:rPr>
              <w:t>、药品、环境、食品、化妆品领域的微生物，其中丝状真菌数据库不少于</w:t>
            </w:r>
            <w:r>
              <w:rPr>
                <w:sz w:val="21"/>
              </w:rPr>
              <w:t>400种。数据库可随时</w:t>
            </w:r>
            <w:r>
              <w:rPr>
                <w:sz w:val="21"/>
              </w:rPr>
              <w:t>无条件</w:t>
            </w:r>
            <w:r>
              <w:rPr>
                <w:sz w:val="21"/>
              </w:rPr>
              <w:t>维护更新和升级。临床数据库检索必须采用非联网形式，保证信息的安全性。</w:t>
            </w:r>
          </w:p>
          <w:p>
            <w:pPr>
              <w:ind w:firstLine="140"/>
              <w:jc w:val="both"/>
            </w:pPr>
            <w:r>
              <w:rPr>
                <w:sz w:val="21"/>
              </w:rPr>
              <w:t>▲（2）分枝杆菌的数据库</w:t>
            </w:r>
            <w:r>
              <w:rPr>
                <w:sz w:val="21"/>
              </w:rPr>
              <w:t>≥1</w:t>
            </w:r>
            <w:r>
              <w:rPr>
                <w:sz w:val="21"/>
              </w:rPr>
              <w:t>70</w:t>
            </w:r>
            <w:r>
              <w:rPr>
                <w:sz w:val="21"/>
              </w:rPr>
              <w:t>种。</w:t>
            </w:r>
          </w:p>
          <w:p>
            <w:pPr>
              <w:ind w:firstLine="315"/>
              <w:jc w:val="both"/>
            </w:pPr>
            <w:r>
              <w:rPr>
                <w:sz w:val="21"/>
              </w:rPr>
              <w:t>（</w:t>
            </w:r>
            <w:r>
              <w:rPr>
                <w:sz w:val="21"/>
              </w:rPr>
              <w:t>3）须具备</w:t>
            </w:r>
            <w:r>
              <w:rPr>
                <w:sz w:val="21"/>
              </w:rPr>
              <w:t>≥</w:t>
            </w:r>
            <w:r>
              <w:rPr>
                <w:sz w:val="21"/>
              </w:rPr>
              <w:t>20</w:t>
            </w:r>
            <w:r>
              <w:rPr>
                <w:sz w:val="21"/>
              </w:rPr>
              <w:t>种施万氏菌的数据库（提供相关的证明材料）。</w:t>
            </w:r>
          </w:p>
          <w:p>
            <w:pPr>
              <w:ind w:firstLine="315"/>
              <w:jc w:val="both"/>
            </w:pPr>
            <w:r>
              <w:rPr>
                <w:sz w:val="21"/>
              </w:rPr>
              <w:t>（</w:t>
            </w:r>
            <w:r>
              <w:rPr>
                <w:sz w:val="21"/>
              </w:rPr>
              <w:t>4）支持用户采用与主库相同的建库原理和算法自行扩增数据库或者自建数据库。</w:t>
            </w:r>
          </w:p>
          <w:p>
            <w:pPr>
              <w:jc w:val="both"/>
            </w:pPr>
            <w:r>
              <w:rPr>
                <w:b/>
                <w:sz w:val="21"/>
              </w:rPr>
              <w:t>4. 检测性能参数要求</w:t>
            </w:r>
          </w:p>
          <w:p>
            <w:pPr>
              <w:ind w:firstLine="315"/>
              <w:jc w:val="both"/>
            </w:pPr>
            <w:r>
              <w:rPr>
                <w:sz w:val="21"/>
              </w:rPr>
              <w:t>（</w:t>
            </w:r>
            <w:r>
              <w:rPr>
                <w:sz w:val="21"/>
              </w:rPr>
              <w:t>1）鉴定的质量范围为1～500 kDa。</w:t>
            </w:r>
          </w:p>
          <w:p>
            <w:pPr>
              <w:ind w:firstLine="315"/>
              <w:jc w:val="both"/>
            </w:pPr>
            <w:r>
              <w:rPr>
                <w:sz w:val="21"/>
              </w:rPr>
              <w:t>（</w:t>
            </w:r>
            <w:r>
              <w:rPr>
                <w:sz w:val="21"/>
              </w:rPr>
              <w:t>2）质量的线性模式分辨率</w:t>
            </w:r>
            <w:r>
              <w:rPr>
                <w:sz w:val="21"/>
              </w:rPr>
              <w:t>＞</w:t>
            </w:r>
            <w:r>
              <w:rPr>
                <w:sz w:val="21"/>
              </w:rPr>
              <w:t>3600（FWHM）</w:t>
            </w:r>
            <w:r>
              <w:rPr>
                <w:sz w:val="21"/>
              </w:rPr>
              <w:t>@ Angiotensin</w:t>
            </w:r>
            <w:r>
              <w:rPr>
                <w:sz w:val="21"/>
              </w:rPr>
              <w:t>（血管紧张素）</w:t>
            </w:r>
            <w:r>
              <w:rPr>
                <w:sz w:val="21"/>
              </w:rPr>
              <w:t>（提供</w:t>
            </w:r>
            <w:r>
              <w:rPr>
                <w:sz w:val="21"/>
              </w:rPr>
              <w:t>具备资质的第三方检测机构</w:t>
            </w:r>
            <w:r>
              <w:rPr>
                <w:sz w:val="21"/>
              </w:rPr>
              <w:t>出</w:t>
            </w:r>
            <w:r>
              <w:rPr>
                <w:sz w:val="21"/>
              </w:rPr>
              <w:t>具的检测报告）。</w:t>
            </w:r>
          </w:p>
          <w:p>
            <w:pPr>
              <w:ind w:firstLine="315"/>
              <w:jc w:val="both"/>
            </w:pPr>
            <w:r>
              <w:rPr>
                <w:sz w:val="21"/>
              </w:rPr>
              <w:t>（</w:t>
            </w:r>
            <w:r>
              <w:rPr>
                <w:sz w:val="21"/>
              </w:rPr>
              <w:t>3）鉴定的灵敏度：≤1 fmol/uL 人纤维蛋白肽B（信噪比≥100:1）。</w:t>
            </w:r>
          </w:p>
          <w:p>
            <w:pPr>
              <w:ind w:firstLine="315"/>
              <w:jc w:val="both"/>
            </w:pPr>
            <w:r>
              <w:rPr>
                <w:sz w:val="21"/>
              </w:rPr>
              <w:t>（</w:t>
            </w:r>
            <w:r>
              <w:rPr>
                <w:sz w:val="21"/>
              </w:rPr>
              <w:t>4）质量的准确度：外校准≤100 ppm；内校准≤30ppm。</w:t>
            </w:r>
          </w:p>
          <w:p>
            <w:pPr>
              <w:jc w:val="both"/>
            </w:pPr>
            <w:r>
              <w:rPr>
                <w:b/>
                <w:sz w:val="21"/>
              </w:rPr>
              <w:t>5. 软件参数要求</w:t>
            </w:r>
          </w:p>
          <w:p>
            <w:pPr>
              <w:ind w:firstLine="315"/>
              <w:jc w:val="both"/>
            </w:pPr>
            <w:r>
              <w:rPr>
                <w:sz w:val="21"/>
              </w:rPr>
              <w:t>（</w:t>
            </w:r>
            <w:r>
              <w:rPr>
                <w:sz w:val="21"/>
              </w:rPr>
              <w:t>1）配备微生物实验室的管理软件，支持与不同品牌的血培养、药敏鉴定系统的端口联机，同时可支持与LIS系统的对接，可进行统计分析并出具报告（提供相关的证明支撑材料）。</w:t>
            </w:r>
          </w:p>
          <w:p>
            <w:pPr>
              <w:ind w:firstLine="315"/>
              <w:jc w:val="both"/>
            </w:pPr>
            <w:r>
              <w:rPr>
                <w:sz w:val="21"/>
              </w:rPr>
              <w:t>（</w:t>
            </w:r>
            <w:r>
              <w:rPr>
                <w:sz w:val="21"/>
              </w:rPr>
              <w:t>2）全中文操作界面，鉴定的结果同时给出中文和拉丁文的微生物名称，在一个软件内</w:t>
            </w:r>
            <w:r>
              <w:rPr>
                <w:sz w:val="21"/>
              </w:rPr>
              <w:t>可完成</w:t>
            </w:r>
            <w:r>
              <w:rPr>
                <w:sz w:val="21"/>
              </w:rPr>
              <w:t>包括但不限于</w:t>
            </w:r>
            <w:r>
              <w:rPr>
                <w:sz w:val="21"/>
              </w:rPr>
              <w:t>仪器控制、数据采集、数据处理及微生物鉴定分析</w:t>
            </w:r>
            <w:r>
              <w:rPr>
                <w:sz w:val="21"/>
              </w:rPr>
              <w:t>的</w:t>
            </w:r>
            <w:r>
              <w:rPr>
                <w:sz w:val="21"/>
              </w:rPr>
              <w:t>全套功能。</w:t>
            </w:r>
          </w:p>
          <w:p>
            <w:pPr>
              <w:ind w:firstLine="140"/>
              <w:jc w:val="both"/>
            </w:pPr>
            <w:r>
              <w:rPr>
                <w:sz w:val="21"/>
              </w:rPr>
              <w:t>▲（3）鉴定结</w:t>
            </w:r>
            <w:r>
              <w:rPr>
                <w:sz w:val="21"/>
              </w:rPr>
              <w:t>果：</w:t>
            </w:r>
            <w:r>
              <w:rPr>
                <w:sz w:val="21"/>
              </w:rPr>
              <w:t>配备</w:t>
            </w:r>
            <w:r>
              <w:rPr>
                <w:strike/>
                <w:sz w:val="21"/>
              </w:rPr>
              <w:t>标配</w:t>
            </w:r>
            <w:r>
              <w:rPr>
                <w:sz w:val="21"/>
              </w:rPr>
              <w:t>的</w:t>
            </w:r>
            <w:r>
              <w:rPr>
                <w:sz w:val="21"/>
              </w:rPr>
              <w:t>检索鉴定软件需给出菌株的中文和拉丁文名称，在给出质谱鉴定结果的同时，还需给出微生物形态学图</w:t>
            </w:r>
            <w:r>
              <w:rPr>
                <w:sz w:val="21"/>
              </w:rPr>
              <w:t>（</w:t>
            </w:r>
            <w:r>
              <w:rPr>
                <w:sz w:val="21"/>
              </w:rPr>
              <w:t>包括但不限于</w:t>
            </w:r>
            <w:r>
              <w:rPr>
                <w:sz w:val="21"/>
              </w:rPr>
              <w:t>平板</w:t>
            </w:r>
            <w:r>
              <w:rPr>
                <w:sz w:val="21"/>
              </w:rPr>
              <w:t>菌落图和染色图），以辅助判断鉴定结果。</w:t>
            </w:r>
          </w:p>
          <w:p>
            <w:pPr>
              <w:ind w:firstLine="140"/>
              <w:jc w:val="both"/>
            </w:pPr>
            <w:r>
              <w:rPr>
                <w:sz w:val="21"/>
              </w:rPr>
              <w:t>▲（4）支持</w:t>
            </w:r>
            <w:r>
              <w:rPr>
                <w:sz w:val="21"/>
              </w:rPr>
              <w:t>b</w:t>
            </w:r>
            <w:r>
              <w:rPr>
                <w:sz w:val="21"/>
              </w:rPr>
              <w:t>-内酰胺酶类耐药检测功能，具备小分子耐药的检测功能</w:t>
            </w:r>
            <w:r>
              <w:rPr>
                <w:sz w:val="21"/>
              </w:rPr>
              <w:t>；同时拓展仪器的使用范围（提供</w:t>
            </w:r>
            <w:r>
              <w:rPr>
                <w:sz w:val="21"/>
              </w:rPr>
              <w:t>具备资质的第三方检测机构</w:t>
            </w:r>
            <w:r>
              <w:rPr>
                <w:sz w:val="21"/>
              </w:rPr>
              <w:t>出具</w:t>
            </w:r>
            <w:r>
              <w:rPr>
                <w:sz w:val="21"/>
              </w:rPr>
              <w:t>的检测报告）。</w:t>
            </w:r>
          </w:p>
          <w:p>
            <w:pPr>
              <w:ind w:firstLine="350"/>
              <w:jc w:val="both"/>
            </w:pPr>
            <w:r>
              <w:rPr>
                <w:sz w:val="21"/>
              </w:rPr>
              <w:t>（</w:t>
            </w:r>
            <w:r>
              <w:rPr>
                <w:sz w:val="21"/>
              </w:rPr>
              <w:t>5</w:t>
            </w:r>
            <w:r>
              <w:rPr>
                <w:sz w:val="21"/>
              </w:rPr>
              <w:t>）具备聚</w:t>
            </w:r>
            <w:r>
              <w:rPr>
                <w:sz w:val="21"/>
              </w:rPr>
              <w:t>类分析的功能，聚类分析软件须具备主成分分析的功能和模拟凝胶图的功能</w:t>
            </w:r>
            <w:r>
              <w:rPr>
                <w:sz w:val="21"/>
              </w:rPr>
              <w:t>，</w:t>
            </w:r>
            <w:r>
              <w:rPr>
                <w:sz w:val="21"/>
              </w:rPr>
              <w:t>可用于</w:t>
            </w:r>
            <w:r>
              <w:rPr>
                <w:sz w:val="21"/>
              </w:rPr>
              <w:t>包括但不限于</w:t>
            </w:r>
            <w:r>
              <w:rPr>
                <w:sz w:val="21"/>
              </w:rPr>
              <w:t>微生物的溯源分析、</w:t>
            </w:r>
            <w:r>
              <w:rPr>
                <w:sz w:val="21"/>
              </w:rPr>
              <w:t>多重性分析、</w:t>
            </w:r>
            <w:r>
              <w:rPr>
                <w:sz w:val="21"/>
              </w:rPr>
              <w:t>菌种分型以及蛋白表达的差异分析等。</w:t>
            </w:r>
          </w:p>
          <w:p>
            <w:pPr>
              <w:ind w:firstLine="140"/>
              <w:jc w:val="both"/>
            </w:pPr>
            <w:r>
              <w:rPr>
                <w:sz w:val="21"/>
              </w:rPr>
              <w:t>▲（</w:t>
            </w:r>
            <w:r>
              <w:rPr>
                <w:sz w:val="21"/>
              </w:rPr>
              <w:t>6</w:t>
            </w:r>
            <w:r>
              <w:rPr>
                <w:sz w:val="21"/>
              </w:rPr>
              <w:t>）</w:t>
            </w:r>
            <w:r>
              <w:rPr>
                <w:sz w:val="21"/>
              </w:rPr>
              <w:t>仪器</w:t>
            </w:r>
            <w:r>
              <w:rPr>
                <w:sz w:val="21"/>
              </w:rPr>
              <w:t>支持人工智能算法，构建微生物鉴定区分模型，实现对疑难菌及复合群亚型的分型（</w:t>
            </w:r>
            <w:r>
              <w:rPr>
                <w:sz w:val="21"/>
              </w:rPr>
              <w:t>提供</w:t>
            </w:r>
            <w:r>
              <w:rPr>
                <w:sz w:val="21"/>
              </w:rPr>
              <w:t>相关</w:t>
            </w:r>
            <w:r>
              <w:rPr>
                <w:sz w:val="21"/>
              </w:rPr>
              <w:t>证明材</w:t>
            </w:r>
            <w:r>
              <w:rPr>
                <w:sz w:val="21"/>
              </w:rPr>
              <w:t>料</w:t>
            </w:r>
            <w:r>
              <w:rPr>
                <w:sz w:val="21"/>
              </w:rPr>
              <w:t>）。</w:t>
            </w:r>
          </w:p>
          <w:p>
            <w:pPr>
              <w:ind w:firstLine="350"/>
              <w:jc w:val="both"/>
            </w:pPr>
            <w:r>
              <w:rPr>
                <w:sz w:val="21"/>
              </w:rPr>
              <w:t>（</w:t>
            </w:r>
            <w:r>
              <w:rPr>
                <w:sz w:val="21"/>
              </w:rPr>
              <w:t>7）仪器</w:t>
            </w:r>
            <w:r>
              <w:rPr>
                <w:sz w:val="21"/>
              </w:rPr>
              <w:t>可提供</w:t>
            </w:r>
            <w:r>
              <w:rPr>
                <w:sz w:val="21"/>
              </w:rPr>
              <w:t>核酸检测功能，</w:t>
            </w:r>
            <w:r>
              <w:rPr>
                <w:sz w:val="21"/>
              </w:rPr>
              <w:t>包括但不限于新冠</w:t>
            </w:r>
            <w:r>
              <w:rPr>
                <w:sz w:val="21"/>
              </w:rPr>
              <w:t>病毒在内的核酸检测、基因分型等相关研究（提</w:t>
            </w:r>
            <w:r>
              <w:rPr>
                <w:sz w:val="21"/>
              </w:rPr>
              <w:t>供软件界面截图作为证明材料</w:t>
            </w:r>
            <w:r>
              <w:rPr>
                <w:sz w:val="21"/>
              </w:rPr>
              <w:t>）。</w:t>
            </w:r>
          </w:p>
          <w:p>
            <w:pPr>
              <w:jc w:val="both"/>
            </w:pPr>
            <w:r>
              <w:rPr>
                <w:b/>
                <w:sz w:val="21"/>
              </w:rPr>
              <w:t>6. 相关耗材与试剂参数要求</w:t>
            </w:r>
          </w:p>
          <w:p>
            <w:pPr>
              <w:ind w:firstLine="315"/>
              <w:jc w:val="both"/>
            </w:pPr>
            <w:r>
              <w:rPr>
                <w:sz w:val="21"/>
              </w:rPr>
              <w:t>（</w:t>
            </w:r>
            <w:r>
              <w:rPr>
                <w:sz w:val="21"/>
              </w:rPr>
              <w:t>1）提供无需配制可直接使用的稳定液体剂型的</w:t>
            </w:r>
            <w:r>
              <w:rPr>
                <w:sz w:val="21"/>
              </w:rPr>
              <w:t>微生物质谱基质试剂</w:t>
            </w:r>
            <w:r>
              <w:rPr>
                <w:sz w:val="21"/>
              </w:rPr>
              <w:t>1套</w:t>
            </w:r>
            <w:r>
              <w:rPr>
                <w:sz w:val="21"/>
              </w:rPr>
              <w:t>，可室温保存，须取得医疗器械注册证（提供证明材料）。</w:t>
            </w:r>
          </w:p>
          <w:p>
            <w:pPr>
              <w:ind w:firstLine="315"/>
              <w:jc w:val="both"/>
            </w:pPr>
            <w:r>
              <w:rPr>
                <w:sz w:val="21"/>
              </w:rPr>
              <w:t>（</w:t>
            </w:r>
            <w:r>
              <w:rPr>
                <w:sz w:val="21"/>
              </w:rPr>
              <w:t>2）</w:t>
            </w:r>
            <w:r>
              <w:rPr>
                <w:sz w:val="21"/>
              </w:rPr>
              <w:t>提供配套的血培养阳性样本质谱鉴定前处理试剂</w:t>
            </w:r>
            <w:r>
              <w:rPr>
                <w:sz w:val="21"/>
              </w:rPr>
              <w:t>1套</w:t>
            </w:r>
            <w:r>
              <w:rPr>
                <w:sz w:val="21"/>
              </w:rPr>
              <w:t>，须取得医疗器械注册证（提供证明材料）。</w:t>
            </w:r>
          </w:p>
          <w:p>
            <w:pPr>
              <w:ind w:firstLine="140"/>
              <w:jc w:val="both"/>
            </w:pPr>
            <w:r>
              <w:rPr>
                <w:sz w:val="21"/>
              </w:rPr>
              <w:t>▲（3）霉菌快速前处理试剂：提供配套的可用于霉菌快速前处理的试剂</w:t>
            </w:r>
            <w:r>
              <w:rPr>
                <w:sz w:val="21"/>
              </w:rPr>
              <w:t>1套</w:t>
            </w:r>
            <w:r>
              <w:rPr>
                <w:sz w:val="21"/>
              </w:rPr>
              <w:t>；同时提供相应方法建库的霉菌数据库；单个样本的完整前处理时间</w:t>
            </w:r>
            <w:r>
              <w:rPr>
                <w:sz w:val="21"/>
              </w:rPr>
              <w:t>≤</w:t>
            </w:r>
            <w:r>
              <w:rPr>
                <w:sz w:val="21"/>
              </w:rPr>
              <w:t>5分钟，须取得医疗器械注册证（提供证明材料）。</w:t>
            </w:r>
          </w:p>
          <w:p>
            <w:pPr>
              <w:ind w:firstLine="315"/>
              <w:jc w:val="both"/>
            </w:pPr>
            <w:r>
              <w:rPr>
                <w:sz w:val="21"/>
              </w:rPr>
              <w:t>（</w:t>
            </w:r>
            <w:r>
              <w:rPr>
                <w:sz w:val="21"/>
              </w:rPr>
              <w:t>4）提供配套的可重复使用的靶板和一次性靶板</w:t>
            </w:r>
            <w:r>
              <w:rPr>
                <w:sz w:val="21"/>
              </w:rPr>
              <w:t>各</w:t>
            </w:r>
            <w:r>
              <w:rPr>
                <w:sz w:val="21"/>
              </w:rPr>
              <w:t>1个</w:t>
            </w:r>
            <w:r>
              <w:rPr>
                <w:sz w:val="21"/>
              </w:rPr>
              <w:t>（须</w:t>
            </w:r>
            <w:r>
              <w:rPr>
                <w:sz w:val="21"/>
              </w:rPr>
              <w:t>取得医疗器械注册证），靶板无固定的质控位。</w:t>
            </w:r>
          </w:p>
          <w:p>
            <w:pPr>
              <w:ind w:firstLine="210"/>
              <w:jc w:val="both"/>
            </w:pPr>
            <w:r>
              <w:rPr>
                <w:sz w:val="21"/>
              </w:rPr>
              <w:t>▲（5）配备全自动的样品靶真空干靶装置，可同时放置</w:t>
            </w:r>
            <w:r>
              <w:rPr>
                <w:sz w:val="21"/>
              </w:rPr>
              <w:t>≥</w:t>
            </w:r>
            <w:r>
              <w:rPr>
                <w:sz w:val="21"/>
              </w:rPr>
              <w:t>2块96孔靶板，干靶时间可由用户自定义设置</w:t>
            </w:r>
            <w:r>
              <w:rPr>
                <w:sz w:val="21"/>
              </w:rPr>
              <w:t>，</w:t>
            </w:r>
            <w:r>
              <w:rPr>
                <w:sz w:val="21"/>
              </w:rPr>
              <w:t>具备超声波辅助微生物破壁功能（提供相关的证明支撑材料）。</w:t>
            </w:r>
            <w:r>
              <w:br/>
            </w:r>
            <w:r>
              <w:rPr>
                <w:b/>
                <w:sz w:val="21"/>
              </w:rPr>
              <w:t>7.配置要求</w:t>
            </w:r>
            <w:r>
              <w:br/>
            </w:r>
            <w:r>
              <w:rPr>
                <w:b/>
                <w:sz w:val="21"/>
              </w:rPr>
              <w:t xml:space="preserve">    </w:t>
            </w:r>
            <w:r>
              <w:rPr>
                <w:sz w:val="21"/>
              </w:rPr>
              <w:t>（</w:t>
            </w:r>
            <w:r>
              <w:rPr>
                <w:sz w:val="21"/>
              </w:rPr>
              <w:t>1）快速全自动微生物质谱鉴定系统主机1台；</w:t>
            </w:r>
          </w:p>
          <w:p>
            <w:pPr>
              <w:ind w:firstLine="420"/>
              <w:jc w:val="left"/>
            </w:pPr>
            <w:r>
              <w:rPr>
                <w:sz w:val="21"/>
              </w:rPr>
              <w:t>（</w:t>
            </w:r>
            <w:r>
              <w:rPr>
                <w:sz w:val="21"/>
              </w:rPr>
              <w:t>2）控制工作站1台，配置同等或优于Windows10及以上操作系统，3.0GHz及以上的 CPU四核处理器，16GB及以上运行内存,1TB及 以上的硬盘存储，高清显示屏1个，条码扫描器1套，激光图文输出设备1台；</w:t>
            </w:r>
          </w:p>
          <w:p>
            <w:pPr>
              <w:ind w:firstLine="420"/>
              <w:jc w:val="left"/>
            </w:pPr>
            <w:r>
              <w:rPr>
                <w:sz w:val="21"/>
              </w:rPr>
              <w:t>（</w:t>
            </w:r>
            <w:r>
              <w:rPr>
                <w:sz w:val="21"/>
              </w:rPr>
              <w:t>3）专用的配套电源设备1台(≥3KVA，&gt;2小时)；</w:t>
            </w:r>
          </w:p>
          <w:p>
            <w:pPr>
              <w:ind w:firstLine="420"/>
              <w:jc w:val="left"/>
            </w:pPr>
            <w:r>
              <w:rPr>
                <w:sz w:val="21"/>
              </w:rPr>
              <w:t>（</w:t>
            </w:r>
            <w:r>
              <w:rPr>
                <w:sz w:val="21"/>
              </w:rPr>
              <w:t>4）配备重复样品靶托≥1块、重复性靶片≥2块；</w:t>
            </w:r>
          </w:p>
          <w:p>
            <w:pPr>
              <w:ind w:firstLine="420"/>
              <w:jc w:val="left"/>
            </w:pPr>
            <w:r>
              <w:rPr>
                <w:sz w:val="21"/>
              </w:rPr>
              <w:t>（</w:t>
            </w:r>
            <w:r>
              <w:rPr>
                <w:sz w:val="21"/>
              </w:rPr>
              <w:t>5）配备超声清洗仪1台、离心机1台、移液枪≥1把。</w:t>
            </w:r>
          </w:p>
          <w:p>
            <w:pPr>
              <w:ind w:firstLine="141"/>
              <w:jc w:val="both"/>
            </w:pPr>
            <w:r>
              <w:rPr>
                <w:b/>
                <w:sz w:val="21"/>
              </w:rPr>
              <w:t>8.其他要求</w:t>
            </w:r>
          </w:p>
          <w:p>
            <w:pPr>
              <w:ind w:firstLine="420"/>
              <w:jc w:val="both"/>
            </w:pPr>
            <w:r>
              <w:rPr>
                <w:sz w:val="21"/>
              </w:rPr>
              <w:t>（</w:t>
            </w:r>
            <w:r>
              <w:rPr>
                <w:sz w:val="21"/>
              </w:rPr>
              <w:t>1</w:t>
            </w:r>
            <w:r>
              <w:rPr>
                <w:sz w:val="21"/>
              </w:rPr>
              <w:t>）</w:t>
            </w:r>
            <w:r>
              <w:rPr>
                <w:sz w:val="21"/>
              </w:rPr>
              <w:t>投标人应在投标文件中报出专用耗材的单价，具体单价限价详见招标文件中</w:t>
            </w:r>
            <w:r>
              <w:rPr>
                <w:sz w:val="21"/>
              </w:rPr>
              <w:t>《</w:t>
            </w:r>
            <w:r>
              <w:rPr>
                <w:sz w:val="21"/>
              </w:rPr>
              <w:t>医用耗材</w:t>
            </w:r>
            <w:r>
              <w:rPr>
                <w:sz w:val="21"/>
              </w:rPr>
              <w:t>/试剂购置需求及限价表</w:t>
            </w:r>
            <w:r>
              <w:rPr>
                <w:sz w:val="21"/>
              </w:rPr>
              <w:t>》，</w:t>
            </w:r>
            <w:r>
              <w:rPr>
                <w:sz w:val="21"/>
              </w:rPr>
              <w:t>报价格式详见附件</w:t>
            </w:r>
            <w:r>
              <w:rPr>
                <w:sz w:val="21"/>
              </w:rPr>
              <w:t>1</w:t>
            </w:r>
            <w:r>
              <w:rPr>
                <w:sz w:val="21"/>
              </w:rPr>
              <w:t>《医用耗材</w:t>
            </w:r>
            <w:r>
              <w:rPr>
                <w:sz w:val="21"/>
              </w:rPr>
              <w:t>/试剂报价表》，投标人应按照《医用耗材/试剂报价表》的格式对各项耗材进行详细报价，并将该报价表附在投标文件之中</w:t>
            </w:r>
            <w:r>
              <w:rPr>
                <w:sz w:val="21"/>
              </w:rPr>
              <w:t>。如采购人在设备的使用过程中须另外购买耗材，则按照中标供应商投标文件中所报的价格作为参考价格，实际的采购</w:t>
            </w:r>
            <w:r>
              <w:rPr>
                <w:sz w:val="21"/>
              </w:rPr>
              <w:t>品种及</w:t>
            </w:r>
            <w:r>
              <w:rPr>
                <w:sz w:val="21"/>
              </w:rPr>
              <w:t>数量以采购人需求通知下单的数量为准，费用按实结算，该部分费用不包含在本次投标报价之中。</w:t>
            </w:r>
          </w:p>
          <w:p>
            <w:pPr>
              <w:ind w:firstLine="420"/>
              <w:jc w:val="both"/>
            </w:pPr>
            <w:r>
              <w:rPr>
                <w:sz w:val="21"/>
              </w:rPr>
              <w:t>（</w:t>
            </w:r>
            <w:r>
              <w:rPr>
                <w:sz w:val="21"/>
              </w:rPr>
              <w:t>2</w:t>
            </w:r>
            <w:r>
              <w:rPr>
                <w:sz w:val="21"/>
              </w:rPr>
              <w:t>）试剂报价需按照</w:t>
            </w:r>
            <w:r>
              <w:rPr>
                <w:sz w:val="21"/>
              </w:rPr>
              <w:t>1人份（或1测试或1uL）报价，非试剂类按包装规格最小计量单位报价。</w:t>
            </w:r>
          </w:p>
          <w:p>
            <w:pPr>
              <w:ind w:firstLine="210"/>
              <w:jc w:val="both"/>
            </w:pPr>
            <w:r>
              <w:rPr>
                <w:sz w:val="21"/>
              </w:rPr>
              <w:t>★（</w:t>
            </w:r>
            <w:r>
              <w:rPr>
                <w:sz w:val="21"/>
              </w:rPr>
              <w:t>3</w:t>
            </w:r>
            <w:r>
              <w:rPr>
                <w:sz w:val="21"/>
              </w:rPr>
              <w:t>）标人须列出《医用耗材</w:t>
            </w:r>
            <w:r>
              <w:rPr>
                <w:sz w:val="21"/>
              </w:rPr>
              <w:t>/试剂购置需求</w:t>
            </w:r>
            <w:r>
              <w:rPr>
                <w:sz w:val="21"/>
              </w:rPr>
              <w:t>及</w:t>
            </w:r>
            <w:r>
              <w:rPr>
                <w:sz w:val="21"/>
              </w:rPr>
              <w:t>限价</w:t>
            </w:r>
            <w:r>
              <w:rPr>
                <w:sz w:val="21"/>
              </w:rPr>
              <w:t>表</w:t>
            </w:r>
            <w:r>
              <w:rPr>
                <w:sz w:val="21"/>
              </w:rPr>
              <w:t>》</w:t>
            </w:r>
            <w:r>
              <w:rPr>
                <w:sz w:val="21"/>
              </w:rPr>
              <w:t>中</w:t>
            </w:r>
            <w:r>
              <w:rPr>
                <w:sz w:val="21"/>
              </w:rPr>
              <w:t>开展的检查或治疗项目所用耗材明细清单，清单内耗材单人份价格不得高于广东省第三方药品电子交易平台及招采子系统限价；某检查或治疗项目所用耗材单人份之和不得高于《医用耗材</w:t>
            </w:r>
            <w:r>
              <w:rPr>
                <w:sz w:val="21"/>
              </w:rPr>
              <w:t>/试剂购置需求</w:t>
            </w:r>
            <w:r>
              <w:rPr>
                <w:sz w:val="21"/>
              </w:rPr>
              <w:t>及</w:t>
            </w:r>
            <w:r>
              <w:rPr>
                <w:sz w:val="21"/>
              </w:rPr>
              <w:t>限价</w:t>
            </w:r>
            <w:r>
              <w:rPr>
                <w:sz w:val="21"/>
              </w:rPr>
              <w:t>表</w:t>
            </w:r>
            <w:r>
              <w:rPr>
                <w:sz w:val="21"/>
              </w:rPr>
              <w:t>》中的单人份最高限价。投标人保证所</w:t>
            </w:r>
            <w:r>
              <w:rPr>
                <w:sz w:val="21"/>
              </w:rPr>
              <w:t>提供</w:t>
            </w:r>
            <w:r>
              <w:rPr>
                <w:sz w:val="21"/>
              </w:rPr>
              <w:t>全部耗材（含专用及通用耗材）能开展一个检查或治疗项目，如因耗材漏报导致检查或治疗项目无法开展，投标人须承担漏报耗材费用。</w:t>
            </w:r>
          </w:p>
          <w:p>
            <w:pPr>
              <w:ind w:firstLine="420"/>
              <w:jc w:val="both"/>
            </w:pPr>
            <w:r>
              <w:rPr>
                <w:sz w:val="21"/>
              </w:rPr>
              <w:t>★（</w:t>
            </w:r>
            <w:r>
              <w:rPr>
                <w:sz w:val="21"/>
              </w:rPr>
              <w:t>4</w:t>
            </w:r>
            <w:r>
              <w:rPr>
                <w:sz w:val="21"/>
              </w:rPr>
              <w:t>）中标人所提供耗材如院内有同类可替代产品，招标人则可根据实际情况</w:t>
            </w:r>
            <w:r>
              <w:rPr>
                <w:sz w:val="21"/>
              </w:rPr>
              <w:t xml:space="preserve"> </w:t>
            </w:r>
            <w:r>
              <w:rPr>
                <w:sz w:val="21"/>
              </w:rPr>
              <w:t>使用院内产品。</w:t>
            </w:r>
          </w:p>
          <w:p>
            <w:pPr>
              <w:ind w:firstLine="420"/>
              <w:jc w:val="both"/>
            </w:pPr>
            <w:r>
              <w:rPr>
                <w:sz w:val="21"/>
              </w:rPr>
              <w:t>★（</w:t>
            </w:r>
            <w:r>
              <w:rPr>
                <w:sz w:val="21"/>
              </w:rPr>
              <w:t>5</w:t>
            </w:r>
            <w:r>
              <w:rPr>
                <w:sz w:val="21"/>
              </w:rPr>
              <w:t>）</w:t>
            </w:r>
            <w:r>
              <w:rPr>
                <w:sz w:val="21"/>
              </w:rPr>
              <w:t>如采购人需购买耗材或试剂，</w:t>
            </w:r>
            <w:r>
              <w:rPr>
                <w:sz w:val="21"/>
              </w:rPr>
              <w:t>中标人所提供耗材须与招标人在广东省第三方药品电子交易平台或新招采子系统签订《医用耗材购销合同》和《廉洁协议书》。</w:t>
            </w:r>
          </w:p>
          <w:p>
            <w:pPr>
              <w:jc w:val="center"/>
            </w:pPr>
            <w:r>
              <w:rPr>
                <w:sz w:val="21"/>
              </w:rPr>
              <w:t>《医用耗材</w:t>
            </w:r>
            <w:r>
              <w:rPr>
                <w:sz w:val="21"/>
              </w:rPr>
              <w:t>/试剂购置需求</w:t>
            </w:r>
            <w:r>
              <w:rPr>
                <w:sz w:val="21"/>
              </w:rPr>
              <w:t>及</w:t>
            </w:r>
            <w:r>
              <w:rPr>
                <w:sz w:val="21"/>
              </w:rPr>
              <w:t>限价</w:t>
            </w:r>
            <w:r>
              <w:rPr>
                <w:sz w:val="21"/>
              </w:rPr>
              <w:t>表</w:t>
            </w:r>
            <w:r>
              <w:rPr>
                <w:sz w:val="21"/>
              </w:rPr>
              <w:t>》</w:t>
            </w:r>
          </w:p>
          <w:tbl>
            <w:tblPr>
              <w:tblInd w:type="dxa" w:w="120"/>
              <w:tblBorders>
                <w:top w:val="none" w:color="000000" w:sz="4"/>
                <w:left w:val="none" w:color="000000" w:sz="4"/>
                <w:bottom w:val="none" w:color="000000" w:sz="4"/>
                <w:right w:val="none" w:color="000000" w:sz="4"/>
                <w:insideH w:val="none"/>
                <w:insideV w:val="none"/>
              </w:tblBorders>
            </w:tblPr>
            <w:tblGrid>
              <w:gridCol w:w="420"/>
              <w:gridCol w:w="1459"/>
              <w:gridCol w:w="1338"/>
              <w:gridCol w:w="1354"/>
              <w:gridCol w:w="1026"/>
            </w:tblGrid>
            <w:tr>
              <w:tc>
                <w:tcPr>
                  <w:tcW w:type="dxa" w:w="420"/>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59"/>
                  <w:tcBorders>
                    <w:top w:val="single" w:color="000000" w:sz="4"/>
                    <w:left w:val="single" w:color="000000" w:sz="4"/>
                    <w:bottom w:val="single" w:color="000000" w:sz="4"/>
                    <w:right w:val="single" w:color="000000" w:sz="4"/>
                  </w:tcBorders>
                  <w:vAlign w:val="top"/>
                </w:tcPr>
                <w:p>
                  <w:pPr>
                    <w:jc w:val="center"/>
                  </w:pPr>
                  <w:r>
                    <w:rPr>
                      <w:b/>
                      <w:sz w:val="21"/>
                    </w:rPr>
                    <w:t>检验或治疗项目名称</w:t>
                  </w:r>
                </w:p>
              </w:tc>
              <w:tc>
                <w:tcPr>
                  <w:tcW w:type="dxa" w:w="1338"/>
                  <w:tcBorders>
                    <w:top w:val="single" w:color="000000" w:sz="4"/>
                    <w:left w:val="single" w:color="000000" w:sz="4"/>
                    <w:bottom w:val="single" w:color="000000" w:sz="4"/>
                    <w:right w:val="single" w:color="000000" w:sz="4"/>
                  </w:tcBorders>
                  <w:vAlign w:val="top"/>
                </w:tcPr>
                <w:p>
                  <w:pPr>
                    <w:jc w:val="center"/>
                  </w:pPr>
                  <w:r>
                    <w:rPr>
                      <w:b/>
                      <w:sz w:val="21"/>
                    </w:rPr>
                    <w:t>耗材功能用途需求</w:t>
                  </w:r>
                </w:p>
              </w:tc>
              <w:tc>
                <w:tcPr>
                  <w:tcW w:type="dxa" w:w="1354"/>
                  <w:tcBorders>
                    <w:top w:val="single" w:color="000000" w:sz="4"/>
                    <w:left w:val="single" w:color="000000" w:sz="4"/>
                    <w:bottom w:val="single" w:color="000000" w:sz="4"/>
                    <w:right w:val="single" w:color="000000" w:sz="4"/>
                  </w:tcBorders>
                  <w:vAlign w:val="top"/>
                </w:tcPr>
                <w:p>
                  <w:pPr>
                    <w:jc w:val="center"/>
                  </w:pPr>
                  <w:r>
                    <w:rPr>
                      <w:b/>
                      <w:sz w:val="21"/>
                    </w:rPr>
                    <w:t>年预计诊治人次</w:t>
                  </w:r>
                  <w:r>
                    <w:rPr>
                      <w:b/>
                      <w:sz w:val="21"/>
                    </w:rPr>
                    <w:t>/5年预计诊治人次</w:t>
                  </w:r>
                </w:p>
              </w:tc>
              <w:tc>
                <w:tcPr>
                  <w:tcW w:type="dxa" w:w="1026"/>
                  <w:tcBorders>
                    <w:top w:val="single" w:color="000000" w:sz="4"/>
                    <w:left w:val="single" w:color="000000" w:sz="4"/>
                    <w:bottom w:val="single" w:color="000000" w:sz="4"/>
                    <w:right w:val="single" w:color="000000" w:sz="4"/>
                  </w:tcBorders>
                  <w:vAlign w:val="top"/>
                </w:tcPr>
                <w:p>
                  <w:pPr>
                    <w:jc w:val="center"/>
                  </w:pPr>
                  <w:r>
                    <w:rPr>
                      <w:b/>
                      <w:sz w:val="21"/>
                    </w:rPr>
                    <w:t>单人份最高限价</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一般样本细菌及真菌培养及鉴定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适用于大部分样本的微生物培养及鉴定</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6000/30000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5.00元/人份</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血培养阳性样本鉴定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阳性血培养样本预处理</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800/4000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36.00元/人份</w:t>
                  </w:r>
                </w:p>
              </w:tc>
            </w:tr>
            <w:tr>
              <w:tc>
                <w:tcPr>
                  <w:tcW w:type="dxa" w:w="42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459"/>
                  <w:tcBorders>
                    <w:top w:val="none" w:color="000000" w:sz="4"/>
                    <w:left w:val="single" w:color="000000" w:sz="4"/>
                    <w:bottom w:val="single" w:color="000000" w:sz="4"/>
                    <w:right w:val="single" w:color="000000" w:sz="4"/>
                  </w:tcBorders>
                  <w:vAlign w:val="top"/>
                </w:tcPr>
                <w:p>
                  <w:pPr>
                    <w:jc w:val="center"/>
                  </w:pPr>
                  <w:r>
                    <w:rPr>
                      <w:sz w:val="21"/>
                    </w:rPr>
                    <w:t>霉菌样本鉴定</w:t>
                  </w:r>
                </w:p>
              </w:tc>
              <w:tc>
                <w:tcPr>
                  <w:tcW w:type="dxa" w:w="1338"/>
                  <w:tcBorders>
                    <w:top w:val="none" w:color="000000" w:sz="4"/>
                    <w:left w:val="single" w:color="000000" w:sz="4"/>
                    <w:bottom w:val="single" w:color="000000" w:sz="4"/>
                    <w:right w:val="single" w:color="000000" w:sz="4"/>
                  </w:tcBorders>
                  <w:vAlign w:val="top"/>
                </w:tcPr>
                <w:p>
                  <w:pPr>
                    <w:jc w:val="center"/>
                  </w:pPr>
                  <w:r>
                    <w:rPr>
                      <w:sz w:val="21"/>
                    </w:rPr>
                    <w:t>霉菌样本预处理</w:t>
                  </w:r>
                </w:p>
              </w:tc>
              <w:tc>
                <w:tcPr>
                  <w:tcW w:type="dxa" w:w="1354"/>
                  <w:tcBorders>
                    <w:top w:val="none" w:color="000000" w:sz="4"/>
                    <w:left w:val="single" w:color="000000" w:sz="4"/>
                    <w:bottom w:val="single" w:color="000000" w:sz="4"/>
                    <w:right w:val="single" w:color="000000" w:sz="4"/>
                  </w:tcBorders>
                  <w:vAlign w:val="top"/>
                </w:tcPr>
                <w:p>
                  <w:pPr>
                    <w:jc w:val="center"/>
                  </w:pPr>
                  <w:r>
                    <w:rPr>
                      <w:sz w:val="21"/>
                    </w:rPr>
                    <w:t>260/1300</w:t>
                  </w:r>
                </w:p>
              </w:tc>
              <w:tc>
                <w:tcPr>
                  <w:tcW w:type="dxa" w:w="1026"/>
                  <w:tcBorders>
                    <w:top w:val="none" w:color="000000" w:sz="4"/>
                    <w:left w:val="single" w:color="000000" w:sz="4"/>
                    <w:bottom w:val="single" w:color="000000" w:sz="4"/>
                    <w:right w:val="single" w:color="000000" w:sz="4"/>
                  </w:tcBorders>
                  <w:vAlign w:val="top"/>
                </w:tcPr>
                <w:p>
                  <w:pPr>
                    <w:jc w:val="center"/>
                  </w:pPr>
                  <w:r>
                    <w:rPr>
                      <w:sz w:val="21"/>
                    </w:rPr>
                    <w:t>￥</w:t>
                  </w:r>
                  <w:r>
                    <w:rPr>
                      <w:sz w:val="21"/>
                    </w:rPr>
                    <w:t>24.00元/人份</w:t>
                  </w: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汕头大学医学院第二附属医院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2</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本项目的招标代理服务费收费标准以预算金额为计算基数参照《广东省物价局粤价函〔2013〕1233号》规定的标准费率下浮20%收取，由中标供应商在领取《中标通知书》前一次性向采购代理机构交纳。</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具体情况根据开标(开启)时现场代理机构人员设置为准。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广州市国科招标代理有限公司</w:t>
      </w:r>
      <w:r>
        <w:rPr/>
        <w:t>代收。具体操作要求详见</w:t>
      </w:r>
      <w:r>
        <w:rPr/>
        <w:t>广州市国科招标代理有限公司</w:t>
      </w:r>
      <w:r>
        <w:rPr/>
        <w:t>有关指引，递交事宜请自行咨询</w:t>
      </w:r>
      <w:r>
        <w:rPr/>
        <w:t>广州市国科招标代理有限公司</w:t>
      </w:r>
      <w:r>
        <w:rPr/>
        <w:t>；请各投标人在投标文件递交截止时间前按须知前附表规定的金额递交至</w:t>
      </w:r>
      <w:r>
        <w:rPr/>
        <w:t>广州市国科招标代理有限公司</w:t>
      </w:r>
      <w:r>
        <w:rPr/>
        <w:t>，到账情况以开标时</w:t>
      </w:r>
      <w:r>
        <w:rPr/>
        <w:t>广州市国科招标代理有限公司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郑淇筠、梁思瑶</w:t>
      </w:r>
    </w:p>
    <w:p>
      <w:pPr>
        <w:ind w:firstLine="480"/>
      </w:pPr>
      <w:r>
        <w:rPr/>
        <w:t>电话：</w:t>
      </w:r>
      <w:r>
        <w:rPr/>
        <w:t>0754-87230486、020-87687817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快速全自动微生物质谱鉴定系统)：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采购包1（快速全自动微生物质谱鉴定系统）：</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节能、环保产品</w:t>
            </w:r>
          </w:p>
        </w:tc>
        <w:tc>
          <w:tcPr>
            <w:tcW w:type="dxa" w:w="2160"/>
          </w:tcPr>
          <w:p>
            <w:r>
              <w:rPr/>
              <w:t>——</w:t>
            </w:r>
          </w:p>
        </w:tc>
        <w:tc>
          <w:tcPr>
            <w:tcW w:type="dxa" w:w="1246"/>
          </w:tcPr>
          <w:p>
            <w:r>
              <w:rPr/>
              <w:t>4%</w:t>
            </w:r>
          </w:p>
        </w:tc>
        <w:tc>
          <w:tcPr>
            <w:tcW w:type="dxa" w:w="2160"/>
          </w:tcPr>
          <w:p>
            <w:pPr>
              <w:jc w:val="left"/>
            </w:pPr>
            <w:r>
              <w:rPr/>
              <w:t>1、如投标产品属于《节能产品政府采购品目清单》中所列的产品，供应商必须在投标文件中明确列明具体产品的名称并提供国家确定的认证机构出具的处于有效期之内的节能产品认证证书。节能产品政府采购品目清单在中国政府采购网（http：//www.ccgp.gov .cn/）上发布。（适用于优先采购节能产品，强制节能产品不享受价格扣除） 2、对节能产品价格扣除的规定： （1）投标人须按“政策适用性说明”填写，并同时提供国家确定的认证机构出具的处于有效期之内的认证证书； （2）扣除方法如下：节能产品金额占项目总金额的比重达到30％及以上的，扣2％。 特别说明：已经作为评审因素进行评分的不再进行价格扣除。 3、如投标产品属于《环境标志产品政府采购品目清单》中所列的产品，供应商必须在投标文件中明确列明具体产品的名称并提供国家确定的认证机构出具的处于有效期之内的环境标志产品认证证书。环境标志产品政府采购品目清单在中国政府采购网（http://www.ccgp.gov.cn/）上发布。 4、对环境标志产品价格扣除的规定： （1）投标人须按“政策适用性说明”填写，并同时提供国家确定的认证机构出具的处于有效期之内的认证证书； （2）扣除方法如下：环境标志产品金额占项目总金额的比重达到30％及以上的，扣2％。 特别说明：已经作为评审因素进行评分的不再进行价格扣除。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采购包1（快速全自动微生物质谱鉴定系统）：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供应商必须具有良好的商业信誉和健全的财务会计制度（提供2022年度财务状况报告或基本开户行出具的资信证明）。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投标。为本项目提供整体设计、规范编制或者项目管理、监理、检测等服务的供应商，不得再参与本项目投标。 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采购包整体专门面向中小企业，全部货物须由中小微企业或监狱企业或残疾人福利性单位制造。</w:t>
            </w:r>
          </w:p>
        </w:tc>
      </w:tr>
    </w:tbl>
    <w:p/>
    <w:p>
      <w:pPr>
        <w:ind w:firstLine="480"/>
      </w:pPr>
      <w:r>
        <w:rPr/>
        <w:t>表二符合性审查表：</w:t>
      </w:r>
    </w:p>
    <w:p>
      <w:pPr>
        <w:ind w:firstLine="480"/>
      </w:pPr>
    </w:p>
    <w:p/>
    <w:p>
      <w:r>
        <w:rPr/>
        <w:t>采购包1（快速全自动微生物质谱鉴定系统）：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投标报价是固定价且未超过本项目对应采购预算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r>
        <w:tc>
          <w:tcPr>
            <w:tcW w:type="dxa" w:w="890"/>
          </w:tcPr>
          <w:p>
            <w:r>
              <w:rPr/>
              <w:t>9</w:t>
            </w:r>
          </w:p>
        </w:tc>
        <w:tc>
          <w:tcPr>
            <w:tcW w:type="dxa" w:w="3178"/>
          </w:tcPr>
          <w:p>
            <w:r>
              <w:rPr/>
              <w:t>进口情况</w:t>
            </w:r>
          </w:p>
        </w:tc>
        <w:tc>
          <w:tcPr>
            <w:tcW w:type="dxa" w:w="4238"/>
          </w:tcPr>
          <w:p>
            <w:r>
              <w:rPr/>
              <w:t>采购文件要求采购本国产品时未以进口产品投标</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采购包1(快速全自动微生物质谱鉴定系统):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技术部分60.0分</w:t>
            </w:r>
          </w:p>
          <w:p>
            <w:r>
              <w:rPr/>
              <w:t>报价得分30.0分</w:t>
            </w:r>
          </w:p>
        </w:tc>
      </w:tr>
      <w:tr>
        <w:tc>
          <w:tcPr>
            <w:tcW w:type="dxa" w:w="922"/>
            <w:gridSpan w:val="2"/>
            <w:vMerge w:val="restart"/>
          </w:tcPr>
          <w:p>
            <w:pPr>
              <w:jc w:val="center"/>
            </w:pPr>
            <w:r>
              <w:rPr/>
              <w:t>技术部分</w:t>
            </w:r>
          </w:p>
        </w:tc>
        <w:tc>
          <w:tcPr>
            <w:tcW w:type="dxa" w:w="2307"/>
          </w:tcPr>
          <w:p>
            <w:pPr>
              <w:jc w:val="left"/>
            </w:pPr>
            <w:r>
              <w:rPr/>
              <w:t>带“▲”条款响应程度 (30.0分)</w:t>
            </w:r>
          </w:p>
        </w:tc>
        <w:tc>
          <w:tcPr>
            <w:tcW w:type="dxa" w:w="5076"/>
          </w:tcPr>
          <w:p>
            <w:pPr>
              <w:jc w:val="left"/>
            </w:pPr>
            <w:r>
              <w:rPr/>
              <w:t>“技术标准与要求”中所有带“▲”条款（共10项）完全响应或正偏离的，得30分；每项不符合扣3分，最高扣30分。 注：投标人须提供投标产品彩页或相应技术参数的厂家技术白皮书或使用说明书或质量认可材料或第三方机构出具的检测报告等作为技术明文件，否则评标委员会有权视相应技术参数响应不符合招标要求。</w:t>
            </w:r>
          </w:p>
        </w:tc>
      </w:tr>
      <w:tr>
        <w:tc>
          <w:tcPr>
            <w:tcW w:type="dxa" w:w="922"/>
            <w:gridSpan w:val="2"/>
            <w:vMerge/>
          </w:tcPr>
          <w:p/>
        </w:tc>
        <w:tc>
          <w:tcPr>
            <w:tcW w:type="dxa" w:w="2307"/>
          </w:tcPr>
          <w:p>
            <w:pPr>
              <w:jc w:val="left"/>
            </w:pPr>
            <w:r>
              <w:rPr/>
              <w:t>一般技术要求响应程度 (11.5分)</w:t>
            </w:r>
          </w:p>
        </w:tc>
        <w:tc>
          <w:tcPr>
            <w:tcW w:type="dxa" w:w="5076"/>
          </w:tcPr>
          <w:p>
            <w:pPr>
              <w:jc w:val="left"/>
            </w:pPr>
            <w:r>
              <w:rPr/>
              <w:t>根据投标人所投产品对“技术标准与要求”中一般技术条款（非“▲”、非“★”指标）（共23项）的响应程度进行评审：完全响应或有正偏离的，得11.5分； 有1项未响应或负偏离的，扣0.5分；本项最低得0分。</w:t>
            </w:r>
          </w:p>
        </w:tc>
      </w:tr>
      <w:tr>
        <w:tc>
          <w:tcPr>
            <w:tcW w:type="dxa" w:w="922"/>
            <w:gridSpan w:val="2"/>
            <w:vMerge/>
          </w:tcPr>
          <w:p/>
        </w:tc>
        <w:tc>
          <w:tcPr>
            <w:tcW w:type="dxa" w:w="2307"/>
          </w:tcPr>
          <w:p>
            <w:pPr>
              <w:jc w:val="left"/>
            </w:pPr>
            <w:r>
              <w:rPr/>
              <w:t>投标产品授权情况 (4.0分)</w:t>
            </w:r>
          </w:p>
        </w:tc>
        <w:tc>
          <w:tcPr>
            <w:tcW w:type="dxa" w:w="5076"/>
          </w:tcPr>
          <w:p>
            <w:pPr>
              <w:jc w:val="left"/>
            </w:pPr>
            <w:r>
              <w:rPr/>
              <w:t>为保证本项目的投标产品及配套耗材来源合法，投标人应提供所投产品及配套耗材来源渠道合法的证明文件（原厂授权销售协议、代理协议、授权书等其中之一)，能够提供上述所投产品来源渠道合法证明文件的，得4分，无提供不得分。 注：须提供所投产品来源渠道合法的证明文件复印件作为证明材料，不提供或专家无法认定的不得分。</w:t>
            </w:r>
          </w:p>
        </w:tc>
      </w:tr>
      <w:tr>
        <w:tc>
          <w:tcPr>
            <w:tcW w:type="dxa" w:w="922"/>
            <w:gridSpan w:val="2"/>
            <w:vMerge/>
          </w:tcPr>
          <w:p/>
        </w:tc>
        <w:tc>
          <w:tcPr>
            <w:tcW w:type="dxa" w:w="2307"/>
          </w:tcPr>
          <w:p>
            <w:pPr>
              <w:jc w:val="left"/>
            </w:pPr>
            <w:r>
              <w:rPr/>
              <w:t>技术领先性、可靠性（一） (1.5分)</w:t>
            </w:r>
          </w:p>
        </w:tc>
        <w:tc>
          <w:tcPr>
            <w:tcW w:type="dxa" w:w="5076"/>
          </w:tcPr>
          <w:p>
            <w:pPr>
              <w:jc w:val="left"/>
            </w:pPr>
            <w:r>
              <w:rPr/>
              <w:t>评标委员会根据投标人提供的技术领先性、可靠性（一）进行评审，应包括以下内容（投标文件中方案标题应以下列方案名称命名）： （1）货物制造技术； （2）制造设备； （3）生产工艺。 提供全部内容得1.5分，每缺1项扣0.5分。</w:t>
            </w:r>
          </w:p>
        </w:tc>
      </w:tr>
      <w:tr>
        <w:tc>
          <w:tcPr>
            <w:tcW w:type="dxa" w:w="922"/>
            <w:gridSpan w:val="2"/>
            <w:vMerge/>
          </w:tcPr>
          <w:p/>
        </w:tc>
        <w:tc>
          <w:tcPr>
            <w:tcW w:type="dxa" w:w="2307"/>
          </w:tcPr>
          <w:p>
            <w:pPr>
              <w:jc w:val="left"/>
            </w:pPr>
            <w:r>
              <w:rPr/>
              <w:t>技术领先性、可靠性（二） (5.0分)</w:t>
            </w:r>
          </w:p>
        </w:tc>
        <w:tc>
          <w:tcPr>
            <w:tcW w:type="dxa" w:w="5076"/>
          </w:tcPr>
          <w:p>
            <w:pPr>
              <w:jc w:val="left"/>
            </w:pPr>
            <w:r>
              <w:rPr/>
              <w:t>根据各投标人提供的技术领先性、可靠性（一）进行综合评价： （1）投标产品的技术领先性、可靠性科学合理，货物制造技术、制造设备、生产工艺达到行业内高水平，使用材料与部件等方面达到行业高质量，得5分； （2）投标产品的技术领先性、可靠性有基本保障，货物制造技术、制造设备、生产工艺为业内一般水平，使用材料与部件等方面质量一般，得3分； （3）投标产品的技术领先性、可靠性没有保障，货物制造技术、制造设备、生产工艺不够科学合理，使用材料与部件等方面质量较差，得1分。 注：不提供不得分。</w:t>
            </w:r>
          </w:p>
        </w:tc>
      </w:tr>
      <w:tr>
        <w:tc>
          <w:tcPr>
            <w:tcW w:type="dxa" w:w="922"/>
            <w:gridSpan w:val="2"/>
            <w:vMerge/>
          </w:tcPr>
          <w:p/>
        </w:tc>
        <w:tc>
          <w:tcPr>
            <w:tcW w:type="dxa" w:w="2307"/>
          </w:tcPr>
          <w:p>
            <w:pPr>
              <w:jc w:val="left"/>
            </w:pPr>
            <w:r>
              <w:rPr/>
              <w:t>技术方案（一） (1.0分)</w:t>
            </w:r>
          </w:p>
        </w:tc>
        <w:tc>
          <w:tcPr>
            <w:tcW w:type="dxa" w:w="5076"/>
          </w:tcPr>
          <w:p>
            <w:pPr>
              <w:jc w:val="left"/>
            </w:pPr>
            <w:r>
              <w:rPr/>
              <w:t>评标委员会根据投标人提供的技术方案（一）进行评审，应包括以下内容（投标文件中方案标题应以下列方案名称命名）： （1）设备安装与调试； （2）验收方案。 提供全部内容得1分，每缺1项扣0.5分。</w:t>
            </w:r>
          </w:p>
        </w:tc>
      </w:tr>
      <w:tr>
        <w:tc>
          <w:tcPr>
            <w:tcW w:type="dxa" w:w="922"/>
            <w:gridSpan w:val="2"/>
            <w:vMerge/>
          </w:tcPr>
          <w:p/>
        </w:tc>
        <w:tc>
          <w:tcPr>
            <w:tcW w:type="dxa" w:w="2307"/>
          </w:tcPr>
          <w:p>
            <w:pPr>
              <w:jc w:val="left"/>
            </w:pPr>
            <w:r>
              <w:rPr/>
              <w:t>技术方案（二） (2.0分)</w:t>
            </w:r>
          </w:p>
        </w:tc>
        <w:tc>
          <w:tcPr>
            <w:tcW w:type="dxa" w:w="5076"/>
          </w:tcPr>
          <w:p>
            <w:pPr>
              <w:jc w:val="left"/>
            </w:pPr>
            <w:r>
              <w:rPr/>
              <w:t>根据各投标人提供的技术方案（一）进行综合评价： （1）方案详细具体，针对性、可操作性强，得2分； （2）方案较为详细，针对性、可操作性较强，得1分； （3）方案不详细，针对性、可操作性一般，得0.5分。 注：不提供不得分。</w:t>
            </w:r>
          </w:p>
        </w:tc>
      </w:tr>
      <w:tr>
        <w:tc>
          <w:tcPr>
            <w:tcW w:type="dxa" w:w="922"/>
            <w:gridSpan w:val="2"/>
            <w:vMerge/>
          </w:tcPr>
          <w:p/>
        </w:tc>
        <w:tc>
          <w:tcPr>
            <w:tcW w:type="dxa" w:w="2307"/>
          </w:tcPr>
          <w:p>
            <w:pPr>
              <w:jc w:val="left"/>
            </w:pPr>
            <w:r>
              <w:rPr/>
              <w:t>售后服务方案（一） (2.0分)</w:t>
            </w:r>
          </w:p>
        </w:tc>
        <w:tc>
          <w:tcPr>
            <w:tcW w:type="dxa" w:w="5076"/>
          </w:tcPr>
          <w:p>
            <w:pPr>
              <w:jc w:val="left"/>
            </w:pPr>
            <w:r>
              <w:rPr/>
              <w:t>评标委员会根据投标人提供的售后服务方案（一）进行评审，应包括以下内容（投标文件中方案标题应以下列方案名称命名）： （1）响应时间； （2）质量保证期承诺； （3）保修服务承诺； （4）售后服务方式多样化有效性。 提供全部内容得2分，每缺1项扣0.5分。</w:t>
            </w:r>
          </w:p>
        </w:tc>
      </w:tr>
      <w:tr>
        <w:tc>
          <w:tcPr>
            <w:tcW w:type="dxa" w:w="922"/>
            <w:gridSpan w:val="2"/>
            <w:vMerge/>
          </w:tcPr>
          <w:p/>
        </w:tc>
        <w:tc>
          <w:tcPr>
            <w:tcW w:type="dxa" w:w="2307"/>
          </w:tcPr>
          <w:p>
            <w:pPr>
              <w:jc w:val="left"/>
            </w:pPr>
            <w:r>
              <w:rPr/>
              <w:t>售后服务方案（二） (3.0分)</w:t>
            </w:r>
          </w:p>
        </w:tc>
        <w:tc>
          <w:tcPr>
            <w:tcW w:type="dxa" w:w="5076"/>
          </w:tcPr>
          <w:p>
            <w:pPr>
              <w:jc w:val="left"/>
            </w:pPr>
            <w:r>
              <w:rPr/>
              <w:t>根据各投标人提供的售后服务方案（一）进行综合评价： （1）保修服务承诺好，售后服务方式完善，多样化有效性全面，得3分； （2）保修服务承诺一般，售后服务方式基本完整，多样化有效性一般，得2分； （3）保修服务承诺差，售后服务方式欠缺，多样化有效性低，得1分。 注：不提供不得分。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投标人自2020年1月1日至今具有同类医疗设备项目业绩：每一项得1分，最高得4分。  注：需要提供合同或中标通知书复印件，以合同的签订日期或中标通知书的签发日期为准，不提供或专家无法认定的不得分。</w:t>
            </w:r>
          </w:p>
        </w:tc>
      </w:tr>
      <w:tr>
        <w:tc>
          <w:tcPr>
            <w:tcW w:type="dxa" w:w="922"/>
            <w:gridSpan w:val="2"/>
            <w:vMerge/>
          </w:tcPr>
          <w:p/>
        </w:tc>
        <w:tc>
          <w:tcPr>
            <w:tcW w:type="dxa" w:w="2307"/>
          </w:tcPr>
          <w:p>
            <w:pPr>
              <w:jc w:val="left"/>
            </w:pPr>
            <w:r>
              <w:rPr/>
              <w:t>投标人的信誉状况 (3.0分)</w:t>
            </w:r>
          </w:p>
        </w:tc>
        <w:tc>
          <w:tcPr>
            <w:tcW w:type="dxa" w:w="5076"/>
          </w:tcPr>
          <w:p>
            <w:pPr>
              <w:jc w:val="left"/>
            </w:pPr>
            <w:r>
              <w:rPr/>
              <w:t>每提供一份有效的第三方机构或行政管理部门颁发的信誉证明材料复印件加盖公章得1分，最高得3分，不提供不得分。</w:t>
            </w:r>
          </w:p>
        </w:tc>
      </w:tr>
      <w:tr>
        <w:tc>
          <w:tcPr>
            <w:tcW w:type="dxa" w:w="922"/>
            <w:gridSpan w:val="2"/>
            <w:vMerge/>
          </w:tcPr>
          <w:p/>
        </w:tc>
        <w:tc>
          <w:tcPr>
            <w:tcW w:type="dxa" w:w="2307"/>
          </w:tcPr>
          <w:p>
            <w:pPr>
              <w:jc w:val="left"/>
            </w:pPr>
            <w:r>
              <w:rPr/>
              <w:t>商务响应程度 (3.0分)</w:t>
            </w:r>
          </w:p>
        </w:tc>
        <w:tc>
          <w:tcPr>
            <w:tcW w:type="dxa" w:w="5076"/>
          </w:tcPr>
          <w:p>
            <w:pPr>
              <w:jc w:val="left"/>
            </w:pPr>
            <w:r>
              <w:rPr/>
              <w:t>根据投标人的商务响应程度进行评价： （1）完全响应或完全响应且有正偏离的：3分；   （2）负偏离或未响应的数量有1项：2.5分；   （3）负偏离或未响应的数量有2项：2分；   （4）负偏离或未响应的数量有3项：1.5分；  （5）负偏离或未响应的数量有4项：1分； （6）负偏离或未响应的数量5项或以上的：0.5分。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r>
        <w:rPr/>
        <w:t>注：1.合同具体事项须根据采购文件的约定及乙方投标文件的承诺执行；2.本项目合同为中小企业预留合同。</w:t>
      </w:r>
    </w:p>
    <w:p>
      <w:r>
        <w:rPr/>
        <w:t>采购合同</w:t>
      </w:r>
      <w:r>
        <w:br/>
      </w:r>
      <w:r>
        <w:rPr/>
        <w:t>合同名称：</w:t>
      </w:r>
      <w:r>
        <w:br/>
      </w:r>
      <w:r>
        <w:rPr/>
        <w:t>合同编号：</w:t>
      </w:r>
      <w:r>
        <w:br/>
      </w:r>
      <w:r>
        <w:rPr/>
        <w:t>签约地点：</w:t>
      </w:r>
      <w:r>
        <w:br/>
      </w:r>
      <w:r>
        <w:rPr/>
        <w:t>合同类别：货物</w:t>
      </w:r>
      <w:r>
        <w:br/>
      </w:r>
      <w:r>
        <w:rPr/>
        <w:t>签订类型：</w:t>
      </w:r>
      <w:r>
        <w:br/>
      </w:r>
      <w:r>
        <w:rPr/>
        <w:t>合同范本：采购合同</w:t>
      </w:r>
      <w:r>
        <w:br/>
      </w:r>
      <w:r>
        <w:rPr/>
        <w:t>合同期限：20XX年XX月XX日至20XX年XX月XX日</w:t>
      </w:r>
      <w:r>
        <w:br/>
      </w:r>
      <w:r>
        <w:rPr/>
        <w:t>是否包含涉密条款：否</w:t>
      </w:r>
      <w:r>
        <w:br/>
      </w:r>
      <w:r>
        <w:rPr/>
        <w:t>备注：</w:t>
      </w:r>
      <w:r>
        <w:br/>
      </w:r>
      <w:r>
        <w:rPr/>
        <w:t xml:space="preserve">甲方（采购人）：                                </w:t>
      </w:r>
      <w:r>
        <w:br/>
      </w:r>
      <w:r>
        <w:rPr/>
        <w:t xml:space="preserve">乙方（中标供应商）：                                </w:t>
      </w:r>
      <w:r>
        <w:br/>
      </w:r>
      <w:r>
        <w:rPr/>
        <w:t xml:space="preserve">   根据《中华人民共和国政府采购法》、《中华人民共和国民法典》等相关法律法规及汕头大学医学院第二附属医院快速全自动微生物质谱鉴定系统采购项目（二次）招标文件（项目编号：GZGK23P270A0889Z）的要求，经双方协商，本着平等互利和诚实信用的原则，一致同意签订本合同。</w:t>
      </w:r>
      <w:r>
        <w:br/>
      </w:r>
      <w:r>
        <w:rPr/>
        <w:t>一、合同采购内容</w:t>
      </w:r>
      <w:r>
        <w:br/>
      </w:r>
      <w:r>
        <w:rPr/>
        <w:t>序号    标的名称    品目编码    技术要求    是否进口    品牌    规格参数    采购数量    计量单位    单价（元）    总价（元）</w:t>
      </w:r>
      <w:r>
        <w:br/>
      </w:r>
      <w:r>
        <w:rPr/>
        <w:t xml:space="preserve">1            详见合同文本                            </w:t>
      </w:r>
      <w:r>
        <w:br/>
      </w:r>
      <w:r>
        <w:rPr/>
        <w:t xml:space="preserve">2                                        </w:t>
      </w:r>
      <w:r>
        <w:br/>
      </w:r>
      <w:r>
        <w:rPr/>
        <w:t xml:space="preserve">……                                        </w:t>
      </w:r>
      <w:r>
        <w:br/>
      </w:r>
      <w:r>
        <w:rPr/>
        <w:t>合计金额人民币（大写）：                     （￥                )</w:t>
      </w:r>
      <w:r>
        <w:br/>
      </w:r>
      <w:r>
        <w:rPr/>
        <w:t>注：货物名称内容必须与投标文件中货物名称内容一致。</w:t>
      </w:r>
      <w:r>
        <w:br/>
      </w:r>
      <w:r>
        <w:rPr/>
        <w:t>合同总额包括货款、设计、安装、随机零配件、标配工具、运输保险、调试、培训、质量保证期服务、各项税费及合同实施过程中不可预见费用等。</w:t>
      </w:r>
      <w:r>
        <w:br/>
      </w:r>
      <w:r>
        <w:rPr/>
        <w:t>二、合同金额</w:t>
      </w:r>
      <w:r>
        <w:br/>
      </w:r>
      <w:r>
        <w:rPr/>
        <w:t>合同总金额：小写：￥                  ； 大写：人民币             。</w:t>
      </w:r>
      <w:r>
        <w:br/>
      </w:r>
      <w:r>
        <w:rPr/>
        <w:t>三、设备要求</w:t>
      </w:r>
      <w:r>
        <w:br/>
      </w:r>
      <w:r>
        <w:rPr/>
        <w:t>1、乙方提供的货物必须符合中华人民共和国“国家安全环保标准”。</w:t>
      </w:r>
      <w:r>
        <w:br/>
      </w:r>
      <w:r>
        <w:rPr/>
        <w:t>2、货物为原制造商制造的全新产品（含零部件、配件、随机工具等），整机无污染，无侵权行为、表面无划损、无任何缺陷隐患、无碰撞、配件齐全，完全符合国家有关质量标准，并附有产品质量检验合格证书，在中国境内可依常规安全合法使用。</w:t>
      </w:r>
      <w:r>
        <w:br/>
      </w:r>
      <w:r>
        <w:rPr/>
        <w:t>3、货物为原厂商未启封全新包装，具出厂合格证，序列号、包装箱号与出厂批号一致，并可追索查阅。</w:t>
      </w:r>
      <w:r>
        <w:br/>
      </w:r>
      <w:r>
        <w:rPr/>
        <w:t>4、乙方应将关键主机设备的用户手册、保修手册、有关单证资料及配备件、随机工具等交付给甲方，使用操作及安全须知等重要资料应附有中文说明。</w:t>
      </w:r>
      <w:r>
        <w:br/>
      </w:r>
      <w:r>
        <w:rPr/>
        <w:t>5、如果发现货物的质量和规格与合同规定不符或货物在质量保证期内被证明有缺陷，包括内在缺陷或使用不适当原材料，甲方将有权要求有关部门进行检验，并依据检验证书向乙方索赔。</w:t>
      </w:r>
      <w:r>
        <w:br/>
      </w:r>
      <w:r>
        <w:rPr/>
        <w:t>四、知识产权</w:t>
      </w:r>
      <w:r>
        <w:br/>
      </w:r>
      <w:r>
        <w:rPr/>
        <w:t>1、乙方保证合同项下提供的货物不侵犯任何第三方的专利权、商标权或其它知识产权。否则，乙方须承担对第三方的专利权、商标权或其它知识产权的侵权责任并承担因此而发生的所有费用及给甲方造成的损失。</w:t>
      </w:r>
      <w:r>
        <w:br/>
      </w:r>
      <w:r>
        <w:rPr/>
        <w:t>五、交付时间、地点、方式</w:t>
      </w:r>
      <w:r>
        <w:br/>
      </w:r>
      <w:r>
        <w:rPr/>
        <w:t>1、交付时间：（按采购需求要求）</w:t>
      </w:r>
      <w:r>
        <w:br/>
      </w:r>
      <w:r>
        <w:rPr/>
        <w:t>2、交付地点：用户指定地点</w:t>
      </w:r>
      <w:r>
        <w:br/>
      </w:r>
      <w:r>
        <w:rPr/>
        <w:t>3、交付条件：项目验收通过</w:t>
      </w:r>
      <w:r>
        <w:br/>
      </w:r>
      <w:r>
        <w:rPr/>
        <w:t>4、甲方联系人及联系电话：</w:t>
      </w:r>
      <w:r>
        <w:br/>
      </w:r>
      <w:r>
        <w:rPr/>
        <w:t>5、乙方联系人及联系电话：</w:t>
      </w:r>
      <w:r>
        <w:br/>
      </w:r>
      <w:r>
        <w:rPr/>
        <w:t>六、付款方式、时间及付款条件</w:t>
      </w:r>
      <w:r>
        <w:br/>
      </w:r>
      <w:r>
        <w:rPr/>
        <w:t>付款时间及条件：（按照采购需求要求的付款方式）</w:t>
      </w:r>
      <w:r>
        <w:br/>
      </w:r>
      <w:r>
        <w:rPr/>
        <w:t>付款方式：</w:t>
      </w:r>
      <w:r>
        <w:br/>
      </w:r>
      <w:r>
        <w:rPr/>
        <w:t>七、培训、质量保证期及售后服务要求</w:t>
      </w:r>
      <w:r>
        <w:br/>
      </w:r>
      <w:r>
        <w:rPr/>
        <w:t>1、乙方负责甲方使用人员的使用操作技术及维护技术的培训。</w:t>
      </w:r>
      <w:r>
        <w:br/>
      </w:r>
      <w:r>
        <w:rPr/>
        <w:t>2、本合同的质量保证期（简称“质量保证期”）为    年，自甲乙双方代表在货物安装调试验收后的验收书上签字之日起计算。质量保证期内乙方对所供货物实行包修、包换、包退、包维护保养，质量保证期后设备维修配件更换只收取成本费用。</w:t>
      </w:r>
      <w:r>
        <w:br/>
      </w:r>
      <w:r>
        <w:rPr/>
        <w:t>3、质量保证期内，如设备或零部件因非人为因素出现故障而造成短期停用时，则质量保证期相应顺延。如停用时间累计超过60天则质量保证期重新计算。</w:t>
      </w:r>
      <w:r>
        <w:br/>
      </w:r>
      <w:r>
        <w:rPr/>
        <w:t>4、在质量保证期内，如货品非因甲方的人为原因而出现的问题由乙方负责保修、包换或包退，并承担修理、调换或退货的实际费用。</w:t>
      </w:r>
      <w:r>
        <w:br/>
      </w:r>
      <w:r>
        <w:rPr/>
        <w:t>5、质量保证期内，乙方负责对其提供的货物整机进行维修和系统维护，不再收取任何费用，但非乙方责任的人为因素、自然因素（如火灾、雷击等）造成的故障除外。</w:t>
      </w:r>
      <w:r>
        <w:br/>
      </w:r>
      <w:r>
        <w:rPr/>
        <w:t>6、对甲方的服务通知，乙方在接报后   小时内响应，   小时内到达现场，   小时内处理完毕。若在   小时内仍未能有效解决，乙方须提供同等次的设备予甲方临时使用，并支持数据库、软件终身无条件升级到最新版本。</w:t>
      </w:r>
      <w:r>
        <w:br/>
      </w:r>
      <w:r>
        <w:rPr/>
        <w:t>7、质量保证期间，同一硬件一个月内连续2次出现同一故障，乙方须无偿更换同一档次货物。</w:t>
      </w:r>
      <w:r>
        <w:br/>
      </w:r>
      <w:r>
        <w:rPr/>
        <w:t xml:space="preserve">8、负责售后服务维修的单位名称（如有）：                       </w:t>
      </w:r>
      <w:r>
        <w:br/>
      </w:r>
      <w:r>
        <w:rPr/>
        <w:t xml:space="preserve">地址：                                       </w:t>
      </w:r>
      <w:r>
        <w:br/>
      </w:r>
      <w:r>
        <w:rPr/>
        <w:t xml:space="preserve">联系人：                                     </w:t>
      </w:r>
      <w:r>
        <w:br/>
      </w:r>
      <w:r>
        <w:rPr/>
        <w:t xml:space="preserve">联系电话                                     </w:t>
      </w:r>
      <w:r>
        <w:br/>
      </w:r>
      <w:r>
        <w:rPr/>
        <w:t xml:space="preserve">手机号码：                                   </w:t>
      </w:r>
      <w:r>
        <w:br/>
      </w:r>
      <w:r>
        <w:rPr/>
        <w:t xml:space="preserve">传真号码：                                   </w:t>
      </w:r>
      <w:r>
        <w:br/>
      </w:r>
      <w:r>
        <w:rPr/>
        <w:t>八、包装、到货检验、安装与调试:</w:t>
      </w:r>
      <w:r>
        <w:br/>
      </w:r>
      <w:r>
        <w:rPr/>
        <w:t>1、合同货物的包装：货物的包装均应有良好的防湿、防锈、防潮、防雨、防腐及防碰撞的措施。凡由于包装不良造成的损失和由此产生的费用均由乙方承担。</w:t>
      </w:r>
      <w:r>
        <w:br/>
      </w:r>
      <w:r>
        <w:rPr/>
        <w:t>2、到货检验</w:t>
      </w:r>
      <w:r>
        <w:br/>
      </w:r>
      <w:r>
        <w:rPr/>
        <w:t>（1）货物的到货验收包括：型号、规格、数量、外观质量及货物包装完整无破损，在货物抵达交货目的地后，甲乙双方就货物外观质量、规格和型号进行初步检验。货物为原厂商未启封全新包装，具出厂合格证，序列号、包装箱号与出厂批号一致，并可追索查阅。所有随货物的附件必须齐全。如果发现到货的外观质量、规格和型号与合同不符，甲方有权拒收货物，并可向乙方索赔。</w:t>
      </w:r>
      <w:r>
        <w:br/>
      </w:r>
      <w:r>
        <w:rPr/>
        <w:t>（2）货物送到甲方指定场地后，甲、乙双方同时在场时才能开封检验。</w:t>
      </w:r>
      <w:r>
        <w:br/>
      </w:r>
      <w:r>
        <w:rPr/>
        <w:t>3、合同货物的安装调试：</w:t>
      </w:r>
      <w:r>
        <w:br/>
      </w:r>
      <w:r>
        <w:rPr/>
        <w:t>（1）除非甲方另有通知，乙方应按照合同的要求以及合同执行计划的时间安排，派出足够的人员进行现场安装和负责调试工作。</w:t>
      </w:r>
      <w:r>
        <w:br/>
      </w:r>
      <w:r>
        <w:rPr/>
        <w:t>（2）乙方必须依照招标文件的要求和投标文件的承诺，将设备、系统安装并调试至正常运行的最佳状态。</w:t>
      </w:r>
      <w:r>
        <w:br/>
      </w:r>
      <w:r>
        <w:rPr/>
        <w:t>（3）合同项下的安装调试所发生费用及耗材由乙方承担。</w:t>
      </w:r>
      <w:r>
        <w:br/>
      </w:r>
      <w:r>
        <w:rPr/>
        <w:t>（4）乙方安装时须对各安装场地内的其它货物、设施有良好保护措施。</w:t>
      </w:r>
      <w:r>
        <w:br/>
      </w:r>
      <w:r>
        <w:rPr/>
        <w:t>九、验收：</w:t>
      </w:r>
      <w:r>
        <w:br/>
      </w:r>
      <w:r>
        <w:rPr/>
        <w:t>1、甲方按照采购合同规定的技术、服务、安全标准组织对乙方履约情况进行验收，并出具验收书。验收书应当包括每一项技术、服务、安全标准的履约情况。</w:t>
      </w:r>
      <w:r>
        <w:br/>
      </w:r>
      <w:r>
        <w:rPr/>
        <w:t>2、交付验收标准依次序对照适用标准为：</w:t>
      </w:r>
      <w:r>
        <w:br/>
      </w:r>
      <w:r>
        <w:rPr/>
        <w:t>（1）符合中华人民共和国“国家安全质量标准、环保标准或行业标准”；</w:t>
      </w:r>
      <w:r>
        <w:br/>
      </w:r>
      <w:r>
        <w:rPr/>
        <w:t>（2）符合招标文件和投标承诺中甲方认可的合理最佳配置、参数及各项要求；</w:t>
      </w:r>
      <w:r>
        <w:br/>
      </w:r>
      <w:r>
        <w:rPr/>
        <w:t>（3）货物来源国官方标准。</w:t>
      </w:r>
      <w:r>
        <w:br/>
      </w:r>
      <w:r>
        <w:rPr/>
        <w:t>3、国内货物必须具备出厂合格证及原厂保修卡。</w:t>
      </w:r>
      <w:r>
        <w:br/>
      </w:r>
      <w:r>
        <w:rPr/>
        <w:t>4、货物为原厂商未启封全新包装，具出厂合格证，序列号、包装箱号与出厂批号一致，并可追索查阅。所有随设备的附件必须齐全。</w:t>
      </w:r>
      <w:r>
        <w:br/>
      </w:r>
      <w:r>
        <w:rPr/>
        <w:t>5、乙方将货物的用户手册、保修手册、有关单证资料及备品备件、随机工具等交付给甲方，使用操作及安全须知等重要资料应附有中文说明。</w:t>
      </w:r>
      <w:r>
        <w:br/>
      </w:r>
      <w:r>
        <w:rPr/>
        <w:t>6、货物验收所发生的检验费用由乙方负担。</w:t>
      </w:r>
      <w:r>
        <w:br/>
      </w:r>
      <w:r>
        <w:rPr/>
        <w:t>7、设备到货并经乙方技术人员安装后，甲方有权委托中国有资格的单位对上述设备进行校准或检验。</w:t>
      </w:r>
      <w:r>
        <w:br/>
      </w:r>
      <w:r>
        <w:rPr/>
        <w:t>8、甲方组成验收小组，按照采购合同规定的技术、服务、安全标准组织对乙方履约情况进行验收。因货物质量问题发生争议时，由甲方本地质量技术监督部门鉴定。货物符合质量技术标准的，鉴定费由甲方承担；否则鉴定费由乙方承担。</w:t>
      </w:r>
      <w:r>
        <w:br/>
      </w:r>
      <w:r>
        <w:rPr/>
        <w:t>9、当出现不合格产品时，乙方要无条件更换合格产品。除甲方认可，否则不接受任何形式的降格处理。</w:t>
      </w:r>
      <w:r>
        <w:br/>
      </w:r>
      <w:r>
        <w:rPr/>
        <w:t>10、验收期限：全部货物到货后   天内完成项目验收。</w:t>
      </w:r>
      <w:r>
        <w:br/>
      </w:r>
      <w:r>
        <w:rPr/>
        <w:t>十、违约责任与赔偿损失</w:t>
      </w:r>
      <w:r>
        <w:br/>
      </w:r>
      <w:r>
        <w:rPr/>
        <w:t>1、乙方交付的货物不符合招标文件、投标文件或本合同规定的，甲方有权拒收，并且乙方须向甲方支付本合同总价5%的违约金。</w:t>
      </w:r>
      <w:r>
        <w:br/>
      </w:r>
      <w:r>
        <w:rPr/>
        <w:t>2、乙方未能按本合同规定的交货时间交付货物的，从逾期之日起每日按本合同总价3‰的数额向甲方支付违约金；逾期半个月以上的，甲方有权终止合同，由此造成的甲方经济损失由乙方承担。</w:t>
      </w:r>
      <w:r>
        <w:br/>
      </w:r>
      <w:r>
        <w:rPr/>
        <w:t>3、甲方无正当理由拒收货物，不按政府采购支付流程办理付款申请手续的，甲方向乙方偿付本合同总价5%的违约金。甲方逾期未按政府采购支付流程办理付款申请手续的，则每日按本合同总价的3‰向乙方偿付违约金。</w:t>
      </w:r>
      <w:r>
        <w:br/>
      </w:r>
      <w:r>
        <w:rPr/>
        <w:t>4、乙方如没有按合同规定履行售后服务承诺，甲方可由第三方单位进行修复，其费用全部由乙方支付，否则，追究乙方违约的法律责任。</w:t>
      </w:r>
      <w:r>
        <w:br/>
      </w:r>
      <w:r>
        <w:rPr/>
        <w:t>5、因甲方原因导致变更、中止或者终止政府采购合同的，甲方对乙方受到的损失予以赔偿或者补偿。</w:t>
      </w:r>
      <w:r>
        <w:br/>
      </w:r>
      <w:r>
        <w:rPr/>
        <w:t>6、其它违约责任按《中华人民共和国民法典》处理。</w:t>
      </w:r>
      <w:r>
        <w:br/>
      </w:r>
      <w:r>
        <w:rPr/>
        <w:t>十一、争议的解决</w:t>
      </w:r>
      <w:r>
        <w:br/>
      </w:r>
      <w:r>
        <w:rPr/>
        <w:t>合同执行过程中发生的任何争议，双方应通过友好协商解决，若经协商不能达成协议时，则向甲方所在地有管辖权的人民法院提起诉讼。诉讼期间，双方应继续执行合同其余部分。</w:t>
      </w:r>
      <w:r>
        <w:br/>
      </w:r>
      <w:r>
        <w:rPr/>
        <w:t>十二、不可抗力</w:t>
      </w:r>
      <w:r>
        <w:br/>
      </w:r>
      <w:r>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r>
        <w:br/>
      </w:r>
      <w:r>
        <w:rPr/>
        <w:t>十三、税费</w:t>
      </w:r>
      <w:r>
        <w:br/>
      </w:r>
      <w:r>
        <w:rPr/>
        <w:t>在中国境内、外发生的与本合同执行有关的一切税费均由乙方负担。</w:t>
      </w:r>
      <w:r>
        <w:br/>
      </w:r>
      <w:r>
        <w:rPr/>
        <w:t>十四、其它</w:t>
      </w:r>
      <w:r>
        <w:br/>
      </w:r>
      <w:r>
        <w:rPr/>
        <w:t>1、本合同所有附件、招标文件、投标文件、中标通知书均为合同的有效组成部分，与本合同具有同等法律效力。</w:t>
      </w:r>
      <w:r>
        <w:br/>
      </w:r>
      <w:r>
        <w:rPr/>
        <w:t>2、在执行本合同的过程中，所有经双方签署确认的文件（包括会议纪要、补充协议、往来信函）即成为本合同的有效组成部分。</w:t>
      </w:r>
      <w:r>
        <w:br/>
      </w:r>
      <w:r>
        <w:rPr/>
        <w:t>3、如一方地址、电话、传真号码有变更，应在变更当日内书面通知对方，否则，应承担相应责任。</w:t>
      </w:r>
      <w:r>
        <w:br/>
      </w:r>
      <w:r>
        <w:rPr/>
        <w:t>4、除甲方事先书面同意外，乙方不得部分或全部转让其应履行的合同项下的义务。</w:t>
      </w:r>
      <w:r>
        <w:br/>
      </w:r>
      <w:r>
        <w:rPr/>
        <w:t>十五、合同生效</w:t>
      </w:r>
      <w:r>
        <w:br/>
      </w:r>
      <w:r>
        <w:rPr/>
        <w:t>1、本合同在乙方提交履约保证金并甲乙双方法人代表或其授权代表签字盖章后生效。如果不需要提交履约保证金的则甲乙双方法人代表或其授权代表签字并盖章后生效。合同生效日期以后一个签字的日期为准。</w:t>
      </w:r>
      <w:r>
        <w:br/>
      </w:r>
      <w:r>
        <w:rPr/>
        <w:t>2、合同一式陆份。甲、乙双方各执叁份，具同等法律效力。</w:t>
      </w:r>
      <w:r>
        <w:br/>
      </w:r>
      <w:r>
        <w:rPr/>
        <w:t>（以下无正文）</w:t>
      </w:r>
      <w:r>
        <w:br/>
      </w:r>
      <w:r>
        <w:rPr/>
        <w:t>甲方（公章）：</w:t>
      </w:r>
      <w:r>
        <w:br/>
      </w:r>
      <w:r>
        <w:rPr/>
        <w:t>联系人：</w:t>
      </w:r>
      <w:r>
        <w:br/>
      </w:r>
      <w:r>
        <w:rPr/>
        <w:t>开户名称：</w:t>
      </w:r>
      <w:r>
        <w:br/>
      </w:r>
      <w:r>
        <w:rPr/>
        <w:t>开户银行：</w:t>
      </w:r>
      <w:r>
        <w:br/>
      </w:r>
      <w:r>
        <w:rPr/>
        <w:t>银行账号：</w:t>
      </w:r>
      <w:r>
        <w:br/>
      </w:r>
      <w:r>
        <w:rPr/>
        <w:t>纳税人识别号：</w:t>
      </w:r>
      <w:r>
        <w:br/>
      </w:r>
      <w:r>
        <w:rPr/>
        <w:t>地址：</w:t>
      </w:r>
      <w:r>
        <w:br/>
      </w:r>
      <w:r>
        <w:rPr/>
        <w:t>联系方式：</w:t>
      </w:r>
      <w:r>
        <w:br/>
      </w:r>
      <w:r>
        <w:rPr/>
        <w:t>传真：</w:t>
      </w:r>
      <w:r>
        <w:br/>
      </w:r>
      <w:r>
        <w:rPr/>
        <w:t xml:space="preserve">   乙方（公章）：</w:t>
      </w:r>
      <w:r>
        <w:br/>
      </w:r>
      <w:r>
        <w:rPr/>
        <w:t>联系人：</w:t>
      </w:r>
      <w:r>
        <w:br/>
      </w:r>
      <w:r>
        <w:rPr/>
        <w:t>供应商规模：（大型企业/中型企业/小微型企业/其他）</w:t>
      </w:r>
      <w:r>
        <w:br/>
      </w:r>
      <w:r>
        <w:rPr/>
        <w:t>供应商特殊性质：（监狱企业/残疾人福利性单位/其他）</w:t>
      </w:r>
      <w:r>
        <w:br/>
      </w:r>
      <w:r>
        <w:rPr/>
        <w:t>开户名称：</w:t>
      </w:r>
      <w:r>
        <w:br/>
      </w:r>
      <w:r>
        <w:rPr/>
        <w:t>开户银行：</w:t>
      </w:r>
      <w:r>
        <w:br/>
      </w:r>
      <w:r>
        <w:rPr/>
        <w:t>银行账号：</w:t>
      </w:r>
      <w:r>
        <w:br/>
      </w:r>
      <w:r>
        <w:rPr/>
        <w:t>纳税人识别号：</w:t>
      </w:r>
      <w:r>
        <w:br/>
      </w:r>
      <w:r>
        <w:rPr/>
        <w:t>供应商所在区域：</w:t>
      </w:r>
      <w:r>
        <w:br/>
      </w:r>
      <w:r>
        <w:rPr/>
        <w:t>地址：</w:t>
      </w:r>
      <w:r>
        <w:br/>
      </w:r>
      <w:r>
        <w:rPr/>
        <w:t>联系方式（手机号码）：</w:t>
      </w:r>
      <w:r>
        <w:br/>
      </w:r>
      <w:r>
        <w:rPr/>
        <w:t>传真：</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440001-2023-52620</w:t>
      </w:r>
    </w:p>
    <w:p>
      <w:pPr>
        <w:jc w:val="center"/>
      </w:pPr>
      <w:r>
        <w:rPr>
          <w:b/>
          <w:sz w:val="24"/>
        </w:rPr>
        <w:t>采购项目编号：</w:t>
      </w:r>
      <w:r>
        <w:rPr>
          <w:b/>
          <w:sz w:val="24"/>
        </w:rPr>
        <w:t>GZGK23P270A0889Z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汕头大学医学院第二附属医院快速全自动微生物质谱鉴定系统采购项目(二次)</w:t>
      </w:r>
      <w:r>
        <w:rPr>
          <w:u w:val="single"/>
        </w:rPr>
        <w:t>”</w:t>
      </w:r>
      <w:r>
        <w:rPr/>
        <w:t>项目的招标[采购项目编号为：</w:t>
      </w:r>
      <w:r>
        <w:rPr>
          <w:u w:val="single"/>
        </w:rPr>
        <w:t>GZGK23P270A0889Z</w:t>
      </w:r>
      <w:r>
        <w:rPr/>
        <w:t>]，我方愿参与投标。</w:t>
      </w:r>
    </w:p>
    <w:p>
      <w:pPr>
        <w:ind w:firstLine="480"/>
      </w:pPr>
      <w:r>
        <w:rPr/>
        <w:t>我方确认收到贵方提供的</w:t>
      </w:r>
      <w:r>
        <w:rPr>
          <w:u w:val="single"/>
        </w:rPr>
        <w:t>“</w:t>
      </w:r>
      <w:r>
        <w:rPr>
          <w:u w:val="single"/>
        </w:rPr>
        <w:t>汕头大学医学院第二附属医院快速全自动微生物质谱鉴定系统采购项目(二次)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汕头大学医学院第二附属医院快速全自动微生物质谱鉴定系统采购项目(二次)</w:t>
      </w:r>
      <w:r>
        <w:rPr/>
        <w:t>”项目采购[采购项目编号为</w:t>
      </w:r>
      <w:r>
        <w:rPr/>
        <w:t>GZGK23P270A0889Z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汕头大学医学院第二附属医院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汕头大学医学院第二附属医院快速全自动微生物质谱鉴定系统采购项目(二次)</w:t>
      </w:r>
      <w:r>
        <w:rPr/>
        <w:t>招标中获中标（采购项目编号：</w:t>
      </w:r>
      <w:r>
        <w:rPr/>
        <w:t>GZGK23P270A0889Z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广州市国科招标代理有限公司</w:t>
      </w:r>
    </w:p>
    <w:p>
      <w:pPr>
        <w:ind w:firstLine="480"/>
      </w:pPr>
      <w:r>
        <w:rPr/>
        <w:t>我单位已登记并准备参与“</w:t>
      </w:r>
      <w:r>
        <w:rPr/>
        <w:t>汕头大学医学院第二附属医院快速全自动微生物质谱鉴定系统采购项目(二次)</w:t>
      </w:r>
      <w:r>
        <w:rPr/>
        <w:t>”项目（采购项目编号：</w:t>
      </w:r>
      <w:r>
        <w:rPr/>
        <w:t>GZGK23P270A0889Z</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