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440101-2023-17501</w:t>
      </w:r>
    </w:p>
    <w:p>
      <w:pPr>
        <w:jc w:val="center"/>
      </w:pPr>
      <w:r>
        <w:rPr>
          <w:b/>
          <w:sz w:val="24"/>
        </w:rPr>
        <w:t>采购项目编号：</w:t>
      </w:r>
      <w:r>
        <w:rPr>
          <w:b/>
          <w:sz w:val="24"/>
        </w:rPr>
        <w:t>GZGK23D195C0569Z</w:t>
      </w:r>
    </w:p>
    <w:p>
      <w:pPr>
        <w:jc w:val="center"/>
      </w:pPr>
      <w:r>
        <w:rPr>
          <w:b/>
          <w:sz w:val="24"/>
        </w:rPr>
        <w:t>项目名称：</w:t>
      </w:r>
      <w:r>
        <w:rPr>
          <w:b/>
          <w:sz w:val="24"/>
        </w:rPr>
        <w:t>广州市民兵预备役训练基地军事教学服务采购项目</w:t>
      </w:r>
    </w:p>
    <w:p>
      <w:pPr>
        <w:jc w:val="center"/>
      </w:pPr>
      <w:r>
        <w:rPr>
          <w:b/>
          <w:sz w:val="24"/>
        </w:rPr>
        <w:t>采购人：</w:t>
      </w:r>
      <w:r>
        <w:rPr>
          <w:b/>
          <w:sz w:val="24"/>
        </w:rPr>
        <w:t>广州市民兵预备役训练基地</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广州市民兵预备役训练基地</w:t>
      </w:r>
      <w:r>
        <w:rPr/>
        <w:t>的委托，采用</w:t>
      </w:r>
      <w:r>
        <w:rPr/>
        <w:t>公开招标</w:t>
      </w:r>
      <w:r>
        <w:rPr/>
        <w:t>方式组织采购</w:t>
      </w:r>
      <w:r>
        <w:rPr/>
        <w:t>广州市民兵预备役训练基地军事教学服务采购项目</w:t>
      </w:r>
      <w:r>
        <w:rPr/>
        <w:t>。欢迎符合资格条件的国内供应商参加投标。</w:t>
      </w:r>
    </w:p>
    <w:p>
      <w:r>
        <w:rPr>
          <w:b/>
          <w:sz w:val="28"/>
        </w:rPr>
        <w:t>一.项目概述</w:t>
      </w:r>
    </w:p>
    <w:p>
      <w:r>
        <w:rPr>
          <w:b/>
          <w:sz w:val="24"/>
        </w:rPr>
        <w:t>1.名称与编号</w:t>
      </w:r>
    </w:p>
    <w:p>
      <w:pPr>
        <w:ind w:firstLine="480"/>
      </w:pPr>
      <w:r>
        <w:rPr/>
        <w:t>项目名称：</w:t>
      </w:r>
      <w:r>
        <w:rPr/>
        <w:t>广州市民兵预备役训练基地军事教学服务采购项目</w:t>
      </w:r>
    </w:p>
    <w:p>
      <w:pPr>
        <w:ind w:firstLine="480"/>
      </w:pPr>
      <w:r>
        <w:rPr/>
        <w:t>采购计划编号：</w:t>
      </w:r>
      <w:r>
        <w:rPr/>
        <w:t>440101-2023-17501</w:t>
      </w:r>
    </w:p>
    <w:p>
      <w:pPr>
        <w:ind w:firstLine="480"/>
      </w:pPr>
      <w:r>
        <w:rPr/>
        <w:t>采购项目编号：</w:t>
      </w:r>
      <w:r>
        <w:rPr/>
        <w:t>GZGK23D195C0569Z</w:t>
      </w:r>
    </w:p>
    <w:p>
      <w:pPr>
        <w:ind w:firstLine="480"/>
      </w:pPr>
      <w:r>
        <w:rPr/>
        <w:t>采购方式：</w:t>
      </w:r>
      <w:r>
        <w:rPr/>
        <w:t>公开招标</w:t>
      </w:r>
    </w:p>
    <w:p>
      <w:pPr>
        <w:ind w:firstLine="480"/>
      </w:pPr>
      <w:r>
        <w:rPr/>
        <w:t>预算金额：</w:t>
      </w:r>
      <w:r>
        <w:rPr/>
        <w:t>3,800,000.00</w:t>
      </w:r>
      <w:r>
        <w:rPr/>
        <w:t>元</w:t>
      </w:r>
    </w:p>
    <w:p>
      <w:r>
        <w:rPr>
          <w:b/>
          <w:sz w:val="24"/>
        </w:rPr>
        <w:t>2.项目内容及需求情况（采购项目技术规格、参数及要求）</w:t>
      </w:r>
    </w:p>
    <w:p>
      <w:pPr>
        <w:ind w:firstLine="480"/>
      </w:pPr>
    </w:p>
    <w:p/>
    <w:p>
      <w:r>
        <w:rPr/>
        <w:t>采购包1(广州市民兵预备役训练基地军事教学服务采购项目):</w:t>
      </w:r>
    </w:p>
    <w:p>
      <w:r>
        <w:rPr/>
        <w:t>采购包预算金额：3,800,000.00元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广州市民兵预备役训练基地军事教学服务</w:t>
            </w:r>
          </w:p>
        </w:tc>
        <w:tc>
          <w:tcPr>
            <w:tcW w:type="dxa" w:w="1187"/>
          </w:tcPr>
          <w:p>
            <w:r>
              <w:rPr/>
              <w:t>1(项)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采购包1（广州市民兵预备役训练基地军事教学服务采购项目）：</w:t>
      </w:r>
      <w:r>
        <w:rPr/>
        <w:t>本采购包不属于专门面向中小企业采购的项目。</w:t>
      </w:r>
    </w:p>
    <w:p/>
    <w:p>
      <w:r>
        <w:rPr>
          <w:b/>
          <w:sz w:val="24"/>
        </w:rPr>
        <w:t>3.本项目特定的资格要求：</w:t>
      </w:r>
    </w:p>
    <w:p>
      <w:pPr>
        <w:ind w:firstLine="480"/>
      </w:pPr>
    </w:p>
    <w:p/>
    <w:p>
      <w:r>
        <w:rPr/>
        <w:t>采购包1（广州市民兵预备役训练基地军事教学服务采购项目）：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3)投标人须具有《人力资源服务许可证》</w:t>
      </w:r>
    </w:p>
    <w:p/>
    <w:p>
      <w:r>
        <w:rPr/>
        <w:t>4)已获取本项目采购文件。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广州市民兵预备役训练基地</w:t>
      </w:r>
    </w:p>
    <w:p>
      <w:pPr>
        <w:ind w:firstLine="480"/>
      </w:pPr>
      <w:r>
        <w:rPr/>
        <w:t>地址：</w:t>
      </w:r>
      <w:r>
        <w:rPr/>
        <w:t>广州市从化区温泉镇九里步</w:t>
      </w:r>
    </w:p>
    <w:p>
      <w:pPr>
        <w:ind w:firstLine="480"/>
      </w:pPr>
      <w:r>
        <w:rPr/>
        <w:t>联系方式：</w:t>
      </w:r>
      <w:r>
        <w:rPr/>
        <w:t>020-87025012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020-87684726，020-87688847</w:t>
      </w:r>
    </w:p>
    <w:p>
      <w:r>
        <w:rPr>
          <w:b/>
          <w:sz w:val="24"/>
        </w:rPr>
        <w:t>3.项目联系方式</w:t>
      </w:r>
    </w:p>
    <w:p>
      <w:pPr>
        <w:ind w:firstLine="480"/>
      </w:pPr>
      <w:r>
        <w:rPr/>
        <w:t>项目联系人：</w:t>
      </w:r>
      <w:r>
        <w:rPr/>
        <w:t>李玉霜、李年秀</w:t>
      </w:r>
    </w:p>
    <w:p>
      <w:pPr>
        <w:ind w:firstLine="480"/>
      </w:pPr>
      <w:r>
        <w:rPr/>
        <w:t>电话：</w:t>
      </w:r>
      <w:r>
        <w:rPr/>
        <w:t>020-87684726，020-87688847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GZGK23D195C0569Z</w:t>
      </w:r>
    </w:p>
    <w:p>
      <w:pPr>
        <w:jc w:val="both"/>
      </w:pPr>
      <w:r>
        <w:rPr>
          <w:b/>
          <w:sz w:val="21"/>
        </w:rPr>
        <w:t>（二）</w:t>
      </w:r>
      <w:r>
        <w:rPr>
          <w:b/>
          <w:sz w:val="21"/>
        </w:rPr>
        <w:t>项目名称：</w:t>
      </w:r>
      <w:r>
        <w:rPr>
          <w:sz w:val="21"/>
        </w:rPr>
        <w:t>广州市民兵预备役训练基地军事教学服务采购项目</w:t>
      </w:r>
    </w:p>
    <w:p>
      <w:pPr>
        <w:jc w:val="both"/>
      </w:pPr>
      <w:r>
        <w:rPr>
          <w:b/>
          <w:sz w:val="21"/>
        </w:rPr>
        <w:t>（三）</w:t>
      </w:r>
      <w:r>
        <w:rPr>
          <w:b/>
          <w:sz w:val="21"/>
        </w:rPr>
        <w:t>总体要求说明：</w:t>
      </w:r>
    </w:p>
    <w:p>
      <w:pPr>
        <w:jc w:val="both"/>
      </w:pPr>
      <w:r>
        <w:rPr>
          <w:sz w:val="21"/>
        </w:rPr>
        <w:t>1、</w:t>
      </w:r>
      <w:r>
        <w:rPr>
          <w:sz w:val="21"/>
        </w:rPr>
        <w:t>投标人应对采购需求中的服务指标在响应详细内容中明确承诺。如果投标人只注明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2、</w:t>
      </w:r>
      <w:r>
        <w:rPr>
          <w:sz w:val="21"/>
        </w:rPr>
        <w:t>投标人没有在投标文件中注明偏离（文字说明或在响应表注明）的参数、配置、条款视为被投标人完全接受。</w:t>
      </w:r>
    </w:p>
    <w:p>
      <w:pPr>
        <w:jc w:val="both"/>
      </w:pPr>
      <w:r>
        <w:rPr>
          <w:sz w:val="21"/>
        </w:rPr>
        <w:t>3、</w:t>
      </w:r>
      <w:r>
        <w:rPr>
          <w:sz w:val="21"/>
        </w:rPr>
        <w:t>投标人应保证，采购人在中华人民共和国使用该服务或服务的任何一部分时，免受第三方提出的侵犯其专利权、商标权、著作权或其它知识产权的起诉。</w:t>
      </w:r>
    </w:p>
    <w:p>
      <w:pPr>
        <w:jc w:val="both"/>
      </w:pPr>
      <w:r>
        <w:rPr>
          <w:sz w:val="21"/>
        </w:rPr>
        <w:t>4、</w:t>
      </w:r>
      <w:r>
        <w:rPr>
          <w:sz w:val="21"/>
        </w:rPr>
        <w:t>不允许中标供应商</w:t>
      </w:r>
      <w:r>
        <w:rPr>
          <w:sz w:val="21"/>
        </w:rPr>
        <w:t>转包、分包项目内容</w:t>
      </w:r>
      <w:r>
        <w:rPr>
          <w:sz w:val="21"/>
        </w:rPr>
        <w:t>。</w:t>
      </w:r>
    </w:p>
    <w:p>
      <w:pPr>
        <w:jc w:val="both"/>
      </w:pPr>
      <w:r>
        <w:rPr>
          <w:sz w:val="21"/>
        </w:rPr>
        <w:t>5、</w:t>
      </w:r>
      <w:r>
        <w:rPr>
          <w:sz w:val="21"/>
        </w:rPr>
        <w:t>小型和微型企业、监狱企业和残疾人福利性单位必须按照招标文件第三章内容提供相应的资料。</w:t>
      </w:r>
    </w:p>
    <w:p>
      <w:pPr>
        <w:jc w:val="both"/>
      </w:pPr>
      <w:r>
        <w:rPr>
          <w:sz w:val="21"/>
        </w:rPr>
        <w:t>6、</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7</w:t>
      </w:r>
      <w:r>
        <w:rPr>
          <w:sz w:val="21"/>
        </w:rPr>
        <w:t>、</w:t>
      </w:r>
      <w:r>
        <w:rPr>
          <w:sz w:val="21"/>
        </w:rPr>
        <w:t>本项目符合《政府采购促进中小企业发展管理办法》第六条第（三）项的情形，故不专门面向中小企业</w:t>
      </w:r>
      <w:r>
        <w:rPr>
          <w:sz w:val="21"/>
        </w:rPr>
        <w:t>。</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盘前往开标现场进行签到、解密。</w:t>
      </w:r>
    </w:p>
    <w:p>
      <w:pPr>
        <w:jc w:val="both"/>
      </w:pPr>
      <w:r>
        <w:rPr>
          <w:sz w:val="21"/>
        </w:rPr>
        <w:t>2、</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投标报价包括：本项目最高限价为人民币</w:t>
      </w:r>
      <w:r>
        <w:rPr>
          <w:sz w:val="21"/>
        </w:rPr>
        <w:t>380</w:t>
      </w:r>
      <w:r>
        <w:rPr>
          <w:sz w:val="21"/>
        </w:rPr>
        <w:t>万元</w:t>
      </w:r>
      <w:r>
        <w:rPr>
          <w:sz w:val="21"/>
        </w:rPr>
        <w:t>1</w:t>
      </w:r>
      <w:r>
        <w:rPr>
          <w:sz w:val="21"/>
        </w:rPr>
        <w:t>年。投标人的报价须包括服务工作中所有成本，以及整个服务过程中的人员费用（包括</w:t>
      </w:r>
      <w:r>
        <w:rPr>
          <w:sz w:val="21"/>
        </w:rPr>
        <w:t>但不限于</w:t>
      </w:r>
      <w:r>
        <w:rPr>
          <w:sz w:val="21"/>
        </w:rPr>
        <w:t>应支付的工资，单位及个人社保：养老、医疗、工伤、生育险、失业保险，奖金、高温补贴（</w:t>
      </w:r>
      <w:r>
        <w:rPr>
          <w:sz w:val="21"/>
        </w:rPr>
        <w:t>6月-10月不少于300元/月）、年终福利补贴、员工体检、服务费等）、工作服费用及工作服清洁费用、员工</w:t>
      </w:r>
      <w:r>
        <w:rPr>
          <w:sz w:val="21"/>
        </w:rPr>
        <w:t>劳保</w:t>
      </w:r>
      <w:r>
        <w:rPr>
          <w:sz w:val="21"/>
        </w:rPr>
        <w:t>用具费用，以及</w:t>
      </w:r>
      <w:r>
        <w:rPr>
          <w:sz w:val="21"/>
        </w:rPr>
        <w:t>合同实施中</w:t>
      </w:r>
      <w:r>
        <w:rPr>
          <w:sz w:val="21"/>
        </w:rPr>
        <w:t>不可预见的一切费用。</w:t>
      </w:r>
    </w:p>
    <w:tbl>
      <w:tblPr>
        <w:tblW w:w="0" w:type="auto"/>
        <w:tblBorders>
          <w:top w:val="none" w:color="000000" w:sz="4"/>
          <w:left w:val="none" w:color="000000" w:sz="4"/>
          <w:bottom w:val="none" w:color="000000" w:sz="4"/>
          <w:right w:val="none" w:color="000000" w:sz="4"/>
          <w:insideH w:val="none"/>
          <w:insideV w:val="none"/>
        </w:tblBorders>
      </w:tblPr>
      <w:tblGrid>
        <w:gridCol w:w="1045"/>
        <w:gridCol w:w="2288"/>
        <w:gridCol w:w="1649"/>
        <w:gridCol w:w="1660"/>
        <w:gridCol w:w="1660"/>
      </w:tblGrid>
      <w:tr>
        <w:tc>
          <w:tcPr>
            <w:tcW w:type="dxa" w:w="104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288"/>
            <w:tcBorders>
              <w:top w:val="single" w:color="000000" w:sz="4"/>
              <w:left w:val="single" w:color="000000" w:sz="4"/>
              <w:bottom w:val="single" w:color="000000" w:sz="4"/>
              <w:right w:val="single" w:color="000000" w:sz="4"/>
            </w:tcBorders>
            <w:vAlign w:val="top"/>
          </w:tcPr>
          <w:p>
            <w:pPr>
              <w:jc w:val="center"/>
            </w:pPr>
            <w:r>
              <w:rPr>
                <w:sz w:val="21"/>
              </w:rPr>
              <w:t>服务需求类型</w:t>
            </w:r>
          </w:p>
        </w:tc>
        <w:tc>
          <w:tcPr>
            <w:tcW w:type="dxa" w:w="1649"/>
            <w:tcBorders>
              <w:top w:val="single" w:color="000000" w:sz="4"/>
              <w:left w:val="single" w:color="000000" w:sz="4"/>
              <w:bottom w:val="single" w:color="000000" w:sz="4"/>
              <w:right w:val="single" w:color="000000" w:sz="4"/>
            </w:tcBorders>
            <w:vAlign w:val="top"/>
          </w:tcPr>
          <w:p>
            <w:pPr>
              <w:jc w:val="center"/>
            </w:pPr>
            <w:r>
              <w:rPr>
                <w:sz w:val="21"/>
              </w:rPr>
              <w:t>预估服务工作量</w:t>
            </w:r>
          </w:p>
          <w:p>
            <w:pPr>
              <w:jc w:val="center"/>
            </w:pPr>
            <w:r>
              <w:rPr>
                <w:sz w:val="21"/>
              </w:rPr>
              <w:t>（人</w:t>
            </w:r>
            <w:r>
              <w:rPr>
                <w:sz w:val="21"/>
              </w:rPr>
              <w:t>/月）</w:t>
            </w:r>
          </w:p>
        </w:tc>
        <w:tc>
          <w:tcPr>
            <w:tcW w:type="dxa" w:w="1660"/>
            <w:tcBorders>
              <w:top w:val="single" w:color="000000" w:sz="4"/>
              <w:left w:val="single" w:color="000000" w:sz="4"/>
              <w:bottom w:val="single" w:color="000000" w:sz="4"/>
              <w:right w:val="single" w:color="000000" w:sz="4"/>
            </w:tcBorders>
            <w:vAlign w:val="top"/>
          </w:tcPr>
          <w:p>
            <w:pPr>
              <w:jc w:val="center"/>
            </w:pPr>
            <w:r>
              <w:rPr>
                <w:sz w:val="21"/>
              </w:rPr>
              <w:t>工资底薪不少于</w:t>
            </w:r>
            <w:r>
              <w:rPr>
                <w:sz w:val="21"/>
              </w:rPr>
              <w:t>（元</w:t>
            </w:r>
            <w:r>
              <w:rPr>
                <w:sz w:val="21"/>
              </w:rPr>
              <w:t>/人月）</w:t>
            </w:r>
          </w:p>
        </w:tc>
        <w:tc>
          <w:tcPr>
            <w:tcW w:type="dxa" w:w="1660"/>
            <w:tcBorders>
              <w:top w:val="single" w:color="000000" w:sz="4"/>
              <w:left w:val="single" w:color="000000" w:sz="4"/>
              <w:bottom w:val="single" w:color="000000" w:sz="4"/>
              <w:right w:val="single" w:color="000000" w:sz="4"/>
            </w:tcBorders>
            <w:vAlign w:val="top"/>
          </w:tcPr>
          <w:p>
            <w:pPr>
              <w:jc w:val="center"/>
            </w:pPr>
            <w:r>
              <w:rPr>
                <w:sz w:val="21"/>
              </w:rPr>
              <w:t>组训补助（</w:t>
            </w:r>
            <w:r>
              <w:rPr>
                <w:sz w:val="21"/>
              </w:rPr>
              <w:t>元</w:t>
            </w:r>
            <w:r>
              <w:rPr>
                <w:sz w:val="21"/>
              </w:rPr>
              <w:t>/人天</w:t>
            </w:r>
            <w:r>
              <w:rPr>
                <w:sz w:val="21"/>
              </w:rPr>
              <w:t>）</w:t>
            </w:r>
          </w:p>
        </w:tc>
      </w:tr>
      <w:tr>
        <w:tc>
          <w:tcPr>
            <w:tcW w:type="dxa" w:w="104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88"/>
            <w:tcBorders>
              <w:top w:val="none" w:color="000000" w:sz="4"/>
              <w:left w:val="single" w:color="000000" w:sz="4"/>
              <w:bottom w:val="single" w:color="000000" w:sz="4"/>
              <w:right w:val="single" w:color="000000" w:sz="4"/>
            </w:tcBorders>
            <w:vAlign w:val="top"/>
          </w:tcPr>
          <w:p>
            <w:pPr>
              <w:jc w:val="center"/>
            </w:pPr>
            <w:r>
              <w:rPr>
                <w:sz w:val="21"/>
              </w:rPr>
              <w:t>三级教练员</w:t>
            </w:r>
          </w:p>
        </w:tc>
        <w:tc>
          <w:tcPr>
            <w:tcW w:type="dxa" w:w="1649"/>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660"/>
            <w:tcBorders>
              <w:top w:val="none" w:color="000000" w:sz="4"/>
              <w:left w:val="single" w:color="000000" w:sz="4"/>
              <w:bottom w:val="single" w:color="000000" w:sz="4"/>
              <w:right w:val="single" w:color="000000" w:sz="4"/>
            </w:tcBorders>
            <w:vAlign w:val="top"/>
          </w:tcPr>
          <w:p>
            <w:pPr>
              <w:jc w:val="center"/>
            </w:pPr>
            <w:r>
              <w:rPr>
                <w:sz w:val="21"/>
              </w:rPr>
              <w:t>4160</w:t>
            </w:r>
          </w:p>
        </w:tc>
        <w:tc>
          <w:tcPr>
            <w:tcW w:type="dxa" w:w="1660"/>
            <w:tcBorders>
              <w:top w:val="none" w:color="000000" w:sz="4"/>
              <w:left w:val="single" w:color="000000" w:sz="4"/>
              <w:bottom w:val="single" w:color="000000" w:sz="4"/>
              <w:right w:val="single" w:color="000000" w:sz="4"/>
            </w:tcBorders>
            <w:vAlign w:val="top"/>
          </w:tcPr>
          <w:p>
            <w:pPr>
              <w:jc w:val="center"/>
            </w:pPr>
            <w:r>
              <w:rPr>
                <w:sz w:val="21"/>
              </w:rPr>
              <w:t>120</w:t>
            </w:r>
          </w:p>
        </w:tc>
      </w:tr>
      <w:tr>
        <w:tc>
          <w:tcPr>
            <w:tcW w:type="dxa" w:w="10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88"/>
            <w:tcBorders>
              <w:top w:val="none" w:color="000000" w:sz="4"/>
              <w:left w:val="single" w:color="000000" w:sz="4"/>
              <w:bottom w:val="single" w:color="000000" w:sz="4"/>
              <w:right w:val="single" w:color="000000" w:sz="4"/>
            </w:tcBorders>
            <w:vAlign w:val="top"/>
          </w:tcPr>
          <w:p>
            <w:pPr>
              <w:jc w:val="center"/>
            </w:pPr>
            <w:r>
              <w:rPr>
                <w:sz w:val="21"/>
              </w:rPr>
              <w:t>二级教练员</w:t>
            </w:r>
          </w:p>
        </w:tc>
        <w:tc>
          <w:tcPr>
            <w:tcW w:type="dxa" w:w="164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660"/>
            <w:tcBorders>
              <w:top w:val="none" w:color="000000" w:sz="4"/>
              <w:left w:val="single" w:color="000000" w:sz="4"/>
              <w:bottom w:val="single" w:color="000000" w:sz="4"/>
              <w:right w:val="single" w:color="000000" w:sz="4"/>
            </w:tcBorders>
            <w:vAlign w:val="top"/>
          </w:tcPr>
          <w:p>
            <w:pPr>
              <w:jc w:val="center"/>
            </w:pPr>
            <w:r>
              <w:rPr>
                <w:sz w:val="21"/>
              </w:rPr>
              <w:t>4740</w:t>
            </w:r>
          </w:p>
        </w:tc>
        <w:tc>
          <w:tcPr>
            <w:tcW w:type="dxa" w:w="1660"/>
            <w:tcBorders>
              <w:top w:val="none" w:color="000000" w:sz="4"/>
              <w:left w:val="single" w:color="000000" w:sz="4"/>
              <w:bottom w:val="single" w:color="000000" w:sz="4"/>
              <w:right w:val="single" w:color="000000" w:sz="4"/>
            </w:tcBorders>
            <w:vAlign w:val="top"/>
          </w:tcPr>
          <w:p>
            <w:pPr>
              <w:jc w:val="center"/>
            </w:pPr>
            <w:r>
              <w:rPr>
                <w:sz w:val="21"/>
              </w:rPr>
              <w:t>150</w:t>
            </w:r>
          </w:p>
        </w:tc>
      </w:tr>
      <w:tr>
        <w:tc>
          <w:tcPr>
            <w:tcW w:type="dxa" w:w="104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88"/>
            <w:tcBorders>
              <w:top w:val="none" w:color="000000" w:sz="4"/>
              <w:left w:val="single" w:color="000000" w:sz="4"/>
              <w:bottom w:val="single" w:color="000000" w:sz="4"/>
              <w:right w:val="single" w:color="000000" w:sz="4"/>
            </w:tcBorders>
            <w:vAlign w:val="top"/>
          </w:tcPr>
          <w:p>
            <w:pPr>
              <w:jc w:val="center"/>
            </w:pPr>
            <w:r>
              <w:rPr>
                <w:sz w:val="21"/>
              </w:rPr>
              <w:t>一级教练员</w:t>
            </w:r>
          </w:p>
        </w:tc>
        <w:tc>
          <w:tcPr>
            <w:tcW w:type="dxa" w:w="164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660"/>
            <w:tcBorders>
              <w:top w:val="none" w:color="000000" w:sz="4"/>
              <w:left w:val="single" w:color="000000" w:sz="4"/>
              <w:bottom w:val="single" w:color="000000" w:sz="4"/>
              <w:right w:val="single" w:color="000000" w:sz="4"/>
            </w:tcBorders>
            <w:vAlign w:val="top"/>
          </w:tcPr>
          <w:p>
            <w:pPr>
              <w:jc w:val="center"/>
            </w:pPr>
            <w:r>
              <w:rPr>
                <w:sz w:val="21"/>
              </w:rPr>
              <w:t>5180</w:t>
            </w:r>
          </w:p>
        </w:tc>
        <w:tc>
          <w:tcPr>
            <w:tcW w:type="dxa" w:w="1660"/>
            <w:tcBorders>
              <w:top w:val="none" w:color="000000" w:sz="4"/>
              <w:left w:val="single" w:color="000000" w:sz="4"/>
              <w:bottom w:val="single" w:color="000000" w:sz="4"/>
              <w:right w:val="single" w:color="000000" w:sz="4"/>
            </w:tcBorders>
            <w:vAlign w:val="top"/>
          </w:tcPr>
          <w:p>
            <w:pPr>
              <w:jc w:val="center"/>
            </w:pPr>
            <w:r>
              <w:rPr>
                <w:sz w:val="21"/>
              </w:rPr>
              <w:t>180</w:t>
            </w:r>
          </w:p>
        </w:tc>
      </w:tr>
      <w:tr>
        <w:tc>
          <w:tcPr>
            <w:tcW w:type="dxa" w:w="3333"/>
            <w:gridSpan w:val="2"/>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1649"/>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660"/>
            <w:tcBorders>
              <w:top w:val="none" w:color="000000" w:sz="4"/>
              <w:left w:val="single" w:color="000000" w:sz="4"/>
              <w:bottom w:val="single" w:color="000000" w:sz="4"/>
              <w:right w:val="single" w:color="000000" w:sz="4"/>
            </w:tcBorders>
            <w:vAlign w:val="top"/>
          </w:tcPr>
          <w:p>
            <w:pPr>
              <w:jc w:val="center"/>
            </w:pPr>
          </w:p>
        </w:tc>
        <w:tc>
          <w:tcPr>
            <w:tcW w:type="dxa" w:w="1660"/>
            <w:tcBorders>
              <w:top w:val="none" w:color="000000" w:sz="4"/>
              <w:left w:val="single" w:color="000000" w:sz="4"/>
              <w:bottom w:val="single" w:color="000000" w:sz="4"/>
              <w:right w:val="single" w:color="000000" w:sz="4"/>
            </w:tcBorders>
            <w:vAlign w:val="top"/>
          </w:tcPr>
          <w:p>
            <w:pPr>
              <w:jc w:val="center"/>
            </w:pPr>
            <w:r>
              <w:rPr>
                <w:sz w:val="21"/>
              </w:rPr>
              <w:t>组训每月拟投入的劳务工作量为</w:t>
            </w:r>
            <w:r>
              <w:rPr>
                <w:sz w:val="21"/>
              </w:rPr>
              <w:t>18天，具体按采购人需求量为准。</w:t>
            </w:r>
          </w:p>
        </w:tc>
      </w:tr>
    </w:tbl>
    <w:p>
      <w:pPr>
        <w:ind w:firstLine="408"/>
        <w:jc w:val="both"/>
      </w:pPr>
      <w:r>
        <w:rPr>
          <w:sz w:val="21"/>
        </w:rPr>
        <w:t>本项目服务工作量仅作为年度服务费用的参考值，实际费用按照采购人的实际需求量为准。中标供应商应根据项目的实际情况需要补充相应岗位的人员，中标供应商在收到采购人的通知后须</w:t>
      </w:r>
      <w:r>
        <w:rPr>
          <w:sz w:val="21"/>
        </w:rPr>
        <w:t>两周</w:t>
      </w:r>
      <w:r>
        <w:rPr>
          <w:sz w:val="21"/>
        </w:rPr>
        <w:t>内把人员安排到位，经采购人考核、面试通过后上岗确定等级，根据实际等级进行对应结算。各个等级教练员的薪资应在投标文件中列明，格式参照公告附件。</w:t>
      </w:r>
      <w:r>
        <w:rPr>
          <w:sz w:val="21"/>
        </w:rPr>
        <w:t xml:space="preserve"> </w:t>
      </w:r>
    </w:p>
    <w:p>
      <w:pPr>
        <w:jc w:val="both"/>
      </w:pPr>
      <w:r>
        <w:rPr>
          <w:b/>
          <w:sz w:val="21"/>
        </w:rPr>
        <w:t>（六）</w:t>
      </w:r>
      <w:r>
        <w:rPr>
          <w:b/>
          <w:sz w:val="21"/>
        </w:rPr>
        <w:t>实现的目标</w:t>
      </w:r>
    </w:p>
    <w:p>
      <w:pPr>
        <w:ind w:firstLine="420"/>
        <w:jc w:val="both"/>
      </w:pPr>
      <w:r>
        <w:rPr>
          <w:sz w:val="21"/>
        </w:rPr>
        <w:t>采购人按照</w:t>
      </w:r>
      <w:r>
        <w:rPr>
          <w:sz w:val="21"/>
        </w:rPr>
        <w:t>“院校式教学、规范化管理、星级式服务、园林式环境”理念，采用军事化管理与社会化保障相结合的模式，统筹区域内民兵、国防动员专业队伍、驻军部队、地方应急力量等训练和全民国防教育需求。</w:t>
      </w:r>
    </w:p>
    <w:p>
      <w:pPr>
        <w:jc w:val="both"/>
      </w:pPr>
      <w:r>
        <w:rPr>
          <w:b/>
          <w:sz w:val="21"/>
        </w:rPr>
        <w:t>（七）</w:t>
      </w:r>
      <w:r>
        <w:rPr>
          <w:b/>
          <w:sz w:val="21"/>
        </w:rPr>
        <w:t>需执行国家相关标准、行业标准、地方标准或者其他标准、规范</w:t>
      </w:r>
    </w:p>
    <w:p/>
    <w:p>
      <w:pPr>
        <w:ind w:firstLine="480"/>
      </w:pPr>
    </w:p>
    <w:p/>
    <w:p>
      <w:r>
        <w:rPr/>
        <w:t>采购包1（广州市民兵预备役训练基地军事教学服务采购项目）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自合同签订之日起1年或累计结算金额达到中标金额，以二者先到者为准。</w:t>
            </w:r>
          </w:p>
        </w:tc>
      </w:tr>
      <w:tr>
        <w:tc>
          <w:tcPr>
            <w:tcW w:type="dxa" w:w="4153"/>
          </w:tcPr>
          <w:p>
            <w:r>
              <w:rPr/>
              <w:t>标的提供的地点</w:t>
            </w:r>
          </w:p>
        </w:tc>
        <w:tc>
          <w:tcPr>
            <w:tcW w:type="dxa" w:w="4153"/>
          </w:tcPr>
          <w:p/>
          <w:p>
            <w:r>
              <w:rPr/>
              <w:t>广州市国防教育训练基地（从化营区、天河营区）。</w:t>
            </w:r>
          </w:p>
        </w:tc>
      </w:tr>
      <w:tr>
        <w:tc>
          <w:tcPr>
            <w:tcW w:type="dxa" w:w="4153"/>
          </w:tcPr>
          <w:p>
            <w:r>
              <w:rPr/>
              <w:t>付款方式</w:t>
            </w:r>
          </w:p>
        </w:tc>
        <w:tc>
          <w:tcPr>
            <w:tcW w:type="dxa" w:w="4153"/>
          </w:tcPr>
          <w:p/>
          <w:p/>
          <w:p>
            <w:r>
              <w:rPr/>
              <w:t>1期：支付比例100%,1.费用标准：  采购人就中标供应商所提供的服务向中标供应商支付服务费，预计总费用按实际发生工作量进行计算，中标供应商于次月5号前提供上月总费用结算表，由采购人确认后，按费用结算表进行支付。 2.结算方式： 费用按月结算，中标供应商提供的服务符合合同约定，中标供应商于次月10日前向采购人提交有效发票，采购人在收到发票后5个工作日内以转账的方式支付给中标供应商指定的银行账户。 3.特别说明： 若中标供应商为中小企业，签订合同并收到中标供应商提供的有效发票后5个工作日内支付合同总金额的30%作为预付款，后续的结算款优先从预付款中抵扣，直至抵扣完为止，扣完后按本条第1、2款约定支付。</w:t>
            </w:r>
          </w:p>
        </w:tc>
      </w:tr>
      <w:tr>
        <w:tc>
          <w:tcPr>
            <w:tcW w:type="dxa" w:w="4153"/>
          </w:tcPr>
          <w:p>
            <w:r>
              <w:rPr/>
              <w:t>验收要求</w:t>
            </w:r>
          </w:p>
        </w:tc>
        <w:tc>
          <w:tcPr>
            <w:tcW w:type="dxa" w:w="4153"/>
          </w:tcPr>
          <w:p/>
          <w:p/>
          <w:p/>
          <w:p>
            <w:r>
              <w:rPr/>
              <w:t>1期：详见“技术标准与要求”。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广州市民兵预备役训练基地军事教学服务</w:t>
            </w:r>
          </w:p>
        </w:tc>
        <w:tc>
          <w:tcPr>
            <w:tcW w:type="dxa" w:w="933"/>
          </w:tcPr>
          <w:p>
            <w:pPr>
              <w:jc w:val="left"/>
            </w:pPr>
            <w:r>
              <w:rPr/>
              <w:t>项</w:t>
            </w:r>
          </w:p>
        </w:tc>
        <w:tc>
          <w:tcPr>
            <w:tcW w:type="dxa" w:w="933"/>
          </w:tcPr>
          <w:p>
            <w:pPr>
              <w:jc w:val="right"/>
            </w:pPr>
            <w:r>
              <w:rPr/>
              <w:t>1.00</w:t>
            </w:r>
          </w:p>
        </w:tc>
        <w:tc>
          <w:tcPr>
            <w:tcW w:type="dxa" w:w="933"/>
          </w:tcPr>
          <w:p>
            <w:pPr>
              <w:jc w:val="right"/>
            </w:pPr>
            <w:r>
              <w:rPr/>
              <w:t>3,800,000.00</w:t>
            </w:r>
          </w:p>
        </w:tc>
        <w:tc>
          <w:tcPr>
            <w:tcW w:type="dxa" w:w="933"/>
          </w:tcPr>
          <w:p>
            <w:pPr>
              <w:jc w:val="right"/>
            </w:pPr>
            <w:r>
              <w:rPr/>
              <w:t>3,800,000.00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广州市民兵预备役训练基地军事教学服务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一、基本情况</w:t>
            </w:r>
          </w:p>
          <w:p>
            <w:r>
              <w:rPr>
                <w:sz w:val="21"/>
              </w:rPr>
              <w:t>广州市国防教育训练基地，位于从化温泉镇九里步，占地面积约</w:t>
            </w:r>
            <w:r>
              <w:rPr>
                <w:sz w:val="21"/>
              </w:rPr>
              <w:t>278亩，总建筑面积约37500平方米，有办公楼、宿舍楼、培训楼、国防教育展馆、综合训练馆、射击场等，主要任务为：为广州市民兵、专职人民武装干部、民兵教练员军事训练、演练、备勤提供保障；为党政机关和企事业单位开展国防教育提供保障；为学生军训、预征青年役前教育、动员对象教育培训提供保障等相关工作。</w:t>
            </w:r>
          </w:p>
          <w:p>
            <w:pPr>
              <w:jc w:val="left"/>
            </w:pPr>
            <w:r>
              <w:rPr>
                <w:b/>
                <w:sz w:val="21"/>
              </w:rPr>
              <w:t>二、项目具体要求</w:t>
            </w:r>
          </w:p>
          <w:p>
            <w:r>
              <w:rPr>
                <w:b/>
                <w:sz w:val="21"/>
              </w:rPr>
              <w:t>1.服务内容和服务人员资质要求</w:t>
            </w:r>
          </w:p>
          <w:tbl>
            <w:tblPr>
              <w:tblBorders>
                <w:top w:val="none" w:color="000000" w:sz="4"/>
                <w:left w:val="none" w:color="000000" w:sz="4"/>
                <w:bottom w:val="none" w:color="000000" w:sz="4"/>
                <w:right w:val="none" w:color="000000" w:sz="4"/>
                <w:insideH w:val="none"/>
                <w:insideV w:val="none"/>
              </w:tblBorders>
            </w:tblPr>
            <w:tblGrid>
              <w:gridCol w:w="511"/>
              <w:gridCol w:w="1136"/>
              <w:gridCol w:w="1039"/>
              <w:gridCol w:w="2452"/>
              <w:gridCol w:w="460"/>
            </w:tblGrid>
            <w:tr>
              <w:tc>
                <w:tcPr>
                  <w:tcW w:type="dxa" w:w="1647"/>
                  <w:gridSpan w:val="2"/>
                  <w:tcBorders>
                    <w:top w:val="single" w:color="000000" w:sz="4"/>
                    <w:left w:val="single" w:color="000000" w:sz="4"/>
                    <w:bottom w:val="single" w:color="000000" w:sz="4"/>
                    <w:right w:val="single" w:color="000000" w:sz="4"/>
                  </w:tcBorders>
                  <w:vAlign w:val="top"/>
                </w:tcPr>
                <w:p>
                  <w:pPr>
                    <w:jc w:val="center"/>
                  </w:pPr>
                  <w:r>
                    <w:rPr>
                      <w:b/>
                      <w:sz w:val="21"/>
                    </w:rPr>
                    <w:t>服务内容</w:t>
                  </w:r>
                </w:p>
              </w:tc>
              <w:tc>
                <w:tcPr>
                  <w:tcW w:type="dxa" w:w="1039"/>
                  <w:tcBorders>
                    <w:top w:val="single" w:color="000000" w:sz="4"/>
                    <w:left w:val="single" w:color="000000" w:sz="4"/>
                    <w:bottom w:val="single" w:color="000000" w:sz="4"/>
                    <w:right w:val="single" w:color="000000" w:sz="4"/>
                  </w:tcBorders>
                  <w:vAlign w:val="top"/>
                </w:tcPr>
                <w:p>
                  <w:pPr>
                    <w:jc w:val="center"/>
                  </w:pPr>
                  <w:r>
                    <w:rPr>
                      <w:b/>
                      <w:sz w:val="21"/>
                    </w:rPr>
                    <w:t>班次要求</w:t>
                  </w:r>
                </w:p>
              </w:tc>
              <w:tc>
                <w:tcPr>
                  <w:tcW w:type="dxa" w:w="2452"/>
                  <w:tcBorders>
                    <w:top w:val="single" w:color="000000" w:sz="4"/>
                    <w:left w:val="single" w:color="000000" w:sz="4"/>
                    <w:bottom w:val="single" w:color="000000" w:sz="4"/>
                    <w:right w:val="single" w:color="000000" w:sz="4"/>
                  </w:tcBorders>
                  <w:vAlign w:val="top"/>
                </w:tcPr>
                <w:p>
                  <w:pPr>
                    <w:jc w:val="center"/>
                  </w:pPr>
                  <w:r>
                    <w:rPr>
                      <w:b/>
                      <w:sz w:val="21"/>
                    </w:rPr>
                    <w:t>服务人员资质要求</w:t>
                  </w:r>
                </w:p>
              </w:tc>
              <w:tc>
                <w:tcPr>
                  <w:tcW w:type="dxa" w:w="460"/>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511"/>
                  <w:tcBorders>
                    <w:top w:val="none" w:color="000000" w:sz="4"/>
                    <w:left w:val="single" w:color="000000" w:sz="4"/>
                    <w:bottom w:val="single" w:color="000000" w:sz="4"/>
                    <w:right w:val="single" w:color="000000" w:sz="4"/>
                  </w:tcBorders>
                  <w:vAlign w:val="top"/>
                </w:tcPr>
                <w:p>
                  <w:pPr>
                    <w:jc w:val="center"/>
                  </w:pPr>
                  <w:r>
                    <w:rPr>
                      <w:sz w:val="21"/>
                    </w:rPr>
                    <w:t>共同教学组</w:t>
                  </w:r>
                </w:p>
                <w:p>
                  <w:pPr>
                    <w:jc w:val="center"/>
                  </w:pPr>
                  <w:r>
                    <w:rPr>
                      <w:sz w:val="21"/>
                    </w:rPr>
                    <w:t>服务</w:t>
                  </w:r>
                </w:p>
              </w:tc>
              <w:tc>
                <w:tcPr>
                  <w:tcW w:type="dxa" w:w="1136"/>
                  <w:tcBorders>
                    <w:top w:val="none" w:color="000000" w:sz="4"/>
                    <w:left w:val="single" w:color="000000" w:sz="4"/>
                    <w:bottom w:val="single" w:color="000000" w:sz="4"/>
                    <w:right w:val="single" w:color="000000" w:sz="4"/>
                  </w:tcBorders>
                  <w:vAlign w:val="top"/>
                </w:tcPr>
                <w:p>
                  <w:pPr>
                    <w:jc w:val="center"/>
                  </w:pPr>
                  <w:r>
                    <w:rPr>
                      <w:sz w:val="21"/>
                    </w:rPr>
                    <w:t>负责民兵共同基础课目教学组训工作及学生军训带防空、卫勤教学组训及学生军训带训工作</w:t>
                  </w:r>
                </w:p>
              </w:tc>
              <w:tc>
                <w:tcPr>
                  <w:tcW w:type="dxa" w:w="1039"/>
                  <w:vMerge w:val="restart"/>
                  <w:tcBorders>
                    <w:top w:val="none" w:color="000000" w:sz="4"/>
                    <w:left w:val="single" w:color="000000" w:sz="4"/>
                    <w:bottom w:val="single" w:color="000000" w:sz="4"/>
                    <w:right w:val="single" w:color="000000" w:sz="4"/>
                  </w:tcBorders>
                  <w:vAlign w:val="top"/>
                </w:tcPr>
                <w:p>
                  <w:pPr>
                    <w:jc w:val="left"/>
                  </w:pPr>
                  <w:r>
                    <w:rPr>
                      <w:sz w:val="21"/>
                    </w:rPr>
                    <w:t xml:space="preserve"> </w:t>
                  </w:r>
                  <w:r>
                    <w:rPr>
                      <w:sz w:val="21"/>
                    </w:rPr>
                    <w:t>1.基地承接集训任务期间，带训人员要求24小时在营值守。</w:t>
                  </w:r>
                </w:p>
                <w:p>
                  <w:pPr>
                    <w:jc w:val="left"/>
                  </w:pPr>
                  <w:r>
                    <w:rPr>
                      <w:sz w:val="21"/>
                    </w:rPr>
                    <w:t>2.基地未承接集训任务期间，每日工作8 小时，每周工作5天。</w:t>
                  </w:r>
                </w:p>
                <w:p>
                  <w:pPr>
                    <w:jc w:val="left"/>
                  </w:pPr>
                  <w:r>
                    <w:rPr>
                      <w:sz w:val="21"/>
                    </w:rPr>
                    <w:t>3.人员需根据基地安排轮流担负值班任务，值班期间保持全时在位。</w:t>
                  </w:r>
                </w:p>
              </w:tc>
              <w:tc>
                <w:tcPr>
                  <w:tcW w:type="dxa" w:w="2452"/>
                  <w:vMerge w:val="restart"/>
                  <w:tcBorders>
                    <w:top w:val="none" w:color="000000" w:sz="4"/>
                    <w:left w:val="single" w:color="000000" w:sz="4"/>
                    <w:bottom w:val="single" w:color="000000" w:sz="4"/>
                    <w:right w:val="single" w:color="000000" w:sz="4"/>
                  </w:tcBorders>
                  <w:vAlign w:val="top"/>
                </w:tcPr>
                <w:p>
                  <w:pPr>
                    <w:jc w:val="left"/>
                  </w:pPr>
                  <w:r>
                    <w:rPr>
                      <w:sz w:val="21"/>
                    </w:rPr>
                    <w:t>1、人员基本条件</w:t>
                  </w:r>
                </w:p>
                <w:p>
                  <w:pPr>
                    <w:jc w:val="left"/>
                  </w:pPr>
                  <w:r>
                    <w:rPr>
                      <w:sz w:val="21"/>
                    </w:rPr>
                    <w:t>1.1部队服役2年（含）以上</w:t>
                  </w:r>
                  <w:r>
                    <w:rPr>
                      <w:sz w:val="20"/>
                    </w:rPr>
                    <w:t>退役军人</w:t>
                  </w:r>
                  <w:r>
                    <w:rPr>
                      <w:sz w:val="21"/>
                    </w:rPr>
                    <w:t>；年龄</w:t>
                  </w:r>
                  <w:r>
                    <w:rPr>
                      <w:sz w:val="21"/>
                    </w:rPr>
                    <w:t>35岁（含）以下；大专（含）以上学历。</w:t>
                  </w:r>
                </w:p>
                <w:p>
                  <w:pPr>
                    <w:jc w:val="left"/>
                  </w:pPr>
                  <w:r>
                    <w:rPr>
                      <w:sz w:val="21"/>
                    </w:rPr>
                    <w:t>1.2政考合格：军政素质好，服从命令、听从指挥，吃苦耐劳、严于律已；具有较强的团队协作精神、奉献精神；具有较强的语言表达及独立开展工作的能力；能够熟练操作电脑，使用文档、表格软件；</w:t>
                  </w:r>
                </w:p>
                <w:p>
                  <w:pPr>
                    <w:jc w:val="left"/>
                  </w:pPr>
                  <w:r>
                    <w:rPr>
                      <w:sz w:val="21"/>
                    </w:rPr>
                    <w:t>2、军事考核</w:t>
                  </w:r>
                </w:p>
                <w:p>
                  <w:pPr>
                    <w:jc w:val="left"/>
                  </w:pPr>
                  <w:r>
                    <w:rPr>
                      <w:sz w:val="21"/>
                    </w:rPr>
                    <w:t>2.1.军事考核合格（含）以上；</w:t>
                  </w:r>
                </w:p>
                <w:p>
                  <w:pPr>
                    <w:jc w:val="left"/>
                  </w:pPr>
                  <w:r>
                    <w:rPr>
                      <w:sz w:val="21"/>
                    </w:rPr>
                    <w:t>2.2考核标准：</w:t>
                  </w:r>
                </w:p>
                <w:p>
                  <w:pPr>
                    <w:jc w:val="left"/>
                  </w:pPr>
                  <w:r>
                    <w:rPr>
                      <w:sz w:val="21"/>
                    </w:rPr>
                    <w:t>（</w:t>
                  </w:r>
                  <w:r>
                    <w:rPr>
                      <w:sz w:val="21"/>
                    </w:rPr>
                    <w:t>1）军事体育，共同教学组教官按二类人员执行，其他教学组教官按三类人员执行，考核成绩及合格（含）以上。</w:t>
                  </w:r>
                </w:p>
                <w:p>
                  <w:pPr>
                    <w:jc w:val="left"/>
                  </w:pPr>
                  <w:r>
                    <w:rPr>
                      <w:sz w:val="21"/>
                    </w:rPr>
                    <w:t>（</w:t>
                  </w:r>
                  <w:r>
                    <w:rPr>
                      <w:sz w:val="21"/>
                    </w:rPr>
                    <w:t>2）军事技能，考核手榴弹投掷、穿戴防毒面具、战术基础3项内容，按入伍训练标准评定，考核成绩均为合格（含）以上。</w:t>
                  </w:r>
                </w:p>
                <w:p>
                  <w:pPr>
                    <w:jc w:val="left"/>
                  </w:pPr>
                  <w:r>
                    <w:rPr>
                      <w:sz w:val="21"/>
                    </w:rPr>
                    <w:t>（</w:t>
                  </w:r>
                  <w:r>
                    <w:rPr>
                      <w:sz w:val="21"/>
                    </w:rPr>
                    <w:t>3）教学法，考核2个课目，共同教学组教官考核2个不同类别的共同课目；专业教学组教官至少考核1个专业课目(自选)；采取百分制评定，考核成绩均为80分（含）以上。</w:t>
                  </w:r>
                </w:p>
                <w:p>
                  <w:pPr>
                    <w:jc w:val="left"/>
                  </w:pPr>
                  <w:r>
                    <w:rPr>
                      <w:sz w:val="21"/>
                    </w:rPr>
                    <w:t>3、通过采购人面试</w:t>
                  </w:r>
                </w:p>
                <w:p>
                  <w:pPr>
                    <w:jc w:val="left"/>
                  </w:pPr>
                  <w:r>
                    <w:rPr>
                      <w:sz w:val="21"/>
                    </w:rPr>
                    <w:t>投标人提供的教练人员须满足基本条件，并通过军事考核后，采购人面试择优选择方可上岗。</w:t>
                  </w:r>
                </w:p>
              </w:tc>
              <w:tc>
                <w:tcPr>
                  <w:tcW w:type="dxa" w:w="460"/>
                  <w:tcBorders>
                    <w:top w:val="single" w:color="000000" w:sz="4"/>
                    <w:left w:val="single" w:color="000000" w:sz="4"/>
                    <w:bottom w:val="single" w:color="000000" w:sz="4"/>
                    <w:right w:val="single" w:color="000000" w:sz="4"/>
                  </w:tcBorders>
                  <w:vAlign w:val="top"/>
                </w:tcPr>
                <w:p>
                  <w:pPr>
                    <w:jc w:val="center"/>
                  </w:pPr>
                  <w:r>
                    <w:rPr>
                      <w:sz w:val="21"/>
                    </w:rPr>
                    <w:t>9人/月</w:t>
                  </w:r>
                </w:p>
              </w:tc>
            </w:tr>
            <w:tr>
              <w:tc>
                <w:tcPr>
                  <w:tcW w:type="dxa" w:w="511"/>
                  <w:tcBorders>
                    <w:top w:val="none" w:color="000000" w:sz="4"/>
                    <w:left w:val="single" w:color="000000" w:sz="4"/>
                    <w:bottom w:val="single" w:color="000000" w:sz="4"/>
                    <w:right w:val="single" w:color="000000" w:sz="4"/>
                  </w:tcBorders>
                  <w:vAlign w:val="top"/>
                </w:tcPr>
                <w:p>
                  <w:pPr>
                    <w:jc w:val="center"/>
                  </w:pPr>
                  <w:r>
                    <w:rPr>
                      <w:sz w:val="21"/>
                    </w:rPr>
                    <w:t>专业教学组</w:t>
                  </w:r>
                </w:p>
                <w:p>
                  <w:pPr>
                    <w:jc w:val="center"/>
                  </w:pPr>
                  <w:r>
                    <w:rPr>
                      <w:sz w:val="21"/>
                    </w:rPr>
                    <w:t>服务</w:t>
                  </w:r>
                </w:p>
              </w:tc>
              <w:tc>
                <w:tcPr>
                  <w:tcW w:type="dxa" w:w="1136"/>
                  <w:tcBorders>
                    <w:top w:val="none" w:color="000000" w:sz="4"/>
                    <w:left w:val="single" w:color="000000" w:sz="4"/>
                    <w:bottom w:val="single" w:color="000000" w:sz="4"/>
                    <w:right w:val="single" w:color="000000" w:sz="4"/>
                  </w:tcBorders>
                  <w:vAlign w:val="top"/>
                </w:tcPr>
                <w:p>
                  <w:pPr>
                    <w:jc w:val="center"/>
                  </w:pPr>
                  <w:r>
                    <w:rPr>
                      <w:sz w:val="21"/>
                    </w:rPr>
                    <w:t>负责民兵通信、工程、伪装、防化、等专业课目教学组训工作及学生军训带训工作</w:t>
                  </w:r>
                </w:p>
              </w:tc>
              <w:tc>
                <w:tcPr>
                  <w:tcW w:type="dxa" w:w="1039"/>
                  <w:vMerge/>
                  <w:tcBorders>
                    <w:top w:val="none" w:color="000000" w:sz="4"/>
                    <w:left w:val="single" w:color="000000" w:sz="4"/>
                    <w:bottom w:val="single" w:color="000000" w:sz="4"/>
                    <w:right w:val="single" w:color="000000" w:sz="4"/>
                  </w:tcBorders>
                </w:tcPr>
                <w:p/>
              </w:tc>
              <w:tc>
                <w:tcPr>
                  <w:tcW w:type="dxa" w:w="2452"/>
                  <w:vMerge/>
                  <w:tcBorders>
                    <w:top w:val="none" w:color="000000" w:sz="4"/>
                    <w:left w:val="single" w:color="000000" w:sz="4"/>
                    <w:bottom w:val="single" w:color="000000" w:sz="4"/>
                    <w:right w:val="single" w:color="000000" w:sz="4"/>
                  </w:tcBorders>
                </w:tcPr>
                <w:p/>
              </w:tc>
              <w:tc>
                <w:tcPr>
                  <w:tcW w:type="dxa" w:w="460"/>
                  <w:tcBorders>
                    <w:top w:val="none" w:color="000000" w:sz="4"/>
                    <w:left w:val="single" w:color="000000" w:sz="4"/>
                    <w:bottom w:val="single" w:color="000000" w:sz="4"/>
                    <w:right w:val="single" w:color="000000" w:sz="4"/>
                  </w:tcBorders>
                  <w:vAlign w:val="top"/>
                </w:tcPr>
                <w:p>
                  <w:pPr>
                    <w:jc w:val="center"/>
                  </w:pPr>
                  <w:r>
                    <w:rPr>
                      <w:sz w:val="21"/>
                    </w:rPr>
                    <w:t>16人/月</w:t>
                  </w:r>
                </w:p>
              </w:tc>
            </w:tr>
          </w:tbl>
          <w:p>
            <w:r>
              <w:rPr/>
              <w:t xml:space="preserve"> </w:t>
            </w:r>
          </w:p>
          <w:p>
            <w:pPr>
              <w:jc w:val="both"/>
            </w:pPr>
            <w:r>
              <w:rPr>
                <w:b/>
                <w:sz w:val="21"/>
              </w:rPr>
              <w:t>2.服务管理</w:t>
            </w:r>
          </w:p>
          <w:p>
            <w:r>
              <w:rPr>
                <w:b/>
                <w:sz w:val="21"/>
              </w:rPr>
              <w:t>2.1服务管理要求：</w:t>
            </w:r>
          </w:p>
          <w:p>
            <w:pPr>
              <w:jc w:val="both"/>
            </w:pPr>
            <w:r>
              <w:rPr>
                <w:sz w:val="21"/>
              </w:rPr>
              <w:t>（</w:t>
            </w:r>
            <w:r>
              <w:rPr>
                <w:sz w:val="21"/>
              </w:rPr>
              <w:t>1）投标人应安排一定数量、素质较高、稳定的工作人员负责开展服务工作。服务队伍的人员均应具备从事本项目服务工作相适应的专业知识和业务能力。</w:t>
            </w:r>
          </w:p>
          <w:p>
            <w:pPr>
              <w:jc w:val="both"/>
            </w:pPr>
            <w:r>
              <w:rPr>
                <w:sz w:val="21"/>
              </w:rPr>
              <w:t>（</w:t>
            </w:r>
            <w:r>
              <w:rPr>
                <w:sz w:val="21"/>
              </w:rPr>
              <w:t>2）中标供应商应按照科学、客观、公正、专业的原则开展项目工作。</w:t>
            </w:r>
          </w:p>
          <w:p>
            <w:pPr>
              <w:jc w:val="both"/>
            </w:pPr>
            <w:r>
              <w:rPr>
                <w:sz w:val="21"/>
              </w:rPr>
              <w:t>（</w:t>
            </w:r>
            <w:r>
              <w:rPr>
                <w:sz w:val="21"/>
              </w:rPr>
              <w:t>3）中标供应商应成立由相关行业的专业人员组成的项目工作组，在服务过程中应保持工作组成员的稳定。</w:t>
            </w:r>
          </w:p>
          <w:p>
            <w:pPr>
              <w:jc w:val="both"/>
            </w:pPr>
            <w:r>
              <w:rPr>
                <w:sz w:val="21"/>
              </w:rPr>
              <w:t>（</w:t>
            </w:r>
            <w:r>
              <w:rPr>
                <w:sz w:val="21"/>
              </w:rPr>
              <w:t>4）在充分调研的基础上，制定服务工作方案和细则，并及时报送采购人审核、备案。</w:t>
            </w:r>
          </w:p>
          <w:p>
            <w:pPr>
              <w:jc w:val="both"/>
            </w:pPr>
            <w:r>
              <w:rPr>
                <w:sz w:val="21"/>
              </w:rPr>
              <w:t>（</w:t>
            </w:r>
            <w:r>
              <w:rPr>
                <w:sz w:val="21"/>
              </w:rPr>
              <w:t>5）按规定程序真实、完整地取得项目数据，并按时按质提交，对数据的真实性、客观公正性负责。</w:t>
            </w:r>
          </w:p>
          <w:p>
            <w:pPr>
              <w:jc w:val="both"/>
            </w:pPr>
            <w:r>
              <w:rPr>
                <w:sz w:val="21"/>
              </w:rPr>
              <w:t>（</w:t>
            </w:r>
            <w:r>
              <w:rPr>
                <w:sz w:val="21"/>
              </w:rPr>
              <w:t>6）建立项目档案，包括服务人员招聘公告、考核和面试、政审、体检、岗前培训、劳动合同、管理制度等资料存档工作。</w:t>
            </w:r>
          </w:p>
          <w:p>
            <w:pPr>
              <w:jc w:val="both"/>
            </w:pPr>
            <w:r>
              <w:rPr>
                <w:sz w:val="21"/>
              </w:rPr>
              <w:t>（</w:t>
            </w:r>
            <w:r>
              <w:rPr>
                <w:sz w:val="21"/>
              </w:rPr>
              <w:t>7）采购人有权调阅、查询和复制所委托项目的档案资料。</w:t>
            </w:r>
          </w:p>
          <w:p>
            <w:pPr>
              <w:jc w:val="both"/>
            </w:pPr>
            <w:r>
              <w:rPr>
                <w:sz w:val="21"/>
              </w:rPr>
              <w:t>（</w:t>
            </w:r>
            <w:r>
              <w:rPr>
                <w:sz w:val="21"/>
              </w:rPr>
              <w:t>8）中标供应商不得以任何形式收取本项目采购合同之外的报酬或费用。</w:t>
            </w:r>
          </w:p>
          <w:p>
            <w:pPr>
              <w:jc w:val="both"/>
            </w:pPr>
            <w:r>
              <w:rPr>
                <w:sz w:val="21"/>
              </w:rPr>
              <w:t>（</w:t>
            </w:r>
            <w:r>
              <w:rPr>
                <w:sz w:val="21"/>
              </w:rPr>
              <w:t>9）中标供应商有以下行为的，采购人有权采取终止服务委托、减扣或追回服务费等措施，情节严重的交由相关部门处理：</w:t>
            </w:r>
          </w:p>
          <w:p>
            <w:pPr>
              <w:jc w:val="both"/>
            </w:pPr>
            <w:r>
              <w:rPr>
                <w:sz w:val="21"/>
              </w:rPr>
              <w:t>1）</w:t>
            </w:r>
            <w:r>
              <w:rPr>
                <w:sz w:val="21"/>
              </w:rPr>
              <w:t>未按有关规定和要求开展工作；</w:t>
            </w:r>
          </w:p>
          <w:p>
            <w:pPr>
              <w:jc w:val="both"/>
            </w:pPr>
            <w:r>
              <w:rPr>
                <w:sz w:val="21"/>
              </w:rPr>
              <w:t>2）</w:t>
            </w:r>
            <w:r>
              <w:rPr>
                <w:sz w:val="21"/>
              </w:rPr>
              <w:t>服务过程中弄虚作假、索取或收受不当利益、为他人谋取私利；</w:t>
            </w:r>
          </w:p>
          <w:p>
            <w:pPr>
              <w:jc w:val="both"/>
            </w:pPr>
            <w:r>
              <w:rPr>
                <w:sz w:val="21"/>
              </w:rPr>
              <w:t>3）</w:t>
            </w:r>
            <w:r>
              <w:rPr>
                <w:sz w:val="21"/>
              </w:rPr>
              <w:t>未经采购人同意，擅自泄露项目有关信息，未按国家有关规定执行保密纪律；</w:t>
            </w:r>
          </w:p>
          <w:p>
            <w:pPr>
              <w:jc w:val="both"/>
            </w:pPr>
            <w:r>
              <w:rPr>
                <w:sz w:val="21"/>
              </w:rPr>
              <w:t>4）</w:t>
            </w:r>
            <w:r>
              <w:rPr>
                <w:sz w:val="21"/>
              </w:rPr>
              <w:t>因工作失误造成重大损失。</w:t>
            </w:r>
          </w:p>
          <w:p>
            <w:r>
              <w:rPr>
                <w:b/>
                <w:sz w:val="21"/>
              </w:rPr>
              <w:t>2.2</w:t>
            </w:r>
            <w:r>
              <w:rPr>
                <w:b/>
                <w:sz w:val="21"/>
              </w:rPr>
              <w:t>知识产权管理要求</w:t>
            </w:r>
          </w:p>
          <w:p>
            <w:pPr>
              <w:jc w:val="both"/>
            </w:pPr>
            <w:r>
              <w:rPr>
                <w:sz w:val="21"/>
              </w:rPr>
              <w:t>（</w:t>
            </w:r>
            <w:r>
              <w:rPr>
                <w:sz w:val="21"/>
              </w:rPr>
              <w:t>1）知识产权是指根据相关法律法规、行政法规以及国际条约、协定或合同的规定，相关方对智力成果享有的任何权利，其种类不限于著作权、专利权和商标权等。</w:t>
            </w:r>
          </w:p>
          <w:p>
            <w:pPr>
              <w:jc w:val="both"/>
            </w:pPr>
            <w:r>
              <w:rPr>
                <w:sz w:val="21"/>
              </w:rPr>
              <w:t>（</w:t>
            </w:r>
            <w:r>
              <w:rPr>
                <w:sz w:val="21"/>
              </w:rPr>
              <w:t>2）中标供应商就执行本项目形成的文件、数据材料、教学成果，采购人享有全部的知识产权，中标供应商就项目文件仅具有在本项目范围内的使用权。项目结束之后，中标供应商如需使用前述文件，包括但不限于引用项目文件或采购人提供的与项目相关的文件，在项目文件的基础上进行衍生创作等，均须取得采购人事先书面同意。</w:t>
            </w:r>
          </w:p>
          <w:p>
            <w:pPr>
              <w:jc w:val="both"/>
            </w:pPr>
            <w:r>
              <w:rPr>
                <w:sz w:val="21"/>
              </w:rPr>
              <w:t>（</w:t>
            </w:r>
            <w:r>
              <w:rPr>
                <w:sz w:val="21"/>
              </w:rPr>
              <w:t>3）未经采购人事先书面许可，中标供应商不得向任何第三方提供或公布数据指标与分析报告，并遵守有关保密条款，如出现泄密，由中标供应商负全部责任并赔偿对采购人造成的所有损失。</w:t>
            </w:r>
          </w:p>
          <w:p>
            <w:r>
              <w:rPr>
                <w:b/>
                <w:sz w:val="21"/>
              </w:rPr>
              <w:t>2.3人力资源管理要求</w:t>
            </w:r>
          </w:p>
          <w:p>
            <w:r>
              <w:rPr>
                <w:sz w:val="21"/>
              </w:rPr>
              <w:t>（</w:t>
            </w:r>
            <w:r>
              <w:rPr>
                <w:sz w:val="21"/>
              </w:rPr>
              <w:t>1）中标供应商严格按照招标文件及合同的约定为采购人提供军事教学服务，按采购人要求配齐人员。</w:t>
            </w:r>
            <w:r>
              <w:rPr>
                <w:sz w:val="21"/>
              </w:rPr>
              <w:t>中标供应商应优先录用与本项目相关工作经验的服务人员，</w:t>
            </w:r>
            <w:r>
              <w:rPr>
                <w:sz w:val="21"/>
              </w:rPr>
              <w:t>具体人员经采购人考核、面试合格后确定，若服务人员服务质量未达标的，采购人有权要求中标供应商更换服务人员。中标供应商应进行配合，接到采购人书面通知后两周内配齐。</w:t>
            </w:r>
          </w:p>
          <w:p>
            <w:pPr>
              <w:jc w:val="both"/>
            </w:pPr>
            <w:r>
              <w:rPr>
                <w:sz w:val="21"/>
              </w:rPr>
              <w:t>（</w:t>
            </w:r>
            <w:r>
              <w:rPr>
                <w:sz w:val="21"/>
              </w:rPr>
              <w:t>2）劳务用工管理、劳动纠纷处理、工资绩效发放、福利待遇、涉及劳动关系的所有事宜、人身意外伤害等均由中标供应商负责，解除与各岗位的服务人员签订劳动合同涉及的经济补偿</w:t>
            </w:r>
            <w:r>
              <w:rPr>
                <w:sz w:val="21"/>
              </w:rPr>
              <w:t>、赔偿均</w:t>
            </w:r>
            <w:r>
              <w:rPr>
                <w:sz w:val="21"/>
              </w:rPr>
              <w:t>由中标供应商支付。</w:t>
            </w:r>
          </w:p>
          <w:p>
            <w:pPr>
              <w:jc w:val="both"/>
            </w:pPr>
            <w:r>
              <w:rPr>
                <w:sz w:val="21"/>
              </w:rPr>
              <w:t>（</w:t>
            </w:r>
            <w:r>
              <w:rPr>
                <w:sz w:val="21"/>
              </w:rPr>
              <w:t>3）各岗位的服务人员必须严格遵守国家、军队相关法规制度和保密规定，遵守《广州市国防教育训练基地军事教练员管理规定》，服从和执行采购人的工作安排调度，接受中标供应商管理人员的监督检查。</w:t>
            </w:r>
          </w:p>
          <w:p>
            <w:pPr>
              <w:jc w:val="both"/>
            </w:pPr>
            <w:r>
              <w:rPr>
                <w:sz w:val="21"/>
              </w:rPr>
              <w:t>（</w:t>
            </w:r>
            <w:r>
              <w:rPr>
                <w:sz w:val="21"/>
              </w:rPr>
              <w:t>4）合同期内，发现各岗位的服务人员具有下列情况之一的，采购人可随时退回各岗位的服务人员：</w:t>
            </w:r>
          </w:p>
          <w:p>
            <w:pPr>
              <w:jc w:val="both"/>
            </w:pPr>
            <w:r>
              <w:rPr>
                <w:sz w:val="21"/>
              </w:rPr>
              <w:t>①试用期内被证明不符合条件的；</w:t>
            </w:r>
          </w:p>
          <w:p>
            <w:pPr>
              <w:jc w:val="both"/>
            </w:pPr>
            <w:r>
              <w:rPr>
                <w:sz w:val="21"/>
              </w:rPr>
              <w:t>②严重违反国家、军队和采购人各项规章制度，违反保密规定的；</w:t>
            </w:r>
          </w:p>
          <w:p>
            <w:pPr>
              <w:jc w:val="both"/>
            </w:pPr>
            <w:r>
              <w:rPr>
                <w:sz w:val="21"/>
              </w:rPr>
              <w:t>③严重失职，给采购人利益造成重大损害的；</w:t>
            </w:r>
          </w:p>
          <w:p>
            <w:pPr>
              <w:jc w:val="both"/>
            </w:pPr>
            <w:r>
              <w:rPr>
                <w:sz w:val="21"/>
              </w:rPr>
              <w:t>⑤有违法犯罪行为被追究刑事责任的；</w:t>
            </w:r>
          </w:p>
          <w:p>
            <w:pPr>
              <w:jc w:val="both"/>
            </w:pPr>
            <w:r>
              <w:rPr>
                <w:sz w:val="21"/>
              </w:rPr>
              <w:t>⑥不服从采购人教育管理、同时与其他单位建立劳动关系，对完成采购人工作任务造成严重影响的；</w:t>
            </w:r>
          </w:p>
          <w:p>
            <w:pPr>
              <w:jc w:val="both"/>
            </w:pPr>
            <w:r>
              <w:rPr>
                <w:sz w:val="21"/>
              </w:rPr>
              <w:t>⑦患病或非因公负伤，在规定医疗期满后不能从事原工作，也不能从事由采购人另行安排的工作的；</w:t>
            </w:r>
          </w:p>
          <w:p>
            <w:pPr>
              <w:jc w:val="both"/>
            </w:pPr>
            <w:r>
              <w:rPr>
                <w:sz w:val="21"/>
              </w:rPr>
              <w:t>⑧不能胜任工作，经培训和调整岗位仍不能胜任的。</w:t>
            </w:r>
          </w:p>
          <w:p>
            <w:pPr>
              <w:jc w:val="both"/>
            </w:pPr>
            <w:r>
              <w:rPr>
                <w:sz w:val="21"/>
              </w:rPr>
              <w:t>（</w:t>
            </w:r>
            <w:r>
              <w:rPr>
                <w:sz w:val="21"/>
              </w:rPr>
              <w:t>5）各岗位的服务人员的管理原则上参照《广州市国防教育训练基地军事教练员管理规定》中相关要求执行，其他未尽管理方面问题，参照国家、军队相关管理规定和劳动法律法规执行。</w:t>
            </w:r>
          </w:p>
          <w:p>
            <w:pPr>
              <w:jc w:val="both"/>
            </w:pPr>
            <w:r>
              <w:rPr>
                <w:sz w:val="21"/>
              </w:rPr>
              <w:t>（</w:t>
            </w:r>
            <w:r>
              <w:rPr>
                <w:sz w:val="21"/>
              </w:rPr>
              <w:t>6）合同期内，中标供应商应严格按照《中华人民共和国劳动法》等相关政府有关文件，保证为采购人工作的服务人员实收工资不低于项目所在地最低工资、社保、公积金费用等薪酬标准。除上述费用外，组训、高温补贴、奖金、年终福利、员工体检等所有一切费用已包含在本项目采购预算中。</w:t>
            </w:r>
            <w:r>
              <w:rPr>
                <w:b/>
                <w:sz w:val="21"/>
              </w:rPr>
              <w:t>在签约期内，采购人根据实际情况，有权决定每月的实际岗位级别及用工人数，对岗位级别及用工人数进行增减。</w:t>
            </w:r>
            <w:r>
              <w:rPr>
                <w:sz w:val="21"/>
              </w:rPr>
              <w:t>中标供应商必须按采购人要求的岗位人数，在保证服务人员服务水平的前提下，提供充足数量的服务人员。每月最终结算以当月核定的实际岗位用工人数，每月各项服务质量考核及中标供应商上月支付的社保凭证等资料作为采购人支付当月实际服务费用给中标供应商的凭证。中标供应商不得由于工资等问题导致影响项目服务质量或影响履约进度。</w:t>
            </w:r>
          </w:p>
          <w:p>
            <w:pPr>
              <w:jc w:val="both"/>
            </w:pPr>
            <w:r>
              <w:rPr>
                <w:sz w:val="21"/>
              </w:rPr>
              <w:t>（</w:t>
            </w:r>
            <w:r>
              <w:rPr>
                <w:sz w:val="21"/>
              </w:rPr>
              <w:t>7）根据中标供应商提供的人员日常服务情况，采购人有权要求更换服务人员，所产生的费用由中标供应商承担。</w:t>
            </w:r>
          </w:p>
          <w:p>
            <w:pPr>
              <w:jc w:val="both"/>
            </w:pPr>
            <w:r>
              <w:rPr>
                <w:b/>
                <w:sz w:val="21"/>
              </w:rPr>
              <w:t>3.合同终止的条件</w:t>
            </w:r>
          </w:p>
          <w:p>
            <w:pPr>
              <w:jc w:val="both"/>
            </w:pPr>
            <w:r>
              <w:rPr>
                <w:sz w:val="21"/>
              </w:rPr>
              <w:t>在合同服务期内出现以下情况之一，采购人有权终止服务合同：</w:t>
            </w:r>
          </w:p>
          <w:p>
            <w:r>
              <w:rPr>
                <w:sz w:val="21"/>
              </w:rPr>
              <w:t>3.1 经核查，因中标供应商原因造成的安全事故或造成恶劣影响的；</w:t>
            </w:r>
          </w:p>
          <w:p>
            <w:r>
              <w:rPr>
                <w:sz w:val="21"/>
              </w:rPr>
              <w:t>3.2 经核查，有失泄密行为的造成恶劣影响的；</w:t>
            </w:r>
          </w:p>
          <w:p>
            <w:pPr>
              <w:jc w:val="both"/>
            </w:pPr>
            <w:r>
              <w:rPr>
                <w:sz w:val="21"/>
              </w:rPr>
              <w:t>3.3</w:t>
            </w:r>
            <w:r>
              <w:rPr>
                <w:sz w:val="21"/>
              </w:rPr>
              <w:t>采购人发现服务质量问题要求限期整改的，中标供应商累计连续出现三次未按期整改且不能提供充分合理的理由，严重影响服务质量的；</w:t>
            </w:r>
          </w:p>
          <w:p>
            <w:pPr>
              <w:jc w:val="both"/>
            </w:pPr>
            <w:r>
              <w:rPr>
                <w:b/>
                <w:sz w:val="21"/>
              </w:rPr>
              <w:t>4.</w:t>
            </w:r>
            <w:r>
              <w:rPr>
                <w:b/>
                <w:sz w:val="21"/>
              </w:rPr>
              <w:t>考核验收要求</w:t>
            </w:r>
          </w:p>
          <w:p>
            <w:pPr>
              <w:jc w:val="both"/>
            </w:pPr>
            <w:r>
              <w:rPr>
                <w:sz w:val="21"/>
              </w:rPr>
              <w:t>为保证服务质量，采购人每月对中标供应商提供的服务进行监督和检查考评，总分为</w:t>
            </w:r>
            <w:r>
              <w:rPr>
                <w:sz w:val="21"/>
              </w:rPr>
              <w:t>100分。</w:t>
            </w:r>
            <w:r>
              <w:rPr>
                <w:sz w:val="21"/>
              </w:rPr>
              <w:t>采购人在合同期内有权结合实际需求及相关法规规范的变更，更新、调整考核评价项目、内容及分值。</w:t>
            </w:r>
          </w:p>
          <w:p>
            <w:pPr>
              <w:jc w:val="both"/>
            </w:pPr>
            <w:r>
              <w:rPr>
                <w:sz w:val="21"/>
              </w:rPr>
              <w:t>4.1服务质量考核表：</w:t>
            </w:r>
          </w:p>
          <w:p>
            <w:pPr>
              <w:jc w:val="center"/>
            </w:pPr>
            <w:r>
              <w:rPr>
                <w:b/>
                <w:sz w:val="21"/>
              </w:rPr>
              <w:t>服务质量考核表</w:t>
            </w:r>
          </w:p>
          <w:p>
            <w:pPr>
              <w:jc w:val="both"/>
            </w:pPr>
            <w:r>
              <w:rPr>
                <w:b/>
                <w:sz w:val="21"/>
              </w:rPr>
              <w:t>注：每项考核内容累计扣分，最高扣至分项总分。</w:t>
            </w:r>
          </w:p>
          <w:tbl>
            <w:tblPr>
              <w:tblBorders>
                <w:top w:val="none" w:color="000000" w:sz="4"/>
                <w:left w:val="none" w:color="000000" w:sz="4"/>
                <w:bottom w:val="none" w:color="000000" w:sz="4"/>
                <w:right w:val="none" w:color="000000" w:sz="4"/>
                <w:insideH w:val="none"/>
                <w:insideV w:val="none"/>
              </w:tblBorders>
            </w:tblPr>
            <w:tblGrid>
              <w:gridCol w:w="614"/>
              <w:gridCol w:w="3033"/>
              <w:gridCol w:w="660"/>
              <w:gridCol w:w="660"/>
              <w:gridCol w:w="632"/>
            </w:tblGrid>
            <w:tr>
              <w:tc>
                <w:tcPr>
                  <w:tcW w:type="dxa" w:w="614"/>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3033"/>
                  <w:tcBorders>
                    <w:top w:val="single" w:color="000000" w:sz="4"/>
                    <w:left w:val="single" w:color="000000" w:sz="4"/>
                    <w:bottom w:val="single" w:color="000000" w:sz="4"/>
                    <w:right w:val="single" w:color="000000" w:sz="4"/>
                  </w:tcBorders>
                  <w:vAlign w:val="top"/>
                </w:tcPr>
                <w:p>
                  <w:pPr>
                    <w:jc w:val="center"/>
                  </w:pPr>
                  <w:r>
                    <w:rPr>
                      <w:b/>
                      <w:sz w:val="21"/>
                    </w:rPr>
                    <w:t>考核要求</w:t>
                  </w:r>
                </w:p>
              </w:tc>
              <w:tc>
                <w:tcPr>
                  <w:tcW w:type="dxa" w:w="660"/>
                  <w:tcBorders>
                    <w:top w:val="single" w:color="000000" w:sz="4"/>
                    <w:left w:val="single" w:color="000000" w:sz="4"/>
                    <w:bottom w:val="single" w:color="000000" w:sz="4"/>
                    <w:right w:val="single" w:color="000000" w:sz="4"/>
                  </w:tcBorders>
                  <w:vAlign w:val="top"/>
                </w:tcPr>
                <w:p>
                  <w:pPr>
                    <w:jc w:val="center"/>
                  </w:pPr>
                  <w:r>
                    <w:rPr>
                      <w:b/>
                      <w:sz w:val="21"/>
                    </w:rPr>
                    <w:t>分值</w:t>
                  </w:r>
                </w:p>
              </w:tc>
              <w:tc>
                <w:tcPr>
                  <w:tcW w:type="dxa" w:w="660"/>
                  <w:tcBorders>
                    <w:top w:val="single" w:color="000000" w:sz="4"/>
                    <w:left w:val="single" w:color="000000" w:sz="4"/>
                    <w:bottom w:val="single" w:color="000000" w:sz="4"/>
                    <w:right w:val="single" w:color="000000" w:sz="4"/>
                  </w:tcBorders>
                  <w:vAlign w:val="top"/>
                </w:tcPr>
                <w:p>
                  <w:pPr>
                    <w:jc w:val="center"/>
                  </w:pPr>
                  <w:r>
                    <w:rPr>
                      <w:b/>
                      <w:sz w:val="21"/>
                    </w:rPr>
                    <w:t>扣分明细</w:t>
                  </w:r>
                </w:p>
              </w:tc>
              <w:tc>
                <w:tcPr>
                  <w:tcW w:type="dxa" w:w="632"/>
                  <w:tcBorders>
                    <w:top w:val="single" w:color="000000" w:sz="4"/>
                    <w:left w:val="single" w:color="000000" w:sz="4"/>
                    <w:bottom w:val="single" w:color="000000" w:sz="4"/>
                    <w:right w:val="single" w:color="000000" w:sz="4"/>
                  </w:tcBorders>
                  <w:vAlign w:val="top"/>
                </w:tcPr>
                <w:p>
                  <w:pPr>
                    <w:jc w:val="center"/>
                  </w:pPr>
                  <w:r>
                    <w:rPr>
                      <w:b/>
                      <w:sz w:val="21"/>
                    </w:rPr>
                    <w:t>考核得数</w:t>
                  </w:r>
                </w:p>
              </w:tc>
            </w:tr>
            <w:tr>
              <w:tc>
                <w:tcPr>
                  <w:tcW w:type="dxa" w:w="5599"/>
                  <w:gridSpan w:val="5"/>
                  <w:tcBorders>
                    <w:top w:val="none" w:color="000000" w:sz="4"/>
                    <w:left w:val="single" w:color="000000" w:sz="4"/>
                    <w:bottom w:val="single" w:color="000000" w:sz="4"/>
                    <w:right w:val="single" w:color="000000" w:sz="4"/>
                  </w:tcBorders>
                  <w:vAlign w:val="top"/>
                </w:tcPr>
                <w:p>
                  <w:pPr>
                    <w:jc w:val="left"/>
                  </w:pPr>
                  <w:r>
                    <w:rPr>
                      <w:b/>
                      <w:sz w:val="21"/>
                    </w:rPr>
                    <w:t>一、服务商整体履约情况</w:t>
                  </w:r>
                </w:p>
              </w:tc>
            </w:tr>
            <w:tr>
              <w:tc>
                <w:tcPr>
                  <w:tcW w:type="dxa" w:w="61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33"/>
                  <w:tcBorders>
                    <w:top w:val="single" w:color="000000" w:sz="4"/>
                    <w:left w:val="single" w:color="000000" w:sz="4"/>
                    <w:bottom w:val="single" w:color="000000" w:sz="4"/>
                    <w:right w:val="single" w:color="000000" w:sz="4"/>
                  </w:tcBorders>
                  <w:vAlign w:val="top"/>
                </w:tcPr>
                <w:p>
                  <w:pPr>
                    <w:jc w:val="center"/>
                  </w:pPr>
                  <w:r>
                    <w:rPr>
                      <w:sz w:val="21"/>
                    </w:rPr>
                    <w:t>按项目需求派驻服务人员准时到位，按采购人意见对岗位设置、人员选用及时进行调整，对于采购人提出的不符合要求的服务人员及时更换；每发现一次不满足要求的扣</w:t>
                  </w:r>
                  <w:r>
                    <w:rPr>
                      <w:sz w:val="21"/>
                    </w:rPr>
                    <w:t>5分。</w:t>
                  </w:r>
                </w:p>
              </w:tc>
              <w:tc>
                <w:tcPr>
                  <w:tcW w:type="dxa" w:w="660"/>
                  <w:tcBorders>
                    <w:top w:val="single" w:color="000000" w:sz="4"/>
                    <w:left w:val="single" w:color="000000" w:sz="4"/>
                    <w:bottom w:val="single" w:color="000000" w:sz="4"/>
                    <w:right w:val="single" w:color="000000" w:sz="4"/>
                  </w:tcBorders>
                  <w:vAlign w:val="top"/>
                </w:tcPr>
                <w:p>
                  <w:pPr>
                    <w:jc w:val="center"/>
                  </w:pPr>
                  <w:r>
                    <w:rPr>
                      <w:sz w:val="21"/>
                    </w:rPr>
                    <w:t>10</w:t>
                  </w:r>
                </w:p>
              </w:tc>
              <w:tc>
                <w:tcPr>
                  <w:tcW w:type="dxa" w:w="660"/>
                  <w:tcBorders>
                    <w:top w:val="single" w:color="000000" w:sz="4"/>
                    <w:left w:val="single" w:color="000000" w:sz="4"/>
                    <w:bottom w:val="single" w:color="000000" w:sz="4"/>
                    <w:right w:val="single" w:color="000000" w:sz="4"/>
                  </w:tcBorders>
                  <w:vAlign w:val="top"/>
                </w:tcPr>
                <w:p>
                  <w:pPr>
                    <w:jc w:val="center"/>
                  </w:pPr>
                </w:p>
              </w:tc>
              <w:tc>
                <w:tcPr>
                  <w:tcW w:type="dxa" w:w="632"/>
                  <w:tcBorders>
                    <w:top w:val="single" w:color="000000" w:sz="4"/>
                    <w:left w:val="single" w:color="000000" w:sz="4"/>
                    <w:bottom w:val="single" w:color="000000" w:sz="4"/>
                    <w:right w:val="single" w:color="000000" w:sz="4"/>
                  </w:tcBorders>
                  <w:vAlign w:val="top"/>
                </w:tcPr>
                <w:p>
                  <w:pPr>
                    <w:jc w:val="center"/>
                  </w:pPr>
                </w:p>
              </w:tc>
            </w:tr>
            <w:tr>
              <w:tc>
                <w:tcPr>
                  <w:tcW w:type="dxa" w:w="61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33"/>
                  <w:tcBorders>
                    <w:top w:val="none" w:color="000000" w:sz="4"/>
                    <w:left w:val="single" w:color="000000" w:sz="4"/>
                    <w:bottom w:val="single" w:color="000000" w:sz="4"/>
                    <w:right w:val="single" w:color="000000" w:sz="4"/>
                  </w:tcBorders>
                  <w:vAlign w:val="top"/>
                </w:tcPr>
                <w:p>
                  <w:pPr>
                    <w:jc w:val="center"/>
                  </w:pPr>
                  <w:r>
                    <w:rPr>
                      <w:sz w:val="21"/>
                    </w:rPr>
                    <w:t>履行对服务人员的用人单位义务情况：服务人员的招聘、人事管理（劳动合同签订、终止或解除等），劳资、保险办理（包括社会保险和商业保险）、残疾人就业保障金缴纳等人事劳资管理工作，为服务人员办理劳动用工手续、发放结算工资、发放经济补偿金、缴纳社会保险和住房公积金、处理保险理赔等方面的管理服务；每发现一次不满足要求的扣</w:t>
                  </w:r>
                  <w:r>
                    <w:rPr>
                      <w:sz w:val="21"/>
                    </w:rPr>
                    <w:t>5分。</w:t>
                  </w:r>
                </w:p>
              </w:tc>
              <w:tc>
                <w:tcPr>
                  <w:tcW w:type="dxa" w:w="66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60"/>
                  <w:tcBorders>
                    <w:top w:val="none" w:color="000000" w:sz="4"/>
                    <w:left w:val="single" w:color="000000" w:sz="4"/>
                    <w:bottom w:val="single" w:color="000000" w:sz="4"/>
                    <w:right w:val="single" w:color="000000" w:sz="4"/>
                  </w:tcBorders>
                  <w:vAlign w:val="top"/>
                </w:tcPr>
                <w:p>
                  <w:pPr>
                    <w:jc w:val="center"/>
                  </w:pPr>
                </w:p>
              </w:tc>
              <w:tc>
                <w:tcPr>
                  <w:tcW w:type="dxa" w:w="632"/>
                  <w:tcBorders>
                    <w:top w:val="none" w:color="000000" w:sz="4"/>
                    <w:left w:val="single" w:color="000000" w:sz="4"/>
                    <w:bottom w:val="single" w:color="000000" w:sz="4"/>
                    <w:right w:val="single" w:color="000000" w:sz="4"/>
                  </w:tcBorders>
                  <w:vAlign w:val="top"/>
                </w:tcPr>
                <w:p>
                  <w:pPr>
                    <w:jc w:val="center"/>
                  </w:pPr>
                </w:p>
              </w:tc>
            </w:tr>
            <w:tr>
              <w:tc>
                <w:tcPr>
                  <w:tcW w:type="dxa" w:w="61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033"/>
                  <w:tcBorders>
                    <w:top w:val="none" w:color="000000" w:sz="4"/>
                    <w:left w:val="single" w:color="000000" w:sz="4"/>
                    <w:bottom w:val="single" w:color="000000" w:sz="4"/>
                    <w:right w:val="single" w:color="000000" w:sz="4"/>
                  </w:tcBorders>
                  <w:vAlign w:val="top"/>
                </w:tcPr>
                <w:p>
                  <w:pPr>
                    <w:jc w:val="center"/>
                  </w:pPr>
                  <w:r>
                    <w:rPr>
                      <w:sz w:val="21"/>
                    </w:rPr>
                    <w:t>定期为服务人员进行安全、业务、法律知识等必要的教育培训；每发现一次不满足要求的扣</w:t>
                  </w:r>
                  <w:r>
                    <w:rPr>
                      <w:sz w:val="21"/>
                    </w:rPr>
                    <w:t>5分。</w:t>
                  </w:r>
                </w:p>
              </w:tc>
              <w:tc>
                <w:tcPr>
                  <w:tcW w:type="dxa" w:w="66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60"/>
                  <w:tcBorders>
                    <w:top w:val="none" w:color="000000" w:sz="4"/>
                    <w:left w:val="single" w:color="000000" w:sz="4"/>
                    <w:bottom w:val="single" w:color="000000" w:sz="4"/>
                    <w:right w:val="single" w:color="000000" w:sz="4"/>
                  </w:tcBorders>
                  <w:vAlign w:val="top"/>
                </w:tcPr>
                <w:p>
                  <w:pPr>
                    <w:jc w:val="center"/>
                  </w:pPr>
                </w:p>
              </w:tc>
              <w:tc>
                <w:tcPr>
                  <w:tcW w:type="dxa" w:w="632"/>
                  <w:tcBorders>
                    <w:top w:val="none" w:color="000000" w:sz="4"/>
                    <w:left w:val="single" w:color="000000" w:sz="4"/>
                    <w:bottom w:val="single" w:color="000000" w:sz="4"/>
                    <w:right w:val="single" w:color="000000" w:sz="4"/>
                  </w:tcBorders>
                  <w:vAlign w:val="top"/>
                </w:tcPr>
                <w:p>
                  <w:pPr>
                    <w:jc w:val="center"/>
                  </w:pPr>
                </w:p>
              </w:tc>
            </w:tr>
            <w:tr>
              <w:tc>
                <w:tcPr>
                  <w:tcW w:type="dxa" w:w="61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033"/>
                  <w:tcBorders>
                    <w:top w:val="none" w:color="000000" w:sz="4"/>
                    <w:left w:val="single" w:color="000000" w:sz="4"/>
                    <w:bottom w:val="single" w:color="000000" w:sz="4"/>
                    <w:right w:val="single" w:color="000000" w:sz="4"/>
                  </w:tcBorders>
                  <w:vAlign w:val="top"/>
                </w:tcPr>
                <w:p>
                  <w:pPr>
                    <w:jc w:val="center"/>
                  </w:pPr>
                  <w:r>
                    <w:rPr>
                      <w:sz w:val="21"/>
                    </w:rPr>
                    <w:t>所建立的服务体系和标准是否健全、完善，并充分适应采购人要求的；每发现一次不满足要求的扣</w:t>
                  </w:r>
                  <w:r>
                    <w:rPr>
                      <w:sz w:val="21"/>
                    </w:rPr>
                    <w:t>5分。</w:t>
                  </w:r>
                </w:p>
              </w:tc>
              <w:tc>
                <w:tcPr>
                  <w:tcW w:type="dxa" w:w="66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60"/>
                  <w:tcBorders>
                    <w:top w:val="none" w:color="000000" w:sz="4"/>
                    <w:left w:val="single" w:color="000000" w:sz="4"/>
                    <w:bottom w:val="single" w:color="000000" w:sz="4"/>
                    <w:right w:val="single" w:color="000000" w:sz="4"/>
                  </w:tcBorders>
                  <w:vAlign w:val="top"/>
                </w:tcPr>
                <w:p>
                  <w:pPr>
                    <w:jc w:val="center"/>
                  </w:pPr>
                </w:p>
              </w:tc>
              <w:tc>
                <w:tcPr>
                  <w:tcW w:type="dxa" w:w="632"/>
                  <w:tcBorders>
                    <w:top w:val="none" w:color="000000" w:sz="4"/>
                    <w:left w:val="single" w:color="000000" w:sz="4"/>
                    <w:bottom w:val="single" w:color="000000" w:sz="4"/>
                    <w:right w:val="single" w:color="000000" w:sz="4"/>
                  </w:tcBorders>
                  <w:vAlign w:val="top"/>
                </w:tcPr>
                <w:p>
                  <w:pPr>
                    <w:jc w:val="center"/>
                  </w:pPr>
                </w:p>
              </w:tc>
            </w:tr>
            <w:tr>
              <w:tc>
                <w:tcPr>
                  <w:tcW w:type="dxa" w:w="61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33"/>
                  <w:tcBorders>
                    <w:top w:val="none" w:color="000000" w:sz="4"/>
                    <w:left w:val="single" w:color="000000" w:sz="4"/>
                    <w:bottom w:val="single" w:color="000000" w:sz="4"/>
                    <w:right w:val="single" w:color="000000" w:sz="4"/>
                  </w:tcBorders>
                  <w:vAlign w:val="top"/>
                </w:tcPr>
                <w:p>
                  <w:pPr>
                    <w:jc w:val="center"/>
                  </w:pPr>
                  <w:r>
                    <w:rPr>
                      <w:sz w:val="21"/>
                    </w:rPr>
                    <w:t>科研、自然教育、宣传等辅助工作落实不到位，造成负面影响，经查实，每发生一次扣</w:t>
                  </w:r>
                  <w:r>
                    <w:rPr>
                      <w:sz w:val="21"/>
                    </w:rPr>
                    <w:t>2分，造成严重影响的，加倍扣分并依法追究当事人负责。</w:t>
                  </w:r>
                </w:p>
              </w:tc>
              <w:tc>
                <w:tcPr>
                  <w:tcW w:type="dxa" w:w="66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60"/>
                  <w:tcBorders>
                    <w:top w:val="none" w:color="000000" w:sz="4"/>
                    <w:left w:val="single" w:color="000000" w:sz="4"/>
                    <w:bottom w:val="single" w:color="000000" w:sz="4"/>
                    <w:right w:val="single" w:color="000000" w:sz="4"/>
                  </w:tcBorders>
                  <w:vAlign w:val="top"/>
                </w:tcPr>
                <w:p>
                  <w:pPr>
                    <w:jc w:val="center"/>
                  </w:pPr>
                </w:p>
              </w:tc>
              <w:tc>
                <w:tcPr>
                  <w:tcW w:type="dxa" w:w="632"/>
                  <w:tcBorders>
                    <w:top w:val="none" w:color="000000" w:sz="4"/>
                    <w:left w:val="single" w:color="000000" w:sz="4"/>
                    <w:bottom w:val="single" w:color="000000" w:sz="4"/>
                    <w:right w:val="single" w:color="000000" w:sz="4"/>
                  </w:tcBorders>
                  <w:vAlign w:val="top"/>
                </w:tcPr>
                <w:p>
                  <w:pPr>
                    <w:jc w:val="center"/>
                  </w:pPr>
                </w:p>
              </w:tc>
            </w:tr>
            <w:tr>
              <w:tc>
                <w:tcPr>
                  <w:tcW w:type="dxa" w:w="5599"/>
                  <w:gridSpan w:val="5"/>
                  <w:tcBorders>
                    <w:top w:val="none" w:color="000000" w:sz="4"/>
                    <w:left w:val="single" w:color="000000" w:sz="4"/>
                    <w:bottom w:val="single" w:color="000000" w:sz="4"/>
                    <w:right w:val="single" w:color="000000" w:sz="4"/>
                  </w:tcBorders>
                  <w:vAlign w:val="top"/>
                </w:tcPr>
                <w:p>
                  <w:pPr>
                    <w:jc w:val="center"/>
                  </w:pPr>
                  <w:r>
                    <w:rPr>
                      <w:b/>
                      <w:sz w:val="21"/>
                    </w:rPr>
                    <w:t>二、服务人员的工作能力、服务态度、工作纪律</w:t>
                  </w:r>
                </w:p>
              </w:tc>
            </w:tr>
            <w:tr>
              <w:tc>
                <w:tcPr>
                  <w:tcW w:type="dxa" w:w="61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33"/>
                  <w:tcBorders>
                    <w:top w:val="single" w:color="000000" w:sz="4"/>
                    <w:left w:val="single" w:color="000000" w:sz="4"/>
                    <w:bottom w:val="single" w:color="000000" w:sz="4"/>
                    <w:right w:val="single" w:color="000000" w:sz="4"/>
                  </w:tcBorders>
                  <w:vAlign w:val="top"/>
                </w:tcPr>
                <w:p>
                  <w:pPr>
                    <w:jc w:val="center"/>
                  </w:pPr>
                  <w:r>
                    <w:rPr>
                      <w:sz w:val="21"/>
                    </w:rPr>
                    <w:t>服务人员完成相关工作任务，及时有效独立处理各种情况；</w:t>
                  </w:r>
                  <w:r>
                    <w:rPr>
                      <w:sz w:val="21"/>
                    </w:rPr>
                    <w:t>每发现一次不满足要求的扣</w:t>
                  </w:r>
                  <w:r>
                    <w:rPr>
                      <w:sz w:val="21"/>
                    </w:rPr>
                    <w:t>5分。</w:t>
                  </w:r>
                </w:p>
              </w:tc>
              <w:tc>
                <w:tcPr>
                  <w:tcW w:type="dxa" w:w="660"/>
                  <w:tcBorders>
                    <w:top w:val="single" w:color="000000" w:sz="4"/>
                    <w:left w:val="single" w:color="000000" w:sz="4"/>
                    <w:bottom w:val="single" w:color="000000" w:sz="4"/>
                    <w:right w:val="single" w:color="000000" w:sz="4"/>
                  </w:tcBorders>
                  <w:vAlign w:val="top"/>
                </w:tcPr>
                <w:p>
                  <w:pPr>
                    <w:jc w:val="center"/>
                  </w:pPr>
                  <w:r>
                    <w:rPr>
                      <w:sz w:val="21"/>
                    </w:rPr>
                    <w:t>10</w:t>
                  </w:r>
                </w:p>
              </w:tc>
              <w:tc>
                <w:tcPr>
                  <w:tcW w:type="dxa" w:w="660"/>
                  <w:tcBorders>
                    <w:top w:val="single" w:color="000000" w:sz="4"/>
                    <w:left w:val="single" w:color="000000" w:sz="4"/>
                    <w:bottom w:val="single" w:color="000000" w:sz="4"/>
                    <w:right w:val="single" w:color="000000" w:sz="4"/>
                  </w:tcBorders>
                  <w:vAlign w:val="top"/>
                </w:tcPr>
                <w:p>
                  <w:pPr>
                    <w:jc w:val="center"/>
                  </w:pPr>
                </w:p>
              </w:tc>
              <w:tc>
                <w:tcPr>
                  <w:tcW w:type="dxa" w:w="632"/>
                  <w:tcBorders>
                    <w:top w:val="single" w:color="000000" w:sz="4"/>
                    <w:left w:val="single" w:color="000000" w:sz="4"/>
                    <w:bottom w:val="single" w:color="000000" w:sz="4"/>
                    <w:right w:val="single" w:color="000000" w:sz="4"/>
                  </w:tcBorders>
                  <w:vAlign w:val="top"/>
                </w:tcPr>
                <w:p>
                  <w:pPr>
                    <w:jc w:val="center"/>
                  </w:pPr>
                </w:p>
              </w:tc>
            </w:tr>
            <w:tr>
              <w:tc>
                <w:tcPr>
                  <w:tcW w:type="dxa" w:w="61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033"/>
                  <w:tcBorders>
                    <w:top w:val="none" w:color="000000" w:sz="4"/>
                    <w:left w:val="single" w:color="000000" w:sz="4"/>
                    <w:bottom w:val="single" w:color="000000" w:sz="4"/>
                    <w:right w:val="single" w:color="000000" w:sz="4"/>
                  </w:tcBorders>
                  <w:vAlign w:val="top"/>
                </w:tcPr>
                <w:p>
                  <w:pPr>
                    <w:jc w:val="center"/>
                  </w:pPr>
                  <w:r>
                    <w:rPr>
                      <w:sz w:val="21"/>
                    </w:rPr>
                    <w:t>服务人员是否具备与所在岗位相匹配的工作能力；</w:t>
                  </w:r>
                  <w:r>
                    <w:rPr>
                      <w:sz w:val="21"/>
                    </w:rPr>
                    <w:t>每发现一次不满足要求的扣</w:t>
                  </w:r>
                  <w:r>
                    <w:rPr>
                      <w:sz w:val="21"/>
                    </w:rPr>
                    <w:t>5分。</w:t>
                  </w:r>
                </w:p>
              </w:tc>
              <w:tc>
                <w:tcPr>
                  <w:tcW w:type="dxa" w:w="66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60"/>
                  <w:tcBorders>
                    <w:top w:val="none" w:color="000000" w:sz="4"/>
                    <w:left w:val="single" w:color="000000" w:sz="4"/>
                    <w:bottom w:val="single" w:color="000000" w:sz="4"/>
                    <w:right w:val="single" w:color="000000" w:sz="4"/>
                  </w:tcBorders>
                  <w:vAlign w:val="top"/>
                </w:tcPr>
                <w:p>
                  <w:pPr>
                    <w:jc w:val="center"/>
                  </w:pPr>
                </w:p>
              </w:tc>
              <w:tc>
                <w:tcPr>
                  <w:tcW w:type="dxa" w:w="632"/>
                  <w:tcBorders>
                    <w:top w:val="none" w:color="000000" w:sz="4"/>
                    <w:left w:val="single" w:color="000000" w:sz="4"/>
                    <w:bottom w:val="single" w:color="000000" w:sz="4"/>
                    <w:right w:val="single" w:color="000000" w:sz="4"/>
                  </w:tcBorders>
                  <w:vAlign w:val="top"/>
                </w:tcPr>
                <w:p>
                  <w:pPr>
                    <w:jc w:val="center"/>
                  </w:pPr>
                </w:p>
              </w:tc>
            </w:tr>
            <w:tr>
              <w:tc>
                <w:tcPr>
                  <w:tcW w:type="dxa" w:w="61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033"/>
                  <w:tcBorders>
                    <w:top w:val="none" w:color="000000" w:sz="4"/>
                    <w:left w:val="single" w:color="000000" w:sz="4"/>
                    <w:bottom w:val="single" w:color="000000" w:sz="4"/>
                    <w:right w:val="single" w:color="000000" w:sz="4"/>
                  </w:tcBorders>
                  <w:vAlign w:val="top"/>
                </w:tcPr>
                <w:p>
                  <w:pPr>
                    <w:jc w:val="center"/>
                  </w:pPr>
                  <w:r>
                    <w:rPr>
                      <w:sz w:val="21"/>
                    </w:rPr>
                    <w:t>服务人员是否遵守国家法律、法规和工作地点所在单位的规章制度和工作纪律，保守技术秘密和工作秘密；</w:t>
                  </w:r>
                  <w:r>
                    <w:rPr>
                      <w:sz w:val="21"/>
                    </w:rPr>
                    <w:t>每发现一次不满足要求的扣</w:t>
                  </w:r>
                  <w:r>
                    <w:rPr>
                      <w:sz w:val="21"/>
                    </w:rPr>
                    <w:t>10分。</w:t>
                  </w:r>
                </w:p>
              </w:tc>
              <w:tc>
                <w:tcPr>
                  <w:tcW w:type="dxa" w:w="660"/>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660"/>
                  <w:tcBorders>
                    <w:top w:val="none" w:color="000000" w:sz="4"/>
                    <w:left w:val="single" w:color="000000" w:sz="4"/>
                    <w:bottom w:val="single" w:color="000000" w:sz="4"/>
                    <w:right w:val="single" w:color="000000" w:sz="4"/>
                  </w:tcBorders>
                  <w:vAlign w:val="top"/>
                </w:tcPr>
                <w:p>
                  <w:pPr>
                    <w:jc w:val="center"/>
                  </w:pPr>
                </w:p>
              </w:tc>
              <w:tc>
                <w:tcPr>
                  <w:tcW w:type="dxa" w:w="632"/>
                  <w:tcBorders>
                    <w:top w:val="none" w:color="000000" w:sz="4"/>
                    <w:left w:val="single" w:color="000000" w:sz="4"/>
                    <w:bottom w:val="single" w:color="000000" w:sz="4"/>
                    <w:right w:val="single" w:color="000000" w:sz="4"/>
                  </w:tcBorders>
                  <w:vAlign w:val="top"/>
                </w:tcPr>
                <w:p>
                  <w:pPr>
                    <w:jc w:val="center"/>
                  </w:pPr>
                </w:p>
              </w:tc>
            </w:tr>
            <w:tr>
              <w:tc>
                <w:tcPr>
                  <w:tcW w:type="dxa" w:w="61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033"/>
                  <w:tcBorders>
                    <w:top w:val="none" w:color="000000" w:sz="4"/>
                    <w:left w:val="single" w:color="000000" w:sz="4"/>
                    <w:bottom w:val="single" w:color="000000" w:sz="4"/>
                    <w:right w:val="single" w:color="000000" w:sz="4"/>
                  </w:tcBorders>
                  <w:vAlign w:val="top"/>
                </w:tcPr>
                <w:p>
                  <w:pPr>
                    <w:jc w:val="center"/>
                  </w:pPr>
                  <w:r>
                    <w:rPr>
                      <w:sz w:val="21"/>
                    </w:rPr>
                    <w:t>服务人员的服务态度是否良好，是否存在被服务对象投诉等情况。</w:t>
                  </w:r>
                  <w:r>
                    <w:rPr>
                      <w:sz w:val="21"/>
                    </w:rPr>
                    <w:t>每发现一次投诉的扣</w:t>
                  </w:r>
                  <w:r>
                    <w:rPr>
                      <w:sz w:val="21"/>
                    </w:rPr>
                    <w:t>5分。</w:t>
                  </w:r>
                </w:p>
              </w:tc>
              <w:tc>
                <w:tcPr>
                  <w:tcW w:type="dxa" w:w="66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60"/>
                  <w:tcBorders>
                    <w:top w:val="none" w:color="000000" w:sz="4"/>
                    <w:left w:val="single" w:color="000000" w:sz="4"/>
                    <w:bottom w:val="single" w:color="000000" w:sz="4"/>
                    <w:right w:val="single" w:color="000000" w:sz="4"/>
                  </w:tcBorders>
                  <w:vAlign w:val="top"/>
                </w:tcPr>
                <w:p>
                  <w:pPr>
                    <w:jc w:val="center"/>
                  </w:pPr>
                </w:p>
              </w:tc>
              <w:tc>
                <w:tcPr>
                  <w:tcW w:type="dxa" w:w="632"/>
                  <w:tcBorders>
                    <w:top w:val="none" w:color="000000" w:sz="4"/>
                    <w:left w:val="single" w:color="000000" w:sz="4"/>
                    <w:bottom w:val="single" w:color="000000" w:sz="4"/>
                    <w:right w:val="single" w:color="000000" w:sz="4"/>
                  </w:tcBorders>
                  <w:vAlign w:val="top"/>
                </w:tcPr>
                <w:p>
                  <w:pPr>
                    <w:jc w:val="center"/>
                  </w:pPr>
                </w:p>
              </w:tc>
            </w:tr>
            <w:tr>
              <w:tc>
                <w:tcPr>
                  <w:tcW w:type="dxa" w:w="5599"/>
                  <w:gridSpan w:val="5"/>
                  <w:tcBorders>
                    <w:top w:val="none" w:color="000000" w:sz="4"/>
                    <w:left w:val="single" w:color="000000" w:sz="4"/>
                    <w:bottom w:val="single" w:color="000000" w:sz="4"/>
                    <w:right w:val="single" w:color="000000" w:sz="4"/>
                  </w:tcBorders>
                  <w:vAlign w:val="top"/>
                </w:tcPr>
                <w:p>
                  <w:pPr>
                    <w:jc w:val="center"/>
                  </w:pPr>
                  <w:r>
                    <w:rPr>
                      <w:b/>
                      <w:sz w:val="21"/>
                    </w:rPr>
                    <w:t>三、应急处理能力</w:t>
                  </w:r>
                </w:p>
              </w:tc>
            </w:tr>
            <w:tr>
              <w:tc>
                <w:tcPr>
                  <w:tcW w:type="dxa" w:w="61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33"/>
                  <w:tcBorders>
                    <w:top w:val="single" w:color="000000" w:sz="4"/>
                    <w:left w:val="single" w:color="000000" w:sz="4"/>
                    <w:bottom w:val="single" w:color="000000" w:sz="4"/>
                    <w:right w:val="single" w:color="000000" w:sz="4"/>
                  </w:tcBorders>
                  <w:vAlign w:val="top"/>
                </w:tcPr>
                <w:p>
                  <w:pPr>
                    <w:jc w:val="center"/>
                  </w:pPr>
                  <w:r>
                    <w:rPr>
                      <w:sz w:val="21"/>
                    </w:rPr>
                    <w:t>服务人员工作现场</w:t>
                  </w:r>
                  <w:r>
                    <w:rPr>
                      <w:sz w:val="21"/>
                    </w:rPr>
                    <w:t>发生突发应急事件时，</w:t>
                  </w:r>
                  <w:r>
                    <w:rPr>
                      <w:sz w:val="21"/>
                    </w:rPr>
                    <w:t>常驻现场的</w:t>
                  </w:r>
                  <w:r>
                    <w:rPr>
                      <w:sz w:val="21"/>
                    </w:rPr>
                    <w:t>人员是否及时、妥当的进行处理，未能处理的事项，服务商是否派出项目经理迅速赶到现场进行妥善处理。</w:t>
                  </w:r>
                  <w:r>
                    <w:rPr>
                      <w:sz w:val="21"/>
                    </w:rPr>
                    <w:t>每发现一次处理不妥当的的扣</w:t>
                  </w:r>
                  <w:r>
                    <w:rPr>
                      <w:sz w:val="21"/>
                    </w:rPr>
                    <w:t>5分；</w:t>
                  </w:r>
                  <w:r>
                    <w:rPr>
                      <w:sz w:val="21"/>
                    </w:rPr>
                    <w:t>情节严重的，服务商须予以辞退处理。造成用户社会声誉问题的，用户有权终止合同</w:t>
                  </w:r>
                  <w:r>
                    <w:rPr>
                      <w:sz w:val="21"/>
                    </w:rPr>
                    <w:t>。</w:t>
                  </w:r>
                </w:p>
              </w:tc>
              <w:tc>
                <w:tcPr>
                  <w:tcW w:type="dxa" w:w="660"/>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660"/>
                  <w:tcBorders>
                    <w:top w:val="single" w:color="000000" w:sz="4"/>
                    <w:left w:val="single" w:color="000000" w:sz="4"/>
                    <w:bottom w:val="single" w:color="000000" w:sz="4"/>
                    <w:right w:val="single" w:color="000000" w:sz="4"/>
                  </w:tcBorders>
                  <w:vAlign w:val="top"/>
                </w:tcPr>
                <w:p>
                  <w:pPr>
                    <w:jc w:val="center"/>
                  </w:pPr>
                </w:p>
              </w:tc>
              <w:tc>
                <w:tcPr>
                  <w:tcW w:type="dxa" w:w="632"/>
                  <w:tcBorders>
                    <w:top w:val="single" w:color="000000" w:sz="4"/>
                    <w:left w:val="single" w:color="000000" w:sz="4"/>
                    <w:bottom w:val="single" w:color="000000" w:sz="4"/>
                    <w:right w:val="single" w:color="000000" w:sz="4"/>
                  </w:tcBorders>
                  <w:vAlign w:val="top"/>
                </w:tcPr>
                <w:p>
                  <w:pPr>
                    <w:jc w:val="center"/>
                  </w:pPr>
                </w:p>
              </w:tc>
            </w:tr>
            <w:tr>
              <w:tc>
                <w:tcPr>
                  <w:tcW w:type="dxa" w:w="614"/>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033"/>
                  <w:tcBorders>
                    <w:top w:val="none" w:color="000000" w:sz="4"/>
                    <w:left w:val="single" w:color="000000" w:sz="4"/>
                    <w:bottom w:val="single" w:color="000000" w:sz="4"/>
                    <w:right w:val="single" w:color="000000" w:sz="4"/>
                  </w:tcBorders>
                  <w:vAlign w:val="top"/>
                </w:tcPr>
                <w:p>
                  <w:pPr>
                    <w:jc w:val="center"/>
                  </w:pPr>
                  <w:r>
                    <w:rPr>
                      <w:sz w:val="21"/>
                    </w:rPr>
                    <w:t>服务期内，服务人员发生工伤</w:t>
                  </w:r>
                  <w:r>
                    <w:rPr>
                      <w:sz w:val="21"/>
                    </w:rPr>
                    <w:t>、</w:t>
                  </w:r>
                  <w:r>
                    <w:rPr>
                      <w:sz w:val="21"/>
                    </w:rPr>
                    <w:t>治安、交通、安全生产事故、火灾等安全案件或违反社保政策及劳动纠纷等情形，</w:t>
                  </w:r>
                  <w:r>
                    <w:rPr>
                      <w:sz w:val="21"/>
                    </w:rPr>
                    <w:t>服务商</w:t>
                  </w:r>
                  <w:r>
                    <w:rPr>
                      <w:sz w:val="21"/>
                    </w:rPr>
                    <w:t>是否及时妥善处理。每发现一次处理不妥当的扣</w:t>
                  </w:r>
                  <w:r>
                    <w:rPr>
                      <w:sz w:val="21"/>
                    </w:rPr>
                    <w:t>5分。</w:t>
                  </w:r>
                </w:p>
              </w:tc>
              <w:tc>
                <w:tcPr>
                  <w:tcW w:type="dxa" w:w="66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60"/>
                  <w:tcBorders>
                    <w:top w:val="none" w:color="000000" w:sz="4"/>
                    <w:left w:val="single" w:color="000000" w:sz="4"/>
                    <w:bottom w:val="single" w:color="000000" w:sz="4"/>
                    <w:right w:val="single" w:color="000000" w:sz="4"/>
                  </w:tcBorders>
                  <w:vAlign w:val="top"/>
                </w:tcPr>
                <w:p>
                  <w:pPr>
                    <w:jc w:val="center"/>
                  </w:pPr>
                </w:p>
              </w:tc>
              <w:tc>
                <w:tcPr>
                  <w:tcW w:type="dxa" w:w="632"/>
                  <w:tcBorders>
                    <w:top w:val="none" w:color="000000" w:sz="4"/>
                    <w:left w:val="single" w:color="000000" w:sz="4"/>
                    <w:bottom w:val="single" w:color="000000" w:sz="4"/>
                    <w:right w:val="single" w:color="000000" w:sz="4"/>
                  </w:tcBorders>
                  <w:vAlign w:val="top"/>
                </w:tcPr>
                <w:p>
                  <w:pPr>
                    <w:jc w:val="center"/>
                  </w:pPr>
                </w:p>
              </w:tc>
            </w:tr>
            <w:tr>
              <w:tc>
                <w:tcPr>
                  <w:tcW w:type="dxa" w:w="3647"/>
                  <w:gridSpan w:val="2"/>
                  <w:tcBorders>
                    <w:top w:val="none" w:color="000000" w:sz="4"/>
                    <w:left w:val="single" w:color="000000" w:sz="4"/>
                    <w:bottom w:val="single" w:color="000000" w:sz="4"/>
                    <w:right w:val="single" w:color="000000" w:sz="4"/>
                  </w:tcBorders>
                  <w:vAlign w:val="top"/>
                </w:tcPr>
                <w:p>
                  <w:pPr>
                    <w:jc w:val="center"/>
                  </w:pPr>
                  <w:r>
                    <w:rPr>
                      <w:sz w:val="21"/>
                    </w:rPr>
                    <w:t>总分值</w:t>
                  </w:r>
                </w:p>
              </w:tc>
              <w:tc>
                <w:tcPr>
                  <w:tcW w:type="dxa" w:w="660"/>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660"/>
                  <w:tcBorders>
                    <w:top w:val="none" w:color="000000" w:sz="4"/>
                    <w:left w:val="single" w:color="000000" w:sz="4"/>
                    <w:bottom w:val="single" w:color="000000" w:sz="4"/>
                    <w:right w:val="single" w:color="000000" w:sz="4"/>
                  </w:tcBorders>
                  <w:vAlign w:val="top"/>
                </w:tcPr>
                <w:p>
                  <w:pPr>
                    <w:jc w:val="center"/>
                  </w:pPr>
                </w:p>
              </w:tc>
              <w:tc>
                <w:tcPr>
                  <w:tcW w:type="dxa" w:w="632"/>
                  <w:tcBorders>
                    <w:top w:val="none" w:color="000000" w:sz="4"/>
                    <w:left w:val="single" w:color="000000" w:sz="4"/>
                    <w:bottom w:val="single" w:color="000000" w:sz="4"/>
                    <w:right w:val="single" w:color="000000" w:sz="4"/>
                  </w:tcBorders>
                  <w:vAlign w:val="top"/>
                </w:tcPr>
                <w:p>
                  <w:pPr>
                    <w:jc w:val="center"/>
                  </w:pPr>
                </w:p>
              </w:tc>
            </w:tr>
          </w:tbl>
          <w:p>
            <w:r>
              <w:rPr/>
              <w:t xml:space="preserve"> </w:t>
            </w:r>
          </w:p>
          <w:p>
            <w:pPr>
              <w:jc w:val="both"/>
            </w:pPr>
            <w:r>
              <w:rPr>
                <w:sz w:val="21"/>
              </w:rPr>
              <w:t>4.2考核结果与服务费支付：</w:t>
            </w:r>
          </w:p>
          <w:p>
            <w:pPr>
              <w:jc w:val="left"/>
            </w:pPr>
            <w:r>
              <w:rPr>
                <w:sz w:val="21"/>
              </w:rPr>
              <w:t>每月由采购人组织实施项目服务质量考评：</w:t>
            </w:r>
          </w:p>
          <w:p>
            <w:r>
              <w:rPr>
                <w:sz w:val="21"/>
              </w:rPr>
              <w:t>（</w:t>
            </w:r>
            <w:r>
              <w:rPr>
                <w:sz w:val="21"/>
              </w:rPr>
              <w:t>1）</w:t>
            </w:r>
            <w:r>
              <w:rPr>
                <w:sz w:val="21"/>
              </w:rPr>
              <w:t>月度考评达标［</w:t>
            </w:r>
            <w:r>
              <w:rPr>
                <w:sz w:val="21"/>
              </w:rPr>
              <w:t>90-100分（含90分）］不扣罚。</w:t>
            </w:r>
          </w:p>
          <w:p>
            <w:pPr>
              <w:jc w:val="left"/>
            </w:pPr>
            <w:r>
              <w:rPr>
                <w:sz w:val="21"/>
              </w:rPr>
              <w:t>（</w:t>
            </w:r>
            <w:r>
              <w:rPr>
                <w:sz w:val="21"/>
              </w:rPr>
              <w:t>2）月度考评不达标［80分以上（含80分），90分以下（不含90分）］，扣除当月项目费用总额10%。</w:t>
            </w:r>
          </w:p>
          <w:p>
            <w:pPr>
              <w:jc w:val="left"/>
            </w:pPr>
            <w:r>
              <w:rPr>
                <w:sz w:val="21"/>
              </w:rPr>
              <w:t>（</w:t>
            </w:r>
            <w:r>
              <w:rPr>
                <w:sz w:val="21"/>
              </w:rPr>
              <w:t>3）连续/累计两个月月度考评不达标［80分以下（不含80分）］的，视为供应商严重违约，采购人有权单方解除合同。</w:t>
            </w:r>
            <w:r>
              <w:rPr>
                <w:sz w:val="21"/>
              </w:rPr>
              <w:t xml:space="preserve"> </w:t>
            </w:r>
          </w:p>
          <w:p>
            <w:pPr>
              <w:jc w:val="both"/>
            </w:pPr>
            <w:r>
              <w:rPr>
                <w:sz w:val="21"/>
              </w:rPr>
              <w:t>4.3项目验收</w:t>
            </w:r>
          </w:p>
          <w:p>
            <w:pPr>
              <w:jc w:val="both"/>
            </w:pPr>
            <w:r>
              <w:rPr>
                <w:sz w:val="21"/>
              </w:rPr>
              <w:t>（</w:t>
            </w:r>
            <w:r>
              <w:rPr>
                <w:sz w:val="21"/>
              </w:rPr>
              <w:t>1）验收标准：在规定的时间内，按照需求完成相应阶段内所有服务内容、提交相应阶段内所有服务成果。</w:t>
            </w:r>
          </w:p>
          <w:p>
            <w:pPr>
              <w:jc w:val="both"/>
            </w:pPr>
            <w:r>
              <w:rPr>
                <w:sz w:val="21"/>
              </w:rPr>
              <w:t>（</w:t>
            </w:r>
            <w:r>
              <w:rPr>
                <w:sz w:val="21"/>
              </w:rPr>
              <w:t>2）验收方式：由采购人组织验收工作，对中标供应商提供的服务进行验收，如果认为中标供应商提供的服务与要求不符，将在中标供应商改进服务后重新组织验收。</w:t>
            </w:r>
          </w:p>
          <w:p>
            <w:pPr>
              <w:jc w:val="both"/>
            </w:pPr>
            <w:r>
              <w:rPr>
                <w:sz w:val="21"/>
              </w:rPr>
              <w:t>（</w:t>
            </w:r>
            <w:r>
              <w:rPr>
                <w:sz w:val="21"/>
              </w:rPr>
              <w:t>3）验收期限：验收提出之日起7天内完成相应阶段的验收。</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广州市民兵预备役训练基地</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李玉霜、李年秀</w:t>
      </w:r>
    </w:p>
    <w:p>
      <w:pPr>
        <w:ind w:firstLine="480"/>
      </w:pPr>
      <w:r>
        <w:rPr/>
        <w:t>电话：</w:t>
      </w:r>
      <w:r>
        <w:rPr/>
        <w:t>020-87684726，020-87688847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市民兵预备役训练基地军事教学服务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采购包1（广州市民兵预备役训练基地军事教学服务采购项目）：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采购包1（广州市民兵预备役训练基地军事教学服务采购项目）：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特定资格要求1</w:t>
            </w:r>
          </w:p>
        </w:tc>
        <w:tc>
          <w:tcPr>
            <w:tcW w:type="dxa" w:w="4238"/>
          </w:tcPr>
          <w:p>
            <w:r>
              <w:rPr/>
              <w:t>投标人须具有《人力资源服务许可证》</w:t>
            </w:r>
          </w:p>
        </w:tc>
      </w:tr>
      <w:tr>
        <w:tc>
          <w:tcPr>
            <w:tcW w:type="dxa" w:w="890"/>
          </w:tcPr>
          <w:p>
            <w:r>
              <w:rPr/>
              <w:t>9</w:t>
            </w:r>
          </w:p>
        </w:tc>
        <w:tc>
          <w:tcPr>
            <w:tcW w:type="dxa" w:w="3178"/>
          </w:tcPr>
          <w:p>
            <w:r>
              <w:rPr/>
              <w:t>特定资格要求2</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采购包1（广州市民兵预备役训练基地军事教学服务采购项目）：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投标报价是固定唯一价且未超过本项目采购预算</w:t>
            </w:r>
          </w:p>
        </w:tc>
      </w:tr>
      <w:tr>
        <w:tc>
          <w:tcPr>
            <w:tcW w:type="dxa" w:w="890"/>
          </w:tcPr>
          <w:p>
            <w:r>
              <w:rPr/>
              <w:t>6</w:t>
            </w:r>
          </w:p>
        </w:tc>
        <w:tc>
          <w:tcPr>
            <w:tcW w:type="dxa" w:w="3178"/>
          </w:tcPr>
          <w:p>
            <w:r>
              <w:rPr/>
              <w:t>附加条件</w:t>
            </w:r>
          </w:p>
        </w:tc>
        <w:tc>
          <w:tcPr>
            <w:tcW w:type="dxa" w:w="4238"/>
          </w:tcPr>
          <w:p>
            <w:r>
              <w:rPr/>
              <w:t>投标文件没有采购人不能接受的附加条件</w:t>
            </w:r>
          </w:p>
        </w:tc>
      </w:tr>
      <w:tr>
        <w:tc>
          <w:tcPr>
            <w:tcW w:type="dxa" w:w="890"/>
          </w:tcPr>
          <w:p>
            <w:r>
              <w:rPr/>
              <w:t>7</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采购包1(广州市民兵预备役训练基地军事教学服务采购项目):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采购需求响应程度 (5.0分)</w:t>
            </w:r>
          </w:p>
        </w:tc>
        <w:tc>
          <w:tcPr>
            <w:tcW w:type="dxa" w:w="5076"/>
          </w:tcPr>
          <w:p>
            <w:pPr>
              <w:jc w:val="left"/>
            </w:pPr>
            <w:r>
              <w:rPr/>
              <w:t>1.投标人完全满足且有优于本项目采购需求的，得5分； 2.投标人完全满足本项目采购需求的，得3分； 3.投标人对本项目采购需求有一项或以上未响应或负偏离的，得1分。</w:t>
            </w:r>
          </w:p>
        </w:tc>
      </w:tr>
      <w:tr>
        <w:tc>
          <w:tcPr>
            <w:tcW w:type="dxa" w:w="922"/>
            <w:gridSpan w:val="2"/>
            <w:vMerge/>
          </w:tcPr>
          <w:p/>
        </w:tc>
        <w:tc>
          <w:tcPr>
            <w:tcW w:type="dxa" w:w="2307"/>
          </w:tcPr>
          <w:p>
            <w:pPr>
              <w:jc w:val="left"/>
            </w:pPr>
            <w:r>
              <w:rPr/>
              <w:t>项目理解程度1 (4.0分)</w:t>
            </w:r>
          </w:p>
        </w:tc>
        <w:tc>
          <w:tcPr>
            <w:tcW w:type="dxa" w:w="5076"/>
          </w:tcPr>
          <w:p>
            <w:pPr>
              <w:jc w:val="left"/>
            </w:pPr>
            <w:r>
              <w:rPr/>
              <w:t>根据投标人提供的项目理解程度进行综合评价，方案应包括（投标文件中方案标题应以下列方案名称命名）： 1.投标人对相关政策、要求的了解与分析，以及促进服务人员提升服务水平的绩效考核激励措施； 2.投标人对采购人服务岗位的特点和要求的了解与分析。 提供全部内容得4分，每缺1项扣2分，扣至0分。</w:t>
            </w:r>
          </w:p>
        </w:tc>
      </w:tr>
      <w:tr>
        <w:tc>
          <w:tcPr>
            <w:tcW w:type="dxa" w:w="922"/>
            <w:gridSpan w:val="2"/>
            <w:vMerge/>
          </w:tcPr>
          <w:p/>
        </w:tc>
        <w:tc>
          <w:tcPr>
            <w:tcW w:type="dxa" w:w="2307"/>
          </w:tcPr>
          <w:p>
            <w:pPr>
              <w:jc w:val="left"/>
            </w:pPr>
            <w:r>
              <w:rPr/>
              <w:t>项目理解程度2 (6.0分)</w:t>
            </w:r>
            <w:r>
              <w:rPr/>
              <w:t>，（等次分值选择：</w:t>
            </w:r>
            <w:r>
              <w:rPr/>
              <w:t>0.0;</w:t>
            </w:r>
            <w:r>
              <w:rPr/>
              <w:t>1.0;</w:t>
            </w:r>
            <w:r>
              <w:rPr/>
              <w:t>3.0;</w:t>
            </w:r>
            <w:r>
              <w:rPr/>
              <w:t>6.0;</w:t>
            </w:r>
            <w:r>
              <w:rPr/>
              <w:t>）</w:t>
            </w:r>
          </w:p>
        </w:tc>
        <w:tc>
          <w:tcPr>
            <w:tcW w:type="dxa" w:w="5076"/>
          </w:tcPr>
          <w:p>
            <w:pPr>
              <w:jc w:val="left"/>
            </w:pPr>
            <w:r>
              <w:rPr/>
              <w:t>1.对相关政策、要求了解深刻，绩效考核激励措施完善、能有效保障项目实施，对采购人服务岗位的特点和要求理解深入的，得6分； 2.对相关政策、要求有一定了解，绩效考核激励措施比较完善、能够保障项目实施，对采购人服务岗位的特点和要求有一定理解的，得3分； 3.对相关政策、要求不够了解，绩效考核激励措施一般、不足以有效保障项目实施，对采购人服务岗位的特点和要求不够理解的，得1分； 4.不提供，得0分。</w:t>
            </w:r>
          </w:p>
        </w:tc>
      </w:tr>
      <w:tr>
        <w:tc>
          <w:tcPr>
            <w:tcW w:type="dxa" w:w="922"/>
            <w:gridSpan w:val="2"/>
            <w:vMerge/>
          </w:tcPr>
          <w:p/>
        </w:tc>
        <w:tc>
          <w:tcPr>
            <w:tcW w:type="dxa" w:w="2307"/>
          </w:tcPr>
          <w:p>
            <w:pPr>
              <w:jc w:val="left"/>
            </w:pPr>
            <w:r>
              <w:rPr/>
              <w:t>总体服务方案1 (5.0分)</w:t>
            </w:r>
          </w:p>
        </w:tc>
        <w:tc>
          <w:tcPr>
            <w:tcW w:type="dxa" w:w="5076"/>
          </w:tcPr>
          <w:p>
            <w:pPr>
              <w:jc w:val="left"/>
            </w:pPr>
            <w:r>
              <w:rPr/>
              <w:t>根据投标人提供的总体服务方案进行综合评价，方案应包括（投标文件中方案标题应以下列方案名称命名）： 1.服务内容； 2.服务流程； 3.管理服务架构； 4.人员档案管理； 5.薪资管理。 提供全部内容得5分，每缺1项扣1分，扣至0分。</w:t>
            </w:r>
          </w:p>
        </w:tc>
      </w:tr>
      <w:tr>
        <w:tc>
          <w:tcPr>
            <w:tcW w:type="dxa" w:w="922"/>
            <w:gridSpan w:val="2"/>
            <w:vMerge/>
          </w:tcPr>
          <w:p/>
        </w:tc>
        <w:tc>
          <w:tcPr>
            <w:tcW w:type="dxa" w:w="2307"/>
          </w:tcPr>
          <w:p>
            <w:pPr>
              <w:jc w:val="left"/>
            </w:pPr>
            <w:r>
              <w:rPr/>
              <w:t>总体服务方案2 (7.0分)</w:t>
            </w:r>
            <w:r>
              <w:rPr/>
              <w:t>，（等次分值选择：</w:t>
            </w:r>
            <w:r>
              <w:rPr/>
              <w:t>0.0;</w:t>
            </w:r>
            <w:r>
              <w:rPr/>
              <w:t>1.0;</w:t>
            </w:r>
            <w:r>
              <w:rPr/>
              <w:t>4.0;</w:t>
            </w:r>
            <w:r>
              <w:rPr/>
              <w:t>7.0;</w:t>
            </w:r>
            <w:r>
              <w:rPr/>
              <w:t>）</w:t>
            </w:r>
          </w:p>
        </w:tc>
        <w:tc>
          <w:tcPr>
            <w:tcW w:type="dxa" w:w="5076"/>
          </w:tcPr>
          <w:p>
            <w:pPr>
              <w:jc w:val="left"/>
            </w:pPr>
            <w:r>
              <w:rPr/>
              <w:t>1.服务方案详细、合理可行，有针对性，有利于采购人项目开展，得7分； 2.服务方案较详细、较合理可行，较满足采购人项目开展的要求，得4分； 3.服务方案较简单，不满足采购人项目开展的，得1分。 4.未提供方案不得分。</w:t>
            </w:r>
          </w:p>
        </w:tc>
      </w:tr>
      <w:tr>
        <w:tc>
          <w:tcPr>
            <w:tcW w:type="dxa" w:w="922"/>
            <w:gridSpan w:val="2"/>
            <w:vMerge/>
          </w:tcPr>
          <w:p/>
        </w:tc>
        <w:tc>
          <w:tcPr>
            <w:tcW w:type="dxa" w:w="2307"/>
          </w:tcPr>
          <w:p>
            <w:pPr>
              <w:jc w:val="left"/>
            </w:pPr>
            <w:r>
              <w:rPr/>
              <w:t>内部管理制度1 (5.0分)</w:t>
            </w:r>
          </w:p>
        </w:tc>
        <w:tc>
          <w:tcPr>
            <w:tcW w:type="dxa" w:w="5076"/>
          </w:tcPr>
          <w:p>
            <w:pPr>
              <w:jc w:val="left"/>
            </w:pPr>
            <w:r>
              <w:rPr/>
              <w:t>根据投标人提供的内部管理制度（与本项目相关）进行综合评价，方案应包括（投标文件中方案标题应以下列方案名称命名）： 1.各部门管理制度； 2.安全保障制度； 3.财务管理制度； 4.档案管理制度； 5.内部审计制度。 提供全部内容得5分，每缺1项扣1分，扣至0分。</w:t>
            </w:r>
          </w:p>
        </w:tc>
      </w:tr>
      <w:tr>
        <w:tc>
          <w:tcPr>
            <w:tcW w:type="dxa" w:w="922"/>
            <w:gridSpan w:val="2"/>
            <w:vMerge/>
          </w:tcPr>
          <w:p/>
        </w:tc>
        <w:tc>
          <w:tcPr>
            <w:tcW w:type="dxa" w:w="2307"/>
          </w:tcPr>
          <w:p>
            <w:pPr>
              <w:jc w:val="left"/>
            </w:pPr>
            <w:r>
              <w:rPr/>
              <w:t>内部管理制度2 (5.0分)</w:t>
            </w:r>
            <w:r>
              <w:rPr/>
              <w:t>，（等次分值选择：</w:t>
            </w:r>
            <w:r>
              <w:rPr/>
              <w:t>0.0;</w:t>
            </w:r>
            <w:r>
              <w:rPr/>
              <w:t>1.0;</w:t>
            </w:r>
            <w:r>
              <w:rPr/>
              <w:t>3.0;</w:t>
            </w:r>
            <w:r>
              <w:rPr/>
              <w:t>5.0;</w:t>
            </w:r>
            <w:r>
              <w:rPr/>
              <w:t>）</w:t>
            </w:r>
          </w:p>
        </w:tc>
        <w:tc>
          <w:tcPr>
            <w:tcW w:type="dxa" w:w="5076"/>
          </w:tcPr>
          <w:p>
            <w:pPr>
              <w:jc w:val="left"/>
            </w:pPr>
            <w:r>
              <w:rPr/>
              <w:t>1.提供的内部管理制度科学合理、完善，针对性和可行性强，得5分； 2.提供的内部管理制度科学比较合理、较完善，针对性和可行性比较强，得3分； 3.提供的内部管理制度有一定合理性，针对性和可行性较差，得1分； 4.不提供，得0分。</w:t>
            </w:r>
          </w:p>
        </w:tc>
      </w:tr>
      <w:tr>
        <w:tc>
          <w:tcPr>
            <w:tcW w:type="dxa" w:w="922"/>
            <w:gridSpan w:val="2"/>
            <w:vMerge/>
          </w:tcPr>
          <w:p/>
        </w:tc>
        <w:tc>
          <w:tcPr>
            <w:tcW w:type="dxa" w:w="2307"/>
          </w:tcPr>
          <w:p>
            <w:pPr>
              <w:jc w:val="left"/>
            </w:pPr>
            <w:r>
              <w:rPr/>
              <w:t>质量保证体系及措施1 (4.0分)</w:t>
            </w:r>
          </w:p>
        </w:tc>
        <w:tc>
          <w:tcPr>
            <w:tcW w:type="dxa" w:w="5076"/>
          </w:tcPr>
          <w:p>
            <w:pPr>
              <w:jc w:val="left"/>
            </w:pPr>
            <w:r>
              <w:rPr/>
              <w:t>根据投标人提供的质量保证体系及措施进行综合评价，方案应包括（投标文件中方案标题应以下列方案名称命名）： 1.提供岗前继续教育计划； 2.按采购人要求设定人员及岗位责任、岗位考核标准；  3.监督检查标准； 4.综合满意度的评价标准。 提供全部内容得4分，每缺1项扣1分，扣至0分。</w:t>
            </w:r>
          </w:p>
        </w:tc>
      </w:tr>
      <w:tr>
        <w:tc>
          <w:tcPr>
            <w:tcW w:type="dxa" w:w="922"/>
            <w:gridSpan w:val="2"/>
            <w:vMerge/>
          </w:tcPr>
          <w:p/>
        </w:tc>
        <w:tc>
          <w:tcPr>
            <w:tcW w:type="dxa" w:w="2307"/>
          </w:tcPr>
          <w:p>
            <w:pPr>
              <w:jc w:val="left"/>
            </w:pPr>
            <w:r>
              <w:rPr/>
              <w:t>质量保证体系及措施2 (9.0分)</w:t>
            </w:r>
            <w:r>
              <w:rPr/>
              <w:t>，（等次分值选择：</w:t>
            </w:r>
            <w:r>
              <w:rPr/>
              <w:t>0.0;</w:t>
            </w:r>
            <w:r>
              <w:rPr/>
              <w:t>3.0;</w:t>
            </w:r>
            <w:r>
              <w:rPr/>
              <w:t>6.0;</w:t>
            </w:r>
            <w:r>
              <w:rPr/>
              <w:t>9.0;</w:t>
            </w:r>
            <w:r>
              <w:rPr/>
              <w:t>）</w:t>
            </w:r>
          </w:p>
        </w:tc>
        <w:tc>
          <w:tcPr>
            <w:tcW w:type="dxa" w:w="5076"/>
          </w:tcPr>
          <w:p>
            <w:pPr>
              <w:jc w:val="left"/>
            </w:pPr>
            <w:r>
              <w:rPr/>
              <w:t>1.质量保证措施、质量控制措施完善、具有较强的可行性和针对性，标准设置合理，能有效满足本项目的需求，得9分；  2.质量保证措施、质量控制措施比较完善、具有一定的可行性和针对性，标准设置比较合理，基本满足本项目的需求，得6分；  3.质量保证措施、质量控制措施基本完整，针对性不强，不能完全满足本项目的需求，得3分；  4.质量保证措施、质量控制措施简单，缺乏可行性，进度安排缺乏合理性或未提供，得0分。</w:t>
            </w:r>
          </w:p>
        </w:tc>
      </w:tr>
      <w:tr>
        <w:tc>
          <w:tcPr>
            <w:tcW w:type="dxa" w:w="922"/>
            <w:gridSpan w:val="2"/>
            <w:vMerge/>
          </w:tcPr>
          <w:p/>
        </w:tc>
        <w:tc>
          <w:tcPr>
            <w:tcW w:type="dxa" w:w="2307"/>
          </w:tcPr>
          <w:p>
            <w:pPr>
              <w:jc w:val="left"/>
            </w:pPr>
            <w:r>
              <w:rPr/>
              <w:t>劳资风险保障服务方案1 (3.0分)</w:t>
            </w:r>
          </w:p>
        </w:tc>
        <w:tc>
          <w:tcPr>
            <w:tcW w:type="dxa" w:w="5076"/>
          </w:tcPr>
          <w:p>
            <w:pPr>
              <w:jc w:val="left"/>
            </w:pPr>
            <w:r>
              <w:rPr/>
              <w:t>根据投标人提供的劳资风险保障服务方案进行综合评价，方案应包括（投标文件中方案标题应以下列方案名称命名）： 1.为采购人提供劳动保障法律法规常识性咨询服务； 2.负责突发异常劳动争议事件处理,包括劳动争议调解、仲裁、诉讼事务处理； 3.工伤事故处理能力。 提供全部内容得3分，每缺1项扣1分，扣至0分。</w:t>
            </w:r>
          </w:p>
        </w:tc>
      </w:tr>
      <w:tr>
        <w:tc>
          <w:tcPr>
            <w:tcW w:type="dxa" w:w="922"/>
            <w:gridSpan w:val="2"/>
            <w:vMerge/>
          </w:tcPr>
          <w:p/>
        </w:tc>
        <w:tc>
          <w:tcPr>
            <w:tcW w:type="dxa" w:w="2307"/>
          </w:tcPr>
          <w:p>
            <w:pPr>
              <w:jc w:val="left"/>
            </w:pPr>
            <w:r>
              <w:rPr/>
              <w:t>劳资风险保障服务方案2 (7.0分)</w:t>
            </w:r>
            <w:r>
              <w:rPr/>
              <w:t>，（等次分值选择：</w:t>
            </w:r>
            <w:r>
              <w:rPr/>
              <w:t>0.0;</w:t>
            </w:r>
            <w:r>
              <w:rPr/>
              <w:t>1.0;</w:t>
            </w:r>
            <w:r>
              <w:rPr/>
              <w:t>4.0;</w:t>
            </w:r>
            <w:r>
              <w:rPr/>
              <w:t>7.0;</w:t>
            </w:r>
            <w:r>
              <w:rPr/>
              <w:t>）</w:t>
            </w:r>
          </w:p>
        </w:tc>
        <w:tc>
          <w:tcPr>
            <w:tcW w:type="dxa" w:w="5076"/>
          </w:tcPr>
          <w:p>
            <w:pPr>
              <w:jc w:val="left"/>
            </w:pPr>
            <w:r>
              <w:rPr/>
              <w:t>1.方案针对性强，熟悉处理流程，方案详尽，可行性强，得7分， 2.方案针对性一般，比较熟悉处理流程，方案比较详尽，基本可行的，得4分， 3.方案针对性较差，对处理流程不太了解，可行性差，得1分； 4.不提供，得0分。</w:t>
            </w:r>
          </w:p>
        </w:tc>
      </w:tr>
      <w:tr>
        <w:tc>
          <w:tcPr>
            <w:tcW w:type="dxa" w:w="922"/>
            <w:gridSpan w:val="2"/>
            <w:vMerge w:val="restart"/>
          </w:tcPr>
          <w:p>
            <w:pPr>
              <w:jc w:val="center"/>
            </w:pPr>
            <w:r>
              <w:rPr/>
              <w:t>商务部分</w:t>
            </w:r>
          </w:p>
        </w:tc>
        <w:tc>
          <w:tcPr>
            <w:tcW w:type="dxa" w:w="2307"/>
          </w:tcPr>
          <w:p>
            <w:pPr>
              <w:jc w:val="left"/>
            </w:pPr>
            <w:r>
              <w:rPr/>
              <w:t>同类项目经验 (6.0分)</w:t>
            </w:r>
          </w:p>
        </w:tc>
        <w:tc>
          <w:tcPr>
            <w:tcW w:type="dxa" w:w="5076"/>
          </w:tcPr>
          <w:p>
            <w:pPr>
              <w:jc w:val="left"/>
            </w:pPr>
            <w:r>
              <w:rPr/>
              <w:t>根据投标人2020年1月1日至今（以合同签订时间为准）同类项目经验进行评审，每提供一个得1.5分，最高得6分。 注：提供合同复印件并加盖投标人公章，不提供或专家无法认定不得分。</w:t>
            </w:r>
          </w:p>
        </w:tc>
      </w:tr>
      <w:tr>
        <w:tc>
          <w:tcPr>
            <w:tcW w:type="dxa" w:w="922"/>
            <w:gridSpan w:val="2"/>
            <w:vMerge/>
          </w:tcPr>
          <w:p/>
        </w:tc>
        <w:tc>
          <w:tcPr>
            <w:tcW w:type="dxa" w:w="2307"/>
          </w:tcPr>
          <w:p>
            <w:pPr>
              <w:jc w:val="left"/>
            </w:pPr>
            <w:r>
              <w:rPr/>
              <w:t>用户评价 (6.0分)</w:t>
            </w:r>
          </w:p>
        </w:tc>
        <w:tc>
          <w:tcPr>
            <w:tcW w:type="dxa" w:w="5076"/>
          </w:tcPr>
          <w:p>
            <w:pPr>
              <w:jc w:val="left"/>
            </w:pPr>
            <w:r>
              <w:rPr/>
              <w:t>投标人具有2020年1月1日至今的用户评价材料，每提供一份得1.5分，最高得6分。 注：（1）须提供用户评价材料复印件，评价材料必须达到90分或注明“满意”或“好评”或“优秀”等相关正面评价字眼；（2）评价材料必须与同类项目经验相对应，否则不得分。同一用户多份评价不重复计分。</w:t>
            </w:r>
          </w:p>
        </w:tc>
      </w:tr>
      <w:tr>
        <w:tc>
          <w:tcPr>
            <w:tcW w:type="dxa" w:w="922"/>
            <w:gridSpan w:val="2"/>
            <w:vMerge/>
          </w:tcPr>
          <w:p/>
        </w:tc>
        <w:tc>
          <w:tcPr>
            <w:tcW w:type="dxa" w:w="2307"/>
          </w:tcPr>
          <w:p>
            <w:pPr>
              <w:jc w:val="left"/>
            </w:pPr>
            <w:r>
              <w:rPr/>
              <w:t>管理体系认证情况 (10.0分)</w:t>
            </w:r>
          </w:p>
        </w:tc>
        <w:tc>
          <w:tcPr>
            <w:tcW w:type="dxa" w:w="5076"/>
          </w:tcPr>
          <w:p>
            <w:pPr>
              <w:jc w:val="left"/>
            </w:pPr>
            <w:r>
              <w:rPr/>
              <w:t>投标人具有有效期内的质量管理体系认证证书、环境管理体系认证证书、职业健康安全管理体系认证证书，反贿赂管理体系认证证书，每个认证得2.5分，最高得10分。 注：提供认证证书复印件并加盖投标人公章，不提供或专家无法认定不得分。</w:t>
            </w:r>
          </w:p>
        </w:tc>
      </w:tr>
      <w:tr>
        <w:tc>
          <w:tcPr>
            <w:tcW w:type="dxa" w:w="922"/>
            <w:gridSpan w:val="2"/>
            <w:vMerge/>
          </w:tcPr>
          <w:p/>
        </w:tc>
        <w:tc>
          <w:tcPr>
            <w:tcW w:type="dxa" w:w="2307"/>
          </w:tcPr>
          <w:p>
            <w:pPr>
              <w:jc w:val="left"/>
            </w:pPr>
            <w:r>
              <w:rPr/>
              <w:t>项目服务团队情况 (8.0分)</w:t>
            </w:r>
          </w:p>
        </w:tc>
        <w:tc>
          <w:tcPr>
            <w:tcW w:type="dxa" w:w="5076"/>
          </w:tcPr>
          <w:p>
            <w:pPr>
              <w:jc w:val="left"/>
            </w:pPr>
            <w:r>
              <w:rPr/>
              <w:t>(1)项目负责人：具备人力资源方向高级职称证书或高级职业技能证书的，得4分； (2)项目管理团队成员（项目负责人除外）：具有人力资源专业相关的中级或以上职业资格证书或职业技能证书，每提供1个得2分，最高的4分。 注：须提供以上人员相关证书复印件及投标截止日前六个月内任意一个月的社保证明或单位代缴个人所得税税单等材料，不提供或专家无法认定的不得分。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p>
    <w:p>
      <w:pPr>
        <w:jc w:val="center"/>
      </w:pPr>
      <w:r>
        <w:rPr/>
        <w:t xml:space="preserve"> </w:t>
      </w:r>
    </w:p>
    <w:p>
      <w:pPr>
        <w:jc w:val="center"/>
      </w:pPr>
      <w:r>
        <w:rPr>
          <w:b/>
          <w:sz w:val="28"/>
        </w:rPr>
        <w:t>政府采购合同</w:t>
      </w:r>
    </w:p>
    <w:p>
      <w:pPr>
        <w:jc w:val="center"/>
      </w:pPr>
    </w:p>
    <w:p>
      <w:pPr>
        <w:jc w:val="both"/>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广州市民兵预备役训练基地军事教学服务采购项目</w:t>
      </w:r>
      <w:r>
        <w:rPr>
          <w:sz w:val="21"/>
        </w:rPr>
        <w:t>招标文件（项目编号：</w:t>
      </w:r>
      <w:r>
        <w:rPr>
          <w:sz w:val="21"/>
        </w:rPr>
        <w:t>GZGK23D195C0569Z）的要求，经双方协商，本着平等互利和诚实信用的原则，一致同意签订本合同。</w:t>
      </w:r>
    </w:p>
    <w:p>
      <w:pPr>
        <w:jc w:val="both"/>
      </w:pPr>
      <w:r>
        <w:rPr>
          <w:b/>
          <w:sz w:val="21"/>
        </w:rPr>
        <w:t>一、</w:t>
      </w:r>
      <w:r>
        <w:rPr>
          <w:b/>
          <w:sz w:val="21"/>
        </w:rPr>
        <w:t>基本情况</w:t>
      </w:r>
    </w:p>
    <w:p>
      <w:pPr>
        <w:ind w:firstLine="420"/>
        <w:jc w:val="both"/>
      </w:pPr>
      <w:r>
        <w:rPr>
          <w:sz w:val="21"/>
        </w:rPr>
        <w:t>广州市国防教育训练基地，位于从化温泉镇九里步，占地面积约</w:t>
      </w:r>
      <w:r>
        <w:rPr>
          <w:sz w:val="21"/>
        </w:rPr>
        <w:t>278</w:t>
      </w:r>
      <w:r>
        <w:rPr>
          <w:sz w:val="21"/>
        </w:rPr>
        <w:t>亩，总建筑面积约</w:t>
      </w:r>
      <w:r>
        <w:rPr>
          <w:sz w:val="21"/>
        </w:rPr>
        <w:t>37500</w:t>
      </w:r>
      <w:r>
        <w:rPr>
          <w:sz w:val="21"/>
        </w:rPr>
        <w:t>平方米，有办公楼、宿舍楼、培训楼、国防教育展馆、综合训练馆、射击场等，主要任务为：为广州市民兵、专职人民武装干部、民兵教练员军事训练、演练、备勤提供保障；为党政机关和企事业单位开展国防教育提供保障；为学生军训、预征青年役前教育、动员对象教育培训提供保障等相关工作。</w:t>
      </w:r>
    </w:p>
    <w:p>
      <w:pPr>
        <w:jc w:val="both"/>
      </w:pPr>
      <w:r>
        <w:rPr>
          <w:b/>
          <w:sz w:val="21"/>
        </w:rPr>
        <w:t>二、</w:t>
      </w:r>
      <w:r>
        <w:rPr>
          <w:b/>
          <w:sz w:val="21"/>
        </w:rPr>
        <w:t>合同金额</w:t>
      </w:r>
    </w:p>
    <w:p>
      <w:pPr>
        <w:ind w:firstLine="420"/>
        <w:jc w:val="both"/>
      </w:pPr>
      <w:r>
        <w:rPr>
          <w:sz w:val="21"/>
        </w:rPr>
        <w:t>合同金额人民币（大写）：</w:t>
      </w:r>
      <w:r>
        <w:rPr>
          <w:sz w:val="21"/>
          <w:u w:val="single"/>
        </w:rPr>
        <w:t xml:space="preserve">                     </w:t>
      </w:r>
      <w:r>
        <w:rPr>
          <w:sz w:val="21"/>
        </w:rPr>
        <w:t>（￥</w:t>
      </w:r>
      <w:r>
        <w:rPr>
          <w:sz w:val="21"/>
          <w:u w:val="single"/>
        </w:rPr>
        <w:t xml:space="preserve">                </w:t>
      </w:r>
      <w:r>
        <w:rPr>
          <w:sz w:val="21"/>
        </w:rPr>
        <w:t>）</w:t>
      </w:r>
    </w:p>
    <w:p>
      <w:pPr>
        <w:ind w:firstLine="408"/>
      </w:pPr>
      <w:r>
        <w:rPr>
          <w:sz w:val="21"/>
        </w:rPr>
        <w:t>合同金额包括服务工作中所有成本，以及整个服务过程中的人员费用（包括但不限于应支付的工资，单位及个人社保：养老、医疗、工伤、生育险、失业保险，奖金、高温补贴、福利补贴、服务费等）、工作服费用及工作服清洁费用、员工劳保用具费用，以及合同实施中不可预见的一切费用。</w:t>
      </w:r>
    </w:p>
    <w:p>
      <w:pPr>
        <w:jc w:val="both"/>
      </w:pPr>
      <w:r>
        <w:rPr>
          <w:b/>
          <w:sz w:val="21"/>
        </w:rPr>
        <w:t>三、</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1045"/>
        <w:gridCol w:w="2288"/>
        <w:gridCol w:w="1649"/>
        <w:gridCol w:w="1660"/>
        <w:gridCol w:w="1660"/>
      </w:tblGrid>
      <w:tr>
        <w:tc>
          <w:tcPr>
            <w:tcW w:type="dxa" w:w="104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288"/>
            <w:tcBorders>
              <w:top w:val="single" w:color="000000" w:sz="4"/>
              <w:left w:val="single" w:color="000000" w:sz="4"/>
              <w:bottom w:val="single" w:color="000000" w:sz="4"/>
              <w:right w:val="single" w:color="000000" w:sz="4"/>
            </w:tcBorders>
            <w:vAlign w:val="top"/>
          </w:tcPr>
          <w:p>
            <w:pPr>
              <w:jc w:val="center"/>
            </w:pPr>
            <w:r>
              <w:rPr>
                <w:sz w:val="21"/>
              </w:rPr>
              <w:t>服务需求类型</w:t>
            </w:r>
          </w:p>
        </w:tc>
        <w:tc>
          <w:tcPr>
            <w:tcW w:type="dxa" w:w="1649"/>
            <w:tcBorders>
              <w:top w:val="single" w:color="000000" w:sz="4"/>
              <w:left w:val="single" w:color="000000" w:sz="4"/>
              <w:bottom w:val="single" w:color="000000" w:sz="4"/>
              <w:right w:val="single" w:color="000000" w:sz="4"/>
            </w:tcBorders>
            <w:vAlign w:val="top"/>
          </w:tcPr>
          <w:p>
            <w:pPr>
              <w:jc w:val="center"/>
            </w:pPr>
            <w:r>
              <w:rPr>
                <w:sz w:val="21"/>
              </w:rPr>
              <w:t>预估服务工作量</w:t>
            </w:r>
          </w:p>
          <w:p>
            <w:pPr>
              <w:jc w:val="center"/>
            </w:pPr>
            <w:r>
              <w:rPr>
                <w:sz w:val="21"/>
              </w:rPr>
              <w:t>（人</w:t>
            </w:r>
            <w:r>
              <w:rPr>
                <w:sz w:val="21"/>
              </w:rPr>
              <w:t>/月）</w:t>
            </w:r>
          </w:p>
        </w:tc>
        <w:tc>
          <w:tcPr>
            <w:tcW w:type="dxa" w:w="1660"/>
            <w:tcBorders>
              <w:top w:val="single" w:color="000000" w:sz="4"/>
              <w:left w:val="single" w:color="000000" w:sz="4"/>
              <w:bottom w:val="single" w:color="000000" w:sz="4"/>
              <w:right w:val="single" w:color="000000" w:sz="4"/>
            </w:tcBorders>
            <w:vAlign w:val="top"/>
          </w:tcPr>
          <w:p>
            <w:pPr>
              <w:jc w:val="center"/>
            </w:pPr>
            <w:r>
              <w:rPr>
                <w:sz w:val="21"/>
              </w:rPr>
              <w:t>工资底薪不少于</w:t>
            </w:r>
            <w:r>
              <w:rPr>
                <w:sz w:val="21"/>
              </w:rPr>
              <w:t>（元</w:t>
            </w:r>
            <w:r>
              <w:rPr>
                <w:sz w:val="21"/>
              </w:rPr>
              <w:t>/人月）</w:t>
            </w:r>
          </w:p>
        </w:tc>
        <w:tc>
          <w:tcPr>
            <w:tcW w:type="dxa" w:w="1660"/>
            <w:tcBorders>
              <w:top w:val="single" w:color="000000" w:sz="4"/>
              <w:left w:val="single" w:color="000000" w:sz="4"/>
              <w:bottom w:val="single" w:color="000000" w:sz="4"/>
              <w:right w:val="single" w:color="000000" w:sz="4"/>
            </w:tcBorders>
            <w:vAlign w:val="top"/>
          </w:tcPr>
          <w:p>
            <w:pPr>
              <w:jc w:val="center"/>
            </w:pPr>
            <w:r>
              <w:rPr>
                <w:sz w:val="21"/>
              </w:rPr>
              <w:t>组训补助（</w:t>
            </w:r>
            <w:r>
              <w:rPr>
                <w:sz w:val="21"/>
              </w:rPr>
              <w:t>元</w:t>
            </w:r>
            <w:r>
              <w:rPr>
                <w:sz w:val="21"/>
              </w:rPr>
              <w:t>/人天</w:t>
            </w:r>
            <w:r>
              <w:rPr>
                <w:sz w:val="21"/>
              </w:rPr>
              <w:t>）</w:t>
            </w:r>
          </w:p>
        </w:tc>
      </w:tr>
      <w:tr>
        <w:tc>
          <w:tcPr>
            <w:tcW w:type="dxa" w:w="104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88"/>
            <w:tcBorders>
              <w:top w:val="none" w:color="000000" w:sz="4"/>
              <w:left w:val="single" w:color="000000" w:sz="4"/>
              <w:bottom w:val="single" w:color="000000" w:sz="4"/>
              <w:right w:val="single" w:color="000000" w:sz="4"/>
            </w:tcBorders>
            <w:vAlign w:val="top"/>
          </w:tcPr>
          <w:p>
            <w:pPr>
              <w:jc w:val="center"/>
            </w:pPr>
            <w:r>
              <w:rPr>
                <w:sz w:val="21"/>
              </w:rPr>
              <w:t>三级教练员</w:t>
            </w:r>
          </w:p>
        </w:tc>
        <w:tc>
          <w:tcPr>
            <w:tcW w:type="dxa" w:w="1649"/>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660"/>
            <w:tcBorders>
              <w:top w:val="none" w:color="000000" w:sz="4"/>
              <w:left w:val="single" w:color="000000" w:sz="4"/>
              <w:bottom w:val="single" w:color="000000" w:sz="4"/>
              <w:right w:val="single" w:color="000000" w:sz="4"/>
            </w:tcBorders>
            <w:vAlign w:val="top"/>
          </w:tcPr>
          <w:p>
            <w:pPr>
              <w:jc w:val="center"/>
            </w:pPr>
            <w:r>
              <w:rPr>
                <w:sz w:val="21"/>
              </w:rPr>
              <w:t>4160</w:t>
            </w:r>
          </w:p>
        </w:tc>
        <w:tc>
          <w:tcPr>
            <w:tcW w:type="dxa" w:w="1660"/>
            <w:tcBorders>
              <w:top w:val="none" w:color="000000" w:sz="4"/>
              <w:left w:val="single" w:color="000000" w:sz="4"/>
              <w:bottom w:val="single" w:color="000000" w:sz="4"/>
              <w:right w:val="single" w:color="000000" w:sz="4"/>
            </w:tcBorders>
            <w:vAlign w:val="top"/>
          </w:tcPr>
          <w:p>
            <w:pPr>
              <w:jc w:val="center"/>
            </w:pPr>
            <w:r>
              <w:rPr>
                <w:sz w:val="21"/>
              </w:rPr>
              <w:t>120</w:t>
            </w:r>
          </w:p>
        </w:tc>
      </w:tr>
      <w:tr>
        <w:tc>
          <w:tcPr>
            <w:tcW w:type="dxa" w:w="10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88"/>
            <w:tcBorders>
              <w:top w:val="none" w:color="000000" w:sz="4"/>
              <w:left w:val="single" w:color="000000" w:sz="4"/>
              <w:bottom w:val="single" w:color="000000" w:sz="4"/>
              <w:right w:val="single" w:color="000000" w:sz="4"/>
            </w:tcBorders>
            <w:vAlign w:val="top"/>
          </w:tcPr>
          <w:p>
            <w:pPr>
              <w:jc w:val="center"/>
            </w:pPr>
            <w:r>
              <w:rPr>
                <w:sz w:val="21"/>
              </w:rPr>
              <w:t>二级教练员</w:t>
            </w:r>
          </w:p>
        </w:tc>
        <w:tc>
          <w:tcPr>
            <w:tcW w:type="dxa" w:w="164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660"/>
            <w:tcBorders>
              <w:top w:val="none" w:color="000000" w:sz="4"/>
              <w:left w:val="single" w:color="000000" w:sz="4"/>
              <w:bottom w:val="single" w:color="000000" w:sz="4"/>
              <w:right w:val="single" w:color="000000" w:sz="4"/>
            </w:tcBorders>
            <w:vAlign w:val="top"/>
          </w:tcPr>
          <w:p>
            <w:pPr>
              <w:jc w:val="center"/>
            </w:pPr>
            <w:r>
              <w:rPr>
                <w:sz w:val="21"/>
              </w:rPr>
              <w:t>4740</w:t>
            </w:r>
          </w:p>
        </w:tc>
        <w:tc>
          <w:tcPr>
            <w:tcW w:type="dxa" w:w="1660"/>
            <w:tcBorders>
              <w:top w:val="none" w:color="000000" w:sz="4"/>
              <w:left w:val="single" w:color="000000" w:sz="4"/>
              <w:bottom w:val="single" w:color="000000" w:sz="4"/>
              <w:right w:val="single" w:color="000000" w:sz="4"/>
            </w:tcBorders>
            <w:vAlign w:val="top"/>
          </w:tcPr>
          <w:p>
            <w:pPr>
              <w:jc w:val="center"/>
            </w:pPr>
            <w:r>
              <w:rPr>
                <w:sz w:val="21"/>
              </w:rPr>
              <w:t>150</w:t>
            </w:r>
          </w:p>
        </w:tc>
      </w:tr>
      <w:tr>
        <w:tc>
          <w:tcPr>
            <w:tcW w:type="dxa" w:w="104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88"/>
            <w:tcBorders>
              <w:top w:val="none" w:color="000000" w:sz="4"/>
              <w:left w:val="single" w:color="000000" w:sz="4"/>
              <w:bottom w:val="single" w:color="000000" w:sz="4"/>
              <w:right w:val="single" w:color="000000" w:sz="4"/>
            </w:tcBorders>
            <w:vAlign w:val="top"/>
          </w:tcPr>
          <w:p>
            <w:pPr>
              <w:jc w:val="center"/>
            </w:pPr>
            <w:r>
              <w:rPr>
                <w:sz w:val="21"/>
              </w:rPr>
              <w:t>一级教练员</w:t>
            </w:r>
          </w:p>
        </w:tc>
        <w:tc>
          <w:tcPr>
            <w:tcW w:type="dxa" w:w="164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660"/>
            <w:tcBorders>
              <w:top w:val="none" w:color="000000" w:sz="4"/>
              <w:left w:val="single" w:color="000000" w:sz="4"/>
              <w:bottom w:val="single" w:color="000000" w:sz="4"/>
              <w:right w:val="single" w:color="000000" w:sz="4"/>
            </w:tcBorders>
            <w:vAlign w:val="top"/>
          </w:tcPr>
          <w:p>
            <w:pPr>
              <w:jc w:val="center"/>
            </w:pPr>
            <w:r>
              <w:rPr>
                <w:sz w:val="21"/>
              </w:rPr>
              <w:t>5180</w:t>
            </w:r>
          </w:p>
        </w:tc>
        <w:tc>
          <w:tcPr>
            <w:tcW w:type="dxa" w:w="1660"/>
            <w:tcBorders>
              <w:top w:val="none" w:color="000000" w:sz="4"/>
              <w:left w:val="single" w:color="000000" w:sz="4"/>
              <w:bottom w:val="single" w:color="000000" w:sz="4"/>
              <w:right w:val="single" w:color="000000" w:sz="4"/>
            </w:tcBorders>
            <w:vAlign w:val="top"/>
          </w:tcPr>
          <w:p>
            <w:pPr>
              <w:jc w:val="center"/>
            </w:pPr>
            <w:r>
              <w:rPr>
                <w:sz w:val="21"/>
              </w:rPr>
              <w:t>180</w:t>
            </w:r>
          </w:p>
        </w:tc>
      </w:tr>
      <w:tr>
        <w:tc>
          <w:tcPr>
            <w:tcW w:type="dxa" w:w="3333"/>
            <w:gridSpan w:val="2"/>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1649"/>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660"/>
            <w:tcBorders>
              <w:top w:val="none" w:color="000000" w:sz="4"/>
              <w:left w:val="single" w:color="000000" w:sz="4"/>
              <w:bottom w:val="single" w:color="000000" w:sz="4"/>
              <w:right w:val="single" w:color="000000" w:sz="4"/>
            </w:tcBorders>
            <w:vAlign w:val="top"/>
          </w:tcPr>
          <w:p>
            <w:pPr>
              <w:jc w:val="center"/>
            </w:pPr>
          </w:p>
        </w:tc>
        <w:tc>
          <w:tcPr>
            <w:tcW w:type="dxa" w:w="1660"/>
            <w:tcBorders>
              <w:top w:val="none" w:color="000000" w:sz="4"/>
              <w:left w:val="single" w:color="000000" w:sz="4"/>
              <w:bottom w:val="single" w:color="000000" w:sz="4"/>
              <w:right w:val="single" w:color="000000" w:sz="4"/>
            </w:tcBorders>
            <w:vAlign w:val="top"/>
          </w:tcPr>
          <w:p>
            <w:pPr>
              <w:jc w:val="center"/>
            </w:pPr>
            <w:r>
              <w:rPr>
                <w:sz w:val="21"/>
              </w:rPr>
              <w:t>组训每月拟投入的劳务工作量为</w:t>
            </w:r>
            <w:r>
              <w:rPr>
                <w:sz w:val="21"/>
              </w:rPr>
              <w:t>18天，具体按采购人需求量为准。</w:t>
            </w:r>
          </w:p>
        </w:tc>
      </w:tr>
    </w:tbl>
    <w:p>
      <w:pPr>
        <w:ind w:firstLine="612"/>
        <w:jc w:val="both"/>
      </w:pPr>
      <w:r>
        <w:rPr>
          <w:sz w:val="21"/>
        </w:rPr>
        <w:t>本项目服务工作量仅作为年度服务费用的参考值，实际费用按照甲方的实际需求量为准。乙方应根据项目的实际情况需要补充相应岗位的人员，乙方在收到甲方的通知后须</w:t>
      </w:r>
      <w:r>
        <w:rPr>
          <w:sz w:val="21"/>
        </w:rPr>
        <w:t>两周</w:t>
      </w:r>
      <w:r>
        <w:rPr>
          <w:sz w:val="21"/>
        </w:rPr>
        <w:t>内把人员安排到位，经甲方考核、面试通过后上岗确定等级，根据实际等级进行对应结算。各个等级教练员的薪资详见附件。</w:t>
      </w:r>
    </w:p>
    <w:p>
      <w:pPr>
        <w:jc w:val="both"/>
      </w:pPr>
      <w:r>
        <w:rPr>
          <w:b/>
          <w:sz w:val="21"/>
        </w:rPr>
        <w:t>四、</w:t>
      </w:r>
      <w:r>
        <w:rPr>
          <w:b/>
          <w:sz w:val="21"/>
        </w:rPr>
        <w:t>项目具体要求</w:t>
      </w:r>
    </w:p>
    <w:p>
      <w:pPr>
        <w:ind w:firstLine="422"/>
      </w:pPr>
      <w:r>
        <w:rPr>
          <w:b/>
          <w:sz w:val="21"/>
        </w:rPr>
        <w:t>1.服务内容和服务人员资质要求</w:t>
      </w:r>
    </w:p>
    <w:tbl>
      <w:tblPr>
        <w:tblW w:w="0" w:type="auto"/>
        <w:tblBorders>
          <w:top w:val="none" w:color="000000" w:sz="4"/>
          <w:left w:val="none" w:color="000000" w:sz="4"/>
          <w:bottom w:val="none" w:color="000000" w:sz="4"/>
          <w:right w:val="none" w:color="000000" w:sz="4"/>
          <w:insideH w:val="none"/>
          <w:insideV w:val="none"/>
        </w:tblBorders>
      </w:tblPr>
      <w:tblGrid>
        <w:gridCol w:w="758"/>
        <w:gridCol w:w="1685"/>
        <w:gridCol w:w="1541"/>
        <w:gridCol w:w="3639"/>
        <w:gridCol w:w="683"/>
      </w:tblGrid>
      <w:tr>
        <w:tc>
          <w:tcPr>
            <w:tcW w:type="dxa" w:w="2443"/>
            <w:gridSpan w:val="2"/>
            <w:tcBorders>
              <w:top w:val="single" w:color="000000" w:sz="4"/>
              <w:left w:val="single" w:color="000000" w:sz="4"/>
              <w:bottom w:val="single" w:color="000000" w:sz="4"/>
              <w:right w:val="single" w:color="000000" w:sz="4"/>
            </w:tcBorders>
            <w:vAlign w:val="top"/>
          </w:tcPr>
          <w:p>
            <w:pPr>
              <w:jc w:val="center"/>
            </w:pPr>
            <w:r>
              <w:rPr>
                <w:b/>
                <w:sz w:val="21"/>
              </w:rPr>
              <w:t>服务内容</w:t>
            </w:r>
          </w:p>
        </w:tc>
        <w:tc>
          <w:tcPr>
            <w:tcW w:type="dxa" w:w="1541"/>
            <w:tcBorders>
              <w:top w:val="single" w:color="000000" w:sz="4"/>
              <w:left w:val="single" w:color="000000" w:sz="4"/>
              <w:bottom w:val="single" w:color="000000" w:sz="4"/>
              <w:right w:val="single" w:color="000000" w:sz="4"/>
            </w:tcBorders>
            <w:vAlign w:val="top"/>
          </w:tcPr>
          <w:p>
            <w:pPr>
              <w:jc w:val="center"/>
            </w:pPr>
            <w:r>
              <w:rPr>
                <w:b/>
                <w:sz w:val="21"/>
              </w:rPr>
              <w:t>班次要求</w:t>
            </w:r>
          </w:p>
        </w:tc>
        <w:tc>
          <w:tcPr>
            <w:tcW w:type="dxa" w:w="3639"/>
            <w:tcBorders>
              <w:top w:val="single" w:color="000000" w:sz="4"/>
              <w:left w:val="single" w:color="000000" w:sz="4"/>
              <w:bottom w:val="single" w:color="000000" w:sz="4"/>
              <w:right w:val="single" w:color="000000" w:sz="4"/>
            </w:tcBorders>
            <w:vAlign w:val="top"/>
          </w:tcPr>
          <w:p>
            <w:pPr>
              <w:jc w:val="center"/>
            </w:pPr>
            <w:r>
              <w:rPr>
                <w:b/>
                <w:sz w:val="21"/>
              </w:rPr>
              <w:t>服务人员资质要求</w:t>
            </w:r>
          </w:p>
        </w:tc>
        <w:tc>
          <w:tcPr>
            <w:tcW w:type="dxa" w:w="683"/>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共同教学组</w:t>
            </w:r>
          </w:p>
          <w:p>
            <w:pPr>
              <w:jc w:val="center"/>
            </w:pPr>
            <w:r>
              <w:rPr>
                <w:sz w:val="21"/>
              </w:rPr>
              <w:t>服务</w:t>
            </w:r>
          </w:p>
        </w:tc>
        <w:tc>
          <w:tcPr>
            <w:tcW w:type="dxa" w:w="1685"/>
            <w:tcBorders>
              <w:top w:val="none" w:color="000000" w:sz="4"/>
              <w:left w:val="single" w:color="000000" w:sz="4"/>
              <w:bottom w:val="single" w:color="000000" w:sz="4"/>
              <w:right w:val="single" w:color="000000" w:sz="4"/>
            </w:tcBorders>
            <w:vAlign w:val="top"/>
          </w:tcPr>
          <w:p>
            <w:pPr>
              <w:jc w:val="center"/>
            </w:pPr>
            <w:r>
              <w:rPr>
                <w:sz w:val="21"/>
              </w:rPr>
              <w:t>负责民兵共同基础课目教学组训工作及学生军训带防空、卫勤教学组训及学生军训带训工作</w:t>
            </w:r>
          </w:p>
        </w:tc>
        <w:tc>
          <w:tcPr>
            <w:tcW w:type="dxa" w:w="1541"/>
            <w:vMerge w:val="restart"/>
            <w:tcBorders>
              <w:top w:val="none" w:color="000000" w:sz="4"/>
              <w:left w:val="single" w:color="000000" w:sz="4"/>
              <w:bottom w:val="single" w:color="000000" w:sz="4"/>
              <w:right w:val="single" w:color="000000" w:sz="4"/>
            </w:tcBorders>
            <w:vAlign w:val="top"/>
          </w:tcPr>
          <w:p>
            <w:pPr>
              <w:jc w:val="left"/>
            </w:pPr>
            <w:r>
              <w:rPr>
                <w:sz w:val="21"/>
              </w:rPr>
              <w:t xml:space="preserve"> </w:t>
            </w:r>
            <w:r>
              <w:rPr>
                <w:sz w:val="21"/>
              </w:rPr>
              <w:t>1.基地承接集训任务期间，带训人员要求24小时在营值守。</w:t>
            </w:r>
          </w:p>
          <w:p>
            <w:pPr>
              <w:jc w:val="left"/>
            </w:pPr>
            <w:r>
              <w:rPr>
                <w:sz w:val="21"/>
              </w:rPr>
              <w:t>2.基地未承接集训任务期间，每日工作8 小时，每周工作5天。</w:t>
            </w:r>
          </w:p>
          <w:p>
            <w:pPr>
              <w:jc w:val="left"/>
            </w:pPr>
            <w:r>
              <w:rPr>
                <w:sz w:val="21"/>
              </w:rPr>
              <w:t>3.人员需根据基地安排轮流担负值班任务，值班期间保持全时在位。</w:t>
            </w:r>
          </w:p>
        </w:tc>
        <w:tc>
          <w:tcPr>
            <w:tcW w:type="dxa" w:w="3639"/>
            <w:vMerge w:val="restart"/>
            <w:tcBorders>
              <w:top w:val="none" w:color="000000" w:sz="4"/>
              <w:left w:val="single" w:color="000000" w:sz="4"/>
              <w:bottom w:val="single" w:color="000000" w:sz="4"/>
              <w:right w:val="single" w:color="000000" w:sz="4"/>
            </w:tcBorders>
            <w:vAlign w:val="top"/>
          </w:tcPr>
          <w:p>
            <w:pPr>
              <w:jc w:val="left"/>
            </w:pPr>
            <w:r>
              <w:rPr>
                <w:sz w:val="21"/>
              </w:rPr>
              <w:t>1、人员基本条件</w:t>
            </w:r>
          </w:p>
          <w:p>
            <w:pPr>
              <w:jc w:val="left"/>
            </w:pPr>
            <w:r>
              <w:rPr>
                <w:sz w:val="21"/>
              </w:rPr>
              <w:t>1.1部队服役2年（含）以上</w:t>
            </w:r>
            <w:r>
              <w:rPr>
                <w:sz w:val="20"/>
              </w:rPr>
              <w:t>退役军人</w:t>
            </w:r>
            <w:r>
              <w:rPr>
                <w:sz w:val="21"/>
              </w:rPr>
              <w:t>；年龄</w:t>
            </w:r>
            <w:r>
              <w:rPr>
                <w:sz w:val="21"/>
              </w:rPr>
              <w:t>35岁（含）以下；大专（含）以上学历。</w:t>
            </w:r>
          </w:p>
          <w:p>
            <w:pPr>
              <w:jc w:val="left"/>
            </w:pPr>
            <w:r>
              <w:rPr>
                <w:sz w:val="21"/>
              </w:rPr>
              <w:t>1.2政考合格：军政素质好，服从命令、听从指挥，吃苦耐劳、严于律已；具有较强的团队协作精神、奉献精神；具有较强的语言表达及独立开展工作的能力；能够熟练操作电脑，使用文档、表格软件；</w:t>
            </w:r>
          </w:p>
          <w:p>
            <w:pPr>
              <w:jc w:val="left"/>
            </w:pPr>
            <w:r>
              <w:rPr>
                <w:sz w:val="21"/>
              </w:rPr>
              <w:t>2、军事考核</w:t>
            </w:r>
          </w:p>
          <w:p>
            <w:pPr>
              <w:jc w:val="left"/>
            </w:pPr>
            <w:r>
              <w:rPr>
                <w:sz w:val="21"/>
              </w:rPr>
              <w:t>2.1.军事考核合格（含）以上；</w:t>
            </w:r>
          </w:p>
          <w:p>
            <w:pPr>
              <w:jc w:val="left"/>
            </w:pPr>
            <w:r>
              <w:rPr>
                <w:sz w:val="21"/>
              </w:rPr>
              <w:t>2.2考核标准：</w:t>
            </w:r>
          </w:p>
          <w:p>
            <w:pPr>
              <w:jc w:val="left"/>
            </w:pPr>
            <w:r>
              <w:rPr>
                <w:sz w:val="21"/>
              </w:rPr>
              <w:t>（</w:t>
            </w:r>
            <w:r>
              <w:rPr>
                <w:sz w:val="21"/>
              </w:rPr>
              <w:t>1）军事体育，共同教学组教官按二类人员执行，其他教学组教官按三类人员执行，考核成绩及合格（含）以上。</w:t>
            </w:r>
          </w:p>
          <w:p>
            <w:pPr>
              <w:jc w:val="left"/>
            </w:pPr>
            <w:r>
              <w:rPr>
                <w:sz w:val="21"/>
              </w:rPr>
              <w:t>（</w:t>
            </w:r>
            <w:r>
              <w:rPr>
                <w:sz w:val="21"/>
              </w:rPr>
              <w:t>2）军事技能，考核手榴弹投掷、穿戴防毒面具、战术基础3项内容，按入伍训练标准评定，考核成绩均为合格（含）以上。</w:t>
            </w:r>
          </w:p>
          <w:p>
            <w:pPr>
              <w:jc w:val="left"/>
            </w:pPr>
            <w:r>
              <w:rPr>
                <w:sz w:val="21"/>
              </w:rPr>
              <w:t>（</w:t>
            </w:r>
            <w:r>
              <w:rPr>
                <w:sz w:val="21"/>
              </w:rPr>
              <w:t>3）教学法，考核2个课目，共同教学组教官考核2个不同类别的共同课目；专业教学组教官至少考核1个专业课目(自选)；采取百分制评定，考核成绩均为80分（含）以上。</w:t>
            </w:r>
          </w:p>
          <w:p>
            <w:pPr>
              <w:jc w:val="left"/>
            </w:pPr>
            <w:r>
              <w:rPr>
                <w:sz w:val="21"/>
              </w:rPr>
              <w:t>3、通过</w:t>
            </w:r>
            <w:r>
              <w:rPr>
                <w:sz w:val="21"/>
              </w:rPr>
              <w:t>甲方</w:t>
            </w:r>
            <w:r>
              <w:rPr>
                <w:sz w:val="21"/>
              </w:rPr>
              <w:t>面试</w:t>
            </w:r>
          </w:p>
          <w:p>
            <w:pPr>
              <w:jc w:val="left"/>
            </w:pPr>
            <w:r>
              <w:rPr>
                <w:sz w:val="21"/>
              </w:rPr>
              <w:t>乙方</w:t>
            </w:r>
            <w:r>
              <w:rPr>
                <w:sz w:val="21"/>
              </w:rPr>
              <w:t>提供的教练人员须满足基本条件，并通过军事考核后，</w:t>
            </w:r>
            <w:r>
              <w:rPr>
                <w:sz w:val="21"/>
              </w:rPr>
              <w:t>甲方</w:t>
            </w:r>
            <w:r>
              <w:rPr>
                <w:sz w:val="21"/>
              </w:rPr>
              <w:t>面试择优选择方可上岗。</w:t>
            </w:r>
          </w:p>
        </w:tc>
        <w:tc>
          <w:tcPr>
            <w:tcW w:type="dxa" w:w="683"/>
            <w:tcBorders>
              <w:top w:val="single" w:color="000000" w:sz="4"/>
              <w:left w:val="single" w:color="000000" w:sz="4"/>
              <w:bottom w:val="single" w:color="000000" w:sz="4"/>
              <w:right w:val="single" w:color="000000" w:sz="4"/>
            </w:tcBorders>
            <w:vAlign w:val="top"/>
          </w:tcPr>
          <w:p>
            <w:pPr>
              <w:jc w:val="center"/>
            </w:pPr>
            <w:r>
              <w:rPr>
                <w:sz w:val="21"/>
              </w:rPr>
              <w:t>9人/月</w:t>
            </w:r>
          </w:p>
        </w:tc>
      </w:tr>
      <w:tr>
        <w:tc>
          <w:tcPr>
            <w:tcW w:type="dxa" w:w="758"/>
            <w:tcBorders>
              <w:top w:val="none" w:color="000000" w:sz="4"/>
              <w:left w:val="single" w:color="000000" w:sz="4"/>
              <w:bottom w:val="single" w:color="000000" w:sz="4"/>
              <w:right w:val="single" w:color="000000" w:sz="4"/>
            </w:tcBorders>
            <w:vAlign w:val="top"/>
          </w:tcPr>
          <w:p>
            <w:pPr>
              <w:jc w:val="center"/>
            </w:pPr>
            <w:r>
              <w:rPr>
                <w:sz w:val="21"/>
              </w:rPr>
              <w:t>专业教学组</w:t>
            </w:r>
          </w:p>
          <w:p>
            <w:pPr>
              <w:jc w:val="center"/>
            </w:pPr>
            <w:r>
              <w:rPr>
                <w:sz w:val="21"/>
              </w:rPr>
              <w:t>服务</w:t>
            </w:r>
          </w:p>
        </w:tc>
        <w:tc>
          <w:tcPr>
            <w:tcW w:type="dxa" w:w="1685"/>
            <w:tcBorders>
              <w:top w:val="none" w:color="000000" w:sz="4"/>
              <w:left w:val="single" w:color="000000" w:sz="4"/>
              <w:bottom w:val="single" w:color="000000" w:sz="4"/>
              <w:right w:val="single" w:color="000000" w:sz="4"/>
            </w:tcBorders>
            <w:vAlign w:val="top"/>
          </w:tcPr>
          <w:p>
            <w:pPr>
              <w:jc w:val="center"/>
            </w:pPr>
            <w:r>
              <w:rPr>
                <w:sz w:val="21"/>
              </w:rPr>
              <w:t>负责民兵通信、工程、伪装、防化、等专业课目教学组训工作及学生军训带训工作</w:t>
            </w:r>
          </w:p>
        </w:tc>
        <w:tc>
          <w:tcPr>
            <w:tcW w:type="dxa" w:w="1541"/>
            <w:vMerge/>
            <w:tcBorders>
              <w:top w:val="none" w:color="000000" w:sz="4"/>
              <w:left w:val="single" w:color="000000" w:sz="4"/>
              <w:bottom w:val="single" w:color="000000" w:sz="4"/>
              <w:right w:val="single" w:color="000000" w:sz="4"/>
            </w:tcBorders>
          </w:tcPr>
          <w:p/>
        </w:tc>
        <w:tc>
          <w:tcPr>
            <w:tcW w:type="dxa" w:w="3639"/>
            <w:vMerge/>
            <w:tcBorders>
              <w:top w:val="none" w:color="000000" w:sz="4"/>
              <w:left w:val="single" w:color="000000" w:sz="4"/>
              <w:bottom w:val="single" w:color="000000" w:sz="4"/>
              <w:right w:val="single" w:color="000000" w:sz="4"/>
            </w:tcBorders>
          </w:tcPr>
          <w:p/>
        </w:tc>
        <w:tc>
          <w:tcPr>
            <w:tcW w:type="dxa" w:w="683"/>
            <w:tcBorders>
              <w:top w:val="none" w:color="000000" w:sz="4"/>
              <w:left w:val="single" w:color="000000" w:sz="4"/>
              <w:bottom w:val="single" w:color="000000" w:sz="4"/>
              <w:right w:val="single" w:color="000000" w:sz="4"/>
            </w:tcBorders>
            <w:vAlign w:val="top"/>
          </w:tcPr>
          <w:p>
            <w:pPr>
              <w:jc w:val="center"/>
            </w:pPr>
            <w:r>
              <w:rPr>
                <w:sz w:val="21"/>
              </w:rPr>
              <w:t>16人/月</w:t>
            </w:r>
          </w:p>
        </w:tc>
      </w:tr>
    </w:tbl>
    <w:p>
      <w:pPr>
        <w:ind w:firstLine="422"/>
        <w:jc w:val="both"/>
      </w:pPr>
      <w:r>
        <w:rPr>
          <w:b/>
          <w:sz w:val="21"/>
        </w:rPr>
        <w:t>2.服务管理</w:t>
      </w:r>
    </w:p>
    <w:p>
      <w:pPr>
        <w:ind w:firstLine="422"/>
      </w:pPr>
      <w:r>
        <w:rPr>
          <w:b/>
          <w:sz w:val="21"/>
        </w:rPr>
        <w:t>2.1服务管理要求：</w:t>
      </w:r>
    </w:p>
    <w:p>
      <w:pPr>
        <w:ind w:firstLine="420"/>
        <w:jc w:val="both"/>
      </w:pPr>
      <w:r>
        <w:rPr>
          <w:sz w:val="21"/>
        </w:rPr>
        <w:t>（</w:t>
      </w:r>
      <w:r>
        <w:rPr>
          <w:sz w:val="21"/>
        </w:rPr>
        <w:t>1）</w:t>
      </w:r>
      <w:r>
        <w:rPr>
          <w:sz w:val="21"/>
        </w:rPr>
        <w:t>乙方</w:t>
      </w:r>
      <w:r>
        <w:rPr>
          <w:sz w:val="21"/>
        </w:rPr>
        <w:t>应安排一定数量、素质较高、稳定的工作人员负责开展服务工作。服务队伍的人员均应具备从事本项目服务工作相适应的专业知识和业务能力。</w:t>
      </w:r>
    </w:p>
    <w:p>
      <w:pPr>
        <w:ind w:firstLine="420"/>
        <w:jc w:val="both"/>
      </w:pPr>
      <w:r>
        <w:rPr>
          <w:sz w:val="21"/>
        </w:rPr>
        <w:t>（</w:t>
      </w:r>
      <w:r>
        <w:rPr>
          <w:sz w:val="21"/>
        </w:rPr>
        <w:t>2）</w:t>
      </w:r>
      <w:r>
        <w:rPr>
          <w:sz w:val="21"/>
        </w:rPr>
        <w:t>乙方</w:t>
      </w:r>
      <w:r>
        <w:rPr>
          <w:sz w:val="21"/>
        </w:rPr>
        <w:t>应按照科学、客观、公正、专业的原则开展项目工作。</w:t>
      </w:r>
    </w:p>
    <w:p>
      <w:pPr>
        <w:ind w:firstLine="420"/>
        <w:jc w:val="both"/>
      </w:pPr>
      <w:r>
        <w:rPr>
          <w:sz w:val="21"/>
        </w:rPr>
        <w:t>（</w:t>
      </w:r>
      <w:r>
        <w:rPr>
          <w:sz w:val="21"/>
        </w:rPr>
        <w:t>3）</w:t>
      </w:r>
      <w:r>
        <w:rPr>
          <w:sz w:val="21"/>
        </w:rPr>
        <w:t>乙方</w:t>
      </w:r>
      <w:r>
        <w:rPr>
          <w:sz w:val="21"/>
        </w:rPr>
        <w:t>应成立由相关行业的专业人员组成的项目工作组，在服务过程中应保持工作组成员的稳定。</w:t>
      </w:r>
    </w:p>
    <w:p>
      <w:pPr>
        <w:ind w:firstLine="420"/>
        <w:jc w:val="both"/>
      </w:pPr>
      <w:r>
        <w:rPr>
          <w:sz w:val="21"/>
        </w:rPr>
        <w:t>（</w:t>
      </w:r>
      <w:r>
        <w:rPr>
          <w:sz w:val="21"/>
        </w:rPr>
        <w:t>4）</w:t>
      </w:r>
      <w:r>
        <w:rPr>
          <w:sz w:val="21"/>
        </w:rPr>
        <w:t>乙方应</w:t>
      </w:r>
      <w:r>
        <w:rPr>
          <w:sz w:val="21"/>
        </w:rPr>
        <w:t>在充分调研的基础上，制定服务工作方案和细则，并及时报送</w:t>
      </w:r>
      <w:r>
        <w:rPr>
          <w:sz w:val="21"/>
        </w:rPr>
        <w:t>甲方</w:t>
      </w:r>
      <w:r>
        <w:rPr>
          <w:sz w:val="21"/>
        </w:rPr>
        <w:t>审核、备案。</w:t>
      </w:r>
    </w:p>
    <w:p>
      <w:pPr>
        <w:ind w:firstLine="420"/>
        <w:jc w:val="both"/>
      </w:pPr>
      <w:r>
        <w:rPr>
          <w:sz w:val="21"/>
        </w:rPr>
        <w:t>（</w:t>
      </w:r>
      <w:r>
        <w:rPr>
          <w:sz w:val="21"/>
        </w:rPr>
        <w:t>5）按规定程序真实、完整地取得项目数据，并按时按质提交，对数据的真实性、客观公正性负责。</w:t>
      </w:r>
    </w:p>
    <w:p>
      <w:pPr>
        <w:ind w:firstLine="420"/>
        <w:jc w:val="both"/>
      </w:pPr>
      <w:r>
        <w:rPr>
          <w:sz w:val="21"/>
        </w:rPr>
        <w:t>（</w:t>
      </w:r>
      <w:r>
        <w:rPr>
          <w:sz w:val="21"/>
        </w:rPr>
        <w:t>6）</w:t>
      </w:r>
      <w:r>
        <w:rPr>
          <w:sz w:val="21"/>
        </w:rPr>
        <w:t>乙方应</w:t>
      </w:r>
      <w:r>
        <w:rPr>
          <w:sz w:val="21"/>
        </w:rPr>
        <w:t>建立项目档案，包括服务人员招聘公告、考核和面试、政审、体检、岗前培训、劳动合同、管理制度等资料存档工作。</w:t>
      </w:r>
    </w:p>
    <w:p>
      <w:pPr>
        <w:ind w:firstLine="420"/>
        <w:jc w:val="both"/>
      </w:pPr>
      <w:r>
        <w:rPr>
          <w:sz w:val="21"/>
        </w:rPr>
        <w:t>（</w:t>
      </w:r>
      <w:r>
        <w:rPr>
          <w:sz w:val="21"/>
        </w:rPr>
        <w:t>7）</w:t>
      </w:r>
      <w:r>
        <w:rPr>
          <w:sz w:val="21"/>
        </w:rPr>
        <w:t>甲方</w:t>
      </w:r>
      <w:r>
        <w:rPr>
          <w:sz w:val="21"/>
        </w:rPr>
        <w:t>有权调阅、查询和复制</w:t>
      </w:r>
      <w:r>
        <w:rPr>
          <w:sz w:val="21"/>
        </w:rPr>
        <w:t>本</w:t>
      </w:r>
      <w:r>
        <w:rPr>
          <w:sz w:val="21"/>
        </w:rPr>
        <w:t>项目的</w:t>
      </w:r>
      <w:r>
        <w:rPr>
          <w:sz w:val="21"/>
        </w:rPr>
        <w:t>数据及</w:t>
      </w:r>
      <w:r>
        <w:rPr>
          <w:sz w:val="21"/>
        </w:rPr>
        <w:t>档案资料。</w:t>
      </w:r>
    </w:p>
    <w:p>
      <w:pPr>
        <w:ind w:firstLine="420"/>
        <w:jc w:val="both"/>
      </w:pPr>
      <w:r>
        <w:rPr>
          <w:sz w:val="21"/>
        </w:rPr>
        <w:t>（</w:t>
      </w:r>
      <w:r>
        <w:rPr>
          <w:sz w:val="21"/>
        </w:rPr>
        <w:t>8）</w:t>
      </w:r>
      <w:r>
        <w:rPr>
          <w:sz w:val="21"/>
        </w:rPr>
        <w:t>乙方</w:t>
      </w:r>
      <w:r>
        <w:rPr>
          <w:sz w:val="21"/>
        </w:rPr>
        <w:t>不得以任何形式收取本项目采购合同之外的报酬或费用。</w:t>
      </w:r>
    </w:p>
    <w:p>
      <w:pPr>
        <w:ind w:firstLine="420"/>
        <w:jc w:val="both"/>
      </w:pPr>
      <w:r>
        <w:rPr>
          <w:sz w:val="21"/>
        </w:rPr>
        <w:t>（</w:t>
      </w:r>
      <w:r>
        <w:rPr>
          <w:sz w:val="21"/>
        </w:rPr>
        <w:t>9）乙方</w:t>
      </w:r>
      <w:r>
        <w:rPr>
          <w:sz w:val="21"/>
        </w:rPr>
        <w:t>有以下行为的，</w:t>
      </w:r>
      <w:r>
        <w:rPr>
          <w:sz w:val="21"/>
        </w:rPr>
        <w:t>甲方</w:t>
      </w:r>
      <w:r>
        <w:rPr>
          <w:sz w:val="21"/>
        </w:rPr>
        <w:t>有权采取终止服务委托、减扣或追回服务费等措施，情节严重的交由相关部门处理：</w:t>
      </w:r>
    </w:p>
    <w:p>
      <w:pPr>
        <w:ind w:firstLine="420"/>
        <w:jc w:val="both"/>
      </w:pPr>
      <w:r>
        <w:rPr>
          <w:sz w:val="21"/>
        </w:rPr>
        <w:t>1）</w:t>
      </w:r>
      <w:r>
        <w:rPr>
          <w:sz w:val="21"/>
        </w:rPr>
        <w:t>未按有关规定和要求开展工作；</w:t>
      </w:r>
    </w:p>
    <w:p>
      <w:pPr>
        <w:ind w:firstLine="420"/>
        <w:jc w:val="both"/>
      </w:pPr>
      <w:r>
        <w:rPr>
          <w:sz w:val="21"/>
        </w:rPr>
        <w:t>2）</w:t>
      </w:r>
      <w:r>
        <w:rPr>
          <w:sz w:val="21"/>
        </w:rPr>
        <w:t>服务过程中弄虚作假、索取或收受不当利益、为他人谋取私利；</w:t>
      </w:r>
    </w:p>
    <w:p>
      <w:pPr>
        <w:ind w:firstLine="420"/>
        <w:jc w:val="both"/>
      </w:pPr>
      <w:r>
        <w:rPr>
          <w:sz w:val="21"/>
        </w:rPr>
        <w:t>3）</w:t>
      </w:r>
      <w:r>
        <w:rPr>
          <w:sz w:val="21"/>
        </w:rPr>
        <w:t>未经甲方同意，擅自泄露项目有关信息，未按国家有关规定执行保密纪律；</w:t>
      </w:r>
    </w:p>
    <w:p>
      <w:pPr>
        <w:ind w:firstLine="420"/>
        <w:jc w:val="both"/>
      </w:pPr>
      <w:r>
        <w:rPr>
          <w:sz w:val="21"/>
        </w:rPr>
        <w:t>4）</w:t>
      </w:r>
      <w:r>
        <w:rPr>
          <w:sz w:val="21"/>
        </w:rPr>
        <w:t>因工作失误造成重大损失。</w:t>
      </w:r>
    </w:p>
    <w:p>
      <w:pPr>
        <w:jc w:val="both"/>
      </w:pPr>
      <w:r>
        <w:rPr>
          <w:b/>
          <w:sz w:val="21"/>
        </w:rPr>
        <w:t>2.2 知识产权管理要求</w:t>
      </w:r>
    </w:p>
    <w:p>
      <w:pPr>
        <w:ind w:firstLine="420"/>
        <w:jc w:val="both"/>
      </w:pPr>
      <w:r>
        <w:rPr>
          <w:sz w:val="21"/>
        </w:rPr>
        <w:t>（</w:t>
      </w:r>
      <w:r>
        <w:rPr>
          <w:sz w:val="21"/>
        </w:rPr>
        <w:t>1）知识产权是指根据相关法律法规、行政法规以及国际条约、协定或合同的规定，相关方对智力成果享有的任何权利，其种类不限于著作权、专利权和商标权等。</w:t>
      </w:r>
    </w:p>
    <w:p>
      <w:pPr>
        <w:ind w:firstLine="420"/>
        <w:jc w:val="both"/>
      </w:pPr>
      <w:r>
        <w:rPr>
          <w:sz w:val="21"/>
        </w:rPr>
        <w:t>（</w:t>
      </w:r>
      <w:r>
        <w:rPr>
          <w:sz w:val="21"/>
        </w:rPr>
        <w:t>2）</w:t>
      </w:r>
      <w:r>
        <w:rPr>
          <w:sz w:val="21"/>
        </w:rPr>
        <w:t>乙方</w:t>
      </w:r>
      <w:r>
        <w:rPr>
          <w:sz w:val="21"/>
        </w:rPr>
        <w:t>就执行本项目形成的文件、数据材料、教学成果，</w:t>
      </w:r>
      <w:r>
        <w:rPr>
          <w:sz w:val="21"/>
        </w:rPr>
        <w:t>甲方</w:t>
      </w:r>
      <w:r>
        <w:rPr>
          <w:sz w:val="21"/>
        </w:rPr>
        <w:t>享有全部的知识产权，</w:t>
      </w:r>
      <w:r>
        <w:rPr>
          <w:sz w:val="21"/>
        </w:rPr>
        <w:t>乙方</w:t>
      </w:r>
      <w:r>
        <w:rPr>
          <w:sz w:val="21"/>
        </w:rPr>
        <w:t>就项目文件仅具有在本项目范围内的使用权。项目结束之后，</w:t>
      </w:r>
      <w:r>
        <w:rPr>
          <w:sz w:val="21"/>
        </w:rPr>
        <w:t>乙方</w:t>
      </w:r>
      <w:r>
        <w:rPr>
          <w:sz w:val="21"/>
        </w:rPr>
        <w:t>如需使用前述文件，包括但不限于引用项目文件或</w:t>
      </w:r>
      <w:r>
        <w:rPr>
          <w:sz w:val="21"/>
        </w:rPr>
        <w:t>甲方</w:t>
      </w:r>
      <w:r>
        <w:rPr>
          <w:sz w:val="21"/>
        </w:rPr>
        <w:t>提供的与项目相关的文件，在项目文件的基础上进行衍生创作等，均须取得</w:t>
      </w:r>
      <w:r>
        <w:rPr>
          <w:sz w:val="21"/>
        </w:rPr>
        <w:t>甲方</w:t>
      </w:r>
      <w:r>
        <w:rPr>
          <w:sz w:val="21"/>
        </w:rPr>
        <w:t>事先书面同意。</w:t>
      </w:r>
    </w:p>
    <w:p>
      <w:pPr>
        <w:ind w:firstLine="420"/>
        <w:jc w:val="both"/>
      </w:pPr>
      <w:r>
        <w:rPr>
          <w:sz w:val="21"/>
        </w:rPr>
        <w:t>（</w:t>
      </w:r>
      <w:r>
        <w:rPr>
          <w:sz w:val="21"/>
        </w:rPr>
        <w:t>3）未经</w:t>
      </w:r>
      <w:r>
        <w:rPr>
          <w:sz w:val="21"/>
        </w:rPr>
        <w:t>甲方</w:t>
      </w:r>
      <w:r>
        <w:rPr>
          <w:sz w:val="21"/>
        </w:rPr>
        <w:t>事先书面许可，</w:t>
      </w:r>
      <w:r>
        <w:rPr>
          <w:sz w:val="21"/>
        </w:rPr>
        <w:t>乙方</w:t>
      </w:r>
      <w:r>
        <w:rPr>
          <w:sz w:val="21"/>
        </w:rPr>
        <w:t>不得向任何第三方提供或公布数据指标与分析报告，并遵守有关保密条款，如出现泄密，由</w:t>
      </w:r>
      <w:r>
        <w:rPr>
          <w:sz w:val="21"/>
        </w:rPr>
        <w:t>乙方</w:t>
      </w:r>
      <w:r>
        <w:rPr>
          <w:sz w:val="21"/>
        </w:rPr>
        <w:t>负全部责任并赔偿对</w:t>
      </w:r>
      <w:r>
        <w:rPr>
          <w:sz w:val="21"/>
        </w:rPr>
        <w:t>甲方</w:t>
      </w:r>
      <w:r>
        <w:rPr>
          <w:sz w:val="21"/>
        </w:rPr>
        <w:t>造成的所有损失。</w:t>
      </w:r>
    </w:p>
    <w:p>
      <w:pPr>
        <w:ind w:firstLine="422"/>
      </w:pPr>
      <w:r>
        <w:rPr>
          <w:b/>
          <w:sz w:val="21"/>
        </w:rPr>
        <w:t>2.3人力资源管理要求</w:t>
      </w:r>
    </w:p>
    <w:p>
      <w:pPr>
        <w:ind w:firstLine="420"/>
      </w:pPr>
      <w:r>
        <w:rPr>
          <w:sz w:val="21"/>
        </w:rPr>
        <w:t>（</w:t>
      </w:r>
      <w:r>
        <w:rPr>
          <w:sz w:val="21"/>
        </w:rPr>
        <w:t>1）乙方严格按照招标文件及合同的约定为甲方提供军事教学服务，按甲方要求配齐人员。</w:t>
      </w:r>
      <w:r>
        <w:rPr>
          <w:sz w:val="21"/>
        </w:rPr>
        <w:t>乙方应优先录用与本项目相关工作经验的服务人员，</w:t>
      </w:r>
      <w:r>
        <w:rPr>
          <w:sz w:val="21"/>
        </w:rPr>
        <w:t>具体人员经甲方考核、面试合格后确定，若服务人员服务质量未达标的，甲方有权要求乙方更换服务人员。乙方应进行配合，接到甲方书面通知后两周内配齐。</w:t>
      </w:r>
    </w:p>
    <w:p>
      <w:pPr>
        <w:ind w:firstLine="420"/>
        <w:jc w:val="both"/>
      </w:pPr>
      <w:r>
        <w:rPr>
          <w:sz w:val="21"/>
        </w:rPr>
        <w:t>（</w:t>
      </w:r>
      <w:r>
        <w:rPr>
          <w:sz w:val="21"/>
        </w:rPr>
        <w:t>2）劳务用工管理、劳动纠纷处理、工资绩效发放、福利待遇、涉及劳动关系的所有事宜、人身意外伤害等均由</w:t>
      </w:r>
      <w:r>
        <w:rPr>
          <w:sz w:val="21"/>
        </w:rPr>
        <w:t>乙方</w:t>
      </w:r>
      <w:r>
        <w:rPr>
          <w:sz w:val="21"/>
        </w:rPr>
        <w:t>负责，解除与各岗位的服务人员签订劳动合同涉及的经济补偿</w:t>
      </w:r>
      <w:r>
        <w:rPr>
          <w:sz w:val="21"/>
        </w:rPr>
        <w:t>及赔偿款</w:t>
      </w:r>
      <w:r>
        <w:rPr>
          <w:sz w:val="21"/>
        </w:rPr>
        <w:t>由</w:t>
      </w:r>
      <w:r>
        <w:rPr>
          <w:sz w:val="21"/>
        </w:rPr>
        <w:t>乙方</w:t>
      </w:r>
      <w:r>
        <w:rPr>
          <w:sz w:val="21"/>
        </w:rPr>
        <w:t>支付。</w:t>
      </w:r>
    </w:p>
    <w:p>
      <w:pPr>
        <w:ind w:firstLine="420"/>
        <w:jc w:val="both"/>
      </w:pPr>
      <w:r>
        <w:rPr>
          <w:sz w:val="21"/>
        </w:rPr>
        <w:t>（</w:t>
      </w:r>
      <w:r>
        <w:rPr>
          <w:sz w:val="21"/>
        </w:rPr>
        <w:t>3）各岗位的服务人员必须严格遵守国家、军队相关法规制度和保密规定，遵守《广州市国防教育训练基地军事教练员管理规定》，服从和执行</w:t>
      </w:r>
      <w:r>
        <w:rPr>
          <w:sz w:val="21"/>
        </w:rPr>
        <w:t>甲方</w:t>
      </w:r>
      <w:r>
        <w:rPr>
          <w:sz w:val="21"/>
        </w:rPr>
        <w:t>的工作安排调度，接受</w:t>
      </w:r>
      <w:r>
        <w:rPr>
          <w:sz w:val="21"/>
        </w:rPr>
        <w:t>乙方</w:t>
      </w:r>
      <w:r>
        <w:rPr>
          <w:sz w:val="21"/>
        </w:rPr>
        <w:t>管理人员的监督检查。</w:t>
      </w:r>
    </w:p>
    <w:p>
      <w:pPr>
        <w:ind w:firstLine="420"/>
        <w:jc w:val="both"/>
      </w:pPr>
      <w:r>
        <w:rPr>
          <w:sz w:val="21"/>
        </w:rPr>
        <w:t>（</w:t>
      </w:r>
      <w:r>
        <w:rPr>
          <w:sz w:val="21"/>
        </w:rPr>
        <w:t>4）合同期内，发现各岗位的服务人员具有下列情况之一的，</w:t>
      </w:r>
      <w:r>
        <w:rPr>
          <w:sz w:val="21"/>
        </w:rPr>
        <w:t>甲方</w:t>
      </w:r>
      <w:r>
        <w:rPr>
          <w:sz w:val="21"/>
        </w:rPr>
        <w:t>可随时退回各岗位的服务人员：</w:t>
      </w:r>
    </w:p>
    <w:p>
      <w:pPr>
        <w:ind w:firstLine="420"/>
        <w:jc w:val="both"/>
      </w:pPr>
      <w:r>
        <w:rPr>
          <w:sz w:val="21"/>
        </w:rPr>
        <w:t>①试用期内被证明不符合条件的；</w:t>
      </w:r>
    </w:p>
    <w:p>
      <w:pPr>
        <w:ind w:firstLine="420"/>
        <w:jc w:val="both"/>
      </w:pPr>
      <w:r>
        <w:rPr>
          <w:sz w:val="21"/>
        </w:rPr>
        <w:t>②严重违反国家、军队和</w:t>
      </w:r>
      <w:r>
        <w:rPr>
          <w:sz w:val="21"/>
        </w:rPr>
        <w:t>甲方</w:t>
      </w:r>
      <w:r>
        <w:rPr>
          <w:sz w:val="21"/>
        </w:rPr>
        <w:t>各项规章制度，违反保密规定的；</w:t>
      </w:r>
    </w:p>
    <w:p>
      <w:pPr>
        <w:ind w:firstLine="420"/>
        <w:jc w:val="both"/>
      </w:pPr>
      <w:r>
        <w:rPr>
          <w:sz w:val="21"/>
        </w:rPr>
        <w:t>③严重失职，给</w:t>
      </w:r>
      <w:r>
        <w:rPr>
          <w:sz w:val="21"/>
        </w:rPr>
        <w:t>甲方</w:t>
      </w:r>
      <w:r>
        <w:rPr>
          <w:sz w:val="21"/>
        </w:rPr>
        <w:t>利益造成重大损害的；</w:t>
      </w:r>
    </w:p>
    <w:p>
      <w:pPr>
        <w:ind w:firstLine="420"/>
        <w:jc w:val="both"/>
      </w:pPr>
      <w:r>
        <w:rPr>
          <w:sz w:val="21"/>
        </w:rPr>
        <w:t>⑤有违法犯罪行为被追究刑事责任的；</w:t>
      </w:r>
    </w:p>
    <w:p>
      <w:pPr>
        <w:ind w:firstLine="420"/>
        <w:jc w:val="both"/>
      </w:pPr>
      <w:r>
        <w:rPr>
          <w:sz w:val="21"/>
        </w:rPr>
        <w:t>⑥不服从</w:t>
      </w:r>
      <w:r>
        <w:rPr>
          <w:sz w:val="21"/>
        </w:rPr>
        <w:t>甲方</w:t>
      </w:r>
      <w:r>
        <w:rPr>
          <w:sz w:val="21"/>
        </w:rPr>
        <w:t>教育管理</w:t>
      </w:r>
      <w:r>
        <w:rPr>
          <w:sz w:val="21"/>
        </w:rPr>
        <w:t>，</w:t>
      </w:r>
      <w:r>
        <w:rPr>
          <w:sz w:val="21"/>
        </w:rPr>
        <w:t>与其他单位建立劳动关系，</w:t>
      </w:r>
      <w:r>
        <w:rPr>
          <w:sz w:val="21"/>
        </w:rPr>
        <w:t>或</w:t>
      </w:r>
      <w:r>
        <w:rPr>
          <w:sz w:val="21"/>
        </w:rPr>
        <w:t>对完成</w:t>
      </w:r>
      <w:r>
        <w:rPr>
          <w:sz w:val="21"/>
        </w:rPr>
        <w:t>甲方</w:t>
      </w:r>
      <w:r>
        <w:rPr>
          <w:sz w:val="21"/>
        </w:rPr>
        <w:t>工作任务造成严重影响的；</w:t>
      </w:r>
    </w:p>
    <w:p>
      <w:pPr>
        <w:ind w:firstLine="420"/>
        <w:jc w:val="both"/>
      </w:pPr>
      <w:r>
        <w:rPr>
          <w:sz w:val="21"/>
        </w:rPr>
        <w:t>⑦患病或非因公负伤，在规定医疗期满后不能从事原工作，也不能从事由</w:t>
      </w:r>
      <w:r>
        <w:rPr>
          <w:sz w:val="21"/>
        </w:rPr>
        <w:t>甲方</w:t>
      </w:r>
      <w:r>
        <w:rPr>
          <w:sz w:val="21"/>
        </w:rPr>
        <w:t>另行安排的工作的；</w:t>
      </w:r>
    </w:p>
    <w:p>
      <w:pPr>
        <w:ind w:firstLine="420"/>
        <w:jc w:val="both"/>
      </w:pPr>
      <w:r>
        <w:rPr>
          <w:sz w:val="21"/>
        </w:rPr>
        <w:t>⑧不能胜任工作，经培训和调整岗位仍不能胜任的。</w:t>
      </w:r>
    </w:p>
    <w:p>
      <w:pPr>
        <w:ind w:firstLine="420"/>
        <w:jc w:val="both"/>
      </w:pPr>
      <w:r>
        <w:rPr>
          <w:sz w:val="21"/>
        </w:rPr>
        <w:t>（</w:t>
      </w:r>
      <w:r>
        <w:rPr>
          <w:sz w:val="21"/>
        </w:rPr>
        <w:t>5）各岗位的服务人员的管理原则上参照《广州市国防教育训练基地军事教练员管理规定》中相关要求执行，其他未尽管理方面问题，参照国家、军队相关管理规定和劳动法律法规执行。</w:t>
      </w:r>
    </w:p>
    <w:p>
      <w:pPr>
        <w:jc w:val="both"/>
      </w:pPr>
      <w:r>
        <w:rPr>
          <w:sz w:val="21"/>
        </w:rPr>
        <w:t>（</w:t>
      </w:r>
      <w:r>
        <w:rPr>
          <w:sz w:val="21"/>
        </w:rPr>
        <w:t>6）合同期内，</w:t>
      </w:r>
      <w:r>
        <w:rPr>
          <w:sz w:val="21"/>
        </w:rPr>
        <w:t>乙方</w:t>
      </w:r>
      <w:r>
        <w:rPr>
          <w:sz w:val="21"/>
        </w:rPr>
        <w:t>应严格按照《中华人民共和国劳动法》等相关政府有关文件，保证为</w:t>
      </w:r>
      <w:r>
        <w:rPr>
          <w:sz w:val="21"/>
        </w:rPr>
        <w:t>甲方</w:t>
      </w:r>
      <w:r>
        <w:rPr>
          <w:sz w:val="21"/>
        </w:rPr>
        <w:t>工作的服务人员实收工资不低于项目所在地最低工资、社保、公积金费用等薪酬标准。除上述费用外，组训、高温补贴、奖金、年终福利、员工体检等所有一切费用已包含在本项目采购预算中。在签约期内，</w:t>
      </w:r>
      <w:r>
        <w:rPr>
          <w:sz w:val="21"/>
        </w:rPr>
        <w:t>甲方</w:t>
      </w:r>
      <w:r>
        <w:rPr>
          <w:sz w:val="21"/>
        </w:rPr>
        <w:t>根据实际情况，有权决定每月的实际岗位级别及用工人数，对岗位级别及用工人数进行增减。</w:t>
      </w:r>
      <w:r>
        <w:rPr>
          <w:sz w:val="21"/>
        </w:rPr>
        <w:t>乙方</w:t>
      </w:r>
      <w:r>
        <w:rPr>
          <w:sz w:val="21"/>
        </w:rPr>
        <w:t>必须按</w:t>
      </w:r>
      <w:r>
        <w:rPr>
          <w:sz w:val="21"/>
        </w:rPr>
        <w:t>甲方</w:t>
      </w:r>
      <w:r>
        <w:rPr>
          <w:sz w:val="21"/>
        </w:rPr>
        <w:t>要求的岗位人数，在保证服务人员服务水平的前提下，提供充足数量的服务人员。每月最终结算以当月核定的实际岗位用工人数，每月各项服务质量考核及</w:t>
      </w:r>
      <w:r>
        <w:rPr>
          <w:sz w:val="21"/>
        </w:rPr>
        <w:t>乙方</w:t>
      </w:r>
      <w:r>
        <w:rPr>
          <w:sz w:val="21"/>
        </w:rPr>
        <w:t>上月支付的社保凭证等资料作为</w:t>
      </w:r>
      <w:r>
        <w:rPr>
          <w:sz w:val="21"/>
        </w:rPr>
        <w:t>甲方</w:t>
      </w:r>
      <w:r>
        <w:rPr>
          <w:sz w:val="21"/>
        </w:rPr>
        <w:t>支付当月实际服务费用给</w:t>
      </w:r>
      <w:r>
        <w:rPr>
          <w:sz w:val="21"/>
        </w:rPr>
        <w:t>乙方</w:t>
      </w:r>
      <w:r>
        <w:rPr>
          <w:sz w:val="21"/>
        </w:rPr>
        <w:t>的凭证。</w:t>
      </w:r>
      <w:r>
        <w:rPr>
          <w:sz w:val="21"/>
        </w:rPr>
        <w:t>乙方</w:t>
      </w:r>
      <w:r>
        <w:rPr>
          <w:sz w:val="21"/>
        </w:rPr>
        <w:t>不得由于工资等问题导致影响项目服务质量或影响履约进度。</w:t>
      </w:r>
    </w:p>
    <w:p>
      <w:pPr>
        <w:jc w:val="both"/>
      </w:pPr>
      <w:r>
        <w:rPr>
          <w:sz w:val="21"/>
        </w:rPr>
        <w:t>（</w:t>
      </w:r>
      <w:r>
        <w:rPr>
          <w:sz w:val="21"/>
        </w:rPr>
        <w:t>7）根据</w:t>
      </w:r>
      <w:r>
        <w:rPr>
          <w:sz w:val="21"/>
        </w:rPr>
        <w:t>乙方</w:t>
      </w:r>
      <w:r>
        <w:rPr>
          <w:sz w:val="21"/>
        </w:rPr>
        <w:t>提供的人员日常服务情况，</w:t>
      </w:r>
      <w:r>
        <w:rPr>
          <w:sz w:val="21"/>
        </w:rPr>
        <w:t>甲方</w:t>
      </w:r>
      <w:r>
        <w:rPr>
          <w:sz w:val="21"/>
        </w:rPr>
        <w:t>有权要求更换服务人员，所产生的费用由</w:t>
      </w:r>
      <w:r>
        <w:rPr>
          <w:sz w:val="21"/>
        </w:rPr>
        <w:t>乙方</w:t>
      </w:r>
      <w:r>
        <w:rPr>
          <w:sz w:val="21"/>
        </w:rPr>
        <w:t>承担。</w:t>
      </w:r>
    </w:p>
    <w:p>
      <w:pPr>
        <w:ind w:firstLine="410"/>
        <w:jc w:val="both"/>
      </w:pPr>
      <w:r>
        <w:rPr>
          <w:b/>
          <w:sz w:val="21"/>
        </w:rPr>
        <w:t>3.合同终止的条件</w:t>
      </w:r>
    </w:p>
    <w:p>
      <w:pPr>
        <w:ind w:firstLine="420"/>
        <w:jc w:val="both"/>
      </w:pPr>
      <w:r>
        <w:rPr>
          <w:sz w:val="21"/>
        </w:rPr>
        <w:t>在合同服务期内出现以下情况之一，</w:t>
      </w:r>
      <w:r>
        <w:rPr>
          <w:sz w:val="21"/>
        </w:rPr>
        <w:t>甲方</w:t>
      </w:r>
      <w:r>
        <w:rPr>
          <w:sz w:val="21"/>
        </w:rPr>
        <w:t>有权终止服务合同：</w:t>
      </w:r>
    </w:p>
    <w:p>
      <w:r>
        <w:rPr>
          <w:sz w:val="21"/>
        </w:rPr>
        <w:t>3.1 经核查，因</w:t>
      </w:r>
      <w:r>
        <w:rPr>
          <w:sz w:val="21"/>
        </w:rPr>
        <w:t>乙方</w:t>
      </w:r>
      <w:r>
        <w:rPr>
          <w:sz w:val="21"/>
        </w:rPr>
        <w:t>原因造成的安全事故或造成恶劣影响的；</w:t>
      </w:r>
    </w:p>
    <w:p>
      <w:r>
        <w:rPr>
          <w:sz w:val="21"/>
        </w:rPr>
        <w:t>3.2 经核查，有失泄密行为的造成恶劣影响的；</w:t>
      </w:r>
    </w:p>
    <w:p>
      <w:pPr>
        <w:jc w:val="both"/>
      </w:pPr>
      <w:r>
        <w:rPr>
          <w:sz w:val="21"/>
        </w:rPr>
        <w:t>3.3</w:t>
      </w:r>
      <w:r>
        <w:rPr>
          <w:sz w:val="21"/>
        </w:rPr>
        <w:t>甲方</w:t>
      </w:r>
      <w:r>
        <w:rPr>
          <w:sz w:val="21"/>
        </w:rPr>
        <w:t>发现服务质量问题要求限期整改的，</w:t>
      </w:r>
      <w:r>
        <w:rPr>
          <w:sz w:val="21"/>
        </w:rPr>
        <w:t>乙方</w:t>
      </w:r>
      <w:r>
        <w:rPr>
          <w:sz w:val="21"/>
        </w:rPr>
        <w:t>累计连续出现三次未按期整改且不能提供充分合理的理由，严重影响服务质量的；</w:t>
      </w:r>
    </w:p>
    <w:p>
      <w:pPr>
        <w:ind w:firstLine="422"/>
        <w:jc w:val="both"/>
      </w:pPr>
      <w:r>
        <w:rPr>
          <w:b/>
          <w:sz w:val="21"/>
        </w:rPr>
        <w:t>4.</w:t>
      </w:r>
      <w:r>
        <w:rPr>
          <w:b/>
          <w:sz w:val="21"/>
        </w:rPr>
        <w:t>考核验收要求</w:t>
      </w:r>
    </w:p>
    <w:p>
      <w:pPr>
        <w:ind w:firstLine="420"/>
        <w:jc w:val="both"/>
      </w:pPr>
      <w:r>
        <w:rPr>
          <w:sz w:val="21"/>
        </w:rPr>
        <w:t>为保证服务质量，甲方每月对乙方提供的服务进行监督和检查考评，总分为</w:t>
      </w:r>
      <w:r>
        <w:rPr>
          <w:sz w:val="21"/>
        </w:rPr>
        <w:t>100分。甲方在合同期内有权结合实际需求及相关法规规范的变更，更新、调整考核评价项目、内容及分值。</w:t>
      </w:r>
    </w:p>
    <w:p>
      <w:pPr>
        <w:ind w:firstLine="420"/>
        <w:jc w:val="both"/>
      </w:pPr>
      <w:r>
        <w:rPr>
          <w:sz w:val="21"/>
        </w:rPr>
        <w:t>4.1服务质量考核表：详见附件1《服务质量考核表》</w:t>
      </w:r>
    </w:p>
    <w:p>
      <w:pPr>
        <w:ind w:firstLine="420"/>
        <w:jc w:val="both"/>
      </w:pPr>
      <w:r>
        <w:rPr>
          <w:sz w:val="21"/>
        </w:rPr>
        <w:t>4.2考核结果与服务费支付：</w:t>
      </w:r>
    </w:p>
    <w:p>
      <w:pPr>
        <w:ind w:firstLine="420"/>
        <w:jc w:val="both"/>
      </w:pPr>
      <w:r>
        <w:rPr>
          <w:sz w:val="21"/>
        </w:rPr>
        <w:t>每月由甲方组织实施项目服务质量考评：</w:t>
      </w:r>
    </w:p>
    <w:p>
      <w:pPr>
        <w:ind w:firstLine="420"/>
        <w:jc w:val="both"/>
      </w:pPr>
      <w:r>
        <w:rPr>
          <w:sz w:val="21"/>
        </w:rPr>
        <w:t>（</w:t>
      </w:r>
      <w:r>
        <w:rPr>
          <w:sz w:val="21"/>
        </w:rPr>
        <w:t>1）月度考评达标［90-100分（含90分）］不扣罚。</w:t>
      </w:r>
    </w:p>
    <w:p>
      <w:pPr>
        <w:ind w:firstLine="420"/>
        <w:jc w:val="both"/>
      </w:pPr>
      <w:r>
        <w:rPr>
          <w:sz w:val="21"/>
        </w:rPr>
        <w:t>（</w:t>
      </w:r>
      <w:r>
        <w:rPr>
          <w:sz w:val="21"/>
        </w:rPr>
        <w:t>2）月度考评不达标［80分以上（含80分），90分以下（不含90分）］，扣除当月项目费用总额10%</w:t>
      </w:r>
      <w:r>
        <w:rPr>
          <w:sz w:val="21"/>
        </w:rPr>
        <w:t>作为违约金</w:t>
      </w:r>
      <w:r>
        <w:rPr>
          <w:sz w:val="21"/>
        </w:rPr>
        <w:t>。</w:t>
      </w:r>
    </w:p>
    <w:p>
      <w:pPr>
        <w:ind w:firstLine="420"/>
        <w:jc w:val="both"/>
      </w:pPr>
      <w:r>
        <w:rPr>
          <w:sz w:val="21"/>
        </w:rPr>
        <w:t>（</w:t>
      </w:r>
      <w:r>
        <w:rPr>
          <w:sz w:val="21"/>
        </w:rPr>
        <w:t>3）连续/累计两个月月度考评不达标［80分以下（不含80分）］的，视为乙方严重违约，</w:t>
      </w:r>
      <w:r>
        <w:rPr>
          <w:sz w:val="21"/>
        </w:rPr>
        <w:t>除扣罚当月项目费用总额【】</w:t>
      </w:r>
      <w:r>
        <w:rPr>
          <w:sz w:val="21"/>
        </w:rPr>
        <w:t>%</w:t>
      </w:r>
      <w:r>
        <w:rPr>
          <w:sz w:val="21"/>
        </w:rPr>
        <w:t>作为违约金外，</w:t>
      </w:r>
      <w:r>
        <w:rPr>
          <w:sz w:val="21"/>
        </w:rPr>
        <w:t>甲方</w:t>
      </w:r>
      <w:r>
        <w:rPr>
          <w:sz w:val="21"/>
        </w:rPr>
        <w:t>还</w:t>
      </w:r>
      <w:r>
        <w:rPr>
          <w:sz w:val="21"/>
        </w:rPr>
        <w:t>有权单方解除合同。</w:t>
      </w:r>
      <w:r>
        <w:rPr>
          <w:sz w:val="21"/>
        </w:rPr>
        <w:t xml:space="preserve"> </w:t>
      </w:r>
    </w:p>
    <w:p>
      <w:pPr>
        <w:ind w:firstLine="420"/>
        <w:jc w:val="both"/>
      </w:pPr>
      <w:r>
        <w:rPr>
          <w:sz w:val="21"/>
        </w:rPr>
        <w:t>4.3项目验收</w:t>
      </w:r>
    </w:p>
    <w:p>
      <w:pPr>
        <w:ind w:firstLine="420"/>
        <w:jc w:val="both"/>
      </w:pPr>
      <w:r>
        <w:rPr>
          <w:sz w:val="21"/>
        </w:rPr>
        <w:t>（</w:t>
      </w:r>
      <w:r>
        <w:rPr>
          <w:sz w:val="21"/>
        </w:rPr>
        <w:t>1）验收标准：在规定的时间内，按照需求完成相应阶段内所有服务内容、提交相应阶段内所有服务成果。</w:t>
      </w:r>
    </w:p>
    <w:p>
      <w:pPr>
        <w:ind w:firstLine="420"/>
        <w:jc w:val="both"/>
      </w:pPr>
      <w:r>
        <w:rPr>
          <w:sz w:val="21"/>
        </w:rPr>
        <w:t>（</w:t>
      </w:r>
      <w:r>
        <w:rPr>
          <w:sz w:val="21"/>
        </w:rPr>
        <w:t>2）验收方式：由甲方组织验收工作，对乙方提供的服务进行验收，如果认为乙方提供的服务与要求不符，将在乙方改进服务后重新组织验收。</w:t>
      </w:r>
    </w:p>
    <w:p>
      <w:pPr>
        <w:ind w:firstLine="420"/>
        <w:jc w:val="both"/>
      </w:pPr>
      <w:r>
        <w:rPr>
          <w:sz w:val="21"/>
        </w:rPr>
        <w:t>（</w:t>
      </w:r>
      <w:r>
        <w:rPr>
          <w:sz w:val="21"/>
        </w:rPr>
        <w:t>3）验收期限：验收提出之日起7天内完成相应阶段的验收。</w:t>
      </w:r>
    </w:p>
    <w:p>
      <w:pPr>
        <w:jc w:val="both"/>
      </w:pPr>
      <w:r>
        <w:rPr>
          <w:b/>
          <w:sz w:val="21"/>
        </w:rPr>
        <w:t>五、</w:t>
      </w:r>
      <w:r>
        <w:rPr>
          <w:b/>
          <w:sz w:val="21"/>
        </w:rPr>
        <w:t>服务期限、地点、方式</w:t>
      </w:r>
    </w:p>
    <w:p>
      <w:pPr>
        <w:ind w:firstLine="424"/>
        <w:jc w:val="both"/>
      </w:pPr>
      <w:r>
        <w:rPr>
          <w:sz w:val="21"/>
        </w:rPr>
        <w:t>1．</w:t>
      </w:r>
      <w:r>
        <w:rPr>
          <w:sz w:val="21"/>
        </w:rPr>
        <w:t>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ind w:firstLine="424"/>
        <w:jc w:val="both"/>
      </w:pPr>
      <w:r>
        <w:rPr>
          <w:sz w:val="21"/>
        </w:rPr>
        <w:t>2．</w:t>
      </w:r>
      <w:r>
        <w:rPr>
          <w:sz w:val="21"/>
        </w:rPr>
        <w:t>服务地点：甲方指定地点</w:t>
      </w:r>
    </w:p>
    <w:p>
      <w:pPr>
        <w:ind w:firstLine="424"/>
        <w:jc w:val="both"/>
      </w:pPr>
      <w:r>
        <w:rPr>
          <w:sz w:val="21"/>
        </w:rPr>
        <w:t>3．</w:t>
      </w:r>
      <w:r>
        <w:rPr>
          <w:sz w:val="21"/>
        </w:rPr>
        <w:t>交付条件：项目验收通过</w:t>
      </w:r>
    </w:p>
    <w:p>
      <w:pPr>
        <w:ind w:firstLine="424"/>
        <w:jc w:val="both"/>
      </w:pPr>
      <w:r>
        <w:rPr>
          <w:sz w:val="21"/>
        </w:rPr>
        <w:t>4．</w:t>
      </w:r>
      <w:r>
        <w:rPr>
          <w:sz w:val="21"/>
        </w:rPr>
        <w:t>甲方联系人及联系电话：</w:t>
      </w:r>
    </w:p>
    <w:p>
      <w:pPr>
        <w:ind w:firstLine="424"/>
        <w:jc w:val="both"/>
      </w:pPr>
      <w:r>
        <w:rPr>
          <w:sz w:val="21"/>
        </w:rPr>
        <w:t>5．</w:t>
      </w:r>
      <w:r>
        <w:rPr>
          <w:sz w:val="21"/>
        </w:rPr>
        <w:t>乙方联系人及联系电话：</w:t>
      </w:r>
    </w:p>
    <w:p>
      <w:pPr>
        <w:jc w:val="both"/>
      </w:pPr>
      <w:r>
        <w:rPr>
          <w:b/>
          <w:sz w:val="21"/>
        </w:rPr>
        <w:t>六、</w:t>
      </w:r>
      <w:r>
        <w:rPr>
          <w:b/>
          <w:sz w:val="21"/>
        </w:rPr>
        <w:t>甲乙双方的权利和义务</w:t>
      </w:r>
    </w:p>
    <w:p>
      <w:pPr>
        <w:ind w:firstLine="420"/>
        <w:jc w:val="both"/>
      </w:pPr>
      <w:r>
        <w:rPr>
          <w:sz w:val="21"/>
        </w:rPr>
        <w:t>（一）甲方的权利和义务：</w:t>
      </w:r>
    </w:p>
    <w:p>
      <w:pPr>
        <w:ind w:firstLine="420"/>
        <w:jc w:val="both"/>
      </w:pPr>
      <w:r>
        <w:rPr>
          <w:color w:val="000000"/>
          <w:sz w:val="21"/>
        </w:rPr>
        <w:t>1.甲方的权利</w:t>
      </w:r>
    </w:p>
    <w:p>
      <w:pPr>
        <w:ind w:firstLine="420"/>
        <w:jc w:val="both"/>
      </w:pPr>
      <w:r>
        <w:rPr>
          <w:color w:val="000000"/>
          <w:sz w:val="21"/>
        </w:rPr>
        <w:t>（</w:t>
      </w:r>
      <w:r>
        <w:rPr>
          <w:color w:val="000000"/>
          <w:sz w:val="21"/>
        </w:rPr>
        <w:t>1）为保证服务质量以及双方工作的正常开展，双方将尽量保持服务人员的稳定。</w:t>
      </w:r>
    </w:p>
    <w:p>
      <w:pPr>
        <w:ind w:firstLine="420"/>
        <w:jc w:val="both"/>
      </w:pPr>
      <w:r>
        <w:rPr>
          <w:color w:val="000000"/>
          <w:sz w:val="21"/>
        </w:rPr>
        <w:t>（</w:t>
      </w:r>
      <w:r>
        <w:rPr>
          <w:color w:val="000000"/>
          <w:sz w:val="21"/>
        </w:rPr>
        <w:t>2）甲方有权根据项目的工作需要制订相应的服务规范、考评办法，并及时以书面形式通知乙方执行。</w:t>
      </w:r>
    </w:p>
    <w:p>
      <w:pPr>
        <w:ind w:firstLine="420"/>
        <w:jc w:val="both"/>
      </w:pPr>
      <w:r>
        <w:rPr>
          <w:color w:val="000000"/>
          <w:sz w:val="21"/>
        </w:rPr>
        <w:t>（</w:t>
      </w:r>
      <w:r>
        <w:rPr>
          <w:color w:val="000000"/>
          <w:sz w:val="21"/>
        </w:rPr>
        <w:t>3）甲方有权参与项目人员培训工作，提出意见和建议。</w:t>
      </w:r>
    </w:p>
    <w:p>
      <w:pPr>
        <w:ind w:firstLine="420"/>
        <w:jc w:val="both"/>
      </w:pPr>
      <w:r>
        <w:rPr>
          <w:color w:val="000000"/>
          <w:sz w:val="21"/>
        </w:rPr>
        <w:t>（</w:t>
      </w:r>
      <w:r>
        <w:rPr>
          <w:color w:val="000000"/>
          <w:sz w:val="21"/>
        </w:rPr>
        <w:t>4）甲方认为乙方有任何违反或可能违反本合同的行为，甲方有权提出书面意见要求乙方限期整改。</w:t>
      </w:r>
    </w:p>
    <w:p>
      <w:pPr>
        <w:ind w:firstLine="420"/>
        <w:jc w:val="both"/>
      </w:pPr>
      <w:r>
        <w:rPr>
          <w:color w:val="000000"/>
          <w:sz w:val="21"/>
        </w:rPr>
        <w:t>（</w:t>
      </w:r>
      <w:r>
        <w:rPr>
          <w:color w:val="000000"/>
          <w:sz w:val="21"/>
        </w:rPr>
        <w:t>5） 甲方有权就实际需要对本合同所涉项目的具体内容进行补充或变更，但事先须与乙方另行达成书面补充协议，且甲方须就补充或变更的内容另行支付乙方相应的项目费用。</w:t>
      </w:r>
    </w:p>
    <w:p>
      <w:pPr>
        <w:ind w:firstLine="420"/>
        <w:jc w:val="both"/>
      </w:pPr>
      <w:r>
        <w:rPr>
          <w:color w:val="000000"/>
          <w:sz w:val="21"/>
        </w:rPr>
        <w:t>2.甲方的义务</w:t>
      </w:r>
    </w:p>
    <w:p>
      <w:pPr>
        <w:ind w:firstLine="420"/>
        <w:jc w:val="both"/>
      </w:pPr>
      <w:r>
        <w:rPr>
          <w:color w:val="000000"/>
          <w:sz w:val="21"/>
        </w:rPr>
        <w:t>（</w:t>
      </w:r>
      <w:r>
        <w:rPr>
          <w:color w:val="000000"/>
          <w:sz w:val="21"/>
        </w:rPr>
        <w:t>1）甲方应指定项目联系人负责与乙方就项目的执行、完成情况进行及时、有效地沟通，项目联系人姓名、联系方式等信息变更的，应当及时通知乙方。</w:t>
      </w:r>
    </w:p>
    <w:p>
      <w:pPr>
        <w:ind w:firstLine="420"/>
        <w:jc w:val="both"/>
      </w:pPr>
      <w:r>
        <w:rPr>
          <w:color w:val="000000"/>
          <w:sz w:val="21"/>
        </w:rPr>
        <w:t>（</w:t>
      </w:r>
      <w:r>
        <w:rPr>
          <w:color w:val="000000"/>
          <w:sz w:val="21"/>
        </w:rPr>
        <w:t>2）甲方应于约定的时间与方式足额向乙方支付项目费用。如甲方迟延支付，除应承担违约责任外，造成乙方工作延误的，乙方不承担违约责任。</w:t>
      </w:r>
    </w:p>
    <w:p>
      <w:pPr>
        <w:ind w:firstLine="420"/>
        <w:jc w:val="both"/>
      </w:pPr>
      <w:r>
        <w:rPr>
          <w:color w:val="000000"/>
          <w:sz w:val="21"/>
        </w:rPr>
        <w:t>（</w:t>
      </w:r>
      <w:r>
        <w:rPr>
          <w:color w:val="000000"/>
          <w:sz w:val="21"/>
        </w:rPr>
        <w:t>3）甲方不得将本合同的内容向甲乙双方以外的、与签订和履行本合同无关的任何第三方透露，不得泄露乙方的商业秘密（包括本合同及其附件和合同签订前的各项方案）。</w:t>
      </w:r>
    </w:p>
    <w:p>
      <w:pPr>
        <w:ind w:firstLine="420"/>
        <w:jc w:val="both"/>
      </w:pPr>
      <w:r>
        <w:rPr>
          <w:color w:val="000000"/>
          <w:sz w:val="21"/>
        </w:rPr>
        <w:t>（</w:t>
      </w:r>
      <w:r>
        <w:rPr>
          <w:color w:val="000000"/>
          <w:sz w:val="21"/>
        </w:rPr>
        <w:t>4）非因乙方服务人员违法（包括但不限于违反行政、刑事法律法规），或提供的服务严重违反约定，或因未达甲方的考核规定</w:t>
      </w:r>
      <w:r>
        <w:rPr>
          <w:color w:val="000000"/>
          <w:sz w:val="21"/>
        </w:rPr>
        <w:t>及本合同约定情形外</w:t>
      </w:r>
      <w:r>
        <w:rPr>
          <w:color w:val="000000"/>
          <w:sz w:val="21"/>
        </w:rPr>
        <w:t>等，甲方不得无故要求乙方更换服务人员。</w:t>
      </w:r>
    </w:p>
    <w:p>
      <w:pPr>
        <w:ind w:firstLine="420"/>
        <w:jc w:val="both"/>
      </w:pPr>
      <w:r>
        <w:rPr>
          <w:color w:val="000000"/>
          <w:sz w:val="21"/>
        </w:rPr>
        <w:t>（</w:t>
      </w:r>
      <w:r>
        <w:rPr>
          <w:color w:val="000000"/>
          <w:sz w:val="21"/>
        </w:rPr>
        <w:t>5）</w:t>
      </w:r>
      <w:r>
        <w:rPr>
          <w:color w:val="000000"/>
          <w:sz w:val="21"/>
        </w:rPr>
        <w:t>由</w:t>
      </w:r>
      <w:r>
        <w:rPr>
          <w:color w:val="000000"/>
          <w:sz w:val="21"/>
        </w:rPr>
        <w:t>甲方组织验收工作</w:t>
      </w:r>
      <w:r>
        <w:rPr>
          <w:color w:val="000000"/>
          <w:sz w:val="21"/>
        </w:rPr>
        <w:t>，对</w:t>
      </w:r>
      <w:r>
        <w:rPr>
          <w:color w:val="000000"/>
          <w:sz w:val="21"/>
        </w:rPr>
        <w:t>乙方</w:t>
      </w:r>
      <w:r>
        <w:rPr>
          <w:color w:val="000000"/>
          <w:sz w:val="21"/>
        </w:rPr>
        <w:t>提供的服务进行验收，如果认为</w:t>
      </w:r>
      <w:r>
        <w:rPr>
          <w:color w:val="000000"/>
          <w:sz w:val="21"/>
        </w:rPr>
        <w:t>乙方</w:t>
      </w:r>
      <w:r>
        <w:rPr>
          <w:color w:val="000000"/>
          <w:sz w:val="21"/>
        </w:rPr>
        <w:t>提供的服务与要求不符，将在</w:t>
      </w:r>
      <w:r>
        <w:rPr>
          <w:color w:val="000000"/>
          <w:sz w:val="21"/>
        </w:rPr>
        <w:t>乙方</w:t>
      </w:r>
      <w:r>
        <w:rPr>
          <w:color w:val="000000"/>
          <w:sz w:val="21"/>
        </w:rPr>
        <w:t>改进服务后重新组织验收。</w:t>
      </w:r>
    </w:p>
    <w:p>
      <w:pPr>
        <w:ind w:firstLine="420"/>
        <w:jc w:val="both"/>
      </w:pPr>
      <w:r>
        <w:rPr>
          <w:sz w:val="21"/>
        </w:rPr>
        <w:t>（二）乙方的权利和义务：</w:t>
      </w:r>
    </w:p>
    <w:p>
      <w:pPr>
        <w:ind w:firstLine="420"/>
        <w:jc w:val="both"/>
      </w:pPr>
      <w:r>
        <w:rPr>
          <w:color w:val="000000"/>
          <w:sz w:val="21"/>
        </w:rPr>
        <w:t>1.乙方的权利</w:t>
      </w:r>
    </w:p>
    <w:p>
      <w:pPr>
        <w:ind w:firstLine="420"/>
        <w:jc w:val="both"/>
      </w:pPr>
      <w:r>
        <w:rPr>
          <w:color w:val="000000"/>
          <w:sz w:val="21"/>
        </w:rPr>
        <w:t>（</w:t>
      </w:r>
      <w:r>
        <w:rPr>
          <w:color w:val="000000"/>
          <w:sz w:val="21"/>
        </w:rPr>
        <w:t>1）根据法律、法规和本合同有关规定，乙方有权要求甲方依据本合同规定保障乙方服务人员的合法权益，若发现甲方有侵害乙方服务人员合法权益的行为，乙方可以提出书面意见和要求。甲方应在收到乙方的书面意见后 5个工作日内以书面形式回复乙方。</w:t>
      </w:r>
    </w:p>
    <w:p>
      <w:pPr>
        <w:ind w:firstLine="420"/>
        <w:jc w:val="both"/>
      </w:pPr>
      <w:r>
        <w:rPr>
          <w:color w:val="000000"/>
          <w:sz w:val="21"/>
        </w:rPr>
        <w:t>（</w:t>
      </w:r>
      <w:r>
        <w:rPr>
          <w:color w:val="000000"/>
          <w:sz w:val="21"/>
        </w:rPr>
        <w:t>2）乙方有权按合同约定要求获得相应的项目费用。</w:t>
      </w:r>
    </w:p>
    <w:p>
      <w:pPr>
        <w:ind w:firstLine="420"/>
        <w:jc w:val="both"/>
      </w:pPr>
      <w:r>
        <w:rPr>
          <w:color w:val="000000"/>
          <w:sz w:val="21"/>
        </w:rPr>
        <w:t>（</w:t>
      </w:r>
      <w:r>
        <w:rPr>
          <w:color w:val="000000"/>
          <w:sz w:val="21"/>
        </w:rPr>
        <w:t>3）对于甲方提出的违背国家相关法律、法规、政策规定之服务要求的，乙方有权拒绝执行，如因此给乙方造成损失的，甲方应承担相应赔偿责任。</w:t>
      </w:r>
    </w:p>
    <w:p>
      <w:pPr>
        <w:ind w:firstLine="420"/>
        <w:jc w:val="both"/>
      </w:pPr>
      <w:r>
        <w:rPr>
          <w:color w:val="000000"/>
          <w:sz w:val="21"/>
        </w:rPr>
        <w:t>2.乙方的义务</w:t>
      </w:r>
    </w:p>
    <w:p>
      <w:pPr>
        <w:ind w:firstLine="420"/>
        <w:jc w:val="both"/>
      </w:pPr>
      <w:r>
        <w:rPr>
          <w:color w:val="000000"/>
          <w:sz w:val="21"/>
        </w:rPr>
        <w:t>（</w:t>
      </w:r>
      <w:r>
        <w:rPr>
          <w:color w:val="000000"/>
          <w:sz w:val="21"/>
        </w:rPr>
        <w:t>1）乙方应遵守国家有关法律法规和行业规章制度及甲方有关规定，规范履行职责。</w:t>
      </w:r>
    </w:p>
    <w:p>
      <w:pPr>
        <w:ind w:firstLine="420"/>
        <w:jc w:val="both"/>
      </w:pPr>
      <w:r>
        <w:rPr>
          <w:color w:val="000000"/>
          <w:sz w:val="21"/>
        </w:rPr>
        <w:t>（</w:t>
      </w:r>
      <w:r>
        <w:rPr>
          <w:color w:val="000000"/>
          <w:sz w:val="21"/>
        </w:rPr>
        <w:t>2）乙方应指定项目负责人负责项目的管理，项目负责人姓名、联系方式等信息变更的，应当及时通知甲方。</w:t>
      </w:r>
    </w:p>
    <w:p>
      <w:pPr>
        <w:ind w:firstLine="420"/>
        <w:jc w:val="both"/>
      </w:pPr>
      <w:r>
        <w:rPr>
          <w:color w:val="000000"/>
          <w:sz w:val="21"/>
        </w:rPr>
        <w:t>（</w:t>
      </w:r>
      <w:r>
        <w:rPr>
          <w:color w:val="000000"/>
          <w:sz w:val="21"/>
        </w:rPr>
        <w:t>3）乙方应按甲方的合理建议调整项目的实施。</w:t>
      </w:r>
    </w:p>
    <w:p>
      <w:pPr>
        <w:ind w:firstLine="420"/>
        <w:jc w:val="both"/>
      </w:pPr>
      <w:r>
        <w:rPr>
          <w:color w:val="000000"/>
          <w:sz w:val="21"/>
        </w:rPr>
        <w:t>（</w:t>
      </w:r>
      <w:r>
        <w:rPr>
          <w:color w:val="000000"/>
          <w:sz w:val="21"/>
        </w:rPr>
        <w:t>4） 乙方应教育、督促乙方服务人员在提供服务期间按甲方的有关规章制度和作息时间完成相应项目工作，以保障甲方的正常工作秩序。</w:t>
      </w:r>
    </w:p>
    <w:p>
      <w:pPr>
        <w:ind w:firstLine="420"/>
        <w:jc w:val="both"/>
      </w:pPr>
      <w:r>
        <w:rPr>
          <w:color w:val="000000"/>
          <w:sz w:val="21"/>
        </w:rPr>
        <w:t>（</w:t>
      </w:r>
      <w:r>
        <w:rPr>
          <w:color w:val="000000"/>
          <w:sz w:val="21"/>
        </w:rPr>
        <w:t>5）乙方应教育、督促服务人员不得以任何形式向他人提供或泄露甲方的商业秘密，保证甲方业务利益不受损失，对甲方各类客户的资料、业务数据等应按照甲方相关文件及工作要求执行保密工作。</w:t>
      </w:r>
    </w:p>
    <w:p>
      <w:pPr>
        <w:ind w:firstLine="420"/>
        <w:jc w:val="both"/>
      </w:pPr>
      <w:r>
        <w:rPr>
          <w:color w:val="000000"/>
          <w:sz w:val="21"/>
        </w:rPr>
        <w:t>（</w:t>
      </w:r>
      <w:r>
        <w:rPr>
          <w:color w:val="000000"/>
          <w:sz w:val="21"/>
        </w:rPr>
        <w:t>6）乙方服务人员在执行项目时如需借用甲方的工作工具、设备和其他物品的，由甲方负责登记管</w:t>
      </w:r>
      <w:r>
        <w:rPr>
          <w:color w:val="000000"/>
          <w:sz w:val="21"/>
        </w:rPr>
        <w:t>理，如该服务人员离职时，由乙方负责协助收回交还甲方。乙方服务人员只能在甲方指定的场所使用甲方的工作工具，设备和其他物品，未经允许，不得将其带出甲方指定的场所。</w:t>
      </w:r>
    </w:p>
    <w:p>
      <w:pPr>
        <w:ind w:firstLine="420"/>
        <w:jc w:val="both"/>
      </w:pPr>
      <w:r>
        <w:rPr>
          <w:color w:val="000000"/>
          <w:sz w:val="21"/>
        </w:rPr>
        <w:t>（</w:t>
      </w:r>
      <w:r>
        <w:rPr>
          <w:color w:val="000000"/>
          <w:sz w:val="21"/>
        </w:rPr>
        <w:t>7）在乙方服务人员须到甲方处提供服务时，乙方有义务向甲方提供服务人员有关资料供甲方报备。</w:t>
      </w:r>
    </w:p>
    <w:p>
      <w:pPr>
        <w:ind w:firstLine="420"/>
        <w:jc w:val="both"/>
      </w:pPr>
      <w:r>
        <w:rPr>
          <w:color w:val="000000"/>
          <w:sz w:val="21"/>
        </w:rPr>
        <w:t>（</w:t>
      </w:r>
      <w:r>
        <w:rPr>
          <w:color w:val="000000"/>
          <w:sz w:val="21"/>
        </w:rPr>
        <w:t>8）乙方不得将本合同的内容向甲乙双方以外的、与签订和履行本合同无关的任何第三方透露，不得泄露乙方的商业秘密（包括本合同及其附件和合同签订前的各项方案）。</w:t>
      </w:r>
    </w:p>
    <w:p>
      <w:pPr>
        <w:ind w:firstLine="420"/>
        <w:jc w:val="both"/>
      </w:pPr>
      <w:r>
        <w:rPr>
          <w:color w:val="000000"/>
          <w:sz w:val="21"/>
        </w:rPr>
        <w:t>（</w:t>
      </w:r>
      <w:r>
        <w:rPr>
          <w:color w:val="000000"/>
          <w:sz w:val="21"/>
        </w:rPr>
        <w:t>9）未经甲方事先书面同意，乙方不得将其在本合同项下权利义务的全部或部分转让或分包给任何第三方。</w:t>
      </w:r>
    </w:p>
    <w:p>
      <w:pPr>
        <w:ind w:firstLine="420"/>
        <w:jc w:val="both"/>
      </w:pPr>
      <w:r>
        <w:rPr>
          <w:color w:val="000000"/>
          <w:sz w:val="21"/>
        </w:rPr>
        <w:t>（</w:t>
      </w:r>
      <w:r>
        <w:rPr>
          <w:color w:val="000000"/>
          <w:sz w:val="21"/>
        </w:rPr>
        <w:t>10）本协议履行期间内，对于乙方服务人员与乙方之间所形成的任何劳资纠纷和其他法律纠纷，均由乙方负责解决并承担由此导致的不利后果，且乙方在本协议项下所应履行的义务并不因此而遭受任何影响。</w:t>
      </w:r>
    </w:p>
    <w:p>
      <w:pPr>
        <w:jc w:val="both"/>
      </w:pPr>
      <w:r>
        <w:rPr>
          <w:b/>
          <w:sz w:val="21"/>
        </w:rPr>
        <w:t>七、</w:t>
      </w:r>
      <w:r>
        <w:rPr>
          <w:b/>
          <w:sz w:val="21"/>
        </w:rPr>
        <w:t>付款方式</w:t>
      </w:r>
      <w:r>
        <w:rPr>
          <w:b/>
          <w:sz w:val="21"/>
        </w:rPr>
        <w:t>、时间及付款条件</w:t>
      </w:r>
    </w:p>
    <w:p>
      <w:pPr>
        <w:ind w:firstLine="420"/>
        <w:jc w:val="both"/>
      </w:pPr>
      <w:r>
        <w:rPr>
          <w:sz w:val="21"/>
        </w:rPr>
        <w:t>1.费用标准：</w:t>
      </w:r>
    </w:p>
    <w:p>
      <w:pPr>
        <w:ind w:firstLine="420"/>
        <w:jc w:val="both"/>
      </w:pPr>
      <w:r>
        <w:rPr>
          <w:sz w:val="21"/>
        </w:rPr>
        <w:t>甲方就乙方所提供的服务向乙方支付服务费，预计总费用按实际发生工作量进行计算，乙方于次月</w:t>
      </w:r>
      <w:r>
        <w:rPr>
          <w:sz w:val="21"/>
        </w:rPr>
        <w:t>5号前提供上月总费用结算表，由甲方确认后，按费用结算表进行支付。</w:t>
      </w:r>
    </w:p>
    <w:p>
      <w:pPr>
        <w:ind w:firstLine="420"/>
        <w:jc w:val="both"/>
      </w:pPr>
      <w:r>
        <w:rPr>
          <w:sz w:val="21"/>
        </w:rPr>
        <w:t>2.结算方式：</w:t>
      </w:r>
    </w:p>
    <w:p>
      <w:pPr>
        <w:ind w:firstLine="420"/>
        <w:jc w:val="both"/>
      </w:pPr>
      <w:r>
        <w:rPr>
          <w:sz w:val="21"/>
        </w:rPr>
        <w:t>费用按月结算，乙方提供的服务符合合同约定，乙方于次月</w:t>
      </w:r>
      <w:r>
        <w:rPr>
          <w:sz w:val="21"/>
        </w:rPr>
        <w:t>10日前向甲方提交有效发票，甲方在收到发票后5个工作日内以转账的方式支付给乙方指定的银行账户。</w:t>
      </w:r>
    </w:p>
    <w:p>
      <w:pPr>
        <w:ind w:firstLine="420"/>
        <w:jc w:val="both"/>
      </w:pPr>
      <w:r>
        <w:rPr>
          <w:sz w:val="21"/>
        </w:rPr>
        <w:t>3.特别说明：</w:t>
      </w:r>
    </w:p>
    <w:p>
      <w:pPr>
        <w:ind w:firstLine="420"/>
        <w:jc w:val="both"/>
      </w:pPr>
      <w:r>
        <w:rPr>
          <w:sz w:val="21"/>
        </w:rPr>
        <w:t>若乙方为中小企业，签订合同并收到乙方提供的有效发票后</w:t>
      </w:r>
      <w:r>
        <w:rPr>
          <w:sz w:val="21"/>
        </w:rPr>
        <w:t>5个工作日内支付合同总金额的30%作为预付款，后续的结算款优先从预付款中抵扣，直至抵扣完为止</w:t>
      </w:r>
      <w:r>
        <w:rPr>
          <w:sz w:val="21"/>
        </w:rPr>
        <w:t>，扣完后按本条第</w:t>
      </w:r>
      <w:r>
        <w:rPr>
          <w:sz w:val="21"/>
        </w:rPr>
        <w:t>1</w:t>
      </w:r>
      <w:r>
        <w:rPr>
          <w:sz w:val="21"/>
        </w:rPr>
        <w:t>、</w:t>
      </w:r>
      <w:r>
        <w:rPr>
          <w:sz w:val="21"/>
        </w:rPr>
        <w:t>2</w:t>
      </w:r>
      <w:r>
        <w:rPr>
          <w:sz w:val="21"/>
        </w:rPr>
        <w:t>款约定支付</w:t>
      </w:r>
      <w:r>
        <w:rPr>
          <w:sz w:val="21"/>
        </w:rPr>
        <w:t>。</w:t>
      </w:r>
    </w:p>
    <w:p>
      <w:pPr>
        <w:jc w:val="both"/>
      </w:pPr>
      <w:r>
        <w:rPr>
          <w:b/>
          <w:sz w:val="21"/>
        </w:rPr>
        <w:t>八、</w:t>
      </w:r>
      <w:r>
        <w:rPr>
          <w:b/>
          <w:sz w:val="21"/>
        </w:rPr>
        <w:t>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r>
        <w:rPr>
          <w:sz w:val="21"/>
        </w:rPr>
        <w:t>，</w:t>
      </w:r>
      <w:r>
        <w:rPr>
          <w:sz w:val="21"/>
        </w:rPr>
        <w:t>否则因此导致的甲方及第三方的赔偿款及损失均由乙方承担</w:t>
      </w:r>
      <w:r>
        <w:rPr>
          <w:sz w:val="21"/>
        </w:rPr>
        <w:t>。</w:t>
      </w:r>
    </w:p>
    <w:p>
      <w:pPr>
        <w:jc w:val="both"/>
      </w:pPr>
      <w:r>
        <w:rPr>
          <w:b/>
          <w:sz w:val="21"/>
        </w:rPr>
        <w:t>九、</w:t>
      </w:r>
      <w:r>
        <w:rPr>
          <w:b/>
          <w:sz w:val="21"/>
        </w:rPr>
        <w:t>保密</w:t>
      </w:r>
    </w:p>
    <w:p>
      <w:pPr>
        <w:ind w:firstLine="424"/>
        <w:jc w:val="both"/>
      </w:pPr>
      <w:r>
        <w:rPr>
          <w:sz w:val="21"/>
        </w:rPr>
        <w:t>1．</w:t>
      </w:r>
      <w:r>
        <w:rPr>
          <w:sz w:val="21"/>
        </w:rPr>
        <w:t>项目实施服务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p>
    <w:p>
      <w:pPr>
        <w:ind w:firstLine="424"/>
        <w:jc w:val="both"/>
      </w:pPr>
      <w:r>
        <w:rPr>
          <w:sz w:val="21"/>
        </w:rPr>
        <w:t>2．</w:t>
      </w:r>
      <w:r>
        <w:rPr>
          <w:sz w:val="21"/>
        </w:rPr>
        <w:t>未经乙方事先书面同意，甲方不得将由乙方为本合同提供的资料提供给与本合同无关的任何第三方，不得将其用于履行本合同之外的其它用途。即使向与履行本合同有关的人员提供，也应注意保密并限于履行合同所必需的范围。</w:t>
      </w:r>
    </w:p>
    <w:p>
      <w:pPr>
        <w:jc w:val="both"/>
      </w:pPr>
      <w:r>
        <w:rPr>
          <w:b/>
          <w:sz w:val="21"/>
        </w:rPr>
        <w:t>十、</w:t>
      </w:r>
      <w:r>
        <w:rPr>
          <w:b/>
          <w:sz w:val="21"/>
        </w:rPr>
        <w:t>违约责任与赔偿损失</w:t>
      </w:r>
    </w:p>
    <w:p>
      <w:pPr>
        <w:ind w:firstLine="424"/>
        <w:jc w:val="both"/>
      </w:pPr>
      <w:r>
        <w:rPr>
          <w:sz w:val="21"/>
        </w:rPr>
        <w:t>1．</w:t>
      </w:r>
      <w:r>
        <w:rPr>
          <w:sz w:val="21"/>
        </w:rPr>
        <w:t>乙方提供的服务不符合招标文件、投标文件或本合同规定的，甲方有权拒收，并且乙方须向甲方支付本合同总价</w:t>
      </w:r>
      <w:r>
        <w:rPr>
          <w:sz w:val="21"/>
        </w:rPr>
        <w:t>5%的违约金。</w:t>
      </w:r>
    </w:p>
    <w:p>
      <w:pPr>
        <w:ind w:firstLine="424"/>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ind w:firstLine="424"/>
        <w:jc w:val="both"/>
      </w:pPr>
      <w:r>
        <w:rPr>
          <w:sz w:val="21"/>
        </w:rPr>
        <w:t>3．</w:t>
      </w:r>
      <w:r>
        <w:rPr>
          <w:sz w:val="21"/>
        </w:rPr>
        <w:t>甲方无正当理由拒绝接受服务，甲方向乙方偿付本合同总价的</w:t>
      </w:r>
      <w:r>
        <w:rPr>
          <w:sz w:val="21"/>
        </w:rPr>
        <w:t>5%的违约金。甲方逾期付款，则每日按</w:t>
      </w:r>
      <w:r>
        <w:rPr>
          <w:sz w:val="21"/>
        </w:rPr>
        <w:t>欠付金额</w:t>
      </w:r>
      <w:r>
        <w:rPr>
          <w:sz w:val="21"/>
        </w:rPr>
        <w:t>的</w:t>
      </w:r>
      <w:r>
        <w:rPr>
          <w:sz w:val="21"/>
        </w:rPr>
        <w:t>0.</w:t>
      </w:r>
      <w:r>
        <w:rPr>
          <w:sz w:val="21"/>
        </w:rPr>
        <w:t>3‰向乙方偿付违约金。</w:t>
      </w:r>
    </w:p>
    <w:p>
      <w:pPr>
        <w:ind w:firstLine="424"/>
        <w:jc w:val="both"/>
      </w:pPr>
      <w:r>
        <w:rPr>
          <w:sz w:val="21"/>
        </w:rPr>
        <w:t>4．</w:t>
      </w:r>
      <w:r>
        <w:rPr>
          <w:sz w:val="21"/>
        </w:rPr>
        <w:t>因</w:t>
      </w:r>
      <w:r>
        <w:rPr>
          <w:sz w:val="21"/>
        </w:rPr>
        <w:t>一</w:t>
      </w:r>
      <w:r>
        <w:rPr>
          <w:sz w:val="21"/>
        </w:rPr>
        <w:t>方原因导致变更、中止或者终止</w:t>
      </w:r>
      <w:r>
        <w:rPr>
          <w:sz w:val="21"/>
        </w:rPr>
        <w:t>本</w:t>
      </w:r>
      <w:r>
        <w:rPr>
          <w:sz w:val="21"/>
        </w:rPr>
        <w:t>合同的，</w:t>
      </w:r>
      <w:r>
        <w:rPr>
          <w:sz w:val="21"/>
        </w:rPr>
        <w:t>违约方</w:t>
      </w:r>
      <w:r>
        <w:rPr>
          <w:sz w:val="21"/>
        </w:rPr>
        <w:t>对</w:t>
      </w:r>
      <w:r>
        <w:rPr>
          <w:sz w:val="21"/>
        </w:rPr>
        <w:t>守约</w:t>
      </w:r>
      <w:r>
        <w:rPr>
          <w:sz w:val="21"/>
        </w:rPr>
        <w:t>方受到的损失予以赔偿或者补偿，赔偿或者补偿金额为：</w:t>
      </w:r>
      <w:r>
        <w:rPr>
          <w:sz w:val="21"/>
          <w:u w:val="single"/>
        </w:rPr>
        <w:t>按本合同总价的</w:t>
      </w:r>
      <w:r>
        <w:rPr>
          <w:sz w:val="21"/>
          <w:u w:val="single"/>
        </w:rPr>
        <w:t>5%。</w:t>
      </w:r>
    </w:p>
    <w:p>
      <w:pPr>
        <w:ind w:firstLine="424"/>
        <w:jc w:val="both"/>
      </w:pPr>
      <w:r>
        <w:rPr>
          <w:sz w:val="21"/>
        </w:rPr>
        <w:t>5．</w:t>
      </w:r>
      <w:r>
        <w:rPr>
          <w:sz w:val="21"/>
        </w:rPr>
        <w:t>其它违约责任按《中华人民共和国民法典》处理。</w:t>
      </w:r>
    </w:p>
    <w:p>
      <w:pPr>
        <w:jc w:val="both"/>
      </w:pPr>
      <w:r>
        <w:rPr>
          <w:b/>
          <w:sz w:val="21"/>
        </w:rPr>
        <w:t>十一、</w:t>
      </w:r>
      <w:r>
        <w:rPr>
          <w:b/>
          <w:sz w:val="21"/>
        </w:rPr>
        <w:t>争端的解决</w:t>
      </w:r>
    </w:p>
    <w:p>
      <w:pPr>
        <w:ind w:firstLine="420"/>
        <w:jc w:val="both"/>
      </w:pPr>
      <w:r>
        <w:rPr>
          <w:sz w:val="21"/>
        </w:rPr>
        <w:t>合同执行过程中发生的任何争议，如双方不能通过友好协商解决，</w:t>
      </w:r>
      <w:r>
        <w:rPr>
          <w:color w:val="000000"/>
          <w:sz w:val="21"/>
        </w:rPr>
        <w:t>则向甲方所在地有管辖权的人民法院提起诉讼</w:t>
      </w:r>
      <w:r>
        <w:rPr>
          <w:sz w:val="21"/>
        </w:rPr>
        <w:t>。</w:t>
      </w:r>
    </w:p>
    <w:p>
      <w:pPr>
        <w:jc w:val="both"/>
      </w:pPr>
      <w:r>
        <w:rPr>
          <w:b/>
          <w:sz w:val="21"/>
        </w:rPr>
        <w:t>十二、</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十三、</w:t>
      </w:r>
      <w:r>
        <w:rPr>
          <w:b/>
          <w:sz w:val="21"/>
        </w:rPr>
        <w:t>税费</w:t>
      </w:r>
    </w:p>
    <w:p>
      <w:pPr>
        <w:ind w:firstLine="411"/>
        <w:jc w:val="both"/>
      </w:pPr>
      <w:r>
        <w:rPr>
          <w:sz w:val="21"/>
        </w:rPr>
        <w:t>在中国境内、外发生的与本合同执行有关的一切税费均由乙方负担。</w:t>
      </w:r>
    </w:p>
    <w:p>
      <w:pPr>
        <w:jc w:val="both"/>
      </w:pPr>
      <w:r>
        <w:rPr>
          <w:b/>
          <w:sz w:val="21"/>
        </w:rPr>
        <w:t>十四、</w:t>
      </w:r>
      <w:r>
        <w:rPr>
          <w:b/>
          <w:sz w:val="21"/>
        </w:rPr>
        <w:t>其它</w:t>
      </w:r>
    </w:p>
    <w:p>
      <w:pPr>
        <w:ind w:firstLine="424"/>
        <w:jc w:val="both"/>
      </w:pPr>
      <w:r>
        <w:rPr>
          <w:sz w:val="21"/>
        </w:rPr>
        <w:t>1．</w:t>
      </w:r>
      <w:r>
        <w:rPr>
          <w:sz w:val="21"/>
        </w:rPr>
        <w:t>本合同所有附件、招标文件、投标文件、中标通知书均为合同的有效组成部分，与本合同具有同等法律效力。</w:t>
      </w:r>
    </w:p>
    <w:p>
      <w:pPr>
        <w:ind w:firstLine="424"/>
        <w:jc w:val="both"/>
      </w:pPr>
      <w:r>
        <w:rPr>
          <w:sz w:val="21"/>
        </w:rPr>
        <w:t>2．</w:t>
      </w:r>
      <w:r>
        <w:rPr>
          <w:sz w:val="21"/>
        </w:rPr>
        <w:t>在执行本合同的过程中，所有经双方签署确认的文件（包括会议纪要、补充协议）即成为本合同的有效组成部分。</w:t>
      </w:r>
    </w:p>
    <w:p>
      <w:pPr>
        <w:ind w:firstLine="424"/>
        <w:jc w:val="both"/>
      </w:pPr>
      <w:r>
        <w:rPr>
          <w:sz w:val="21"/>
        </w:rPr>
        <w:t>3．</w:t>
      </w:r>
      <w:r>
        <w:rPr>
          <w:sz w:val="21"/>
        </w:rPr>
        <w:t>如一方地址、电话、传真号码有变更，应在变更当日内书面通知对方，否则，应承担相应责任。</w:t>
      </w:r>
    </w:p>
    <w:p>
      <w:pPr>
        <w:ind w:firstLine="424"/>
        <w:jc w:val="both"/>
      </w:pPr>
      <w:r>
        <w:rPr>
          <w:sz w:val="21"/>
        </w:rPr>
        <w:t>4．</w:t>
      </w:r>
      <w:r>
        <w:rPr>
          <w:sz w:val="21"/>
        </w:rPr>
        <w:t>除甲方事先书面同意外，乙方不得部分或全部转让其应履行的合同项下的义务。</w:t>
      </w:r>
    </w:p>
    <w:p>
      <w:pPr>
        <w:ind w:firstLine="424"/>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ind w:firstLine="424"/>
        <w:jc w:val="both"/>
      </w:pPr>
      <w:r>
        <w:rPr>
          <w:sz w:val="21"/>
        </w:rPr>
        <w:t>6．</w:t>
      </w:r>
      <w:r>
        <w:rPr>
          <w:sz w:val="21"/>
        </w:rPr>
        <w:t>本合同未尽事宜，由双方协商处理。</w:t>
      </w:r>
    </w:p>
    <w:p>
      <w:pPr>
        <w:jc w:val="both"/>
      </w:pPr>
      <w:r>
        <w:rPr/>
        <w:t xml:space="preserve"> </w:t>
      </w:r>
    </w:p>
    <w:p>
      <w:pPr>
        <w:jc w:val="both"/>
      </w:pPr>
      <w:r>
        <w:rPr>
          <w:sz w:val="21"/>
        </w:rPr>
        <w:t>（以下无正文）</w:t>
      </w:r>
    </w:p>
    <w:p>
      <w:pPr>
        <w:jc w:val="both"/>
      </w:pPr>
      <w:r>
        <w:rPr/>
        <w:t xml:space="preserve"> </w:t>
      </w:r>
    </w:p>
    <w:p>
      <w:pPr>
        <w:jc w:val="both"/>
      </w:pPr>
      <w:r>
        <w:rPr>
          <w:sz w:val="21"/>
        </w:rPr>
        <w:t>附件</w:t>
      </w:r>
      <w:r>
        <w:rPr>
          <w:sz w:val="21"/>
        </w:rPr>
        <w:t>1：服务质量考核表</w:t>
      </w:r>
    </w:p>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19"/>
              </w:rPr>
              <w:t xml:space="preserve"> </w:t>
            </w:r>
          </w:p>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
    <w:p>
      <w:pPr>
        <w:jc w:val="left"/>
      </w:pPr>
      <w:r>
        <w:rPr/>
        <w:t xml:space="preserve"> </w:t>
      </w:r>
    </w:p>
    <w:p>
      <w:pPr>
        <w:jc w:val="left"/>
      </w:pPr>
      <w:r>
        <w:rPr/>
        <w:t xml:space="preserve"> </w:t>
      </w:r>
    </w:p>
    <w:p>
      <w:pPr>
        <w:jc w:val="left"/>
      </w:pPr>
      <w:r>
        <w:rPr/>
        <w:t xml:space="preserve"> </w:t>
      </w:r>
    </w:p>
    <w:p>
      <w:pPr>
        <w:jc w:val="left"/>
      </w:pPr>
      <w:r>
        <w:rPr/>
        <w:t xml:space="preserve"> </w:t>
      </w:r>
    </w:p>
    <w:p>
      <w:pPr>
        <w:jc w:val="left"/>
      </w:pPr>
      <w:r>
        <w:rPr/>
        <w:t xml:space="preserve"> </w:t>
      </w:r>
    </w:p>
    <w:p>
      <w:pPr>
        <w:jc w:val="left"/>
      </w:pPr>
      <w:r>
        <w:rPr>
          <w:b/>
          <w:sz w:val="21"/>
        </w:rPr>
        <w:t>附件</w:t>
      </w:r>
      <w:r>
        <w:rPr>
          <w:b/>
          <w:sz w:val="21"/>
        </w:rPr>
        <w:t>1：服务质量考核表</w:t>
      </w:r>
    </w:p>
    <w:p>
      <w:pPr>
        <w:jc w:val="center"/>
      </w:pPr>
      <w:r>
        <w:rPr>
          <w:b/>
          <w:sz w:val="21"/>
        </w:rPr>
        <w:t>服务质量考核表</w:t>
      </w:r>
    </w:p>
    <w:p>
      <w:pPr>
        <w:jc w:val="both"/>
      </w:pPr>
      <w:r>
        <w:rPr>
          <w:b/>
          <w:sz w:val="21"/>
        </w:rPr>
        <w:t>注：每项考核内容累计扣分，最高扣至分项总分。</w:t>
      </w:r>
    </w:p>
    <w:tbl>
      <w:tblPr>
        <w:tblW w:w="0" w:type="auto"/>
        <w:tblBorders>
          <w:top w:val="none" w:color="000000" w:sz="4"/>
          <w:left w:val="none" w:color="000000" w:sz="4"/>
          <w:bottom w:val="none" w:color="000000" w:sz="4"/>
          <w:right w:val="none" w:color="000000" w:sz="4"/>
          <w:insideH w:val="none"/>
          <w:insideV w:val="none"/>
        </w:tblBorders>
      </w:tblPr>
      <w:tblGrid>
        <w:gridCol w:w="833"/>
        <w:gridCol w:w="4582"/>
        <w:gridCol w:w="977"/>
        <w:gridCol w:w="977"/>
        <w:gridCol w:w="937"/>
      </w:tblGrid>
      <w:tr>
        <w:tc>
          <w:tcPr>
            <w:tcW w:type="dxa" w:w="83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582"/>
            <w:tcBorders>
              <w:top w:val="single" w:color="000000" w:sz="4"/>
              <w:left w:val="single" w:color="000000" w:sz="4"/>
              <w:bottom w:val="single" w:color="000000" w:sz="4"/>
              <w:right w:val="single" w:color="000000" w:sz="4"/>
            </w:tcBorders>
            <w:vAlign w:val="top"/>
          </w:tcPr>
          <w:p>
            <w:pPr>
              <w:jc w:val="center"/>
            </w:pPr>
            <w:r>
              <w:rPr>
                <w:b/>
                <w:sz w:val="21"/>
              </w:rPr>
              <w:t>考核要求</w:t>
            </w:r>
          </w:p>
        </w:tc>
        <w:tc>
          <w:tcPr>
            <w:tcW w:type="dxa" w:w="977"/>
            <w:tcBorders>
              <w:top w:val="single" w:color="000000" w:sz="4"/>
              <w:left w:val="single" w:color="000000" w:sz="4"/>
              <w:bottom w:val="single" w:color="000000" w:sz="4"/>
              <w:right w:val="single" w:color="000000" w:sz="4"/>
            </w:tcBorders>
            <w:vAlign w:val="top"/>
          </w:tcPr>
          <w:p>
            <w:pPr>
              <w:jc w:val="center"/>
            </w:pPr>
            <w:r>
              <w:rPr>
                <w:b/>
                <w:sz w:val="21"/>
              </w:rPr>
              <w:t>分值</w:t>
            </w:r>
          </w:p>
        </w:tc>
        <w:tc>
          <w:tcPr>
            <w:tcW w:type="dxa" w:w="977"/>
            <w:tcBorders>
              <w:top w:val="single" w:color="000000" w:sz="4"/>
              <w:left w:val="single" w:color="000000" w:sz="4"/>
              <w:bottom w:val="single" w:color="000000" w:sz="4"/>
              <w:right w:val="single" w:color="000000" w:sz="4"/>
            </w:tcBorders>
            <w:vAlign w:val="top"/>
          </w:tcPr>
          <w:p>
            <w:pPr>
              <w:jc w:val="center"/>
            </w:pPr>
            <w:r>
              <w:rPr>
                <w:b/>
                <w:sz w:val="21"/>
              </w:rPr>
              <w:t>扣分明细</w:t>
            </w:r>
          </w:p>
        </w:tc>
        <w:tc>
          <w:tcPr>
            <w:tcW w:type="dxa" w:w="937"/>
            <w:tcBorders>
              <w:top w:val="single" w:color="000000" w:sz="4"/>
              <w:left w:val="single" w:color="000000" w:sz="4"/>
              <w:bottom w:val="single" w:color="000000" w:sz="4"/>
              <w:right w:val="single" w:color="000000" w:sz="4"/>
            </w:tcBorders>
            <w:vAlign w:val="top"/>
          </w:tcPr>
          <w:p>
            <w:pPr>
              <w:jc w:val="center"/>
            </w:pPr>
            <w:r>
              <w:rPr>
                <w:b/>
                <w:sz w:val="21"/>
              </w:rPr>
              <w:t>考核得数</w:t>
            </w:r>
          </w:p>
        </w:tc>
      </w:tr>
      <w:tr>
        <w:tc>
          <w:tcPr>
            <w:tcW w:type="dxa" w:w="8306"/>
            <w:gridSpan w:val="5"/>
            <w:tcBorders>
              <w:top w:val="none" w:color="000000" w:sz="4"/>
              <w:left w:val="single" w:color="000000" w:sz="4"/>
              <w:bottom w:val="single" w:color="000000" w:sz="4"/>
              <w:right w:val="single" w:color="000000" w:sz="4"/>
            </w:tcBorders>
            <w:vAlign w:val="top"/>
          </w:tcPr>
          <w:p>
            <w:pPr>
              <w:jc w:val="left"/>
            </w:pPr>
            <w:r>
              <w:rPr>
                <w:b/>
                <w:sz w:val="21"/>
              </w:rPr>
              <w:t>一、服务商整体履约情况</w:t>
            </w:r>
          </w:p>
        </w:tc>
      </w:tr>
      <w:tr>
        <w:tc>
          <w:tcPr>
            <w:tcW w:type="dxa" w:w="8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82"/>
            <w:tcBorders>
              <w:top w:val="single" w:color="000000" w:sz="4"/>
              <w:left w:val="single" w:color="000000" w:sz="4"/>
              <w:bottom w:val="single" w:color="000000" w:sz="4"/>
              <w:right w:val="single" w:color="000000" w:sz="4"/>
            </w:tcBorders>
            <w:vAlign w:val="top"/>
          </w:tcPr>
          <w:p>
            <w:pPr>
              <w:jc w:val="left"/>
            </w:pPr>
            <w:r>
              <w:rPr>
                <w:sz w:val="21"/>
              </w:rPr>
              <w:t>按项目需求派驻服务人员准时到位，按甲方意见对岗位设置、人员选用及时进行调整，对于甲方提出的不符合要求的服务人员及时更换；每发现一次不满足要求的扣</w:t>
            </w:r>
            <w:r>
              <w:rPr>
                <w:sz w:val="21"/>
              </w:rPr>
              <w:t>5分。</w:t>
            </w:r>
          </w:p>
        </w:tc>
        <w:tc>
          <w:tcPr>
            <w:tcW w:type="dxa" w:w="977"/>
            <w:tcBorders>
              <w:top w:val="single" w:color="000000" w:sz="4"/>
              <w:left w:val="single" w:color="000000" w:sz="4"/>
              <w:bottom w:val="single" w:color="000000" w:sz="4"/>
              <w:right w:val="single" w:color="000000" w:sz="4"/>
            </w:tcBorders>
            <w:vAlign w:val="top"/>
          </w:tcPr>
          <w:p>
            <w:pPr>
              <w:jc w:val="center"/>
            </w:pPr>
            <w:r>
              <w:rPr>
                <w:sz w:val="21"/>
              </w:rPr>
              <w:t>10</w:t>
            </w:r>
          </w:p>
        </w:tc>
        <w:tc>
          <w:tcPr>
            <w:tcW w:type="dxa" w:w="977"/>
            <w:tcBorders>
              <w:top w:val="single" w:color="000000" w:sz="4"/>
              <w:left w:val="single" w:color="000000" w:sz="4"/>
              <w:bottom w:val="single" w:color="000000" w:sz="4"/>
              <w:right w:val="single" w:color="000000" w:sz="4"/>
            </w:tcBorders>
            <w:vAlign w:val="top"/>
          </w:tcPr>
          <w:p>
            <w:pPr>
              <w:jc w:val="center"/>
            </w:pPr>
          </w:p>
        </w:tc>
        <w:tc>
          <w:tcPr>
            <w:tcW w:type="dxa" w:w="937"/>
            <w:tcBorders>
              <w:top w:val="single" w:color="000000" w:sz="4"/>
              <w:left w:val="single" w:color="000000" w:sz="4"/>
              <w:bottom w:val="single" w:color="000000" w:sz="4"/>
              <w:right w:val="single" w:color="000000" w:sz="4"/>
            </w:tcBorders>
            <w:vAlign w:val="top"/>
          </w:tcPr>
          <w:p>
            <w:pPr>
              <w:jc w:val="center"/>
            </w:pPr>
          </w:p>
        </w:tc>
      </w:tr>
      <w:tr>
        <w:tc>
          <w:tcPr>
            <w:tcW w:type="dxa" w:w="83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582"/>
            <w:tcBorders>
              <w:top w:val="none" w:color="000000" w:sz="4"/>
              <w:left w:val="single" w:color="000000" w:sz="4"/>
              <w:bottom w:val="single" w:color="000000" w:sz="4"/>
              <w:right w:val="single" w:color="000000" w:sz="4"/>
            </w:tcBorders>
            <w:vAlign w:val="top"/>
          </w:tcPr>
          <w:p>
            <w:pPr>
              <w:jc w:val="left"/>
            </w:pPr>
            <w:r>
              <w:rPr>
                <w:sz w:val="21"/>
              </w:rPr>
              <w:t>履行对服务人员的用人单位义务情况：服务人员的招聘、人事管理（劳动合同签订、终止或解除等），劳资、保险办理（包括社会保险和商业保险）、残疾人就业保障金缴纳等人事劳资管理工作，为服务人员办理劳动用工手续、发放结算工资、发放经济补偿金、缴纳社会保险和住房公积金、处理保险理赔等方面的管理服务；每发现一次不满足要求的扣</w:t>
            </w:r>
            <w:r>
              <w:rPr>
                <w:sz w:val="21"/>
              </w:rPr>
              <w:t>5分。</w:t>
            </w:r>
          </w:p>
        </w:tc>
        <w:tc>
          <w:tcPr>
            <w:tcW w:type="dxa" w:w="97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77"/>
            <w:tcBorders>
              <w:top w:val="none" w:color="000000" w:sz="4"/>
              <w:left w:val="single" w:color="000000" w:sz="4"/>
              <w:bottom w:val="single" w:color="000000" w:sz="4"/>
              <w:right w:val="single" w:color="000000" w:sz="4"/>
            </w:tcBorders>
            <w:vAlign w:val="top"/>
          </w:tcPr>
          <w:p>
            <w:pPr>
              <w:jc w:val="center"/>
            </w:pPr>
          </w:p>
        </w:tc>
        <w:tc>
          <w:tcPr>
            <w:tcW w:type="dxa" w:w="937"/>
            <w:tcBorders>
              <w:top w:val="none" w:color="000000" w:sz="4"/>
              <w:left w:val="single" w:color="000000" w:sz="4"/>
              <w:bottom w:val="single" w:color="000000" w:sz="4"/>
              <w:right w:val="single" w:color="000000" w:sz="4"/>
            </w:tcBorders>
            <w:vAlign w:val="top"/>
          </w:tcPr>
          <w:p>
            <w:pPr>
              <w:jc w:val="center"/>
            </w:pPr>
          </w:p>
        </w:tc>
      </w:tr>
      <w:tr>
        <w:tc>
          <w:tcPr>
            <w:tcW w:type="dxa" w:w="8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582"/>
            <w:tcBorders>
              <w:top w:val="none" w:color="000000" w:sz="4"/>
              <w:left w:val="single" w:color="000000" w:sz="4"/>
              <w:bottom w:val="single" w:color="000000" w:sz="4"/>
              <w:right w:val="single" w:color="000000" w:sz="4"/>
            </w:tcBorders>
            <w:vAlign w:val="top"/>
          </w:tcPr>
          <w:p>
            <w:pPr>
              <w:jc w:val="left"/>
            </w:pPr>
            <w:r>
              <w:rPr>
                <w:sz w:val="21"/>
              </w:rPr>
              <w:t>定期为服务人员进行安全、业务、法律知识等必要的教育培训；每发现一次不满足要求的扣</w:t>
            </w:r>
            <w:r>
              <w:rPr>
                <w:sz w:val="21"/>
              </w:rPr>
              <w:t>5分。</w:t>
            </w:r>
          </w:p>
        </w:tc>
        <w:tc>
          <w:tcPr>
            <w:tcW w:type="dxa" w:w="97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77"/>
            <w:tcBorders>
              <w:top w:val="none" w:color="000000" w:sz="4"/>
              <w:left w:val="single" w:color="000000" w:sz="4"/>
              <w:bottom w:val="single" w:color="000000" w:sz="4"/>
              <w:right w:val="single" w:color="000000" w:sz="4"/>
            </w:tcBorders>
            <w:vAlign w:val="top"/>
          </w:tcPr>
          <w:p>
            <w:pPr>
              <w:jc w:val="center"/>
            </w:pPr>
          </w:p>
        </w:tc>
        <w:tc>
          <w:tcPr>
            <w:tcW w:type="dxa" w:w="937"/>
            <w:tcBorders>
              <w:top w:val="none" w:color="000000" w:sz="4"/>
              <w:left w:val="single" w:color="000000" w:sz="4"/>
              <w:bottom w:val="single" w:color="000000" w:sz="4"/>
              <w:right w:val="single" w:color="000000" w:sz="4"/>
            </w:tcBorders>
            <w:vAlign w:val="top"/>
          </w:tcPr>
          <w:p>
            <w:pPr>
              <w:jc w:val="center"/>
            </w:pPr>
          </w:p>
        </w:tc>
      </w:tr>
      <w:tr>
        <w:tc>
          <w:tcPr>
            <w:tcW w:type="dxa" w:w="83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582"/>
            <w:tcBorders>
              <w:top w:val="none" w:color="000000" w:sz="4"/>
              <w:left w:val="single" w:color="000000" w:sz="4"/>
              <w:bottom w:val="single" w:color="000000" w:sz="4"/>
              <w:right w:val="single" w:color="000000" w:sz="4"/>
            </w:tcBorders>
            <w:vAlign w:val="top"/>
          </w:tcPr>
          <w:p>
            <w:pPr>
              <w:jc w:val="left"/>
            </w:pPr>
            <w:r>
              <w:rPr>
                <w:sz w:val="21"/>
              </w:rPr>
              <w:t>所建立的服务体系和标准是否健全、完善，并充分适应甲方要求的；每发现一次不满足要求的扣</w:t>
            </w:r>
            <w:r>
              <w:rPr>
                <w:sz w:val="21"/>
              </w:rPr>
              <w:t>5分。</w:t>
            </w:r>
          </w:p>
        </w:tc>
        <w:tc>
          <w:tcPr>
            <w:tcW w:type="dxa" w:w="97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77"/>
            <w:tcBorders>
              <w:top w:val="none" w:color="000000" w:sz="4"/>
              <w:left w:val="single" w:color="000000" w:sz="4"/>
              <w:bottom w:val="single" w:color="000000" w:sz="4"/>
              <w:right w:val="single" w:color="000000" w:sz="4"/>
            </w:tcBorders>
            <w:vAlign w:val="top"/>
          </w:tcPr>
          <w:p>
            <w:pPr>
              <w:jc w:val="center"/>
            </w:pPr>
          </w:p>
        </w:tc>
        <w:tc>
          <w:tcPr>
            <w:tcW w:type="dxa" w:w="937"/>
            <w:tcBorders>
              <w:top w:val="none" w:color="000000" w:sz="4"/>
              <w:left w:val="single" w:color="000000" w:sz="4"/>
              <w:bottom w:val="single" w:color="000000" w:sz="4"/>
              <w:right w:val="single" w:color="000000" w:sz="4"/>
            </w:tcBorders>
            <w:vAlign w:val="top"/>
          </w:tcPr>
          <w:p>
            <w:pPr>
              <w:jc w:val="center"/>
            </w:pPr>
          </w:p>
        </w:tc>
      </w:tr>
      <w:tr>
        <w:tc>
          <w:tcPr>
            <w:tcW w:type="dxa" w:w="8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582"/>
            <w:tcBorders>
              <w:top w:val="none" w:color="000000" w:sz="4"/>
              <w:left w:val="single" w:color="000000" w:sz="4"/>
              <w:bottom w:val="single" w:color="000000" w:sz="4"/>
              <w:right w:val="single" w:color="000000" w:sz="4"/>
            </w:tcBorders>
            <w:vAlign w:val="top"/>
          </w:tcPr>
          <w:p>
            <w:pPr>
              <w:jc w:val="left"/>
            </w:pPr>
            <w:r>
              <w:rPr>
                <w:sz w:val="21"/>
              </w:rPr>
              <w:t>科研、自然教育、宣传等辅助工作落实不到位，造成负面影响，经查实，每发生一次扣</w:t>
            </w:r>
            <w:r>
              <w:rPr>
                <w:sz w:val="21"/>
              </w:rPr>
              <w:t>2分，造成严重影响的，加倍扣分并依法追究当事人负责。</w:t>
            </w:r>
          </w:p>
        </w:tc>
        <w:tc>
          <w:tcPr>
            <w:tcW w:type="dxa" w:w="97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77"/>
            <w:tcBorders>
              <w:top w:val="none" w:color="000000" w:sz="4"/>
              <w:left w:val="single" w:color="000000" w:sz="4"/>
              <w:bottom w:val="single" w:color="000000" w:sz="4"/>
              <w:right w:val="single" w:color="000000" w:sz="4"/>
            </w:tcBorders>
            <w:vAlign w:val="top"/>
          </w:tcPr>
          <w:p>
            <w:pPr>
              <w:jc w:val="center"/>
            </w:pPr>
          </w:p>
        </w:tc>
        <w:tc>
          <w:tcPr>
            <w:tcW w:type="dxa" w:w="937"/>
            <w:tcBorders>
              <w:top w:val="none" w:color="000000" w:sz="4"/>
              <w:left w:val="single" w:color="000000" w:sz="4"/>
              <w:bottom w:val="single" w:color="000000" w:sz="4"/>
              <w:right w:val="single" w:color="000000" w:sz="4"/>
            </w:tcBorders>
            <w:vAlign w:val="top"/>
          </w:tcPr>
          <w:p>
            <w:pPr>
              <w:jc w:val="center"/>
            </w:pPr>
          </w:p>
        </w:tc>
      </w:tr>
      <w:tr>
        <w:tc>
          <w:tcPr>
            <w:tcW w:type="dxa" w:w="8306"/>
            <w:gridSpan w:val="5"/>
            <w:tcBorders>
              <w:top w:val="none" w:color="000000" w:sz="4"/>
              <w:left w:val="single" w:color="000000" w:sz="4"/>
              <w:bottom w:val="single" w:color="000000" w:sz="4"/>
              <w:right w:val="single" w:color="000000" w:sz="4"/>
            </w:tcBorders>
            <w:vAlign w:val="top"/>
          </w:tcPr>
          <w:p>
            <w:pPr>
              <w:jc w:val="both"/>
            </w:pPr>
            <w:r>
              <w:rPr>
                <w:b/>
                <w:sz w:val="21"/>
              </w:rPr>
              <w:t>二、服务人员的工作能力、服务态度、工作纪律</w:t>
            </w:r>
          </w:p>
        </w:tc>
      </w:tr>
      <w:tr>
        <w:tc>
          <w:tcPr>
            <w:tcW w:type="dxa" w:w="83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582"/>
            <w:tcBorders>
              <w:top w:val="single" w:color="000000" w:sz="4"/>
              <w:left w:val="single" w:color="000000" w:sz="4"/>
              <w:bottom w:val="single" w:color="000000" w:sz="4"/>
              <w:right w:val="single" w:color="000000" w:sz="4"/>
            </w:tcBorders>
            <w:vAlign w:val="top"/>
          </w:tcPr>
          <w:p>
            <w:pPr>
              <w:jc w:val="left"/>
            </w:pPr>
            <w:r>
              <w:rPr>
                <w:sz w:val="21"/>
              </w:rPr>
              <w:t>服务人员完成相关工作任务，及时有效独立处理各种情况；每发现一次不满足要求的扣</w:t>
            </w:r>
            <w:r>
              <w:rPr>
                <w:sz w:val="21"/>
              </w:rPr>
              <w:t>5分。</w:t>
            </w:r>
          </w:p>
        </w:tc>
        <w:tc>
          <w:tcPr>
            <w:tcW w:type="dxa" w:w="977"/>
            <w:tcBorders>
              <w:top w:val="single" w:color="000000" w:sz="4"/>
              <w:left w:val="single" w:color="000000" w:sz="4"/>
              <w:bottom w:val="single" w:color="000000" w:sz="4"/>
              <w:right w:val="single" w:color="000000" w:sz="4"/>
            </w:tcBorders>
            <w:vAlign w:val="top"/>
          </w:tcPr>
          <w:p>
            <w:pPr>
              <w:jc w:val="center"/>
            </w:pPr>
            <w:r>
              <w:rPr>
                <w:sz w:val="21"/>
              </w:rPr>
              <w:t>10</w:t>
            </w:r>
          </w:p>
        </w:tc>
        <w:tc>
          <w:tcPr>
            <w:tcW w:type="dxa" w:w="977"/>
            <w:tcBorders>
              <w:top w:val="single" w:color="000000" w:sz="4"/>
              <w:left w:val="single" w:color="000000" w:sz="4"/>
              <w:bottom w:val="single" w:color="000000" w:sz="4"/>
              <w:right w:val="single" w:color="000000" w:sz="4"/>
            </w:tcBorders>
            <w:vAlign w:val="top"/>
          </w:tcPr>
          <w:p>
            <w:pPr>
              <w:jc w:val="center"/>
            </w:pPr>
          </w:p>
        </w:tc>
        <w:tc>
          <w:tcPr>
            <w:tcW w:type="dxa" w:w="937"/>
            <w:tcBorders>
              <w:top w:val="single" w:color="000000" w:sz="4"/>
              <w:left w:val="single" w:color="000000" w:sz="4"/>
              <w:bottom w:val="single" w:color="000000" w:sz="4"/>
              <w:right w:val="single" w:color="000000" w:sz="4"/>
            </w:tcBorders>
            <w:vAlign w:val="top"/>
          </w:tcPr>
          <w:p>
            <w:pPr>
              <w:jc w:val="center"/>
            </w:pPr>
          </w:p>
        </w:tc>
      </w:tr>
      <w:tr>
        <w:tc>
          <w:tcPr>
            <w:tcW w:type="dxa" w:w="83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582"/>
            <w:tcBorders>
              <w:top w:val="none" w:color="000000" w:sz="4"/>
              <w:left w:val="single" w:color="000000" w:sz="4"/>
              <w:bottom w:val="single" w:color="000000" w:sz="4"/>
              <w:right w:val="single" w:color="000000" w:sz="4"/>
            </w:tcBorders>
            <w:vAlign w:val="top"/>
          </w:tcPr>
          <w:p>
            <w:pPr>
              <w:jc w:val="left"/>
            </w:pPr>
            <w:r>
              <w:rPr>
                <w:sz w:val="21"/>
              </w:rPr>
              <w:t>服务人员是否具备与所在岗位相匹配的工作能力；每发现一次不满足要求的扣</w:t>
            </w:r>
            <w:r>
              <w:rPr>
                <w:sz w:val="21"/>
              </w:rPr>
              <w:t>5分。</w:t>
            </w:r>
          </w:p>
        </w:tc>
        <w:tc>
          <w:tcPr>
            <w:tcW w:type="dxa" w:w="97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77"/>
            <w:tcBorders>
              <w:top w:val="none" w:color="000000" w:sz="4"/>
              <w:left w:val="single" w:color="000000" w:sz="4"/>
              <w:bottom w:val="single" w:color="000000" w:sz="4"/>
              <w:right w:val="single" w:color="000000" w:sz="4"/>
            </w:tcBorders>
            <w:vAlign w:val="top"/>
          </w:tcPr>
          <w:p>
            <w:pPr>
              <w:jc w:val="center"/>
            </w:pPr>
          </w:p>
        </w:tc>
        <w:tc>
          <w:tcPr>
            <w:tcW w:type="dxa" w:w="937"/>
            <w:tcBorders>
              <w:top w:val="none" w:color="000000" w:sz="4"/>
              <w:left w:val="single" w:color="000000" w:sz="4"/>
              <w:bottom w:val="single" w:color="000000" w:sz="4"/>
              <w:right w:val="single" w:color="000000" w:sz="4"/>
            </w:tcBorders>
            <w:vAlign w:val="top"/>
          </w:tcPr>
          <w:p>
            <w:pPr>
              <w:jc w:val="center"/>
            </w:pPr>
          </w:p>
        </w:tc>
      </w:tr>
      <w:tr>
        <w:tc>
          <w:tcPr>
            <w:tcW w:type="dxa" w:w="83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582"/>
            <w:tcBorders>
              <w:top w:val="none" w:color="000000" w:sz="4"/>
              <w:left w:val="single" w:color="000000" w:sz="4"/>
              <w:bottom w:val="single" w:color="000000" w:sz="4"/>
              <w:right w:val="single" w:color="000000" w:sz="4"/>
            </w:tcBorders>
            <w:vAlign w:val="top"/>
          </w:tcPr>
          <w:p>
            <w:pPr>
              <w:jc w:val="left"/>
            </w:pPr>
            <w:r>
              <w:rPr>
                <w:sz w:val="21"/>
              </w:rPr>
              <w:t>服务人员是否遵守国家法律、法规和工作地点所在单位的规章制度和工作纪律，保守技术秘密和工作秘密；每发现一次不满足要求的扣</w:t>
            </w:r>
            <w:r>
              <w:rPr>
                <w:sz w:val="21"/>
              </w:rPr>
              <w:t>10分。</w:t>
            </w:r>
          </w:p>
        </w:tc>
        <w:tc>
          <w:tcPr>
            <w:tcW w:type="dxa" w:w="977"/>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977"/>
            <w:tcBorders>
              <w:top w:val="none" w:color="000000" w:sz="4"/>
              <w:left w:val="single" w:color="000000" w:sz="4"/>
              <w:bottom w:val="single" w:color="000000" w:sz="4"/>
              <w:right w:val="single" w:color="000000" w:sz="4"/>
            </w:tcBorders>
            <w:vAlign w:val="top"/>
          </w:tcPr>
          <w:p>
            <w:pPr>
              <w:jc w:val="center"/>
            </w:pPr>
          </w:p>
        </w:tc>
        <w:tc>
          <w:tcPr>
            <w:tcW w:type="dxa" w:w="937"/>
            <w:tcBorders>
              <w:top w:val="none" w:color="000000" w:sz="4"/>
              <w:left w:val="single" w:color="000000" w:sz="4"/>
              <w:bottom w:val="single" w:color="000000" w:sz="4"/>
              <w:right w:val="single" w:color="000000" w:sz="4"/>
            </w:tcBorders>
            <w:vAlign w:val="top"/>
          </w:tcPr>
          <w:p>
            <w:pPr>
              <w:jc w:val="center"/>
            </w:pPr>
          </w:p>
        </w:tc>
      </w:tr>
      <w:tr>
        <w:tc>
          <w:tcPr>
            <w:tcW w:type="dxa" w:w="83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4582"/>
            <w:tcBorders>
              <w:top w:val="none" w:color="000000" w:sz="4"/>
              <w:left w:val="single" w:color="000000" w:sz="4"/>
              <w:bottom w:val="single" w:color="000000" w:sz="4"/>
              <w:right w:val="single" w:color="000000" w:sz="4"/>
            </w:tcBorders>
            <w:vAlign w:val="top"/>
          </w:tcPr>
          <w:p>
            <w:pPr>
              <w:jc w:val="left"/>
            </w:pPr>
            <w:r>
              <w:rPr>
                <w:sz w:val="21"/>
              </w:rPr>
              <w:t>服务人员的服务态度是否良好，是否存在被服务对象投诉等情况。每发现一次投诉的扣</w:t>
            </w:r>
            <w:r>
              <w:rPr>
                <w:sz w:val="21"/>
              </w:rPr>
              <w:t>5分。</w:t>
            </w:r>
          </w:p>
        </w:tc>
        <w:tc>
          <w:tcPr>
            <w:tcW w:type="dxa" w:w="97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77"/>
            <w:tcBorders>
              <w:top w:val="none" w:color="000000" w:sz="4"/>
              <w:left w:val="single" w:color="000000" w:sz="4"/>
              <w:bottom w:val="single" w:color="000000" w:sz="4"/>
              <w:right w:val="single" w:color="000000" w:sz="4"/>
            </w:tcBorders>
            <w:vAlign w:val="top"/>
          </w:tcPr>
          <w:p>
            <w:pPr>
              <w:jc w:val="center"/>
            </w:pPr>
          </w:p>
        </w:tc>
        <w:tc>
          <w:tcPr>
            <w:tcW w:type="dxa" w:w="937"/>
            <w:tcBorders>
              <w:top w:val="none" w:color="000000" w:sz="4"/>
              <w:left w:val="single" w:color="000000" w:sz="4"/>
              <w:bottom w:val="single" w:color="000000" w:sz="4"/>
              <w:right w:val="single" w:color="000000" w:sz="4"/>
            </w:tcBorders>
            <w:vAlign w:val="top"/>
          </w:tcPr>
          <w:p>
            <w:pPr>
              <w:jc w:val="center"/>
            </w:pPr>
          </w:p>
        </w:tc>
      </w:tr>
      <w:tr>
        <w:tc>
          <w:tcPr>
            <w:tcW w:type="dxa" w:w="8306"/>
            <w:gridSpan w:val="5"/>
            <w:tcBorders>
              <w:top w:val="none" w:color="000000" w:sz="4"/>
              <w:left w:val="single" w:color="000000" w:sz="4"/>
              <w:bottom w:val="single" w:color="000000" w:sz="4"/>
              <w:right w:val="single" w:color="000000" w:sz="4"/>
            </w:tcBorders>
            <w:vAlign w:val="top"/>
          </w:tcPr>
          <w:p>
            <w:pPr>
              <w:jc w:val="both"/>
            </w:pPr>
            <w:r>
              <w:rPr>
                <w:b/>
                <w:sz w:val="21"/>
              </w:rPr>
              <w:t>三、应急处理能力</w:t>
            </w:r>
          </w:p>
        </w:tc>
      </w:tr>
      <w:tr>
        <w:tc>
          <w:tcPr>
            <w:tcW w:type="dxa" w:w="83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582"/>
            <w:tcBorders>
              <w:top w:val="single" w:color="000000" w:sz="4"/>
              <w:left w:val="single" w:color="000000" w:sz="4"/>
              <w:bottom w:val="single" w:color="000000" w:sz="4"/>
              <w:right w:val="single" w:color="000000" w:sz="4"/>
            </w:tcBorders>
            <w:vAlign w:val="top"/>
          </w:tcPr>
          <w:p>
            <w:pPr>
              <w:jc w:val="left"/>
            </w:pPr>
            <w:r>
              <w:rPr>
                <w:sz w:val="21"/>
              </w:rPr>
              <w:t>服务人员工作现场发生突发应急事件时，常驻现场的人员是否及时、妥当的进行处理，未能处理的事项，服务商是否派出项目经理迅速赶到现场进行妥善处理。每发现一次处理不妥当的的扣</w:t>
            </w:r>
            <w:r>
              <w:rPr>
                <w:sz w:val="21"/>
              </w:rPr>
              <w:t>5分；情节严重的，服务商须予以辞退处理。造成用户社会声誉问题的，用户有权终止合同。</w:t>
            </w:r>
          </w:p>
        </w:tc>
        <w:tc>
          <w:tcPr>
            <w:tcW w:type="dxa" w:w="977"/>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977"/>
            <w:tcBorders>
              <w:top w:val="single" w:color="000000" w:sz="4"/>
              <w:left w:val="single" w:color="000000" w:sz="4"/>
              <w:bottom w:val="single" w:color="000000" w:sz="4"/>
              <w:right w:val="single" w:color="000000" w:sz="4"/>
            </w:tcBorders>
            <w:vAlign w:val="top"/>
          </w:tcPr>
          <w:p>
            <w:pPr>
              <w:jc w:val="center"/>
            </w:pPr>
          </w:p>
        </w:tc>
        <w:tc>
          <w:tcPr>
            <w:tcW w:type="dxa" w:w="937"/>
            <w:tcBorders>
              <w:top w:val="single" w:color="000000" w:sz="4"/>
              <w:left w:val="single" w:color="000000" w:sz="4"/>
              <w:bottom w:val="single" w:color="000000" w:sz="4"/>
              <w:right w:val="single" w:color="000000" w:sz="4"/>
            </w:tcBorders>
            <w:vAlign w:val="top"/>
          </w:tcPr>
          <w:p>
            <w:pPr>
              <w:jc w:val="center"/>
            </w:pPr>
          </w:p>
        </w:tc>
      </w:tr>
      <w:tr>
        <w:tc>
          <w:tcPr>
            <w:tcW w:type="dxa" w:w="83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4582"/>
            <w:tcBorders>
              <w:top w:val="none" w:color="000000" w:sz="4"/>
              <w:left w:val="single" w:color="000000" w:sz="4"/>
              <w:bottom w:val="single" w:color="000000" w:sz="4"/>
              <w:right w:val="single" w:color="000000" w:sz="4"/>
            </w:tcBorders>
            <w:vAlign w:val="top"/>
          </w:tcPr>
          <w:p>
            <w:pPr>
              <w:jc w:val="left"/>
            </w:pPr>
            <w:r>
              <w:rPr>
                <w:sz w:val="21"/>
              </w:rPr>
              <w:t>服务期内，服务人员发生工伤、治安、交通、安全生产事故、火灾等安全案件或违反社保政策及劳动纠纷等情形，服务商是否及时妥善处理。每发现一次处理不妥当的扣</w:t>
            </w:r>
            <w:r>
              <w:rPr>
                <w:sz w:val="21"/>
              </w:rPr>
              <w:t>5分。</w:t>
            </w:r>
          </w:p>
        </w:tc>
        <w:tc>
          <w:tcPr>
            <w:tcW w:type="dxa" w:w="97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77"/>
            <w:tcBorders>
              <w:top w:val="none" w:color="000000" w:sz="4"/>
              <w:left w:val="single" w:color="000000" w:sz="4"/>
              <w:bottom w:val="single" w:color="000000" w:sz="4"/>
              <w:right w:val="single" w:color="000000" w:sz="4"/>
            </w:tcBorders>
            <w:vAlign w:val="top"/>
          </w:tcPr>
          <w:p>
            <w:pPr>
              <w:jc w:val="center"/>
            </w:pPr>
          </w:p>
        </w:tc>
        <w:tc>
          <w:tcPr>
            <w:tcW w:type="dxa" w:w="937"/>
            <w:tcBorders>
              <w:top w:val="none" w:color="000000" w:sz="4"/>
              <w:left w:val="single" w:color="000000" w:sz="4"/>
              <w:bottom w:val="single" w:color="000000" w:sz="4"/>
              <w:right w:val="single" w:color="000000" w:sz="4"/>
            </w:tcBorders>
            <w:vAlign w:val="top"/>
          </w:tcPr>
          <w:p>
            <w:pPr>
              <w:jc w:val="center"/>
            </w:pPr>
          </w:p>
        </w:tc>
      </w:tr>
      <w:tr>
        <w:tc>
          <w:tcPr>
            <w:tcW w:type="dxa" w:w="5415"/>
            <w:gridSpan w:val="2"/>
            <w:tcBorders>
              <w:top w:val="none" w:color="000000" w:sz="4"/>
              <w:left w:val="single" w:color="000000" w:sz="4"/>
              <w:bottom w:val="single" w:color="000000" w:sz="4"/>
              <w:right w:val="single" w:color="000000" w:sz="4"/>
            </w:tcBorders>
            <w:vAlign w:val="top"/>
          </w:tcPr>
          <w:p>
            <w:pPr>
              <w:jc w:val="center"/>
            </w:pPr>
            <w:r>
              <w:rPr>
                <w:sz w:val="21"/>
              </w:rPr>
              <w:t>总分值</w:t>
            </w:r>
          </w:p>
        </w:tc>
        <w:tc>
          <w:tcPr>
            <w:tcW w:type="dxa" w:w="977"/>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977"/>
            <w:tcBorders>
              <w:top w:val="none" w:color="000000" w:sz="4"/>
              <w:left w:val="single" w:color="000000" w:sz="4"/>
              <w:bottom w:val="single" w:color="000000" w:sz="4"/>
              <w:right w:val="single" w:color="000000" w:sz="4"/>
            </w:tcBorders>
            <w:vAlign w:val="top"/>
          </w:tcPr>
          <w:p>
            <w:pPr>
              <w:jc w:val="center"/>
            </w:pPr>
          </w:p>
        </w:tc>
        <w:tc>
          <w:tcPr>
            <w:tcW w:type="dxa" w:w="937"/>
            <w:tcBorders>
              <w:top w:val="none" w:color="000000" w:sz="4"/>
              <w:left w:val="single" w:color="000000" w:sz="4"/>
              <w:bottom w:val="single" w:color="000000" w:sz="4"/>
              <w:right w:val="single" w:color="000000" w:sz="4"/>
            </w:tcBorders>
            <w:vAlign w:val="top"/>
          </w:tcPr>
          <w:p>
            <w:pPr>
              <w:jc w:val="center"/>
            </w:pP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440101-2023-17501</w:t>
      </w:r>
    </w:p>
    <w:p>
      <w:pPr>
        <w:jc w:val="center"/>
      </w:pPr>
      <w:r>
        <w:rPr>
          <w:b/>
          <w:sz w:val="24"/>
        </w:rPr>
        <w:t>采购项目编号：</w:t>
      </w:r>
      <w:r>
        <w:rPr>
          <w:b/>
          <w:sz w:val="24"/>
        </w:rPr>
        <w:t>GZGK23D195C0569Z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广州市民兵预备役训练基地军事教学服务采购项目</w:t>
      </w:r>
      <w:r>
        <w:rPr>
          <w:u w:val="single"/>
        </w:rPr>
        <w:t>”</w:t>
      </w:r>
      <w:r>
        <w:rPr/>
        <w:t>项目的招标[采购项目编号为：</w:t>
      </w:r>
      <w:r>
        <w:rPr>
          <w:u w:val="single"/>
        </w:rPr>
        <w:t>GZGK23D195C0569Z</w:t>
      </w:r>
      <w:r>
        <w:rPr/>
        <w:t>]，我方愿参与投标。</w:t>
      </w:r>
    </w:p>
    <w:p>
      <w:pPr>
        <w:ind w:firstLine="480"/>
      </w:pPr>
      <w:r>
        <w:rPr/>
        <w:t>我方确认收到贵方提供的</w:t>
      </w:r>
      <w:r>
        <w:rPr>
          <w:u w:val="single"/>
        </w:rPr>
        <w:t>“</w:t>
      </w:r>
      <w:r>
        <w:rPr>
          <w:u w:val="single"/>
        </w:rPr>
        <w:t>广州市民兵预备役训练基地军事教学服务采购项目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广州市民兵预备役训练基地军事教学服务采购项目</w:t>
      </w:r>
      <w:r>
        <w:rPr/>
        <w:t>”项目采购[采购项目编号为</w:t>
      </w:r>
      <w:r>
        <w:rPr/>
        <w:t>GZGK23D195C0569Z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广州市民兵预备役训练基地</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广州市民兵预备役训练基地军事教学服务采购项目</w:t>
      </w:r>
      <w:r>
        <w:rPr/>
        <w:t>招标中获中标（采购项目编号：</w:t>
      </w:r>
      <w:r>
        <w:rPr/>
        <w:t>GZGK23D195C0569Z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