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440101-2023-27128</w:t>
      </w:r>
    </w:p>
    <w:p>
      <w:pPr>
        <w:jc w:val="center"/>
      </w:pPr>
      <w:r>
        <w:rPr>
          <w:b/>
          <w:sz w:val="24"/>
        </w:rPr>
        <w:t>采购项目编号：</w:t>
      </w:r>
      <w:r>
        <w:rPr>
          <w:b/>
          <w:sz w:val="24"/>
        </w:rPr>
        <w:t>GZGK23D281A0888Z</w:t>
      </w:r>
    </w:p>
    <w:p>
      <w:pPr>
        <w:jc w:val="center"/>
      </w:pPr>
      <w:r>
        <w:rPr>
          <w:b/>
          <w:sz w:val="24"/>
        </w:rPr>
        <w:t>项目名称：</w:t>
      </w:r>
      <w:r>
        <w:rPr>
          <w:b/>
          <w:sz w:val="24"/>
        </w:rPr>
        <w:t>广州医科大学附属第五医院零散配件采购供应商资格项目</w:t>
      </w:r>
    </w:p>
    <w:p>
      <w:pPr>
        <w:jc w:val="center"/>
      </w:pPr>
      <w:r>
        <w:rPr>
          <w:b/>
          <w:sz w:val="24"/>
        </w:rPr>
        <w:t>采购人：</w:t>
      </w:r>
      <w:r>
        <w:rPr>
          <w:b/>
          <w:sz w:val="24"/>
        </w:rPr>
        <w:t>广州医科大学附属第五医院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广州医科大学附属第五医院</w:t>
      </w:r>
      <w:r>
        <w:rPr/>
        <w:t>的委托，采用</w:t>
      </w:r>
      <w:r>
        <w:rPr/>
        <w:t>公开招标</w:t>
      </w:r>
      <w:r>
        <w:rPr/>
        <w:t>方式组织采购</w:t>
      </w:r>
      <w:r>
        <w:rPr/>
        <w:t>广州医科大学附属第五医院零散配件采购供应商资格项目</w:t>
      </w:r>
      <w:r>
        <w:rPr/>
        <w:t>。欢迎符合资格条件的国内供应商参加投标。</w:t>
      </w:r>
    </w:p>
    <w:p>
      <w:r>
        <w:rPr>
          <w:b/>
          <w:sz w:val="28"/>
        </w:rPr>
        <w:t>一.项目概述</w:t>
      </w:r>
    </w:p>
    <w:p>
      <w:r>
        <w:rPr>
          <w:b/>
          <w:sz w:val="24"/>
        </w:rPr>
        <w:t>1.名称与编号</w:t>
      </w:r>
    </w:p>
    <w:p>
      <w:pPr>
        <w:ind w:firstLine="480"/>
      </w:pPr>
      <w:r>
        <w:rPr/>
        <w:t>项目名称：</w:t>
      </w:r>
      <w:r>
        <w:rPr/>
        <w:t>广州医科大学附属第五医院零散配件采购供应商资格项目</w:t>
      </w:r>
    </w:p>
    <w:p>
      <w:pPr>
        <w:ind w:firstLine="480"/>
      </w:pPr>
      <w:r>
        <w:rPr/>
        <w:t>采购计划编号：</w:t>
      </w:r>
      <w:r>
        <w:rPr/>
        <w:t>440101-2023-27128</w:t>
      </w:r>
    </w:p>
    <w:p>
      <w:pPr>
        <w:ind w:firstLine="480"/>
      </w:pPr>
      <w:r>
        <w:rPr/>
        <w:t>采购项目编号：</w:t>
      </w:r>
      <w:r>
        <w:rPr/>
        <w:t>GZGK23D281A0888Z</w:t>
      </w:r>
    </w:p>
    <w:p>
      <w:pPr>
        <w:ind w:firstLine="480"/>
      </w:pPr>
      <w:r>
        <w:rPr/>
        <w:t>采购方式：</w:t>
      </w:r>
      <w:r>
        <w:rPr/>
        <w:t>公开招标</w:t>
      </w:r>
    </w:p>
    <w:p>
      <w:pPr>
        <w:ind w:firstLine="480"/>
      </w:pPr>
      <w:r>
        <w:rPr/>
        <w:t>预算金额：</w:t>
      </w:r>
      <w:r>
        <w:rPr/>
        <w:t>3,000,000.00</w:t>
      </w:r>
      <w:r>
        <w:rPr/>
        <w:t>元</w:t>
      </w:r>
    </w:p>
    <w:p>
      <w:r>
        <w:rPr>
          <w:b/>
          <w:sz w:val="24"/>
        </w:rPr>
        <w:t>2.项目内容及需求情况（采购项目技术规格、参数及要求）</w:t>
      </w:r>
    </w:p>
    <w:p>
      <w:pPr>
        <w:ind w:firstLine="480"/>
      </w:pPr>
    </w:p>
    <w:p/>
    <w:p>
      <w:r>
        <w:rPr/>
        <w:t>采购包1(零散配件采购):</w:t>
      </w:r>
    </w:p>
    <w:p>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信息化设备零部件</w:t>
            </w:r>
          </w:p>
        </w:tc>
        <w:tc>
          <w:tcPr>
            <w:tcW w:type="dxa" w:w="2052"/>
          </w:tcPr>
          <w:p>
            <w:r>
              <w:rPr/>
              <w:t>零散配件采购</w:t>
            </w:r>
          </w:p>
        </w:tc>
        <w:tc>
          <w:tcPr>
            <w:tcW w:type="dxa" w:w="977"/>
          </w:tcPr>
          <w:p>
            <w:r>
              <w:rPr/>
              <w:t>1.00(批)</w:t>
            </w:r>
          </w:p>
        </w:tc>
        <w:tc>
          <w:tcPr>
            <w:tcW w:type="dxa" w:w="977"/>
          </w:tcPr>
          <w:p>
            <w:r>
              <w:rPr/>
              <w:t>详见第二章</w:t>
            </w:r>
          </w:p>
        </w:tc>
        <w:tc>
          <w:tcPr>
            <w:tcW w:type="dxa" w:w="977"/>
          </w:tcPr>
          <w:p>
            <w:r>
              <w:rPr/>
              <w:t>3,000,000.00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采购包1（零散配件采购）：</w:t>
      </w:r>
      <w:r>
        <w:rPr/>
        <w:t>本采购包不属于专门面向中小企业采购的项目。</w:t>
      </w:r>
    </w:p>
    <w:p/>
    <w:p>
      <w:r>
        <w:rPr>
          <w:b/>
          <w:sz w:val="24"/>
        </w:rPr>
        <w:t>3.本项目特定的资格要求：</w:t>
      </w:r>
    </w:p>
    <w:p>
      <w:pPr>
        <w:ind w:firstLine="480"/>
      </w:pPr>
    </w:p>
    <w:p/>
    <w:p>
      <w:r>
        <w:rPr/>
        <w:t>采购包1（零散配件采购）：</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广州医科大学附属第五医院</w:t>
      </w:r>
    </w:p>
    <w:p>
      <w:pPr>
        <w:ind w:firstLine="480"/>
      </w:pPr>
      <w:r>
        <w:rPr/>
        <w:t>地址：</w:t>
      </w:r>
      <w:r>
        <w:rPr/>
        <w:t>广州黄埔区港湾路621号</w:t>
      </w:r>
    </w:p>
    <w:p>
      <w:pPr>
        <w:ind w:firstLine="480"/>
      </w:pPr>
      <w:r>
        <w:rPr/>
        <w:t>联系方式：</w:t>
      </w:r>
      <w:r>
        <w:rPr/>
        <w:t>020-31145384</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020-37814404、020-87687030</w:t>
      </w:r>
    </w:p>
    <w:p>
      <w:r>
        <w:rPr>
          <w:b/>
          <w:sz w:val="24"/>
        </w:rPr>
        <w:t>3.项目联系方式</w:t>
      </w:r>
    </w:p>
    <w:p>
      <w:pPr>
        <w:ind w:firstLine="480"/>
      </w:pPr>
      <w:r>
        <w:rPr/>
        <w:t>项目联系人：</w:t>
      </w:r>
      <w:r>
        <w:rPr/>
        <w:t>吕永珊、伍梁敏</w:t>
      </w:r>
    </w:p>
    <w:p>
      <w:pPr>
        <w:ind w:firstLine="480"/>
      </w:pPr>
      <w:r>
        <w:rPr/>
        <w:t>电话：</w:t>
      </w:r>
      <w:r>
        <w:rPr/>
        <w:t>020-37814404、020-87687030</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w:t>
      </w:r>
      <w:r>
        <w:rPr>
          <w:b/>
          <w:sz w:val="21"/>
        </w:rPr>
        <w:t>目编号：</w:t>
      </w:r>
      <w:r>
        <w:rPr>
          <w:sz w:val="21"/>
        </w:rPr>
        <w:t>GZGK23D281A0888Z</w:t>
      </w:r>
    </w:p>
    <w:p>
      <w:pPr>
        <w:jc w:val="both"/>
      </w:pPr>
      <w:r>
        <w:rPr>
          <w:b/>
          <w:sz w:val="21"/>
        </w:rPr>
        <w:t>（二）</w:t>
      </w:r>
      <w:r>
        <w:rPr>
          <w:b/>
          <w:sz w:val="21"/>
        </w:rPr>
        <w:t>项目名称：</w:t>
      </w:r>
      <w:r>
        <w:rPr>
          <w:sz w:val="21"/>
        </w:rPr>
        <w:t>广州医科大学附属第五医院零散配件采购供应商资格项目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投标人必须承诺提供厂商原装、全新的、符合国家及用户提出的有关质量标准的货物。</w:t>
      </w:r>
    </w:p>
    <w:p>
      <w:pPr>
        <w:jc w:val="both"/>
      </w:pPr>
      <w:r>
        <w:rPr>
          <w:sz w:val="21"/>
        </w:rPr>
        <w:t>4、</w:t>
      </w:r>
      <w:r>
        <w:rPr>
          <w:sz w:val="21"/>
        </w:rPr>
        <w:t>所有货物在开箱检验时必须完好，无破损，配置与装箱单相符。货物外观清洁。数量、质量及性能不低于本项目需求中提出的要求。</w:t>
      </w:r>
    </w:p>
    <w:p>
      <w:pPr>
        <w:jc w:val="both"/>
      </w:pPr>
      <w:r>
        <w:rPr>
          <w:sz w:val="21"/>
        </w:rPr>
        <w:t>5、</w:t>
      </w:r>
      <w:r>
        <w:rPr>
          <w:sz w:val="21"/>
        </w:rPr>
        <w:t>对于影响货物正常工作的必要组成部分，无论在技术规范中指出与否，投标人都应提供并在投标文件中明确列出。</w:t>
      </w:r>
    </w:p>
    <w:p>
      <w:pPr>
        <w:jc w:val="both"/>
      </w:pPr>
      <w:r>
        <w:rPr>
          <w:sz w:val="21"/>
        </w:rPr>
        <w:t>6、</w:t>
      </w:r>
      <w:r>
        <w:rPr>
          <w:sz w:val="21"/>
        </w:rPr>
        <w:t>投标人在实际供货时，若生产厂家已不再将所投产品纳入当时产品系统，应与采购人协商处理。</w:t>
      </w:r>
    </w:p>
    <w:p>
      <w:pPr>
        <w:jc w:val="both"/>
      </w:pPr>
      <w:r>
        <w:rPr>
          <w:sz w:val="21"/>
        </w:rPr>
        <w:t>7、</w:t>
      </w:r>
      <w:r>
        <w:rPr>
          <w:sz w:val="21"/>
        </w:rPr>
        <w:t>投标人在实际供货时，若被发现提供的货物未能达到招标文件和投标文件中的有关要求，将按有关法规进行处罚，采购人将有权单方面终止合同的执行</w:t>
      </w:r>
      <w:r>
        <w:rPr>
          <w:sz w:val="21"/>
        </w:rPr>
        <w:t>,并追究因中标人所提供的未达到所承诺准确率产品而产生的所有损失和责任。</w:t>
      </w:r>
    </w:p>
    <w:p>
      <w:pPr>
        <w:jc w:val="both"/>
      </w:pPr>
      <w:r>
        <w:rPr>
          <w:sz w:val="21"/>
        </w:rPr>
        <w:t>8、</w:t>
      </w:r>
      <w:r>
        <w:rPr>
          <w:sz w:val="21"/>
        </w:rPr>
        <w:t>由中标供应商负责按国家相关标准进行货物包装，设备的包装均应有良好的防湿、防锈、防潮、防雨、防腐及防碰撞的措施，并适宜本项目实施地点的气候条件。凡由于包装不良造成的损失和由此产生的费用均由中标供应商承担。</w:t>
      </w:r>
    </w:p>
    <w:p>
      <w:pPr>
        <w:jc w:val="both"/>
      </w:pPr>
      <w:r>
        <w:rPr>
          <w:sz w:val="21"/>
        </w:rPr>
        <w:t>9、</w:t>
      </w:r>
      <w:r>
        <w:rPr>
          <w:sz w:val="21"/>
        </w:rPr>
        <w:t>中标供应商承担及负责招标文件对中标供应商要求的一切事宜及责任。包括但不限于项目方案、货物供货、软件提供、运输、保管、安装、调试、验收、培训及相关服务等。</w:t>
      </w:r>
    </w:p>
    <w:p>
      <w:pPr>
        <w:jc w:val="both"/>
      </w:pPr>
      <w:r>
        <w:rPr>
          <w:sz w:val="21"/>
        </w:rPr>
        <w:t>10、</w:t>
      </w:r>
      <w:r>
        <w:rPr>
          <w:sz w:val="21"/>
        </w:rPr>
        <w:t>中标供应商不得以任何方式转包或分包本项目。</w:t>
      </w:r>
    </w:p>
    <w:p>
      <w:pPr>
        <w:jc w:val="both"/>
      </w:pPr>
      <w:r>
        <w:rPr>
          <w:sz w:val="21"/>
        </w:rPr>
        <w:t>11、</w:t>
      </w:r>
      <w:r>
        <w:rPr>
          <w:sz w:val="21"/>
        </w:rPr>
        <w:t>投标人应对采购需求中的技术指标在响应详细内容中列出具体数值。如果投标人只注明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12、</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13、</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14、</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15、</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16、</w:t>
      </w:r>
      <w:r>
        <w:rPr>
          <w:sz w:val="21"/>
        </w:rPr>
        <w:t>涉及到软件产品的，必须采购和使用正版软件，项目中涉及计算机办公产品的，必须预装正版操作系统软件。</w:t>
      </w:r>
    </w:p>
    <w:p>
      <w:pPr>
        <w:jc w:val="both"/>
      </w:pPr>
      <w:r>
        <w:rPr>
          <w:sz w:val="21"/>
        </w:rPr>
        <w:t>17、</w:t>
      </w:r>
      <w:r>
        <w:rPr>
          <w:sz w:val="21"/>
        </w:rPr>
        <w:t>投标人没有在投标文件中注明偏离（文字说明或在响应表注明）的参数、配置、条款视为被投标人完全接受。</w:t>
      </w:r>
    </w:p>
    <w:p>
      <w:pPr>
        <w:jc w:val="both"/>
      </w:pPr>
      <w:r>
        <w:rPr>
          <w:sz w:val="21"/>
        </w:rPr>
        <w:t>18、</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19、</w:t>
      </w:r>
      <w:r>
        <w:rPr>
          <w:sz w:val="21"/>
        </w:rPr>
        <w:t>小型和微型企业、监狱企业和残疾人福利性单位必须按照招标文件第三章内容提供相应的资料。</w:t>
      </w:r>
    </w:p>
    <w:p>
      <w:pPr>
        <w:jc w:val="both"/>
      </w:pPr>
      <w:r>
        <w:rPr>
          <w:sz w:val="21"/>
        </w:rPr>
        <w:t>20、</w:t>
      </w:r>
      <w:r>
        <w:rPr>
          <w:sz w:val="21"/>
        </w:rPr>
        <w:t>需落实政府采购政策为：促进中小企业发展政策、支持监狱企业发展政策、支持残疾人福利性单位发展政策、优先采购节能产品、环境标志产品相关政策等。</w:t>
      </w:r>
    </w:p>
    <w:p>
      <w:pPr>
        <w:jc w:val="both"/>
      </w:pPr>
      <w:r>
        <w:rPr>
          <w:sz w:val="21"/>
        </w:rPr>
        <w:t>21、</w:t>
      </w:r>
      <w:r>
        <w:rPr>
          <w:sz w:val="21"/>
        </w:rPr>
        <w:t>单一产品采购项目，</w:t>
      </w:r>
      <w:r>
        <w:rPr>
          <w:sz w:val="21"/>
        </w:rPr>
        <w:t>提供相同品牌产品且通过资格审查、符合性审查的不同投标人参加同一合同项下投标的，按一家投标人计算；非</w:t>
      </w:r>
      <w:r>
        <w:rPr>
          <w:sz w:val="21"/>
        </w:rPr>
        <w:t>单一产品采购项目，</w:t>
      </w:r>
      <w:r>
        <w:rPr>
          <w:sz w:val="21"/>
        </w:rPr>
        <w:t>提供相同品牌核心产品且通过资格审查、符合性审查的不同投标人参加同一合同项下投标的，按一家投标人计算。</w:t>
      </w:r>
    </w:p>
    <w:p>
      <w:pPr>
        <w:jc w:val="both"/>
      </w:pPr>
      <w:r>
        <w:rPr>
          <w:sz w:val="21"/>
        </w:rPr>
        <w:t>22、</w:t>
      </w:r>
      <w:r>
        <w:rPr>
          <w:b/>
          <w:sz w:val="21"/>
        </w:rPr>
        <w:t>本项目符合《政府采购促进中小企业发展管理办法》第六条第（三）项的情形，故不专门面向中小企业。</w:t>
      </w:r>
    </w:p>
    <w:p>
      <w:pPr>
        <w:jc w:val="left"/>
      </w:pPr>
      <w:r>
        <w:rPr>
          <w:sz w:val="21"/>
        </w:rPr>
        <w:t>24、项目响应要求： 投标人应针对本项目情况，在投标文件中对以下内容进行响应并提供相应的供货服务方案、售后服务方案及产品质量保证：</w:t>
      </w:r>
      <w:r>
        <w:rPr>
          <w:sz w:val="21"/>
        </w:rPr>
        <w:t>（</w:t>
      </w:r>
      <w:r>
        <w:rPr>
          <w:sz w:val="21"/>
        </w:rPr>
        <w:t>1）响应时间；（2）交货期；（3）到货的保证措施；（4）应急保障方案；</w:t>
      </w:r>
      <w:r>
        <w:rPr>
          <w:sz w:val="21"/>
        </w:rPr>
        <w:t>（</w:t>
      </w:r>
      <w:r>
        <w:rPr>
          <w:sz w:val="21"/>
        </w:rPr>
        <w:t>5）</w:t>
      </w:r>
      <w:r>
        <w:rPr>
          <w:sz w:val="21"/>
        </w:rPr>
        <w:t>售后服务承诺；</w:t>
      </w:r>
      <w:r>
        <w:rPr>
          <w:sz w:val="21"/>
        </w:rPr>
        <w:t>（</w:t>
      </w:r>
      <w:r>
        <w:rPr>
          <w:sz w:val="21"/>
        </w:rPr>
        <w:t>6）</w:t>
      </w:r>
      <w:r>
        <w:rPr>
          <w:sz w:val="21"/>
        </w:rPr>
        <w:t>售后技术服务队伍资质；（</w:t>
      </w:r>
      <w:r>
        <w:rPr>
          <w:sz w:val="21"/>
        </w:rPr>
        <w:t>7）</w:t>
      </w:r>
      <w:r>
        <w:rPr>
          <w:sz w:val="21"/>
        </w:rPr>
        <w:t>产品质量保证</w:t>
      </w:r>
      <w:r>
        <w:rPr>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pPr>
        <w:jc w:val="both"/>
      </w:pPr>
      <w:r>
        <w:rPr>
          <w:sz w:val="21"/>
        </w:rPr>
        <w:t>2、</w:t>
      </w:r>
      <w:r>
        <w:rPr>
          <w:sz w:val="21"/>
        </w:rPr>
        <w:t>供应商电脑需提前安装</w:t>
      </w:r>
      <w:r>
        <w:rPr>
          <w:sz w:val="21"/>
        </w:rPr>
        <w:t>CA签章客户端，并运行CA证书。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投标报价包括：货物采购、安装部署、调试、培训、质保期服务涉及的所有软硬件、辅材、人工，验收合格交付使用之前的所有费用等费用，以及技术和售后服务等其他各项有关费用。</w:t>
      </w:r>
    </w:p>
    <w:p>
      <w:pPr>
        <w:ind w:firstLine="420"/>
        <w:jc w:val="both"/>
      </w:pPr>
      <w:r>
        <w:rPr>
          <w:sz w:val="21"/>
        </w:rPr>
        <w:t>本项目的投标报价综合折扣率为评标价。综合折扣率为</w:t>
      </w:r>
      <w:r>
        <w:rPr>
          <w:sz w:val="21"/>
        </w:rPr>
        <w:t>A、B、C、D、E、F类六大类各单项折扣的综合平均值折扣。每一类别产品以单价最高限价为基准，用同一投标折扣率的形式报出，同一类别的产品适用于同一投标折扣率。（例如：结算A类产品的单价=A类单价最高限价*A类投标折扣率）</w:t>
      </w:r>
    </w:p>
    <w:p>
      <w:pPr>
        <w:ind w:firstLine="420"/>
        <w:jc w:val="both"/>
      </w:pPr>
      <w:r>
        <w:rPr>
          <w:sz w:val="21"/>
        </w:rPr>
        <w:t>综合折扣率在</w:t>
      </w:r>
      <w:r>
        <w:rPr>
          <w:sz w:val="21"/>
        </w:rPr>
        <w:t>0.00%-100.00%范围内取值，若报价超出此范围则响应无效。综合折扣率必须为固定报价，不接受区间报价。</w:t>
      </w:r>
    </w:p>
    <w:p>
      <w:pPr>
        <w:jc w:val="left"/>
      </w:pPr>
      <w:r>
        <w:rPr>
          <w:sz w:val="21"/>
        </w:rPr>
        <w:t>例如：</w:t>
      </w:r>
      <w:r>
        <w:rPr>
          <w:sz w:val="21"/>
        </w:rPr>
        <w:t>A类产品某货物的基准单价为100.00元，投标拟优惠20.00元，结算价格为80.00元，则A类产品投标折扣率为：（80.00/100.00）*100%=80.00%。</w:t>
      </w:r>
    </w:p>
    <w:p>
      <w:pPr>
        <w:jc w:val="both"/>
      </w:pPr>
      <w:r>
        <w:rPr>
          <w:sz w:val="21"/>
        </w:rPr>
        <w:t>B类产品某货物的基准单价为100.00元，投标拟优惠30.00元，结算价格为70.00元，则B类产品投标折扣率为：（70.00/100.00）*100%=70.00%。</w:t>
      </w:r>
    </w:p>
    <w:p>
      <w:pPr>
        <w:jc w:val="both"/>
      </w:pPr>
      <w:r>
        <w:rPr>
          <w:sz w:val="21"/>
        </w:rPr>
        <w:t>以此类堆，则综合折扣率为：</w:t>
      </w:r>
    </w:p>
    <w:p>
      <w:pPr>
        <w:jc w:val="both"/>
      </w:pPr>
      <w:r>
        <w:rPr>
          <w:sz w:val="21"/>
        </w:rPr>
        <w:t>综合折扣率</w:t>
      </w:r>
      <w:r>
        <w:rPr>
          <w:sz w:val="21"/>
        </w:rPr>
        <w:t>=(A类产品投标折扣率+B类产品投标折扣率+C类产品投标折扣率+D类产品投标折扣率+E类产品投标折扣率+F类产品投标折扣率)/6。</w:t>
      </w:r>
    </w:p>
    <w:p>
      <w:pPr>
        <w:ind w:firstLine="420"/>
        <w:jc w:val="both"/>
      </w:pPr>
      <w:r>
        <w:rPr>
          <w:sz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jc w:val="left"/>
      </w:pPr>
      <w:r>
        <w:rPr>
          <w:b/>
          <w:sz w:val="21"/>
        </w:rPr>
        <w:t>（六）</w:t>
      </w:r>
      <w:r>
        <w:rPr>
          <w:b/>
          <w:sz w:val="21"/>
        </w:rPr>
        <w:t>实现的功能</w:t>
      </w:r>
    </w:p>
    <w:p>
      <w:pPr>
        <w:ind w:firstLine="420"/>
        <w:jc w:val="left"/>
      </w:pPr>
      <w:r>
        <w:rPr>
          <w:sz w:val="21"/>
        </w:rPr>
        <w:t>采购人日常维护工作中产生电脑内置零件、外接设备、网络设备配件及打印零配件等各种零配件的更换、补充等需求。主要分类为：打印机设备配件、计算机设备配件、线材及其他、服务器存储设备配件、交换机配件及信息安全设备等。本项目拟采购一家符合资格的供应商，提供相关零散配件稳定的及时补充及供给服务。确保采购人单位硬件设备安全稳定运行，保证医疗系统以及办公运营稳定。</w:t>
      </w:r>
    </w:p>
    <w:p>
      <w:pPr>
        <w:jc w:val="left"/>
      </w:pPr>
      <w:r>
        <w:rPr>
          <w:b/>
          <w:sz w:val="21"/>
        </w:rPr>
        <w:t>（七）</w:t>
      </w:r>
      <w:r>
        <w:rPr>
          <w:b/>
          <w:sz w:val="21"/>
        </w:rPr>
        <w:t>需执行国家相关标准、行业标准、地方标准或者其他标准、规范</w:t>
      </w:r>
    </w:p>
    <w:p/>
    <w:p>
      <w:pPr>
        <w:ind w:firstLine="480"/>
      </w:pPr>
    </w:p>
    <w:p/>
    <w:p>
      <w:r>
        <w:rPr/>
        <w:t>采购包1（零散配件采购）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按采购人要求分批次送货。结算金额累计达到采购预算金额时合同结束。执行过程中因国家政策调整或不可抗力的因素导致采购人不能履行本项目合同时，本项目合同终止，采购人及采购代理机构不承担任何责任。</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按月结算，即采购人与中标供应商双方核对每月的入库单，按合同约定的价格，确认该月的实际供货数量、金额，采购人当月收到双方签收的送货清单和正规商品销售发票后，按法定要求办理支付手续。 支付方式：采用支票、银行汇付（含电汇）等形式。</w:t>
            </w:r>
          </w:p>
        </w:tc>
      </w:tr>
      <w:tr>
        <w:tc>
          <w:tcPr>
            <w:tcW w:type="dxa" w:w="4153"/>
          </w:tcPr>
          <w:p>
            <w:r>
              <w:rPr/>
              <w:t>验收要求</w:t>
            </w:r>
          </w:p>
        </w:tc>
        <w:tc>
          <w:tcPr>
            <w:tcW w:type="dxa" w:w="4153"/>
          </w:tcPr>
          <w:p/>
          <w:p/>
          <w:p/>
          <w:p>
            <w:r>
              <w:rPr/>
              <w:t>1期：1.中标供应商提供厂商原装、完整、全新的、符合国家及采购人提出的有关质量标准的设备及部件。 2.要求对全部设备、产品、型号、规格、数量、外型、外观、包装及资料、文件（如装箱单、保修单、随箱介质等）的验收。中标供应商应已经包含设备连接并构成完整运行环境所必要的配件、辅件、配线、许可。 3.凡列入《中华人民共和国实施强制性产品认证的产品目录》的产品在验收时出具CCC 认证证书复印件，并以在产品外部加施认证标志作为验收依据之一。 4.中标供应商负责在项目验收时将系统的全部有关装箱清单、产品说明书、安装手册、用户手册、原厂保修卡、随机资料及配件、随机工具等技术文件、资料及安装、验收报告等文档汇集成册交付采购人。中标供应商不能完整交付货物及规定的单证和工具的，视为未按合同约定付货，中标供应商必须负责补齐，因此导致逾期交付的，由中标供应商承担相关的违约责任。 5.所有设备、器材在开箱时须完好，无破损。配置与装箱单相符。数量、质量及性能不低于合同及采购文件中的要求。 6.拆箱后，中标供应商应对其全部产品、零件、配件、用户许可证书、资料、介质造册登记，并与装箱单对比，如有出入应立即书面记录，由供货商解决，如影响安装导致逾期交付的，由中标供应商承担相关的违约责任。登记册作为验收文档之一。 7.验收期限：单批货物全部到货后7个工作日完成该批次货物验收。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（一）交货要求，▲1.打印设备配件、线材及其他类产品，中标供应商在采购人发出订货指令的 5 分钟内响应并反馈备货情况。非紧急情况下，中标供应商在接到指令后的 60 分钟内送达。紧急情况下， 30 分钟内送达。如有困难不能按要求时间送达，中标供应商应第一时间向采购人说明，如由采购人通过其他途径采购，由此产生的费用计入本项目，结算时扣除该部分费用。计算机设备配件、服务器存储设备配件、交换机配件及信息安全设备，采购人向中标供应商发出供货通知后，中标供应商应在2天内完成设备的供货、安装、调试，并交付给采购人正常使用。 2.中标供应商按时将订购货物品种、数量送达采购人指定地点。随货送上一式多联的送货清单，供双方验货后签字确认，作为送、收货及结算的凭证。在验货签收之前，货物的所有权和风险属于中标供应商，货物发生遗失、损坏、丢失由中标供应商负责。 3.如因市场缺货或厂家原型号停产的货品，中标供应商必须提前 15 个工作日书面通知采购人，并提出解决问题的具体方案。 4.中标供应商不得擅自变更供应产品（含品牌、型号规格），须严格按照合同要求供应，不得随意增减数量，否则，采购人有权拒收。 ▲5.备件要求：中标供应商须有一定数量的备件；具体品目为打印设备配件、线材及其他类产品供货量前3的型号，各型号产品常备数量不低于5个。（提供承诺函，格式自拟。） 6.中标供应商提供的配件、耗材须为全新原厂设备。 7.因实际使用中需要更具设备调整配件规格，调整或新增品目价格按照市场价格*中标折扣计算。 8.中标供应商须提供配件、耗材的安装、调试、使用培训服务，其中所产生的费用中标供应商已包含在投标报价中。</w:t>
            </w:r>
          </w:p>
          <w:p/>
          <w:p>
            <w:r>
              <w:rPr/>
              <w:t>（二）包装与运输，1.不同产品及不同批次应分开包装，并且箱盒适于储存。储存年限应在包装上予以说明。所有产品应加上标签。  2.产品的包装应符合中华人民共和国标准或等同的规定，具有足够的强度，能保证多次搬运和装卸，并安全可靠地抵达目的地。  3.产品保管：产品应按品种、规格、级别分别整齐堆放在指定存放地。  4.合同执行期间，中标供应商不得将供货的实际数量及供货地点泄露给其他企业或者个人，中标供应商必须指派相对固定的人员完成产品的配送服务，并需将配送人员的详细资料报采购人备案，产品配送人员必须遵纪守法、品行良好，无违法犯罪记录。如需要更换配送人员，必须事先通知采购人并将其个人资料送采购人审批，审批合格者才能更换。  5.货物运输过程中造成的丢失、损坏及被有关部门查处等造成的损失或责任由中标供应商承担。</w:t>
            </w:r>
          </w:p>
          <w:p/>
          <w:p>
            <w:r>
              <w:rPr/>
              <w:t>（三）保险，货物从出厂运至采购人指定地点的保险费用须包含在投标报价中。</w:t>
            </w:r>
          </w:p>
          <w:p/>
          <w:p>
            <w:r>
              <w:rPr/>
              <w:t>（四）组织管理，1.中标供应商必须针对本项目专门建立一个完善和稳定的管理组织机构。稳定的项目负责人，其中必须包括一名专职负责的项目经理；不少于2 名专业技术人员技术配件、耗材的安装、调试服务，未经采购人同意，中标供应商不得随意更换。 2.项目实施期间，项目经理、技术负责人必须长驻广州。在合同有效期间，中标供应商项目经理和关键人员未经采购人同意不得调整，中标供应商如中途更换项目经理，必须征得采购人同意。中标供应商必须无条件接受采购人的监督检查，并承担人员不足、不到位所导致的相关质量、进度等违约责任。 3.对中标供应商在合同有效期内出现资源、进度、质量协调控制不力的情况，采购人有权要求更换相关项目人员，中标供应商必须予以配合，并确保不影响项目建设的进度和质量。 4.中标供应商必须提出项目组织方案、人员名单及沟通方案，经采购人同意后实施。 5.为确保中标供应商响应及时，中标供应商必须驻点服务，且驻点人员有3 年以上相关经验，提供资料供审核。</w:t>
            </w:r>
          </w:p>
          <w:p/>
          <w:p>
            <w:r>
              <w:rPr/>
              <w:t>（五）总体售后服务要求，1.中标供应商在安装产品和保修期内的维修中对采购人的现场管理人员进行培训，提供24小时急修服务，接到急修通知，按规定时间到达。 2.保修期为货物从验收合格之日起打印机设备配件、计算机设备配件、线材及其他类为：1年，服务器存储设备配件、交换机配件及信息安全设备类为：3年。在保修期内如有零件损坏，更换该件后，再对该件保修1年（投标报价已包含）。 3.保修期内，如设备或零部件因非人为因素出现故障而造成短期停用时，则保修期和维修期相应顺延（投标报价已包含）。如停用时间累计超过60天则保修期重新计算。</w:t>
            </w:r>
          </w:p>
          <w:p/>
          <w:p>
            <w:r>
              <w:rPr/>
              <w:t>（六）详细售后服务要求，（一）中标供应商应为采购人提供培训服务，并指派专人负责与采购人联系售后服务事宜。主要培训内容为货物的基本结构、主要部件的构造，日常使用操作、保养与管理、常见故障的排除、紧急情况的处理等，如采购人未使用过同类型货物，中标供应商还需就货物的功能对采购人进行相应的技术培训，培训地点主要在货物安装现场或由双方约定。 培训要求： 1. 中标供应商提出全面的培训计划和课程内容安排，征得采购人同意后实施。中标供应商应承担培训所产生的所有费用。所有的培训资料必须是中文或英文书写。 2. 培训时间：用户不少于5 个工作日；系统管理员不少于10个工作日。 （二）质量保证期: 1.质量保证期自通过采购人验收设备之日起计算，质保费用计入总价。 2.所有服务器存储设备配件、交换机配件、信息安全设备均需提供3 年以上原厂上门保修服务。质量保证期内，所有硬件设备的维修均包含在投标报价中。 （三）质量保证期内服务： 1. 设备故障报修全天候半小时内响应，其中周一至周五8：30～18:00期间在1小时之内派员到现场解决问题，其余时间为4 小时内。在24 小时内无法解决问题，无条件提供不低于故障设备的性能的设备供采购人代用，直到排除故障。 2. 中标供应商在安装产品和质量保证期内的维修中对采购人的现场管理人员进行培训，提供24 小时急修服务，接到急修通知，按规定时间到达。 3. 质量保证期内，如设备或零部件因非人为因素出现故障而造成短期停用时，则保修期和维修期相应顺延（投标报价已包含）。如停用时间累计超过60 天则保修期重新计算。 （四）质量保证期内，中标供应商须对所提供的设备做定期检查和保养。 （五）质量保证期内，中标供应商负责对其提供的货物实行包修、包换、包退、包维护保养，不再收取任何费用，但不可抗力（如火灾、雷击等）造成的故障除外。 （六）所有货物质保服务方式均为中标供应商上门服务，即由中标供应商派员到采购人货物使用现场维修，由此产生的一切费用均由中标供应商承担。 （七）质量保证期后的货物维护，中标供应商必须承诺在法定工作时间内，提供技术指导和咨询（投标报价已包含），如需要中标供应商在非法定工作时间内提供货物维护，则中标供应商可适当收费，标准由双方协商确定。</w:t>
            </w:r>
          </w:p>
          <w:p/>
          <w:p>
            <w:r>
              <w:rPr/>
              <w:t>（七）项目考核及违约责任，（一）项目考核 1、采购人建立考核评分制度，对中标人合同执行期间的服务态度及工作内容完成情况进行考核，并根据考核结果进行相应处理。 2、中标人无条件接受采购人考核评分制度，采购人每3个月考核一次。 3、由采购人对服务态度及工作完成情况进行扣分记录，形成考核成绩。每次扣分超过10分（不含10分）的，于每次款项支付中扣罚500元/分（仅对超过10分部分予以扣款，如扣分为11分，扣罚款项为（11-10）*500=500元）。中标人必须按采购人的要求进行整改。 4、由采购人组建考核小组。 5、考核指标评分表： 1.指标要求：工作人员服务态度不端正，如恶言恶语、推诿责任、未经采购人同意进入禁入区域等。扣分标准：每发生一次扣2分。 2.指标要求：按要求做好项目各项工作，配合提供各类单证、凭证、发票。扣分标准：每缺少一张单证或凭证或发票扣1分。 （二）违约责任 1、采购人无正当理由拒收货物、拒付货款的，由采购人向中标人支付当期应付货款总价的5%违约金。 2中标人在任何情况下都不得转让其应履行的合同义务，否则采购人有权终止合同。 3、中标人所交的货物、型号、规格不符合合同、采购文件规定的，采购人有权拒收，中标人向采购人支付当期应付货款总价的5%违约金。中标人逾期交付货物的，每逾期1天，中标人向采购人支付逾期交货部分的货款总额的5‰的违约金，累计不超过逾期交货部分的货款总额的5%。采购人可暂时通过其他途径采购，由此产生高于实际供货价的差额部分，由中标人支付。 4、如中标人交付货物的品质、性能、技术标准、质量要求不符合合同约定的，采购人有权向中标人提出更换货物，中标人应在甲方提出之日起15 天内更换货物，此时段按逾期交货处理；如经更换，货物质量仍不符合合同约定的，中标人无条件退货，并退回对应货款，并赔偿采购人因此遭受的损失。 5、中标人所供货物必须权属清楚，不得侵害他人的知识产权，否则构成对采购人违约，并承担相应的赔偿责任，不论本项目是否变更、解除或终止，本条款在本合同生效之日起永久有效，不受本合同有效期或质保期之限。 6、中标人如未能严格按照本合同验收要求、售后服务执行时，影响采购人业务，由中标人向采购人支付合同总价的5%的违约金，并追究违约责任。</w:t>
            </w:r>
          </w:p>
          <w:p/>
          <w:p>
            <w:r>
              <w:rPr/>
              <w:t>（八）样品，1.所有投标人均需在递交投标文件的同时向采购机构提交实物样品，样品必须与投标文件分开提交。 2.实物样品必须符合招标文件的要求，规格按样品要求规格。所有投标样品均需标明投标人名称、项目名称、项目编号、联系人、联系电话并加盖公章。所有样品均需提供原厂供货证明函。 3.采购人及采购代理机构对投标人所递交样品污损不负任何责任。未中标的投标人应在发出中标公告之日起7日内自行取回投标样品。7日后不取回样品，则视为自动放弃样品的所有权，采购代理机构有权自行处置相关样品。 4.投标样品清单：（备注：均须提供原厂供货证明函。） 1.主板：相当于或优于System board without NIC (DL388)，P19928-001，数量：1个 2.Riser 套件：相当于或优于Primary and secondary PCI riser cage，875056-001，数量：1个 3.阵列卡：相当于或优于HPE Smart Array P408i-a SR Gen10 Controller，836260-002，数量：1个。</w:t>
            </w:r>
          </w:p>
        </w:tc>
      </w:tr>
    </w:tbl>
    <w:p>
      <w:r>
        <w:rPr>
          <w:b/>
        </w:rPr>
        <w:t>2.技术标准与要求</w:t>
      </w:r>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信息化设备零部件</w:t>
            </w:r>
          </w:p>
        </w:tc>
        <w:tc>
          <w:tcPr>
            <w:tcW w:type="dxa" w:w="748"/>
          </w:tcPr>
          <w:p>
            <w:pPr>
              <w:jc w:val="left"/>
            </w:pPr>
            <w:r>
              <w:rPr/>
              <w:t>零散配件采购</w:t>
            </w:r>
          </w:p>
        </w:tc>
        <w:tc>
          <w:tcPr>
            <w:tcW w:type="dxa" w:w="748"/>
          </w:tcPr>
          <w:p>
            <w:pPr>
              <w:jc w:val="left"/>
            </w:pPr>
            <w:r>
              <w:rPr/>
              <w:t>批</w:t>
            </w:r>
          </w:p>
        </w:tc>
        <w:tc>
          <w:tcPr>
            <w:tcW w:type="dxa" w:w="748"/>
          </w:tcPr>
          <w:p>
            <w:pPr>
              <w:jc w:val="right"/>
            </w:pPr>
            <w:r>
              <w:rPr/>
              <w:t>1.00</w:t>
            </w:r>
          </w:p>
        </w:tc>
        <w:tc>
          <w:tcPr>
            <w:tcW w:type="dxa" w:w="748"/>
          </w:tcPr>
          <w:p>
            <w:pPr>
              <w:jc w:val="right"/>
            </w:pPr>
            <w:r>
              <w:rPr/>
              <w:t>3,000,000.00</w:t>
            </w:r>
          </w:p>
        </w:tc>
        <w:tc>
          <w:tcPr>
            <w:tcW w:type="dxa" w:w="748"/>
          </w:tcPr>
          <w:p>
            <w:pPr>
              <w:jc w:val="right"/>
            </w:pPr>
            <w:r>
              <w:rPr/>
              <w:t>3,000,000.00</w:t>
            </w:r>
          </w:p>
        </w:tc>
        <w:tc>
          <w:tcPr>
            <w:tcW w:type="dxa" w:w="748"/>
          </w:tcPr>
          <w:p>
            <w:r>
              <w:rPr/>
              <w:t>100.0</w:t>
            </w:r>
          </w:p>
        </w:tc>
        <w:tc>
          <w:tcPr>
            <w:tcW w:type="dxa" w:w="823"/>
          </w:tcPr>
          <w:p>
            <w:r>
              <w:rPr/>
              <w:t>工业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零散配件采购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核心产品为：编号</w:t>
            </w:r>
            <w:r>
              <w:rPr>
                <w:b/>
                <w:sz w:val="21"/>
              </w:rPr>
              <w:t>A12硒鼓</w:t>
            </w:r>
          </w:p>
          <w:p>
            <w:pPr>
              <w:jc w:val="both"/>
            </w:pPr>
            <w:r>
              <w:rPr>
                <w:sz w:val="21"/>
              </w:rPr>
              <w:t>注：本项目产品类别分为</w:t>
            </w:r>
            <w:r>
              <w:rPr>
                <w:sz w:val="21"/>
              </w:rPr>
              <w:t>A、B、C、D、E、F六大类。</w:t>
            </w:r>
          </w:p>
          <w:tbl>
            <w:tblPr>
              <w:tblBorders>
                <w:top w:val="none" w:color="000000" w:sz="4"/>
                <w:left w:val="none" w:color="000000" w:sz="4"/>
                <w:bottom w:val="none" w:color="000000" w:sz="4"/>
                <w:right w:val="none" w:color="000000" w:sz="4"/>
                <w:insideH w:val="none"/>
                <w:insideV w:val="none"/>
              </w:tblBorders>
            </w:tblPr>
            <w:tblGrid>
              <w:gridCol w:w="507"/>
              <w:gridCol w:w="339"/>
              <w:gridCol w:w="340"/>
              <w:gridCol w:w="3218"/>
              <w:gridCol w:w="1190"/>
            </w:tblGrid>
            <w:tr>
              <w:tc>
                <w:tcPr>
                  <w:tcW w:type="dxa" w:w="507"/>
                  <w:tcBorders>
                    <w:top w:val="single" w:color="000000" w:sz="4"/>
                    <w:left w:val="single" w:color="000000" w:sz="4"/>
                    <w:bottom w:val="single" w:color="000000" w:sz="4"/>
                    <w:right w:val="single" w:color="000000" w:sz="4"/>
                  </w:tcBorders>
                  <w:vAlign w:val="top"/>
                </w:tcPr>
                <w:p>
                  <w:pPr>
                    <w:jc w:val="center"/>
                  </w:pPr>
                  <w:r>
                    <w:rPr>
                      <w:b/>
                      <w:sz w:val="21"/>
                    </w:rPr>
                    <w:t>编号</w:t>
                  </w:r>
                </w:p>
              </w:tc>
              <w:tc>
                <w:tcPr>
                  <w:tcW w:type="dxa" w:w="679"/>
                  <w:gridSpan w:val="2"/>
                  <w:tcBorders>
                    <w:top w:val="single" w:color="000000" w:sz="4"/>
                    <w:left w:val="single" w:color="000000" w:sz="4"/>
                    <w:bottom w:val="single" w:color="000000" w:sz="4"/>
                    <w:right w:val="single" w:color="000000" w:sz="4"/>
                  </w:tcBorders>
                  <w:vAlign w:val="top"/>
                </w:tcPr>
                <w:p>
                  <w:pPr>
                    <w:jc w:val="center"/>
                  </w:pPr>
                  <w:r>
                    <w:rPr>
                      <w:b/>
                      <w:sz w:val="21"/>
                    </w:rPr>
                    <w:t>物品名称</w:t>
                  </w:r>
                </w:p>
              </w:tc>
              <w:tc>
                <w:tcPr>
                  <w:tcW w:type="dxa" w:w="3218"/>
                  <w:tcBorders>
                    <w:top w:val="single" w:color="000000" w:sz="4"/>
                    <w:left w:val="single" w:color="000000" w:sz="4"/>
                    <w:bottom w:val="single" w:color="000000" w:sz="4"/>
                    <w:right w:val="single" w:color="000000" w:sz="4"/>
                  </w:tcBorders>
                  <w:vAlign w:val="top"/>
                </w:tcPr>
                <w:p>
                  <w:pPr>
                    <w:jc w:val="center"/>
                  </w:pPr>
                  <w:r>
                    <w:rPr>
                      <w:b/>
                      <w:sz w:val="21"/>
                    </w:rPr>
                    <w:t>规格</w:t>
                  </w:r>
                  <w:r>
                    <w:rPr>
                      <w:b/>
                      <w:sz w:val="21"/>
                    </w:rPr>
                    <w:t>/型号</w:t>
                  </w:r>
                </w:p>
              </w:tc>
              <w:tc>
                <w:tcPr>
                  <w:tcW w:type="dxa" w:w="1190"/>
                  <w:tcBorders>
                    <w:top w:val="single" w:color="000000" w:sz="4"/>
                    <w:left w:val="single" w:color="000000" w:sz="4"/>
                    <w:bottom w:val="single" w:color="000000" w:sz="4"/>
                    <w:right w:val="single" w:color="000000" w:sz="4"/>
                  </w:tcBorders>
                  <w:vAlign w:val="top"/>
                </w:tcPr>
                <w:p>
                  <w:pPr>
                    <w:jc w:val="center"/>
                  </w:pPr>
                  <w:r>
                    <w:rPr>
                      <w:b/>
                      <w:sz w:val="21"/>
                    </w:rPr>
                    <w:t>单价最高限价（元）</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A01</w:t>
                  </w:r>
                </w:p>
              </w:tc>
              <w:tc>
                <w:tcPr>
                  <w:tcW w:type="dxa" w:w="339"/>
                  <w:vMerge w:val="restart"/>
                  <w:tcBorders>
                    <w:top w:val="none" w:color="000000" w:sz="4"/>
                    <w:left w:val="single" w:color="000000" w:sz="4"/>
                    <w:bottom w:val="single" w:color="000000" w:sz="4"/>
                    <w:right w:val="single" w:color="000000" w:sz="4"/>
                  </w:tcBorders>
                  <w:vAlign w:val="top"/>
                </w:tcPr>
                <w:p>
                  <w:pPr>
                    <w:jc w:val="center"/>
                  </w:pPr>
                  <w:r>
                    <w:rPr>
                      <w:sz w:val="21"/>
                    </w:rPr>
                    <w:t>打印机设备配件</w:t>
                  </w: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硒鼓</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2055DN（≥2500张)</w:t>
                  </w:r>
                </w:p>
              </w:tc>
              <w:tc>
                <w:tcPr>
                  <w:tcW w:type="dxa" w:w="1190"/>
                  <w:tcBorders>
                    <w:top w:val="single" w:color="000000" w:sz="4"/>
                    <w:left w:val="single" w:color="000000" w:sz="4"/>
                    <w:bottom w:val="single" w:color="000000" w:sz="4"/>
                    <w:right w:val="single" w:color="000000" w:sz="4"/>
                  </w:tcBorders>
                  <w:vAlign w:val="top"/>
                </w:tcPr>
                <w:p>
                  <w:pPr>
                    <w:jc w:val="center"/>
                  </w:pPr>
                  <w:r>
                    <w:rPr>
                      <w:sz w:val="21"/>
                    </w:rPr>
                    <w:t>170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401/400DN （≥3000张)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1020/1010  （≥2200张)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1020/1010 （商用专业版 医疗特种打印) （≥5500张 处方单）</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238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1008/1106 （≥2000张)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1008/1106 （商用专业版 医疗特种打印）（≥3500张 处方单)</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238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1566  （≥3000张)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1505  （≥3000张)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178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A09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403DN  （≥3500张)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298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132NF  （≥1400张)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M104A  （≥1400张)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Color LaserJet CP1215  （黑色≥</w:t>
                  </w:r>
                  <w:r>
                    <w:rPr>
                      <w:sz w:val="21"/>
                    </w:rPr>
                    <w:t>22</w:t>
                  </w:r>
                  <w:r>
                    <w:rPr>
                      <w:sz w:val="21"/>
                    </w:rPr>
                    <w:t>00张，彩色≥</w:t>
                  </w:r>
                  <w:r>
                    <w:rPr>
                      <w:sz w:val="21"/>
                    </w:rPr>
                    <w:t>14</w:t>
                  </w:r>
                  <w:r>
                    <w:rPr>
                      <w:sz w:val="21"/>
                    </w:rPr>
                    <w:t>00张)</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430 彩色450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 xml:space="preserve">HP 251 原装硒鼓     </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700 彩色750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M281FDW  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660 彩色720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M254NW  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660 彩色720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Color LaserJet CP1215原装硒鼓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650 彩色655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CP3525原装硒鼓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990 彩色1780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M277 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760 彩色855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A19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M477 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880 彩色900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M177FW 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630 彩色650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HP M251ND 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650 彩色780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适用于激光打印机</w:t>
                  </w:r>
                  <w:r>
                    <w:rPr>
                      <w:sz w:val="21"/>
                    </w:rPr>
                    <w:t>Sumsang LBP680ND 原装硒鼓</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730 彩色950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A23</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墨盒</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Canon IP2780/2788 原装墨盒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185 彩色220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Canon IX4000  原装墨盒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155 彩色135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Canon MP245/276 原装墨盒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150 彩色170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Epson WF7111 原装墨盒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530元/套</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Epson WF5113 原装墨盒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475 彩色475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HP Deskjet3610/2620 原装墨盒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A29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HP Deskjet1000/1020 原装墨盒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120 彩色155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A30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HP Deskjet D2468  原装墨盒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125 彩色130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A31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适用于喷墨打印机</w:t>
                  </w:r>
                  <w:r>
                    <w:rPr>
                      <w:sz w:val="21"/>
                    </w:rPr>
                    <w:t>HP DeskjetD1668/D2668  原装色带</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黑色</w:t>
                  </w:r>
                  <w:r>
                    <w:rPr>
                      <w:sz w:val="21"/>
                    </w:rPr>
                    <w:t>175 彩色200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A32</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色带芯</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适用于针式打印机</w:t>
                  </w:r>
                  <w:r>
                    <w:rPr>
                      <w:sz w:val="21"/>
                    </w:rPr>
                    <w:t>DS 1100/1100II/1100II+</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A33</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色带架</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适用于针式打印机</w:t>
                  </w:r>
                  <w:r>
                    <w:rPr>
                      <w:sz w:val="21"/>
                    </w:rPr>
                    <w:t>DS 1100/1100II/1100II+</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B01</w:t>
                  </w:r>
                </w:p>
              </w:tc>
              <w:tc>
                <w:tcPr>
                  <w:tcW w:type="dxa" w:w="339"/>
                  <w:vMerge w:val="restart"/>
                  <w:tcBorders>
                    <w:top w:val="none" w:color="000000" w:sz="4"/>
                    <w:left w:val="single" w:color="000000" w:sz="4"/>
                    <w:bottom w:val="single" w:color="000000" w:sz="4"/>
                    <w:right w:val="single" w:color="000000" w:sz="4"/>
                  </w:tcBorders>
                  <w:vAlign w:val="top"/>
                </w:tcPr>
                <w:p>
                  <w:pPr>
                    <w:jc w:val="center"/>
                  </w:pPr>
                  <w:r>
                    <w:rPr>
                      <w:sz w:val="21"/>
                    </w:rPr>
                    <w:t>计算机设备配件</w:t>
                  </w: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键盘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有线（</w:t>
                  </w:r>
                  <w:r>
                    <w:rPr>
                      <w:sz w:val="21"/>
                    </w:rPr>
                    <w:t>PS2)、≥104键</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有线（</w:t>
                  </w:r>
                  <w:r>
                    <w:rPr>
                      <w:sz w:val="21"/>
                    </w:rPr>
                    <w:t>USB）、≥104键</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无线、</w:t>
                  </w:r>
                  <w:r>
                    <w:rPr>
                      <w:sz w:val="21"/>
                    </w:rPr>
                    <w:t>≥104键</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B04</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鼠标</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有线（</w:t>
                  </w:r>
                  <w:r>
                    <w:rPr>
                      <w:sz w:val="21"/>
                    </w:rPr>
                    <w:t>PS2)、≥104键</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有线（</w:t>
                  </w:r>
                  <w:r>
                    <w:rPr>
                      <w:sz w:val="21"/>
                    </w:rPr>
                    <w:t>USB）、≥104键</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无线、</w:t>
                  </w:r>
                  <w:r>
                    <w:rPr>
                      <w:sz w:val="21"/>
                    </w:rPr>
                    <w:t>≥104键</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B07</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鼠键套装</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有线（</w:t>
                  </w:r>
                  <w:r>
                    <w:rPr>
                      <w:sz w:val="21"/>
                    </w:rPr>
                    <w:t>PS2)、≥104键</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有线（</w:t>
                  </w:r>
                  <w:r>
                    <w:rPr>
                      <w:sz w:val="21"/>
                    </w:rPr>
                    <w:t>USB）、≥104键</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B09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无线、</w:t>
                  </w:r>
                  <w:r>
                    <w:rPr>
                      <w:sz w:val="21"/>
                    </w:rPr>
                    <w:t>≥104键</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B10</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手写板</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USB2.0、≥2M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B11</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激光笔</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单点激光、</w:t>
                  </w:r>
                  <w:r>
                    <w:rPr>
                      <w:sz w:val="21"/>
                    </w:rPr>
                    <w:t>2.4GHz无线频率、遥控距离：≤30M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B12</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录音笔</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16G  专业录音 微型 高清远距降噪</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32G  专业录音 微型 高清远距降噪</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B14</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条码枪</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手持式</w:t>
                  </w:r>
                  <w:r>
                    <w:rPr>
                      <w:sz w:val="21"/>
                    </w:rPr>
                    <w:t>一维扫描枪</w:t>
                  </w:r>
                  <w:r>
                    <w:rPr>
                      <w:sz w:val="21"/>
                    </w:rPr>
                    <w:t>双向扫描</w:t>
                  </w:r>
                  <w:r>
                    <w:rPr>
                      <w:sz w:val="21"/>
                    </w:rPr>
                    <w:t xml:space="preserve"> </w:t>
                  </w:r>
                  <w:r>
                    <w:rPr>
                      <w:sz w:val="21"/>
                    </w:rPr>
                    <w:t>扫描速率</w:t>
                  </w:r>
                  <w:r>
                    <w:rPr>
                      <w:sz w:val="21"/>
                    </w:rPr>
                    <w:t>100线/秒 扫描精度 5MIL   5V±10% , 标准130mA，最大175mA解码能力： UPC/EAN, UPC/EAN with Supplementals, UCC/EAN 128, Code 39, Code 39 Full ASCII, Code 39 TriOptic, Code 128, Code 128 Full ASCII, Codabar, Interleaved 2 of 5, Discrete 2 of 5, Code 93, MSI, Code 11, IATA, RSS variants, Chinese 2 of 5</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B15</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平台式</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解码能力</w:t>
                  </w:r>
                  <w:r>
                    <w:br/>
                  </w:r>
                  <w:r>
                    <w:rPr>
                      <w:sz w:val="21"/>
                    </w:rPr>
                    <w:t>UPC-A、UPC-E、EAN-13、交叉25码、工业25码、矩阵25码、CODEBAR、CDOE128、CODE93、CODE11、光源：650nm高强度激光二极管</w:t>
                  </w:r>
                  <w:r>
                    <w:br/>
                  </w:r>
                  <w:r>
                    <w:rPr>
                      <w:sz w:val="21"/>
                    </w:rPr>
                    <w:t>扫描景深：</w:t>
                  </w:r>
                  <w:r>
                    <w:rPr>
                      <w:sz w:val="21"/>
                    </w:rPr>
                    <w:t>0~200mm@（UPC/EAN 100%,PCS=90%）</w:t>
                  </w:r>
                  <w:r>
                    <w:br/>
                  </w:r>
                  <w:r>
                    <w:rPr>
                      <w:sz w:val="21"/>
                    </w:rPr>
                    <w:t>扫描精度：</w:t>
                  </w:r>
                  <w:r>
                    <w:rPr>
                      <w:sz w:val="21"/>
                    </w:rPr>
                    <w:t>5mil</w:t>
                  </w:r>
                  <w:r>
                    <w:br/>
                  </w:r>
                  <w:r>
                    <w:rPr>
                      <w:sz w:val="21"/>
                    </w:rPr>
                    <w:t>扫描模式：全线扫描（</w:t>
                  </w:r>
                  <w:r>
                    <w:rPr>
                      <w:sz w:val="21"/>
                    </w:rPr>
                    <w:t>20条线、5个方向）</w:t>
                  </w:r>
                  <w:r>
                    <w:br/>
                  </w:r>
                  <w:r>
                    <w:rPr>
                      <w:sz w:val="21"/>
                    </w:rPr>
                    <w:t>印刷对比度：大于</w:t>
                  </w:r>
                  <w:r>
                    <w:rPr>
                      <w:sz w:val="21"/>
                    </w:rPr>
                    <w:t>25%（UPC/EAN 100%）</w:t>
                  </w:r>
                  <w:r>
                    <w:br/>
                  </w:r>
                  <w:r>
                    <w:rPr>
                      <w:sz w:val="21"/>
                    </w:rPr>
                    <w:t>扫描倾斜度：倾角：</w:t>
                  </w:r>
                  <w:r>
                    <w:rPr>
                      <w:sz w:val="21"/>
                    </w:rPr>
                    <w:t>45°   仰角45°</w:t>
                  </w:r>
                  <w:r>
                    <w:br/>
                  </w:r>
                  <w:r>
                    <w:rPr>
                      <w:sz w:val="21"/>
                    </w:rPr>
                    <w:t>CPU性能：32位双CPU，工作温度：0℃~+50℃</w:t>
                  </w:r>
                  <w:r>
                    <w:br/>
                  </w:r>
                  <w:r>
                    <w:rPr>
                      <w:sz w:val="21"/>
                    </w:rPr>
                    <w:t>工作湿度：</w:t>
                  </w:r>
                  <w:r>
                    <w:rPr>
                      <w:sz w:val="21"/>
                    </w:rPr>
                    <w:t>5%~95%无凝结</w:t>
                  </w:r>
                  <w:r>
                    <w:br/>
                  </w:r>
                  <w:r>
                    <w:rPr>
                      <w:sz w:val="21"/>
                    </w:rPr>
                    <w:t>储存温度：</w:t>
                  </w:r>
                  <w:r>
                    <w:rPr>
                      <w:sz w:val="21"/>
                    </w:rPr>
                    <w:t>-20℃~+60℃</w:t>
                  </w:r>
                  <w:r>
                    <w:br/>
                  </w:r>
                  <w:r>
                    <w:rPr>
                      <w:sz w:val="21"/>
                    </w:rPr>
                    <w:t>环境亮度：</w:t>
                  </w:r>
                  <w:r>
                    <w:rPr>
                      <w:sz w:val="21"/>
                    </w:rPr>
                    <w:t>0~4,000Lux（荧光），0~100,000Lux（日光）</w:t>
                  </w:r>
                  <w:r>
                    <w:br/>
                  </w:r>
                  <w:r>
                    <w:rPr>
                      <w:sz w:val="21"/>
                    </w:rPr>
                    <w:t>安全规范</w:t>
                  </w:r>
                  <w:r>
                    <w:br/>
                  </w:r>
                  <w:r>
                    <w:rPr>
                      <w:sz w:val="21"/>
                    </w:rPr>
                    <w:t>电气安全：</w:t>
                  </w:r>
                  <w:r>
                    <w:rPr>
                      <w:sz w:val="21"/>
                    </w:rPr>
                    <w:t>CE EN55022 Class B、EN55024 Class B，FCC Part 15 Class B</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1780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B16</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音箱</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2.0声道 木质多媒体音箱  3.5立体声耳机插座 普通家用电源供电</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2.1声道 木质多媒体音箱  3.5立体声耳机插座 普通家用电源供电</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B18</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高拍仪</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USB、500M、A4、广角</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B19</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摄像头</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USB、≥30FPS、1024×768、MIC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B20</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光驱</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DVD-RW ROM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160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B21</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光盘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CD-R、700M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CD-RW、700M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DVD-R、4.7G</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DVD-RW、4.7G</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B25</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U盘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16G（USB3.0)</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32G（USB3.0)</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64G（USB3.0)</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128G（USB3.0)</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B29</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CPU</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intel Corei3 ≥Kaby Lake</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intel Corei5 ≥Kaby Lake</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intel Corei7 ≥Sky Lake</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2300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B32</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RAM</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4G、DDR3-1600/1333/1066/800MHz</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8G、DDR3-1600/1333/1066/800MHz</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16G、DDR4/2400MHz</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B35</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硬盘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500G、7200rpm、16M  3.5寸 SATA3</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365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1T、7200rpm、64M 3.5' SATA3</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移动硬盘</w:t>
                  </w:r>
                  <w:r>
                    <w:rPr>
                      <w:sz w:val="21"/>
                    </w:rPr>
                    <w:t xml:space="preserve"> </w:t>
                  </w:r>
                  <w:r>
                    <w:rPr>
                      <w:sz w:val="21"/>
                    </w:rPr>
                    <w:t>500G、USB3.0 2.5'</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移动硬盘</w:t>
                  </w:r>
                  <w:r>
                    <w:rPr>
                      <w:sz w:val="21"/>
                    </w:rPr>
                    <w:t xml:space="preserve"> </w:t>
                  </w:r>
                  <w:r>
                    <w:rPr>
                      <w:sz w:val="21"/>
                    </w:rPr>
                    <w:t>1000G、USB3.0 2.5'</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B39</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主板</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HP PRO 2000/2080MT主板 775针 DDR3代</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HP</w:t>
                  </w:r>
                  <w:r>
                    <w:rPr>
                      <w:sz w:val="21"/>
                    </w:rPr>
                    <w:t xml:space="preserve"> </w:t>
                  </w:r>
                  <w:r>
                    <w:rPr>
                      <w:sz w:val="21"/>
                    </w:rPr>
                    <w:t>3330MT主板1155全集成DDR3 H-POPEYE-H61-UATX2.0</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HP PRO 280 主板  775针 DDR3代</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HP</w:t>
                  </w:r>
                  <w:r>
                    <w:rPr>
                      <w:sz w:val="21"/>
                    </w:rPr>
                    <w:t xml:space="preserve"> </w:t>
                  </w:r>
                  <w:r>
                    <w:rPr>
                      <w:sz w:val="21"/>
                    </w:rPr>
                    <w:t>480 G2</w:t>
                  </w:r>
                  <w:r>
                    <w:rPr>
                      <w:sz w:val="21"/>
                    </w:rPr>
                    <w:t xml:space="preserve"> </w:t>
                  </w:r>
                  <w:r>
                    <w:rPr>
                      <w:sz w:val="21"/>
                    </w:rPr>
                    <w:t>1150 主板 DDR3代</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HP</w:t>
                  </w:r>
                  <w:r>
                    <w:rPr>
                      <w:sz w:val="21"/>
                    </w:rPr>
                    <w:t xml:space="preserve"> </w:t>
                  </w:r>
                  <w:r>
                    <w:rPr>
                      <w:sz w:val="21"/>
                    </w:rPr>
                    <w:t>480</w:t>
                  </w:r>
                  <w:r>
                    <w:rPr>
                      <w:sz w:val="21"/>
                    </w:rPr>
                    <w:t xml:space="preserve"> </w:t>
                  </w:r>
                  <w:r>
                    <w:rPr>
                      <w:sz w:val="21"/>
                    </w:rPr>
                    <w:t>G3</w:t>
                  </w:r>
                  <w:r>
                    <w:rPr>
                      <w:sz w:val="21"/>
                    </w:rPr>
                    <w:t xml:space="preserve"> </w:t>
                  </w:r>
                  <w:r>
                    <w:rPr>
                      <w:sz w:val="21"/>
                    </w:rPr>
                    <w:t>B85 主板 DDR4 内存</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HP</w:t>
                  </w:r>
                  <w:r>
                    <w:rPr>
                      <w:sz w:val="21"/>
                    </w:rPr>
                    <w:t xml:space="preserve"> </w:t>
                  </w:r>
                  <w:r>
                    <w:rPr>
                      <w:sz w:val="21"/>
                    </w:rPr>
                    <w:t>490</w:t>
                  </w:r>
                  <w:r>
                    <w:rPr>
                      <w:sz w:val="21"/>
                    </w:rPr>
                    <w:t xml:space="preserve"> </w:t>
                  </w:r>
                  <w:r>
                    <w:rPr>
                      <w:sz w:val="21"/>
                    </w:rPr>
                    <w:t>G2 LGA1150 主板 DDR3内存</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HP 490 G3 MT主板 LGA1150  DDR3内存</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HP</w:t>
                  </w:r>
                  <w:r>
                    <w:rPr>
                      <w:sz w:val="21"/>
                    </w:rPr>
                    <w:t xml:space="preserve"> </w:t>
                  </w:r>
                  <w:r>
                    <w:rPr>
                      <w:sz w:val="21"/>
                    </w:rPr>
                    <w:t>288</w:t>
                  </w:r>
                  <w:r>
                    <w:rPr>
                      <w:sz w:val="21"/>
                    </w:rPr>
                    <w:t xml:space="preserve"> </w:t>
                  </w:r>
                  <w:r>
                    <w:rPr>
                      <w:sz w:val="21"/>
                    </w:rPr>
                    <w:t>G2</w:t>
                  </w:r>
                  <w:r>
                    <w:rPr>
                      <w:sz w:val="21"/>
                    </w:rPr>
                    <w:t xml:space="preserve"> </w:t>
                  </w:r>
                  <w:r>
                    <w:rPr>
                      <w:sz w:val="21"/>
                    </w:rPr>
                    <w:t>H110 主板  DDR4内存+D106</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适用于联想</w:t>
                  </w:r>
                  <w:r>
                    <w:rPr>
                      <w:sz w:val="21"/>
                    </w:rPr>
                    <w:t>启天</w:t>
                  </w:r>
                  <w:r>
                    <w:rPr>
                      <w:sz w:val="21"/>
                    </w:rPr>
                    <w:t>M410-D004</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B48</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网卡</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PCI-E  千兆 RJ45</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B49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无线</w:t>
                  </w:r>
                  <w:r>
                    <w:rPr>
                      <w:sz w:val="21"/>
                    </w:rPr>
                    <w:t>USB 300M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B50</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隔离卡</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网络安全物理隔离卡</w:t>
                  </w:r>
                  <w:r>
                    <w:rPr>
                      <w:sz w:val="21"/>
                    </w:rPr>
                    <w:t xml:space="preserve"> </w:t>
                  </w:r>
                  <w:r>
                    <w:rPr>
                      <w:sz w:val="21"/>
                    </w:rPr>
                    <w:t>支持</w:t>
                  </w:r>
                  <w:r>
                    <w:rPr>
                      <w:sz w:val="21"/>
                    </w:rPr>
                    <w:t>PCI 插槽；双硬盘SATA 。即插即用</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B51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网络安全物理隔离卡</w:t>
                  </w:r>
                  <w:r>
                    <w:rPr>
                      <w:sz w:val="21"/>
                    </w:rPr>
                    <w:t xml:space="preserve"> </w:t>
                  </w:r>
                  <w:r>
                    <w:rPr>
                      <w:sz w:val="21"/>
                    </w:rPr>
                    <w:t>支持</w:t>
                  </w:r>
                  <w:r>
                    <w:rPr>
                      <w:sz w:val="21"/>
                    </w:rPr>
                    <w:t>PCI-E  插槽；双硬盘SATA 。即插即用</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B52</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交换机</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5口   百兆  5个10/100M自适应端口，即插即用</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B53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8口   百兆  8个10/100M自适应端口，即插即用</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B54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16口  百兆  16个10/100M自适应端口，即插即用</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B55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24口  千兆  24口全千兆非网管交换机 即插即用</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B56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48口  百兆  48个10/100M自适应端口，即插即用</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B57</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读卡器</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读二代身份证、社保卡、诊疗卡</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C01</w:t>
                  </w:r>
                </w:p>
              </w:tc>
              <w:tc>
                <w:tcPr>
                  <w:tcW w:type="dxa" w:w="339"/>
                  <w:vMerge w:val="restart"/>
                  <w:tcBorders>
                    <w:top w:val="none" w:color="000000" w:sz="4"/>
                    <w:left w:val="single" w:color="000000" w:sz="4"/>
                    <w:bottom w:val="single" w:color="000000" w:sz="4"/>
                    <w:right w:val="single" w:color="000000" w:sz="4"/>
                  </w:tcBorders>
                  <w:vAlign w:val="top"/>
                </w:tcPr>
                <w:p>
                  <w:pPr>
                    <w:jc w:val="center"/>
                  </w:pPr>
                  <w:r>
                    <w:rPr>
                      <w:sz w:val="21"/>
                    </w:rPr>
                    <w:t>线材及其他</w:t>
                  </w: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线材</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跳线</w:t>
                  </w:r>
                  <w:r>
                    <w:rPr>
                      <w:sz w:val="21"/>
                    </w:rPr>
                    <w:t>6类、1M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跳线</w:t>
                  </w:r>
                  <w:r>
                    <w:rPr>
                      <w:sz w:val="21"/>
                    </w:rPr>
                    <w:t>6类、1.5M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跳线</w:t>
                  </w:r>
                  <w:r>
                    <w:rPr>
                      <w:sz w:val="21"/>
                    </w:rPr>
                    <w:t>6类、2M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跳线</w:t>
                  </w:r>
                  <w:r>
                    <w:rPr>
                      <w:sz w:val="21"/>
                    </w:rPr>
                    <w:t>6类、3M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跳线</w:t>
                  </w:r>
                  <w:r>
                    <w:rPr>
                      <w:sz w:val="21"/>
                    </w:rPr>
                    <w:t>6类、5M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音频线、</w:t>
                  </w:r>
                  <w:r>
                    <w:rPr>
                      <w:sz w:val="21"/>
                    </w:rPr>
                    <w:t>TRS、3M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音频线、</w:t>
                  </w:r>
                  <w:r>
                    <w:rPr>
                      <w:sz w:val="21"/>
                    </w:rPr>
                    <w:t>TRS、5M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音频线、</w:t>
                  </w:r>
                  <w:r>
                    <w:rPr>
                      <w:sz w:val="21"/>
                    </w:rPr>
                    <w:t>RCA、3M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C09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音频线、</w:t>
                  </w:r>
                  <w:r>
                    <w:rPr>
                      <w:sz w:val="21"/>
                    </w:rPr>
                    <w:t>RCA、5M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C10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VGA转VGA\DP转VGA\DVI转VGA\HDMI转VGA\DVI转HDMI、3M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C11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打印线、</w:t>
                  </w:r>
                  <w:r>
                    <w:rPr>
                      <w:sz w:val="21"/>
                    </w:rPr>
                    <w:t>USB转9针/15针并行端口、2M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C12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打印线、</w:t>
                  </w:r>
                  <w:r>
                    <w:rPr>
                      <w:sz w:val="21"/>
                    </w:rPr>
                    <w:t>USB转B型USB、2M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C13</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纸</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80MM热敏纸</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C14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50MM标签纸条码纸</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C17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碳带纸</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D01</w:t>
                  </w:r>
                </w:p>
              </w:tc>
              <w:tc>
                <w:tcPr>
                  <w:tcW w:type="dxa" w:w="339"/>
                  <w:vMerge w:val="restart"/>
                  <w:tcBorders>
                    <w:top w:val="none" w:color="000000" w:sz="4"/>
                    <w:left w:val="single" w:color="000000" w:sz="4"/>
                    <w:bottom w:val="single" w:color="000000" w:sz="4"/>
                    <w:right w:val="single" w:color="000000" w:sz="4"/>
                  </w:tcBorders>
                  <w:vAlign w:val="top"/>
                </w:tcPr>
                <w:p>
                  <w:pPr>
                    <w:jc w:val="center"/>
                  </w:pPr>
                  <w:r>
                    <w:rPr>
                      <w:sz w:val="21"/>
                    </w:rPr>
                    <w:t>服务器存储设备配件</w:t>
                  </w: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处理器</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Gen9 E5-2620v4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Gen9 Intel Xeon E5-2650v4 (2.2GHz/12-core/30MB/105W)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13500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Gen9 Intel Xeon E5-2699v4 (2.2GHz/22-core/55MB/145W)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49000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Gen9 E7-4850v4 1P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Gen9 Intel Xeon E7-8860v4 (2.2GHz/18-core/45MB/140W)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48000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Gen9 Intel Xeon E7-8880v4 (2.2GHz/22-core/55MB/150W)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70000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Intel Xeon-Silver 4116 (2.1GHz/12-core/85W)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12220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Intel Xeon-Silver 4114 (2.2GHz/10-core/85W)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8840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D09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Intel Xeon-Silver 4112 (2.6GHz/4-core/85W)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6630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Intel Xeon-Silver 4110 (2.1GHz/8-core/85W)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6370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Intel Xeon-Silver 4108 (1.8GHz/8-core/85W)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5980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Intel Xeon-Platinum 8180M (2.5GHz/28-core/205W)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151190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Intel Xeon-Gold 5122 (3.6GHz/4-core/105W)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15990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Xeon-Gold 6130 (2.1GHz/16-core/120W)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24375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Xeon-Gold 6128 (3.4GHz/6-core/115W)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22035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Xeon-Gold 6126 (2.6GHz/12-core/120W)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23075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Xeon-Gold 5122 (3.6GHz/4-core/105W)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15730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Xeon-Gold 5120 (2.2GHz/14-core/105W)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19175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Xeon-Gold 5118 (2.3GHz/12-core/105W)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15860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Xeon-Gold 5117 (2.0GHz/14-core/105W)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13000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Xeon-Gold 5115 (2.4GHz/10-core/85W)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15860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Xeon-Silver 4116 (2.1GHz/12-core/85W)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12155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Xeon-Silver 4114 (2.2GHz/10-core/85W)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8840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Xeon-Silver 4112 (2.6GHz/4-core/85W)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Xeon-Silver 4110 (2.1GHz/8-core/85W)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6305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DL380 Gen10 Intel Xeon-Silver 4108 (1.8GHz/8-core/85W)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5785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Xeon-Platinum 8164 (2.0GHz/26-core/150W)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70252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Xeon-Platinum 8160M (2.1GHz/24-core/145W)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86580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D29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Xeon-Platinum 8160 (2.1GHz/24-core/145W)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57967</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Xeon-Platinum 8158 (3.0GHz/12-core/105W)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86171</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Xeon-Platinum 8156 (3.6GHz/2-core/105W)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81260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Xeon-Platinum 8153 (2.0GHz/16-core/125W)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38441</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6154 (3.0GHz/18-core/200W)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45650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6152 (2.1GHz/22-core/135W)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47106</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6150 (2.7GHz/18-core/165W)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43329</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6148 (2.4GHz/20-core/145W)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39325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6146 (3.2GHz/12-core/165W)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42361</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6144 (3.5GHz/8-core/150W)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37772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D39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6143 (2.8GHz/16-core/205W)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40339</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6142 (2.6GHz/16-core/145W)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38058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6140M (2.3GHz/18-core/140W)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60242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6140 (2.3GHz/18-core/140W)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31376</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6138 (2.0GHz/20-core/125W)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33696</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6136 (3.0GHz/12-core/150W)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31824</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6134 (3.3GHz/8-core/130W)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28444</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6132 (2.6GHz/14-core/140W)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27411</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6130 (2.1GHz/16-core/125W)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24330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6128 (3.4GHz/6-core/115W)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22016</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D49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6126 (2.6GHz/12-core/125W)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23095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5122 (3.6GHz/4-core/105W)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15841</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5120 (2.2GHz/14-core/105W)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19039</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5118 (2.3GHz/12-core/105W)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15470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Gen10 Intel Xeon-Gold 5115 (2.4GHz/10-core/85W) Processor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15945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D54</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内存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16GB (1x16GB) Single Rank x4 DDR4-2400 CAS-17-17-17 Registered Memory Kit For HPE Gen9</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2050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32GB (1x32GB) Dual Rank x4 DDR4-2400 CAS-17-17-17 Registered Memory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4300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64GB (1x64GB) Quad Rank x4 DDR4-2400 CAS-17-17-17 Load Reduced Memory Kit For HPE Gen9</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32GB (1x32GB) Dual Rank x4 DDR4-2666 Registered Smart Memory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4583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16GB (1x16GB) Single Rank x4 DDR4-2666 Registered Smart Memory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2405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D59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16GB (1x16GB) Dual Rank x8 DDR4-2666 Registered Smart Memory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2405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8GB (1x8GB) Single Rank x8 DDR4-2666 Registered Smart Memory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1398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8GB (1x8GB) Dual Rank x8 DDR4-2666 Registered Smart Memory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1528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128GB (1x128GB) Octal Rank x4 DDR4-2666 3DS Load Reduced Memory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29900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64GB (1x64GB) Quad Rank x4 DDR4-2666 Load Reduced Smart Memory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9458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16GB NVDIMM Single Rank x4 DDR4-2666 Module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4680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D65</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内存板</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DL580 Gen9 12 DIMMs Memory Cartridge</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D66</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主板</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System board without NIC (DL388)，P19928-001</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D67</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硬盘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600GB 12G SAS 10K 2.5in SC ENT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2.4TB SAS 12G Enterprise 10K SFF (2.5in) SC  HDD For HPE Gen9</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D69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1.6TB SAS 12G Write Intensive SFF (2.5in) SC  SSD For HPE Gen9</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32000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2.4TB SAS 12G Enterprise 10K SFF (2.5in) SC 3yr Wty 512e Digitally Signed Firmware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2763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1.8TB SAS 12G Enterprise 10K SFF (2.5in) SC 3yr Wty 512e Digitally Signed Firmware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2600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1.2TB SAS 12G Enterprise 10K SFF (2.5in) SC 3yr Wty Digitally Signed Firmware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2048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900GB SAS 12G Enterprise 15K SFF (2.5in) SC 3yr Wty 512e Digitally Signed Firmware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2925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600GB SAS 12G Enterprise 10K SFF (2.5in) SC 3yr Wty Digitally Signed Firmware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1560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600GB SAS 12G Enterprise 15K SFF (2.5in) SC 3yr Wty Digitally Signed Firmware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2178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300GB SAS 12G Enterprise 10K SFF (2.5in) SC 3yr Wty Digitally Signed Firmware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1300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7.68TB NVMe x4 Lanes Read Intensive SFF (2.5in) SCN 3yr Wty Digitally Signed Firmware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34580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3.84TB NVMe x4 Lanes Read Intensive SFF (2.5in) SCN 3yr Wty Digitally Signed Firmware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18168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D79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1.92TB NVMe x4 Lanes Read Intensive SFF (2.5in) SCN 3yr Wty Digitally Signed Firmware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10205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960GB NVMe x4 Lanes Read Intensive SFF (2.5in) SCN 3yr Wty Digitally Signed Firmware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7605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D81</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Riser 套件</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Low Profile Riser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241</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SATA M.2 2280 Riser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299</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2P Full Height Riser and GPU Enablement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442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Primary and secondary PCI riser cage，875056-001</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D85</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HBA卡</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81Q PCI-e FC HBA</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SN1200E 16Gb Single Port Fibre Channel Host Bus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6223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SN1200E 16Gb Dual Port Fibre Channel Host Bus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7606</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SN1600E 32Gb Single Port Fibre Channel Host Bus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14249</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D89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SN1600E 32Gb Dual Port Fibre Channel Host Bus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22523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SN1100Q 16Gb Single Port Fibre Channel Host Bus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6223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SN1100Q 16Gb Dual Port Fibre Channel Host Bus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7606</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SN1600Q 32Gb Single Port Fibre Channel Host Bus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10165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SN1600Q 32Gb Dual Port Fibre Channel Host Bus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15904</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CN1100R Dual Port Converged Network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7117</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CN1100R 10GBASE-T Dual Port Converged Network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7962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CN1200E 10Gb Converged Network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7145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CN1200E 10GBASE-T Dual Port Converged Network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9555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CN1200R 10GBASE-T Converged Network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4390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D99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StoreFabric CN1300R 10/25Gb Dual Port Converged Network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3325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D100</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阵列卡</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Smart Array P408i-p SR Gen10 (8 Internal Lanes/2GB Cache) 12G SAS PCIe Plug-in Controller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3510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Smart Array P408e-p SR Gen10 (8 External Lanes/4GB Cache) 12G SAS PCIe Plug-in Controller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4225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Smart Array P824i-p MR Gen10 (24 Internal Lanes/4GB Cache/CacheCade) 12G SAS PCIe Controller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Smart Array P408i-a SR Gen10 (8 Internal Lanes/2GB Cache) 12G SAS Modular Controller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2015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Smart Array P440ar/2G  Controller For HPE Gen9</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Smart Array P408i-a SR Gen10 Controller，836260-002</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3300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D106</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阵列缓存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2GB FIO Flash Backed Write Cache</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D107</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阵列缓存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4GB FIO Flash Backed Write Cache</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2800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D108</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网卡</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100Gb 1-port 842QSFP28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5590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D109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10/25Gb 2-port 640SFP28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2145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10/25Gb 2-port 631SFP28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2210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10/25Gb 2-port 621SFP28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562T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2990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562SFP+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2243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535T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2600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530SFP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2340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530T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3120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521T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2730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1Gb 4-port 366T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2080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D119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1Gb 4-port 331T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1Gb 2-port 361T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910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1Gb 2-port 332T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403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10/25Gb 2-port 640FLR-SFP28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1885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10/25Gb 2-port 631FLR-SFP28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1820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10/25Gb 2-port 622FLR-SFP28 Converged Network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2015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562FLR-SFP+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1690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562FLR-T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2405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FlexFabric 10Gb 4-port 536FLR-T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3770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10Gb 2-port 535FLR-T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2210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D129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FlexFabric 10Gb 2-port 534FLR-SFP+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1105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FlexFabric 10Gb 2-port 533FLR-T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2145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1Gb 4-port 331FLR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Ethernet 1Gb 4-port 366FLR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943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InfiniBand EDR/Ethernet 100Gb 2-port 841QSFP28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8580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InfiniBand FDR/Ethernet 10Gb/40Gb 2-port 544+FLR-QSFP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4875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InfiniBand FDR/Ethernet 10Gb/40Gb 2-port 544+QSFP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6240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InfiniBand FDR/Ethernet 40/50Gb 2-port 547FLR-QSFP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InfiniBand EDR 100Gb 1-port 841QSFP28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7150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InfiniBand EDR/Ethernet 100Gb 1-port 840QSFP28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8125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D139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InfiniBand EDR/Ethernet 100Gb 2-port 840QSFP28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9620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100Gb 1-port OP101 QSFP28 x16 PCIe Gen3 with Intel Omni-Path Architecture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5330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Ethernet 1GbE 4P 331T Adptr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Ethernet 10Gb 2P 560SFP+ Adptr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D143</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多模模块</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相当于或优于万兆多模模块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D144</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电源</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 500W FS Plat Ht Plg Pwr Supply Kit For HPE Gen9</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DL580 Gen9  HP 1200W CS Plat PL HtPlg Pwr Supply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1750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500W Flex Slot Platinum Hot Plug Low Halogen Power Supply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897</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800W Flex Slot Titanium Hot Plug Low Halogen Power Supply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1200W Flex Slot Platinum Hot Plug Low Halogen Power Supply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1400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D149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1600W Flex Slot Platinum Hot Plug Low Halogen Power Supply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1625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H3C S6300 650W</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2645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D151</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散热套件</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High Performance Heat Sink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DL360 Gen10 High Performance Fan Kit</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1495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D153</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存储扩展子卡</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StoreServ 8000 2-port 32Gb Fibre Channel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60914</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StoreServ 8000 4-port 16Gb Fibre Channel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30378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StoreServ 8000 2-port 10Gb iSCSI/FCoE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22008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StoreServ 8000 4-port 1Gb Ethernet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7622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StoreServ 8000 2-port 10Gb Ethernet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11670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StoreServ 8000 4-port 16Gb Fibre Channel/10Gb NIC Combo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22524</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D159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StoreServ 8000 4-port 10Gb iSCSI/10Gb NIC Combo Adapter</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22495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D160</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存储硬盘</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920GB SAS SFF (2.5in)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33425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1.92TB+SW SFF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61443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3.84TB+SW SFF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105935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7.68TB+SW SFF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212056</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15.36TB SAS SFF (2.5in) SSD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419912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300GB SAS 15K SFF (2.5in)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10914</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600GB+SW 15K SFF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12480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600GB+SW 10K SFF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9213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1.2TB+SW 10K SFF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11643</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D169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1.8TB+SW 10K SFF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15044</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D170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2TB+SW 7.2K SFF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18026</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D171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4TB+SW 7.2K LFF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11588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D172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6TB+SW 7.2K LFF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15382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D173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HPE 3PAR 8000 8TB SAS 7.2K LFF (3.5in) HDD</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19038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E01</w:t>
                  </w:r>
                </w:p>
              </w:tc>
              <w:tc>
                <w:tcPr>
                  <w:tcW w:type="dxa" w:w="339"/>
                  <w:vMerge w:val="restart"/>
                  <w:tcBorders>
                    <w:top w:val="none" w:color="000000" w:sz="4"/>
                    <w:left w:val="single" w:color="000000" w:sz="4"/>
                    <w:bottom w:val="single" w:color="000000" w:sz="4"/>
                    <w:right w:val="single" w:color="000000" w:sz="4"/>
                  </w:tcBorders>
                  <w:vAlign w:val="top"/>
                </w:tcPr>
                <w:p>
                  <w:pPr>
                    <w:jc w:val="center"/>
                  </w:pPr>
                  <w:r>
                    <w:rPr>
                      <w:sz w:val="21"/>
                    </w:rPr>
                    <w:t>交换机配件</w:t>
                  </w: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以太网模块</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SFP+ 万兆模块(850nm,300m,LC)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1495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S10512交换网板</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20500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1端口OC-192c/STM-64c RPR光接口卡-(XFP,LC)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50000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相当于或优于</w:t>
                  </w:r>
                  <w:r>
                    <w:rPr>
                      <w:sz w:val="21"/>
                    </w:rPr>
                    <w:t>H3C S10500 12端口40G/4端口100G以太网光接口模块(QSFP28)(SG)</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130000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12端口40G以太网光接口模块(QSFP+)(SG)</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100000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24端口千兆以太网电接口(RJ45)+4端口万兆以太网光接口模块(SFP+,LC)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49250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24端口千兆以太网光接口(SFP,LC)＋4端口万兆以太光接口模块(SFP+,LC)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49250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24端口40G以太网光接口模块(QSFP+)(SG)</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137500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E09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32端口万兆以太网光接口模块(SFP+,LC)(SF)</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89700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32端口万兆以太网光接口(SFP+,LC)+4端口40G以太光接口模块(QSFP+)(SG)</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100000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44端口千兆以太网光接口(SFP,LC)＋4端口万兆以太光接口模块(SFP+,LC)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58750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48端口千兆以太网电接口1个模块(RJ45)</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48端口千兆以太网电接口2个模块(RJ45)</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38750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48端口千兆以太网电接口4个模块(RJ45)</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64500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48端口万兆以太网光接口模块(SFP+,LC)(SG)</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99500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24端口千兆以太网电接口(RJ45)+20端口千兆以太网光接口(SFP,LC)+4端口万兆以太网光接口模块(SFP+,LC)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64500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E17</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母板</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业务处理母板</w:t>
                  </w:r>
                  <w:r>
                    <w:rPr>
                      <w:sz w:val="21"/>
                    </w:rPr>
                    <w:t>(EC)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100000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E18</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电缆</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SFP+ 电缆 7m</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1702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E19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CX4电缆(50cm)-适用于堆叠/IB/SAS</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588</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E20</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光纤收发器</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100Mbps、100Base-TX/100Base-FX、RJ45-SC、DC 5V、LED、单模</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1000Mbps、1000Base-T/1000Base-SX、RJ45-SC、DC 5V、LED、单模</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980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E22</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机柜</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9U 机柜9u 壁挂19英寸标准工程级网络小机柜</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E23</w:t>
                  </w:r>
                </w:p>
              </w:tc>
              <w:tc>
                <w:tcPr>
                  <w:tcW w:type="dxa" w:w="339"/>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vAlign w:val="top"/>
                </w:tcPr>
                <w:p>
                  <w:pPr>
                    <w:jc w:val="center"/>
                  </w:pPr>
                  <w:r>
                    <w:rPr>
                      <w:sz w:val="21"/>
                    </w:rPr>
                    <w:t>机柜电源</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16A大功率PDU机柜插座/插线板/插排/排插/接线板/拖线板 8位总控全长2米</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E24</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电源模块</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交流电源模块</w:t>
                  </w:r>
                  <w:r>
                    <w:rPr>
                      <w:sz w:val="21"/>
                    </w:rPr>
                    <w:t>,300W</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交流电源模块</w:t>
                  </w:r>
                  <w:r>
                    <w:rPr>
                      <w:sz w:val="21"/>
                    </w:rPr>
                    <w:t>,1200W</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4750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交流电源模块</w:t>
                  </w:r>
                  <w:r>
                    <w:rPr>
                      <w:sz w:val="21"/>
                    </w:rPr>
                    <w:t>,2500W</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11250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交流电源模块</w:t>
                  </w:r>
                  <w:r>
                    <w:rPr>
                      <w:sz w:val="21"/>
                    </w:rPr>
                    <w:t>,2500W H3C S10500 系列交换机</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10350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直流电源模块</w:t>
                  </w:r>
                  <w:r>
                    <w:rPr>
                      <w:sz w:val="21"/>
                    </w:rPr>
                    <w:t>,2400W</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E29</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风扇模块</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风扇模块</w:t>
                  </w:r>
                  <w:r>
                    <w:rPr>
                      <w:sz w:val="21"/>
                    </w:rPr>
                    <w:t>(12上)</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3175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风扇模块</w:t>
                  </w:r>
                  <w:r>
                    <w:rPr>
                      <w:sz w:val="21"/>
                    </w:rPr>
                    <w:t>(12下)</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3175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风扇框模块</w:t>
                  </w:r>
                  <w:r>
                    <w:rPr>
                      <w:sz w:val="21"/>
                    </w:rPr>
                    <w:t>(10/08X)</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S5820X-26S风扇模块(端口侧出风)</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S5820X-26S风扇模块(电源侧出风)</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S6300 侧出风风扇模块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S10506/S7606-X 风扇框模块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3250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S10508 以太网交换机风扇模块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3175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端口侧进风</w:t>
                  </w:r>
                  <w:r>
                    <w:rPr>
                      <w:sz w:val="21"/>
                    </w:rPr>
                    <w:t>,电源侧出风风扇</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电源侧进风</w:t>
                  </w:r>
                  <w:r>
                    <w:rPr>
                      <w:sz w:val="21"/>
                    </w:rPr>
                    <w:t>,端口侧出风风扇</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1250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E39</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防尘网</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04 防尘网模块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475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E40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08-V 防尘网模块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375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E41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12 防尘网模块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825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F01</w:t>
                  </w:r>
                </w:p>
              </w:tc>
              <w:tc>
                <w:tcPr>
                  <w:tcW w:type="dxa" w:w="339"/>
                  <w:vMerge w:val="restart"/>
                  <w:tcBorders>
                    <w:top w:val="none" w:color="000000" w:sz="4"/>
                    <w:left w:val="single" w:color="000000" w:sz="4"/>
                    <w:bottom w:val="single" w:color="000000" w:sz="4"/>
                    <w:right w:val="single" w:color="000000" w:sz="4"/>
                  </w:tcBorders>
                  <w:vAlign w:val="top"/>
                </w:tcPr>
                <w:p>
                  <w:pPr>
                    <w:jc w:val="center"/>
                  </w:pPr>
                  <w:r>
                    <w:rPr>
                      <w:sz w:val="21"/>
                    </w:rPr>
                    <w:t>信息安全设备</w:t>
                  </w: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主控单元</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DPtech FW1000-GT 防火墙主控单元</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227035</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SecPath F5000-A5 防火墙主控单元</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240000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F03</w:t>
                  </w:r>
                </w:p>
              </w:tc>
              <w:tc>
                <w:tcPr>
                  <w:tcW w:type="dxa" w:w="339"/>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vAlign w:val="top"/>
                </w:tcPr>
                <w:p>
                  <w:pPr>
                    <w:jc w:val="center"/>
                  </w:pPr>
                  <w:r>
                    <w:rPr>
                      <w:sz w:val="21"/>
                    </w:rPr>
                    <w:t>业务模块</w:t>
                  </w:r>
                </w:p>
              </w:tc>
              <w:tc>
                <w:tcPr>
                  <w:tcW w:type="dxa" w:w="3218"/>
                  <w:tcBorders>
                    <w:top w:val="none" w:color="000000" w:sz="4"/>
                    <w:left w:val="single" w:color="000000" w:sz="4"/>
                    <w:bottom w:val="single" w:color="000000" w:sz="4"/>
                    <w:right w:val="single" w:color="000000" w:sz="4"/>
                  </w:tcBorders>
                  <w:vAlign w:val="top"/>
                </w:tcPr>
                <w:p>
                  <w:pPr>
                    <w:jc w:val="left"/>
                  </w:pPr>
                  <w:r>
                    <w:rPr>
                      <w:sz w:val="21"/>
                    </w:rPr>
                    <w:t>8端口千兆光口防火墙业务板(DB)-(SFP,LC)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112800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SecBladeIV 下一代防火墙模块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141220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SecPath M9000-S SecBlade IV 下一代防火墙模块(SC)</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211200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SecPath ACG1000-Blade-X应用控制模块 (S10500 SecBladeIV),含一年特征库升级授权,捆绑1TB SATA硬盘</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355200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S5000系列 SecBlade IV 下一代防火墙模块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18192</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S6800 SecBlade IV 下一代防火墙模块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69120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F09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S7500E SecBlade IV 下一代防火墙</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109920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S7500E SecBlade IV 流量分析模块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115200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S9500 防火墙业务板</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112800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SecBlade III 流量分析增强模块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86400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SecBlade III 防火墙增强模块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95520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S10500/S75E SecBlade III 防火墙B模块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71520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F15</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SecBlade IV 下一代防火墙</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141120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F16</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SecBlade IV 流量分析模块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124800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F17</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 应用交付引擎业务模块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156000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F18</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S10500/S7500E SecBladeIV-Lite 下一代防火墙</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71520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F19</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S10500/S75E SecBlade IV 入侵防御系统模块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93120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F20</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S10500/S75E SecBlade IV 应用交付引擎模块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172800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F21</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SR6600 千兆防火墙业务板模块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79200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F22</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H3C SR8800 防火墙业务处理板</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88320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F23</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UNIS F5000-M FW IV 防火墙业务模块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828000</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F24</w:t>
                  </w:r>
                </w:p>
              </w:tc>
              <w:tc>
                <w:tcPr>
                  <w:tcW w:type="dxa" w:w="339"/>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3218"/>
                  <w:tcBorders>
                    <w:top w:val="none" w:color="000000" w:sz="4"/>
                    <w:left w:val="single" w:color="000000" w:sz="4"/>
                    <w:bottom w:val="single" w:color="000000" w:sz="4"/>
                    <w:right w:val="single" w:color="000000" w:sz="4"/>
                  </w:tcBorders>
                  <w:vAlign w:val="top"/>
                </w:tcPr>
                <w:p>
                  <w:pPr>
                    <w:jc w:val="left"/>
                  </w:pPr>
                  <w:r>
                    <w:rPr>
                      <w:sz w:val="21"/>
                    </w:rPr>
                    <w:t>适用于</w:t>
                  </w:r>
                  <w:r>
                    <w:rPr>
                      <w:sz w:val="21"/>
                    </w:rPr>
                    <w:t>UNIS F5000-M FW III 防火墙业务模块</w:t>
                  </w:r>
                </w:p>
              </w:tc>
              <w:tc>
                <w:tcPr>
                  <w:tcW w:type="dxa" w:w="1190"/>
                  <w:tcBorders>
                    <w:top w:val="none" w:color="000000" w:sz="4"/>
                    <w:left w:val="single" w:color="000000" w:sz="4"/>
                    <w:bottom w:val="single" w:color="000000" w:sz="4"/>
                    <w:right w:val="single" w:color="000000" w:sz="4"/>
                  </w:tcBorders>
                  <w:vAlign w:val="top"/>
                </w:tcPr>
                <w:p>
                  <w:pPr>
                    <w:jc w:val="center"/>
                  </w:pPr>
                  <w:r>
                    <w:rPr>
                      <w:sz w:val="21"/>
                    </w:rPr>
                    <w:t>245088</w:t>
                  </w:r>
                </w:p>
              </w:tc>
            </w:tr>
          </w:tbl>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广州医科大学附属第五医院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采购包1：综合折扣率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￥37,000.00元（大写：人民币叁万柒仟元整）。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吕永珊、伍梁敏</w:t>
      </w:r>
    </w:p>
    <w:p>
      <w:pPr>
        <w:ind w:firstLine="480"/>
      </w:pPr>
      <w:r>
        <w:rPr/>
        <w:t>电话：</w:t>
      </w:r>
      <w:r>
        <w:rPr/>
        <w:t>020-37814404、020-87687030</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采购包1(零散配件采购)：综合评分法,是指投标文件满足招标文件全部实质性要求，且按照评审因素的量化指标评审得分最高的投标人为中标候选人的评标方法。（最低报价不是中标的唯一依据。）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采购包1（零散配件采购）：</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采购包1（零散配件采购）：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采购包1（零散配件采购）：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综合折扣率是固定唯一的，且0.00%＜综合折扣率≤100.00%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采购包1(零散配件采购):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技术部分40.0分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交货要求 (8.0分)</w:t>
            </w:r>
          </w:p>
        </w:tc>
        <w:tc>
          <w:tcPr>
            <w:tcW w:type="dxa" w:w="5076"/>
          </w:tcPr>
          <w:p>
            <w:pPr>
              <w:jc w:val="left"/>
            </w:pPr>
            <w:r>
              <w:rPr/>
              <w:t>根据各投标人对采购内容中交货要求所标注“▲”内容的响应情况进行评审：对标注“▲”的内容（共2个）完全响应或有“正偏离”，得8分，每有一项负偏离或未响应扣4分。 注：如采购需求中有明确提供的证明资料，则以采购需求中要求的为准，如采购需求中无明确证明材料的，则以投标人提供的资料的响应情况进行评审。</w:t>
            </w:r>
          </w:p>
        </w:tc>
      </w:tr>
      <w:tr>
        <w:tc>
          <w:tcPr>
            <w:tcW w:type="dxa" w:w="922"/>
            <w:gridSpan w:val="2"/>
            <w:vMerge/>
          </w:tcPr>
          <w:p/>
        </w:tc>
        <w:tc>
          <w:tcPr>
            <w:tcW w:type="dxa" w:w="2307"/>
          </w:tcPr>
          <w:p>
            <w:pPr>
              <w:jc w:val="left"/>
            </w:pPr>
            <w:r>
              <w:rPr/>
              <w:t>投标样品评价 (15.0分)</w:t>
            </w:r>
          </w:p>
        </w:tc>
        <w:tc>
          <w:tcPr>
            <w:tcW w:type="dxa" w:w="5076"/>
          </w:tcPr>
          <w:p>
            <w:pPr>
              <w:jc w:val="left"/>
            </w:pPr>
            <w:r>
              <w:rPr/>
              <w:t>评标委员会根据招标文件的要求，规格按样品要求规格，进行评审： 提供的样品，完全符合采购技术要求，每提供一个样品得5分，最高得15分。</w:t>
            </w:r>
          </w:p>
        </w:tc>
      </w:tr>
      <w:tr>
        <w:tc>
          <w:tcPr>
            <w:tcW w:type="dxa" w:w="922"/>
            <w:gridSpan w:val="2"/>
            <w:vMerge/>
          </w:tcPr>
          <w:p/>
        </w:tc>
        <w:tc>
          <w:tcPr>
            <w:tcW w:type="dxa" w:w="2307"/>
          </w:tcPr>
          <w:p>
            <w:pPr>
              <w:jc w:val="left"/>
            </w:pPr>
            <w:r>
              <w:rPr/>
              <w:t>供货服务方案（一） (2.0分)</w:t>
            </w:r>
          </w:p>
        </w:tc>
        <w:tc>
          <w:tcPr>
            <w:tcW w:type="dxa" w:w="5076"/>
          </w:tcPr>
          <w:p>
            <w:pPr>
              <w:jc w:val="left"/>
            </w:pPr>
            <w:r>
              <w:rPr/>
              <w:t>评标委员会根据投标人提供的供货服务方案进行综合评价，方案应包括（投标文件中方案标题应以下列方案名称命名）： （1）响应时间； （2）交货期； （3）到货的保证措施； （4）应急保障方案。 注：提供全部内容得2分，每缺1项扣0.5分。</w:t>
            </w:r>
          </w:p>
        </w:tc>
      </w:tr>
      <w:tr>
        <w:tc>
          <w:tcPr>
            <w:tcW w:type="dxa" w:w="922"/>
            <w:gridSpan w:val="2"/>
            <w:vMerge/>
          </w:tcPr>
          <w:p/>
        </w:tc>
        <w:tc>
          <w:tcPr>
            <w:tcW w:type="dxa" w:w="2307"/>
          </w:tcPr>
          <w:p>
            <w:pPr>
              <w:jc w:val="left"/>
            </w:pPr>
            <w:r>
              <w:rPr/>
              <w:t>供货服务方案（二） (10.0分)</w:t>
            </w:r>
            <w:r>
              <w:rPr/>
              <w:t>，（等次分值选择：</w:t>
            </w:r>
            <w:r>
              <w:rPr/>
              <w:t>0.0;</w:t>
            </w:r>
            <w:r>
              <w:rPr/>
              <w:t>3.0;</w:t>
            </w:r>
            <w:r>
              <w:rPr/>
              <w:t>7.0;</w:t>
            </w:r>
            <w:r>
              <w:rPr/>
              <w:t>10.0;</w:t>
            </w:r>
            <w:r>
              <w:rPr/>
              <w:t>）</w:t>
            </w:r>
          </w:p>
        </w:tc>
        <w:tc>
          <w:tcPr>
            <w:tcW w:type="dxa" w:w="5076"/>
          </w:tcPr>
          <w:p>
            <w:pPr>
              <w:jc w:val="left"/>
            </w:pPr>
            <w:r>
              <w:rPr/>
              <w:t>根据各投标人“供货服务方案”的内容进行评审： （1）响应时间迅速、交货期及时、到货的保证措施的针对性强、可操作性强及应急保障方案详尽，得10分； （2）响应时间一般、交货期满足要求、到货的保证措施的针对性一般、可操作性一般及应急保障方案完整，得7分； （3）响应时间慢、交货期有延迟、到货的保证措施的针对性较差、可操作性较差及应急保障方案简单，得3分； （4）不提供方案不得分。</w:t>
            </w:r>
          </w:p>
        </w:tc>
      </w:tr>
      <w:tr>
        <w:tc>
          <w:tcPr>
            <w:tcW w:type="dxa" w:w="922"/>
            <w:gridSpan w:val="2"/>
            <w:vMerge/>
          </w:tcPr>
          <w:p/>
        </w:tc>
        <w:tc>
          <w:tcPr>
            <w:tcW w:type="dxa" w:w="2307"/>
          </w:tcPr>
          <w:p>
            <w:pPr>
              <w:jc w:val="left"/>
            </w:pPr>
            <w:r>
              <w:rPr/>
              <w:t>售后服务方案（一） (1.0分)</w:t>
            </w:r>
          </w:p>
        </w:tc>
        <w:tc>
          <w:tcPr>
            <w:tcW w:type="dxa" w:w="5076"/>
          </w:tcPr>
          <w:p>
            <w:pPr>
              <w:jc w:val="left"/>
            </w:pPr>
            <w:r>
              <w:rPr/>
              <w:t>评标委员会根据投标人提供的售后服务方案进行综合评价，方案应包括（投标文件中方案标题应以下列方案名称命名）： （1）售后服务承诺（包括质量保证期，售后服务网络的管理水平等）； （2）售后技术服务队伍资质。 注：提供全部内容得1分，每缺1项扣0.5分。</w:t>
            </w:r>
          </w:p>
        </w:tc>
      </w:tr>
      <w:tr>
        <w:tc>
          <w:tcPr>
            <w:tcW w:type="dxa" w:w="922"/>
            <w:gridSpan w:val="2"/>
            <w:vMerge/>
          </w:tcPr>
          <w:p/>
        </w:tc>
        <w:tc>
          <w:tcPr>
            <w:tcW w:type="dxa" w:w="2307"/>
          </w:tcPr>
          <w:p>
            <w:pPr>
              <w:jc w:val="left"/>
            </w:pPr>
            <w:r>
              <w:rPr/>
              <w:t>售后服务方案（二） (4.0分)</w:t>
            </w:r>
            <w:r>
              <w:rPr/>
              <w:t>，（等次分值选择：</w:t>
            </w:r>
            <w:r>
              <w:rPr/>
              <w:t>0.0;</w:t>
            </w:r>
            <w:r>
              <w:rPr/>
              <w:t>1.0;</w:t>
            </w:r>
            <w:r>
              <w:rPr/>
              <w:t>2.0;</w:t>
            </w:r>
            <w:r>
              <w:rPr/>
              <w:t>4.0;</w:t>
            </w:r>
            <w:r>
              <w:rPr/>
              <w:t>）</w:t>
            </w:r>
          </w:p>
        </w:tc>
        <w:tc>
          <w:tcPr>
            <w:tcW w:type="dxa" w:w="5076"/>
          </w:tcPr>
          <w:p>
            <w:pPr>
              <w:jc w:val="left"/>
            </w:pPr>
            <w:r>
              <w:rPr/>
              <w:t>评标委员会根据投标人实施方案的可行性、严谨性进行评审： 1．售后服务保证措施详细具体，专业性强，得4分； 2．售后服务保证措施完整，专业性一般，得2分； 3．售后服务保证措施简单，专业性普通，得1分； 4．不提供方案不得分。</w:t>
            </w:r>
          </w:p>
        </w:tc>
      </w:tr>
      <w:tr>
        <w:tc>
          <w:tcPr>
            <w:tcW w:type="dxa" w:w="922"/>
            <w:gridSpan w:val="2"/>
            <w:vMerge w:val="restart"/>
          </w:tcPr>
          <w:p>
            <w:pPr>
              <w:jc w:val="center"/>
            </w:pPr>
            <w:r>
              <w:rPr/>
              <w:t>商务部分</w:t>
            </w:r>
          </w:p>
        </w:tc>
        <w:tc>
          <w:tcPr>
            <w:tcW w:type="dxa" w:w="2307"/>
          </w:tcPr>
          <w:p>
            <w:pPr>
              <w:jc w:val="left"/>
            </w:pPr>
            <w:r>
              <w:rPr/>
              <w:t>同类项目业绩 (7.5分)</w:t>
            </w:r>
          </w:p>
        </w:tc>
        <w:tc>
          <w:tcPr>
            <w:tcW w:type="dxa" w:w="5076"/>
          </w:tcPr>
          <w:p>
            <w:pPr>
              <w:jc w:val="left"/>
            </w:pPr>
            <w:r>
              <w:rPr/>
              <w:t>2020年1月1日至今投标人具有同类办公配件供应业绩：每提供一个办公配件供应业绩得1.5分，最高得7.5分； 注：提供业绩合同复印件，合同复印件须体现供货内容并有落款日期。未按要求提供证明材料的不得分。</w:t>
            </w:r>
          </w:p>
        </w:tc>
      </w:tr>
      <w:tr>
        <w:tc>
          <w:tcPr>
            <w:tcW w:type="dxa" w:w="922"/>
            <w:gridSpan w:val="2"/>
            <w:vMerge/>
          </w:tcPr>
          <w:p/>
        </w:tc>
        <w:tc>
          <w:tcPr>
            <w:tcW w:type="dxa" w:w="2307"/>
          </w:tcPr>
          <w:p>
            <w:pPr>
              <w:jc w:val="left"/>
            </w:pPr>
            <w:r>
              <w:rPr/>
              <w:t>关键设备耗材厂家支撑能力 (5.0分)</w:t>
            </w:r>
          </w:p>
        </w:tc>
        <w:tc>
          <w:tcPr>
            <w:tcW w:type="dxa" w:w="5076"/>
          </w:tcPr>
          <w:p>
            <w:pPr>
              <w:jc w:val="left"/>
            </w:pPr>
            <w:r>
              <w:rPr/>
              <w:t>1.信息安全设备、交换机配件（共2类）：每取得一类产品合法供货渠道证明得0.5分，最高得1分（为保障采购人的合法权益，需提供厂家针对本项目产品合法供货渠道证明文件，未提供不提分）； 2.信息安全设备、交换机配件（共2类）：取得原厂直接售后服务技术支持的，每取得一类产品原厂售后服务技术支持的，得2分，最高得4分。（为保障采购人的合法权益，需提供产品原厂厂家针对本项目售后服务技术支持的承诺函，未提供不提分）。</w:t>
            </w:r>
          </w:p>
        </w:tc>
      </w:tr>
      <w:tr>
        <w:tc>
          <w:tcPr>
            <w:tcW w:type="dxa" w:w="922"/>
            <w:gridSpan w:val="2"/>
            <w:vMerge/>
          </w:tcPr>
          <w:p/>
        </w:tc>
        <w:tc>
          <w:tcPr>
            <w:tcW w:type="dxa" w:w="2307"/>
          </w:tcPr>
          <w:p>
            <w:pPr>
              <w:jc w:val="left"/>
            </w:pPr>
            <w:r>
              <w:rPr/>
              <w:t>产品质量保证 (12.5分)</w:t>
            </w:r>
          </w:p>
        </w:tc>
        <w:tc>
          <w:tcPr>
            <w:tcW w:type="dxa" w:w="5076"/>
          </w:tcPr>
          <w:p>
            <w:pPr>
              <w:jc w:val="left"/>
            </w:pPr>
            <w:r>
              <w:rPr/>
              <w:t>1.所投硒鼓、墨盒有取得中国环境标志（十环）认证的，取得一个认证证书的得2.5分；（需提供有效认证证书复印件，不提供不得分） 2.所投硒鼓(或者粉盒)每取得一份质检合格报告的得1.25分；最高得10分。（需提供质检合格报告复印件，不提供不得分）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满足招标文件要求且投标价格（综合折扣率）最低的投标报价为评标基准价。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合同具体事项须根据采购文件的约定及乙方投标文件的承诺执行。</w:t>
      </w:r>
    </w:p>
    <w:p>
      <w:pPr>
        <w:ind w:firstLine="211"/>
        <w:jc w:val="left"/>
      </w:pPr>
    </w:p>
    <w:p>
      <w:pPr>
        <w:jc w:val="center"/>
      </w:pPr>
      <w:r>
        <w:rPr>
          <w:b/>
          <w:sz w:val="48"/>
        </w:rPr>
        <w:t>广州医科大学附属第五医院</w:t>
      </w:r>
    </w:p>
    <w:p>
      <w:pPr>
        <w:jc w:val="center"/>
      </w:pPr>
      <w:r>
        <w:rPr>
          <w:b/>
          <w:sz w:val="48"/>
        </w:rPr>
        <w:t>采购合同</w:t>
      </w:r>
    </w:p>
    <w:p>
      <w:pPr>
        <w:jc w:val="both"/>
      </w:pPr>
    </w:p>
    <w:p>
      <w:pPr>
        <w:jc w:val="both"/>
      </w:pPr>
    </w:p>
    <w:p>
      <w:pPr>
        <w:jc w:val="both"/>
      </w:pPr>
      <w:r>
        <w:rPr>
          <w:sz w:val="28"/>
        </w:rPr>
        <w:t>合同名称：</w:t>
      </w:r>
    </w:p>
    <w:p>
      <w:pPr>
        <w:jc w:val="both"/>
      </w:pPr>
      <w:r>
        <w:rPr>
          <w:sz w:val="28"/>
        </w:rPr>
        <w:t>合同编号：</w:t>
      </w:r>
    </w:p>
    <w:p>
      <w:pPr>
        <w:jc w:val="both"/>
      </w:pPr>
      <w:r>
        <w:rPr>
          <w:sz w:val="28"/>
        </w:rPr>
        <w:t>甲方：广州医科大学附属第五医院：</w:t>
      </w:r>
    </w:p>
    <w:p>
      <w:pPr>
        <w:jc w:val="both"/>
      </w:pPr>
      <w:r>
        <w:rPr>
          <w:sz w:val="28"/>
        </w:rPr>
        <w:t>乙方：</w:t>
      </w:r>
    </w:p>
    <w:p>
      <w:pPr>
        <w:jc w:val="both"/>
      </w:pPr>
    </w:p>
    <w:p>
      <w:pPr>
        <w:ind w:firstLine="560"/>
        <w:jc w:val="center"/>
      </w:pPr>
      <w:r>
        <w:rPr>
          <w:sz w:val="28"/>
        </w:rPr>
        <w:t>2023年  月</w:t>
      </w:r>
    </w:p>
    <w:p>
      <w:pPr>
        <w:jc w:val="both"/>
      </w:pPr>
    </w:p>
    <w:p>
      <w:pPr>
        <w:jc w:val="both"/>
      </w:pPr>
    </w:p>
    <w:p>
      <w:pPr>
        <w:jc w:val="center"/>
      </w:pPr>
      <w:r>
        <w:rPr>
          <w:b/>
          <w:sz w:val="21"/>
        </w:rPr>
        <w:t>一、总则</w:t>
      </w:r>
    </w:p>
    <w:p>
      <w:pPr>
        <w:ind w:firstLine="420"/>
        <w:jc w:val="both"/>
      </w:pPr>
      <w:r>
        <w:rPr>
          <w:sz w:val="21"/>
        </w:rPr>
        <w:t>（一）合同当事人</w:t>
      </w:r>
    </w:p>
    <w:p>
      <w:pPr>
        <w:ind w:firstLine="420"/>
        <w:jc w:val="both"/>
      </w:pPr>
      <w:r>
        <w:rPr>
          <w:sz w:val="21"/>
        </w:rPr>
        <w:t>甲方：广州医科大学附属第五医院</w:t>
      </w:r>
    </w:p>
    <w:p>
      <w:pPr>
        <w:ind w:firstLine="420"/>
        <w:jc w:val="both"/>
      </w:pPr>
      <w:r>
        <w:rPr>
          <w:sz w:val="21"/>
        </w:rPr>
        <w:t>乙方：</w:t>
      </w:r>
    </w:p>
    <w:p>
      <w:pPr>
        <w:ind w:firstLine="420"/>
        <w:jc w:val="both"/>
      </w:pPr>
      <w:r>
        <w:rPr>
          <w:sz w:val="21"/>
        </w:rPr>
        <w:t>根据《中华人民共和国民法典》、《中华人民共和国政府采购法》的规定，甲乙双方就广州医科大学附属第五医院零散配件采购供应商资格项目（项目编号：</w:t>
      </w:r>
      <w:r>
        <w:rPr>
          <w:sz w:val="21"/>
        </w:rPr>
        <w:t xml:space="preserve">     </w:t>
      </w:r>
      <w:r>
        <w:rPr>
          <w:sz w:val="21"/>
        </w:rPr>
        <w:t>），经协商一致，签订本合同。双方共同遵守如下条款（技术说明及其他有关合同项目的特定信息由合同附件予以说明，合同附件及本项目的采购文件、投标文件、中标通知书、在实施过程中双方共同签署确认的补充文件（包括《项目需求说明书》、补充合同、会议纪要、往来信函等均为本合同不可分割之一部分）。其生效日期为双方签字盖章或确认之日期。</w:t>
      </w:r>
    </w:p>
    <w:p>
      <w:pPr>
        <w:ind w:firstLine="420"/>
        <w:jc w:val="both"/>
      </w:pPr>
      <w:r>
        <w:rPr>
          <w:sz w:val="21"/>
        </w:rPr>
        <w:t>以上文件与合同附件具有同等法律效力，若以上文件与本合同有差异的，甲方有权从中作出选择。</w:t>
      </w:r>
    </w:p>
    <w:p>
      <w:pPr>
        <w:ind w:firstLine="420"/>
        <w:jc w:val="both"/>
      </w:pPr>
      <w:r>
        <w:rPr>
          <w:sz w:val="21"/>
        </w:rPr>
        <w:t>（二）乙方提供货物的受益人为甲方，甲乙双方均应对履行本合同承担相应的责任。</w:t>
      </w:r>
    </w:p>
    <w:p>
      <w:pPr>
        <w:jc w:val="center"/>
      </w:pPr>
      <w:r>
        <w:rPr>
          <w:b/>
          <w:sz w:val="21"/>
        </w:rPr>
        <w:t>二、采购内容及要求</w:t>
      </w:r>
    </w:p>
    <w:p>
      <w:pPr>
        <w:jc w:val="both"/>
      </w:pPr>
      <w:r>
        <w:rPr>
          <w:sz w:val="21"/>
        </w:rPr>
        <w:t>（一）采购内容</w:t>
      </w:r>
    </w:p>
    <w:tbl>
      <w:tblPr>
        <w:tblW w:w="0" w:type="auto"/>
        <w:tblBorders>
          <w:top w:val="none" w:color="000000" w:sz="4"/>
          <w:left w:val="none" w:color="000000" w:sz="4"/>
          <w:bottom w:val="none" w:color="000000" w:sz="4"/>
          <w:right w:val="none" w:color="000000" w:sz="4"/>
          <w:insideH w:val="none"/>
          <w:insideV w:val="none"/>
        </w:tblBorders>
      </w:tblPr>
      <w:tblGrid>
        <w:gridCol w:w="5687"/>
        <w:gridCol w:w="2619"/>
      </w:tblGrid>
      <w:tr>
        <w:tc>
          <w:tcPr>
            <w:tcW w:type="dxa" w:w="5687"/>
            <w:tcBorders>
              <w:top w:val="single" w:color="000000" w:sz="8"/>
              <w:left w:val="single" w:color="000000" w:sz="8"/>
              <w:bottom w:val="single" w:color="000000" w:sz="4"/>
              <w:right w:val="single" w:color="000000" w:sz="4"/>
            </w:tcBorders>
            <w:vAlign w:val="top"/>
          </w:tcPr>
          <w:p>
            <w:pPr>
              <w:jc w:val="center"/>
            </w:pPr>
            <w:r>
              <w:rPr>
                <w:b/>
                <w:sz w:val="21"/>
              </w:rPr>
              <w:t>项目内容</w:t>
            </w:r>
          </w:p>
        </w:tc>
        <w:tc>
          <w:tcPr>
            <w:tcW w:type="dxa" w:w="2619"/>
            <w:tcBorders>
              <w:top w:val="single" w:color="000000" w:sz="8"/>
              <w:left w:val="single" w:color="000000" w:sz="4"/>
              <w:bottom w:val="single" w:color="000000" w:sz="4"/>
              <w:right w:val="single" w:color="000000" w:sz="8"/>
            </w:tcBorders>
            <w:vAlign w:val="top"/>
          </w:tcPr>
          <w:p>
            <w:pPr>
              <w:jc w:val="center"/>
            </w:pPr>
            <w:r>
              <w:rPr>
                <w:b/>
                <w:sz w:val="21"/>
              </w:rPr>
              <w:t>数量</w:t>
            </w:r>
          </w:p>
        </w:tc>
      </w:tr>
      <w:tr>
        <w:tc>
          <w:tcPr>
            <w:tcW w:type="dxa" w:w="5687"/>
            <w:tcBorders>
              <w:top w:val="single" w:color="000000" w:sz="4"/>
              <w:left w:val="single" w:color="000000" w:sz="8"/>
              <w:bottom w:val="single" w:color="000000" w:sz="8"/>
              <w:right w:val="single" w:color="000000" w:sz="4"/>
            </w:tcBorders>
            <w:vAlign w:val="top"/>
          </w:tcPr>
          <w:p>
            <w:pPr>
              <w:jc w:val="center"/>
            </w:pPr>
            <w:r>
              <w:rPr>
                <w:sz w:val="21"/>
              </w:rPr>
              <w:t>零散配件采购</w:t>
            </w:r>
          </w:p>
        </w:tc>
        <w:tc>
          <w:tcPr>
            <w:tcW w:type="dxa" w:w="2619"/>
            <w:tcBorders>
              <w:top w:val="single" w:color="000000" w:sz="4"/>
              <w:left w:val="single" w:color="000000" w:sz="4"/>
              <w:bottom w:val="single" w:color="000000" w:sz="8"/>
              <w:right w:val="single" w:color="000000" w:sz="8"/>
            </w:tcBorders>
            <w:vAlign w:val="top"/>
          </w:tcPr>
          <w:p>
            <w:pPr>
              <w:jc w:val="center"/>
            </w:pPr>
            <w:r>
              <w:rPr>
                <w:sz w:val="21"/>
              </w:rPr>
              <w:t>一批</w:t>
            </w:r>
          </w:p>
        </w:tc>
      </w:tr>
    </w:tbl>
    <w:p>
      <w:pPr>
        <w:ind w:firstLine="420"/>
        <w:jc w:val="both"/>
      </w:pPr>
      <w:r>
        <w:rPr>
          <w:sz w:val="21"/>
        </w:rPr>
        <w:t>供货内容包含但不限于招标文件中所列需求清单。</w:t>
      </w:r>
    </w:p>
    <w:p>
      <w:pPr>
        <w:ind w:firstLine="420"/>
        <w:jc w:val="both"/>
      </w:pPr>
      <w:r>
        <w:rPr>
          <w:sz w:val="21"/>
        </w:rPr>
        <w:t>采购内容中没有提及招标货物来源地的，参照《政府采购法》的相关规定均应是本国货物，优先采购自主创新、节能、环保产品。乙方提供的货物必须是合法生产的符合国家有关标准要求的货物，并满足采购文件规定的规格、参数、质量、价格、有效期、售后服务等要求。</w:t>
      </w:r>
    </w:p>
    <w:p>
      <w:pPr>
        <w:jc w:val="both"/>
      </w:pPr>
      <w:r>
        <w:rPr>
          <w:sz w:val="21"/>
        </w:rPr>
        <w:t>（二）硬件要求</w:t>
      </w:r>
    </w:p>
    <w:p>
      <w:pPr>
        <w:ind w:firstLine="420"/>
        <w:jc w:val="both"/>
      </w:pPr>
      <w:r>
        <w:rPr>
          <w:sz w:val="21"/>
        </w:rPr>
        <w:t>1.乙方须提供全新的、未使用过的货物，是目前的型号，其质量、规格、功能及技术特征符合采购文件要求的规格型号和技术指标，符合国家相关标准。乙方提供的设备享有原厂保修期。</w:t>
      </w:r>
    </w:p>
    <w:p>
      <w:pPr>
        <w:ind w:firstLine="420"/>
        <w:jc w:val="both"/>
      </w:pPr>
      <w:r>
        <w:rPr>
          <w:sz w:val="21"/>
        </w:rPr>
        <w:t>2.乙方提供的货物必须提供供货证明相关文件（即原厂商盖章的原厂供货证明及原厂售后服务承诺函，以及技术性能指标响应资料）复印件（含设备清单）。</w:t>
      </w:r>
    </w:p>
    <w:p>
      <w:pPr>
        <w:ind w:firstLine="420"/>
        <w:jc w:val="both"/>
      </w:pPr>
      <w:r>
        <w:rPr>
          <w:sz w:val="21"/>
        </w:rPr>
        <w:t>3.乙方提供的货物，由乙方负责三包（包修、包换、包退），费用由乙方负责。</w:t>
      </w:r>
    </w:p>
    <w:p>
      <w:pPr>
        <w:ind w:firstLine="420"/>
        <w:jc w:val="both"/>
      </w:pPr>
      <w:r>
        <w:rPr>
          <w:sz w:val="21"/>
        </w:rPr>
        <w:t>4.货到现场后由于甲方保管不当造成的质量问题，乙方亦应负责修理，但费用由甲方负担。</w:t>
      </w:r>
    </w:p>
    <w:p>
      <w:pPr>
        <w:jc w:val="both"/>
      </w:pPr>
      <w:r>
        <w:rPr>
          <w:sz w:val="21"/>
        </w:rPr>
        <w:t>（三）组织管理</w:t>
      </w:r>
    </w:p>
    <w:p>
      <w:pPr>
        <w:ind w:firstLine="420"/>
        <w:jc w:val="both"/>
      </w:pPr>
      <w:r>
        <w:rPr>
          <w:sz w:val="21"/>
        </w:rPr>
        <w:t>1.乙方必须针对本项目专门建立一个完善和稳定的管理组织机构。稳定的项目负责人，其中必须包括一名专职负责的项目经理；不少于2 名专业技术人员技术配件、耗材的安装、调试服务，未经甲方同意，乙方不得随意更换。</w:t>
      </w:r>
    </w:p>
    <w:p>
      <w:pPr>
        <w:ind w:firstLine="420"/>
        <w:jc w:val="both"/>
      </w:pPr>
      <w:r>
        <w:rPr>
          <w:sz w:val="21"/>
        </w:rPr>
        <w:t>2.项目实施期间，项目经理、技术负责人必须长驻广州。在合同有效期间，乙方项目经理和关键人员未经甲方同意不得调整，乙方如中途更换项目经理，必须征得甲方同意。乙方必须无条件接受甲方的监督检查，并承担人员不足、不到位所导致的相关质量、进度等违约责任。</w:t>
      </w:r>
    </w:p>
    <w:p>
      <w:pPr>
        <w:ind w:firstLine="420"/>
        <w:jc w:val="both"/>
      </w:pPr>
      <w:r>
        <w:rPr>
          <w:sz w:val="21"/>
        </w:rPr>
        <w:t>3.对乙方在合同有效期内出现资源、进度、质量协调控制不力的情况，甲方有权要求更换相关项目人员，乙方必须予以配合，并确保不影响项目建设的进度和质量。</w:t>
      </w:r>
    </w:p>
    <w:p>
      <w:pPr>
        <w:ind w:firstLine="420"/>
        <w:jc w:val="both"/>
      </w:pPr>
      <w:r>
        <w:rPr>
          <w:sz w:val="21"/>
        </w:rPr>
        <w:t>4.乙方必须提出项目组织方案、人员名单及沟通方案，经甲方同意后实施。</w:t>
      </w:r>
    </w:p>
    <w:p>
      <w:pPr>
        <w:ind w:firstLine="420"/>
        <w:jc w:val="both"/>
      </w:pPr>
      <w:r>
        <w:rPr>
          <w:sz w:val="21"/>
        </w:rPr>
        <w:t>5.为确保乙方响应及时，乙方必须驻点服务，且驻点人员有3 年以上相关经验，提供资料供审核。</w:t>
      </w:r>
    </w:p>
    <w:p>
      <w:pPr>
        <w:jc w:val="both"/>
      </w:pPr>
      <w:r>
        <w:rPr>
          <w:sz w:val="21"/>
        </w:rPr>
        <w:t>（四）服务要求</w:t>
      </w:r>
    </w:p>
    <w:p>
      <w:pPr>
        <w:ind w:firstLine="420"/>
        <w:jc w:val="both"/>
      </w:pPr>
      <w:r>
        <w:rPr>
          <w:sz w:val="21"/>
        </w:rPr>
        <w:t>1.</w:t>
      </w:r>
      <w:r>
        <w:rPr>
          <w:sz w:val="21"/>
        </w:rPr>
        <w:t xml:space="preserve"> </w:t>
      </w:r>
      <w:r>
        <w:rPr>
          <w:sz w:val="21"/>
        </w:rPr>
        <w:t>打印设备配件、线材及其他类产品，</w:t>
      </w:r>
      <w:r>
        <w:rPr>
          <w:sz w:val="21"/>
        </w:rPr>
        <w:t>乙方在甲方发出订货指定的</w:t>
      </w:r>
      <w:r>
        <w:rPr>
          <w:sz w:val="21"/>
        </w:rPr>
        <w:t>5 分钟内响应</w:t>
      </w:r>
      <w:r>
        <w:rPr>
          <w:sz w:val="21"/>
        </w:rPr>
        <w:t>并反馈备货情况。</w:t>
      </w:r>
      <w:r>
        <w:rPr>
          <w:sz w:val="21"/>
        </w:rPr>
        <w:t>非紧急情况下，乙方在接到指令后的</w:t>
      </w:r>
      <w:r>
        <w:rPr>
          <w:sz w:val="21"/>
        </w:rPr>
        <w:t>60 分钟内送达。紧急情况下，30 分钟内送达。如有困难不能按要求时间送达，乙方应第一时间向甲方说明，如由甲方通过其他途径采购，由此产生的费用计入本项目，结算时扣除该部分费用。</w:t>
      </w:r>
    </w:p>
    <w:p>
      <w:pPr>
        <w:ind w:firstLine="420"/>
        <w:jc w:val="both"/>
      </w:pPr>
      <w:r>
        <w:rPr>
          <w:sz w:val="21"/>
        </w:rPr>
        <w:t>2.计算机设备配件</w:t>
      </w:r>
      <w:r>
        <w:rPr>
          <w:sz w:val="21"/>
        </w:rPr>
        <w:t>、</w:t>
      </w:r>
      <w:r>
        <w:rPr>
          <w:sz w:val="21"/>
        </w:rPr>
        <w:t>服务器存储设备配件</w:t>
      </w:r>
      <w:r>
        <w:rPr>
          <w:sz w:val="21"/>
        </w:rPr>
        <w:t>、</w:t>
      </w:r>
      <w:r>
        <w:rPr>
          <w:sz w:val="21"/>
        </w:rPr>
        <w:t>交换机配件</w:t>
      </w:r>
      <w:r>
        <w:rPr>
          <w:sz w:val="21"/>
        </w:rPr>
        <w:t>及</w:t>
      </w:r>
      <w:r>
        <w:rPr>
          <w:sz w:val="21"/>
        </w:rPr>
        <w:t>信息安全设备</w:t>
      </w:r>
      <w:r>
        <w:rPr>
          <w:sz w:val="21"/>
        </w:rPr>
        <w:t>，</w:t>
      </w:r>
      <w:r>
        <w:rPr>
          <w:sz w:val="21"/>
        </w:rPr>
        <w:t>甲方向乙方发出供货通知后，乙方应在</w:t>
      </w:r>
      <w:r>
        <w:rPr>
          <w:sz w:val="21"/>
        </w:rPr>
        <w:t>2天内</w:t>
      </w:r>
      <w:r>
        <w:rPr>
          <w:sz w:val="21"/>
        </w:rPr>
        <w:t>完成设备的供货、安装、调试，并交付给甲方正常使用。</w:t>
      </w:r>
    </w:p>
    <w:p>
      <w:pPr>
        <w:ind w:firstLine="420"/>
        <w:jc w:val="both"/>
      </w:pPr>
      <w:r>
        <w:rPr>
          <w:sz w:val="21"/>
        </w:rPr>
        <w:t>3.乙方按时将订购货物品种、数量送达甲方指定的使用科室或指定地点。随货送上一式多联的送货清单，供双方验货后签字确认，作为送、收货及结算的凭证。在验货签收之前，货物的所有权和风险属于乙方，货物发生遗失、损坏、丢失由乙方负责。</w:t>
      </w:r>
    </w:p>
    <w:p>
      <w:pPr>
        <w:ind w:firstLine="420"/>
        <w:jc w:val="both"/>
      </w:pPr>
      <w:r>
        <w:rPr>
          <w:sz w:val="21"/>
        </w:rPr>
        <w:t>4.如因市场缺货或厂家原型号停产的货品，乙方必须提前15 个工作日书面通知甲方，并提出解决问题的具体方案。</w:t>
      </w:r>
    </w:p>
    <w:p>
      <w:pPr>
        <w:ind w:firstLine="420"/>
        <w:jc w:val="both"/>
      </w:pPr>
      <w:r>
        <w:rPr>
          <w:sz w:val="21"/>
        </w:rPr>
        <w:t>5.乙方不得擅自变更供应产品（含品牌、型号规格），须严格按照合同要求供应，不得随意增减数量，否则，甲方有权拒收。</w:t>
      </w:r>
    </w:p>
    <w:p>
      <w:pPr>
        <w:ind w:firstLine="420"/>
        <w:jc w:val="both"/>
      </w:pPr>
      <w:r>
        <w:rPr>
          <w:sz w:val="21"/>
        </w:rPr>
        <w:t>6.备件要求：乙方须有一定数量的备件；</w:t>
      </w:r>
      <w:r>
        <w:rPr>
          <w:sz w:val="21"/>
        </w:rPr>
        <w:t>具体品目为打印设备配件、线材及其他类产品供货量前</w:t>
      </w:r>
      <w:r>
        <w:rPr>
          <w:sz w:val="21"/>
        </w:rPr>
        <w:t>3的型号，各型号产品常备数量不低于5个。</w:t>
      </w:r>
    </w:p>
    <w:p>
      <w:pPr>
        <w:ind w:firstLine="420"/>
        <w:jc w:val="both"/>
      </w:pPr>
      <w:r>
        <w:rPr>
          <w:sz w:val="21"/>
        </w:rPr>
        <w:t>7.乙方在甲方所在区须设有配件、耗材备件库及技术服务点，确保能及时按甲方要求提供配件及耗材，并完成安装、调试服务</w:t>
      </w:r>
    </w:p>
    <w:p>
      <w:pPr>
        <w:ind w:firstLine="420"/>
        <w:jc w:val="both"/>
      </w:pPr>
      <w:r>
        <w:rPr>
          <w:sz w:val="21"/>
        </w:rPr>
        <w:t>8.乙方提供的配件、耗材须为全新原厂设备。</w:t>
      </w:r>
    </w:p>
    <w:p>
      <w:pPr>
        <w:ind w:firstLine="420"/>
        <w:jc w:val="both"/>
      </w:pPr>
      <w:r>
        <w:rPr>
          <w:sz w:val="21"/>
        </w:rPr>
        <w:t>9.</w:t>
      </w:r>
      <w:r>
        <w:rPr>
          <w:sz w:val="21"/>
        </w:rPr>
        <w:t>因实际使用中需要更具设备调整配件规格，调整或新增品目价格按照市场价格</w:t>
      </w:r>
      <w:r>
        <w:rPr>
          <w:sz w:val="21"/>
        </w:rPr>
        <w:t>*中标折扣率计算</w:t>
      </w:r>
      <w:r>
        <w:rPr>
          <w:sz w:val="21"/>
        </w:rPr>
        <w:t>。</w:t>
      </w:r>
    </w:p>
    <w:p>
      <w:pPr>
        <w:ind w:firstLine="420"/>
        <w:jc w:val="both"/>
      </w:pPr>
      <w:r>
        <w:rPr>
          <w:sz w:val="21"/>
        </w:rPr>
        <w:t>10.乙方须提供配件、耗材的安装、调试、使用培训服务，其中所产生的费用均由乙方承担；</w:t>
      </w:r>
    </w:p>
    <w:p>
      <w:pPr>
        <w:jc w:val="both"/>
      </w:pPr>
      <w:r>
        <w:rPr>
          <w:sz w:val="21"/>
        </w:rPr>
        <w:t>（五）价格要求：</w:t>
      </w:r>
    </w:p>
    <w:p>
      <w:pPr>
        <w:ind w:firstLine="420"/>
        <w:jc w:val="both"/>
      </w:pPr>
      <w:r>
        <w:rPr>
          <w:sz w:val="21"/>
        </w:rPr>
        <w:t>1.乙方供货产品必须在产品类别中，并且严格按照不高于对应类别的折扣供货。</w:t>
      </w:r>
    </w:p>
    <w:p>
      <w:pPr>
        <w:ind w:firstLine="420"/>
        <w:jc w:val="both"/>
      </w:pPr>
      <w:r>
        <w:rPr>
          <w:sz w:val="21"/>
        </w:rPr>
        <w:t>2.乙方的报价应为含税报价，包括：货物、运输、售后服务及项目实施过程中应预见和不可预见费用等，折扣在合同执行期间不得改变。</w:t>
      </w:r>
    </w:p>
    <w:p>
      <w:pPr>
        <w:ind w:firstLine="420"/>
        <w:jc w:val="both"/>
      </w:pPr>
      <w:r>
        <w:rPr>
          <w:sz w:val="21"/>
        </w:rPr>
        <w:t>3.产品折扣：</w:t>
      </w:r>
    </w:p>
    <w:tbl>
      <w:tblPr>
        <w:tblW w:w="0" w:type="auto"/>
        <w:tblBorders>
          <w:top w:val="none" w:color="000000" w:sz="4"/>
          <w:left w:val="none" w:color="000000" w:sz="4"/>
          <w:bottom w:val="none" w:color="000000" w:sz="4"/>
          <w:right w:val="none" w:color="000000" w:sz="4"/>
          <w:insideH w:val="none"/>
          <w:insideV w:val="none"/>
        </w:tblBorders>
      </w:tblPr>
      <w:tblGrid>
        <w:gridCol w:w="773"/>
        <w:gridCol w:w="2177"/>
        <w:gridCol w:w="1839"/>
        <w:gridCol w:w="1015"/>
        <w:gridCol w:w="2502"/>
      </w:tblGrid>
      <w:tr>
        <w:tc>
          <w:tcPr>
            <w:tcW w:type="dxa" w:w="773"/>
            <w:tcBorders>
              <w:top w:val="single" w:color="000000" w:sz="8"/>
              <w:left w:val="single" w:color="000000" w:sz="8"/>
              <w:bottom w:val="single" w:color="000000" w:sz="4"/>
              <w:right w:val="single" w:color="000000" w:sz="4"/>
            </w:tcBorders>
            <w:vAlign w:val="top"/>
          </w:tcPr>
          <w:p>
            <w:pPr>
              <w:jc w:val="center"/>
            </w:pPr>
            <w:r>
              <w:rPr>
                <w:b/>
                <w:sz w:val="21"/>
              </w:rPr>
              <w:t>序号</w:t>
            </w:r>
          </w:p>
        </w:tc>
        <w:tc>
          <w:tcPr>
            <w:tcW w:type="dxa" w:w="2177"/>
            <w:tcBorders>
              <w:top w:val="single" w:color="000000" w:sz="8"/>
              <w:left w:val="single" w:color="000000" w:sz="4"/>
              <w:bottom w:val="single" w:color="000000" w:sz="4"/>
              <w:right w:val="single" w:color="000000" w:sz="4"/>
            </w:tcBorders>
            <w:vAlign w:val="top"/>
          </w:tcPr>
          <w:p>
            <w:pPr>
              <w:jc w:val="center"/>
            </w:pPr>
            <w:r>
              <w:rPr>
                <w:b/>
                <w:sz w:val="21"/>
              </w:rPr>
              <w:t>类别</w:t>
            </w:r>
          </w:p>
        </w:tc>
        <w:tc>
          <w:tcPr>
            <w:tcW w:type="dxa" w:w="1839"/>
            <w:tcBorders>
              <w:top w:val="single" w:color="000000" w:sz="8"/>
              <w:left w:val="single" w:color="000000" w:sz="4"/>
              <w:bottom w:val="single" w:color="000000" w:sz="4"/>
              <w:right w:val="single" w:color="000000" w:sz="4"/>
            </w:tcBorders>
            <w:vAlign w:val="top"/>
          </w:tcPr>
          <w:p>
            <w:pPr>
              <w:jc w:val="center"/>
            </w:pPr>
            <w:r>
              <w:rPr>
                <w:b/>
                <w:sz w:val="21"/>
              </w:rPr>
              <w:t>供货期</w:t>
            </w:r>
          </w:p>
        </w:tc>
        <w:tc>
          <w:tcPr>
            <w:tcW w:type="dxa" w:w="1015"/>
            <w:tcBorders>
              <w:top w:val="single" w:color="000000" w:sz="8"/>
              <w:left w:val="single" w:color="000000" w:sz="4"/>
              <w:bottom w:val="single" w:color="000000" w:sz="4"/>
              <w:right w:val="single" w:color="000000" w:sz="4"/>
            </w:tcBorders>
            <w:vAlign w:val="top"/>
          </w:tcPr>
          <w:p>
            <w:pPr>
              <w:jc w:val="center"/>
            </w:pPr>
            <w:r>
              <w:rPr>
                <w:b/>
                <w:sz w:val="21"/>
              </w:rPr>
              <w:t>数量</w:t>
            </w:r>
          </w:p>
        </w:tc>
        <w:tc>
          <w:tcPr>
            <w:tcW w:type="dxa" w:w="2502"/>
            <w:tcBorders>
              <w:top w:val="single" w:color="000000" w:sz="8"/>
              <w:left w:val="single" w:color="000000" w:sz="4"/>
              <w:bottom w:val="single" w:color="000000" w:sz="4"/>
              <w:right w:val="single" w:color="000000" w:sz="8"/>
            </w:tcBorders>
            <w:vAlign w:val="top"/>
          </w:tcPr>
          <w:p>
            <w:pPr>
              <w:jc w:val="center"/>
            </w:pPr>
            <w:r>
              <w:rPr>
                <w:b/>
                <w:sz w:val="21"/>
              </w:rPr>
              <w:t>中标折扣率</w:t>
            </w:r>
          </w:p>
        </w:tc>
      </w:tr>
      <w:tr>
        <w:tc>
          <w:tcPr>
            <w:tcW w:type="dxa" w:w="773"/>
            <w:tcBorders>
              <w:top w:val="single" w:color="000000" w:sz="4"/>
              <w:left w:val="single" w:color="000000" w:sz="8"/>
              <w:bottom w:val="single" w:color="000000" w:sz="4"/>
              <w:right w:val="single" w:color="000000" w:sz="4"/>
            </w:tcBorders>
            <w:vAlign w:val="top"/>
          </w:tcPr>
          <w:p>
            <w:pPr>
              <w:jc w:val="center"/>
            </w:pPr>
            <w:r>
              <w:rPr>
                <w:sz w:val="21"/>
              </w:rPr>
              <w:t>1</w:t>
            </w:r>
          </w:p>
        </w:tc>
        <w:tc>
          <w:tcPr>
            <w:tcW w:type="dxa" w:w="2177"/>
            <w:tcBorders>
              <w:top w:val="single" w:color="000000" w:sz="4"/>
              <w:left w:val="single" w:color="000000" w:sz="4"/>
              <w:bottom w:val="single" w:color="000000" w:sz="4"/>
              <w:right w:val="single" w:color="000000" w:sz="4"/>
            </w:tcBorders>
            <w:vAlign w:val="top"/>
          </w:tcPr>
          <w:p>
            <w:pPr>
              <w:jc w:val="center"/>
            </w:pPr>
            <w:r>
              <w:rPr>
                <w:sz w:val="21"/>
              </w:rPr>
              <w:t>A-打印设备配件</w:t>
            </w:r>
          </w:p>
        </w:tc>
        <w:tc>
          <w:tcPr>
            <w:tcW w:type="dxa" w:w="1839"/>
            <w:vMerge w:val="restart"/>
            <w:tcBorders>
              <w:top w:val="single" w:color="000000" w:sz="4"/>
              <w:left w:val="single" w:color="000000" w:sz="4"/>
              <w:bottom w:val="single" w:color="000000" w:sz="4"/>
              <w:right w:val="single" w:color="000000" w:sz="4"/>
            </w:tcBorders>
            <w:vAlign w:val="top"/>
          </w:tcPr>
          <w:p>
            <w:pPr>
              <w:jc w:val="center"/>
            </w:pPr>
            <w:r>
              <w:rPr>
                <w:sz w:val="21"/>
              </w:rPr>
              <w:t>按甲方要求分批次送货。结算金额累计达到采购预算金额时合同结束。</w:t>
            </w:r>
          </w:p>
        </w:tc>
        <w:tc>
          <w:tcPr>
            <w:tcW w:type="dxa" w:w="1015"/>
            <w:tcBorders>
              <w:top w:val="single" w:color="000000" w:sz="4"/>
              <w:left w:val="single" w:color="000000" w:sz="4"/>
              <w:bottom w:val="single" w:color="000000" w:sz="4"/>
              <w:right w:val="single" w:color="000000" w:sz="4"/>
            </w:tcBorders>
            <w:vAlign w:val="top"/>
          </w:tcPr>
          <w:p>
            <w:pPr>
              <w:jc w:val="center"/>
            </w:pPr>
            <w:r>
              <w:rPr>
                <w:sz w:val="21"/>
              </w:rPr>
              <w:t>一批</w:t>
            </w:r>
          </w:p>
        </w:tc>
        <w:tc>
          <w:tcPr>
            <w:tcW w:type="dxa" w:w="2502"/>
            <w:tcBorders>
              <w:top w:val="single" w:color="000000" w:sz="4"/>
              <w:left w:val="single" w:color="000000" w:sz="4"/>
              <w:bottom w:val="single" w:color="000000" w:sz="4"/>
              <w:right w:val="single" w:color="000000" w:sz="8"/>
            </w:tcBorders>
            <w:vAlign w:val="top"/>
          </w:tcPr>
          <w:p>
            <w:pPr>
              <w:jc w:val="center"/>
            </w:pPr>
            <w:r>
              <w:rPr>
                <w:sz w:val="21"/>
                <w:u w:val="single"/>
              </w:rPr>
              <w:t xml:space="preserve">      </w:t>
            </w:r>
            <w:r>
              <w:rPr>
                <w:sz w:val="21"/>
              </w:rPr>
              <w:t>%</w:t>
            </w:r>
          </w:p>
        </w:tc>
      </w:tr>
      <w:tr>
        <w:tc>
          <w:tcPr>
            <w:tcW w:type="dxa" w:w="773"/>
            <w:tcBorders>
              <w:top w:val="single" w:color="000000" w:sz="4"/>
              <w:left w:val="single" w:color="000000" w:sz="8"/>
              <w:bottom w:val="single" w:color="000000" w:sz="4"/>
              <w:right w:val="single" w:color="000000" w:sz="4"/>
            </w:tcBorders>
            <w:vAlign w:val="top"/>
          </w:tcPr>
          <w:p>
            <w:pPr>
              <w:jc w:val="center"/>
            </w:pPr>
            <w:r>
              <w:rPr>
                <w:sz w:val="21"/>
              </w:rPr>
              <w:t>2</w:t>
            </w:r>
          </w:p>
        </w:tc>
        <w:tc>
          <w:tcPr>
            <w:tcW w:type="dxa" w:w="2177"/>
            <w:tcBorders>
              <w:top w:val="single" w:color="000000" w:sz="4"/>
              <w:left w:val="single" w:color="000000" w:sz="4"/>
              <w:bottom w:val="single" w:color="000000" w:sz="4"/>
              <w:right w:val="single" w:color="000000" w:sz="4"/>
            </w:tcBorders>
            <w:vAlign w:val="top"/>
          </w:tcPr>
          <w:p>
            <w:pPr>
              <w:jc w:val="center"/>
            </w:pPr>
            <w:r>
              <w:rPr>
                <w:sz w:val="21"/>
              </w:rPr>
              <w:t>B-计算机设备配件</w:t>
            </w:r>
          </w:p>
        </w:tc>
        <w:tc>
          <w:tcPr>
            <w:tcW w:type="dxa" w:w="1839"/>
            <w:vMerge/>
            <w:tcBorders>
              <w:top w:val="single" w:color="000000" w:sz="4"/>
              <w:left w:val="single" w:color="000000" w:sz="4"/>
              <w:bottom w:val="single" w:color="000000" w:sz="4"/>
              <w:right w:val="single" w:color="000000" w:sz="4"/>
            </w:tcBorders>
          </w:tcPr>
          <w:p/>
        </w:tc>
        <w:tc>
          <w:tcPr>
            <w:tcW w:type="dxa" w:w="1015"/>
            <w:tcBorders>
              <w:top w:val="single" w:color="000000" w:sz="4"/>
              <w:left w:val="single" w:color="000000" w:sz="4"/>
              <w:bottom w:val="single" w:color="000000" w:sz="4"/>
              <w:right w:val="single" w:color="000000" w:sz="4"/>
            </w:tcBorders>
            <w:vAlign w:val="top"/>
          </w:tcPr>
          <w:p>
            <w:pPr>
              <w:jc w:val="center"/>
            </w:pPr>
            <w:r>
              <w:rPr>
                <w:sz w:val="21"/>
              </w:rPr>
              <w:t>一批</w:t>
            </w:r>
          </w:p>
        </w:tc>
        <w:tc>
          <w:tcPr>
            <w:tcW w:type="dxa" w:w="2502"/>
            <w:tcBorders>
              <w:top w:val="single" w:color="000000" w:sz="4"/>
              <w:left w:val="single" w:color="000000" w:sz="4"/>
              <w:bottom w:val="single" w:color="000000" w:sz="4"/>
              <w:right w:val="single" w:color="000000" w:sz="8"/>
            </w:tcBorders>
            <w:vAlign w:val="top"/>
          </w:tcPr>
          <w:p>
            <w:pPr>
              <w:jc w:val="center"/>
            </w:pPr>
            <w:r>
              <w:rPr>
                <w:sz w:val="21"/>
                <w:u w:val="single"/>
              </w:rPr>
              <w:t xml:space="preserve">      </w:t>
            </w:r>
            <w:r>
              <w:rPr>
                <w:sz w:val="21"/>
              </w:rPr>
              <w:t>%</w:t>
            </w:r>
          </w:p>
        </w:tc>
      </w:tr>
      <w:tr>
        <w:tc>
          <w:tcPr>
            <w:tcW w:type="dxa" w:w="773"/>
            <w:tcBorders>
              <w:top w:val="single" w:color="000000" w:sz="4"/>
              <w:left w:val="single" w:color="000000" w:sz="8"/>
              <w:bottom w:val="single" w:color="000000" w:sz="4"/>
              <w:right w:val="single" w:color="000000" w:sz="4"/>
            </w:tcBorders>
            <w:vAlign w:val="top"/>
          </w:tcPr>
          <w:p>
            <w:pPr>
              <w:jc w:val="center"/>
            </w:pPr>
            <w:r>
              <w:rPr>
                <w:sz w:val="21"/>
              </w:rPr>
              <w:t>3</w:t>
            </w:r>
          </w:p>
        </w:tc>
        <w:tc>
          <w:tcPr>
            <w:tcW w:type="dxa" w:w="2177"/>
            <w:tcBorders>
              <w:top w:val="single" w:color="000000" w:sz="4"/>
              <w:left w:val="single" w:color="000000" w:sz="4"/>
              <w:bottom w:val="single" w:color="000000" w:sz="4"/>
              <w:right w:val="single" w:color="000000" w:sz="4"/>
            </w:tcBorders>
            <w:vAlign w:val="top"/>
          </w:tcPr>
          <w:p>
            <w:pPr>
              <w:jc w:val="center"/>
            </w:pPr>
            <w:r>
              <w:rPr>
                <w:sz w:val="21"/>
              </w:rPr>
              <w:t>C-线材及其他</w:t>
            </w:r>
          </w:p>
        </w:tc>
        <w:tc>
          <w:tcPr>
            <w:tcW w:type="dxa" w:w="1839"/>
            <w:vMerge/>
            <w:tcBorders>
              <w:top w:val="single" w:color="000000" w:sz="4"/>
              <w:left w:val="single" w:color="000000" w:sz="4"/>
              <w:bottom w:val="single" w:color="000000" w:sz="4"/>
              <w:right w:val="single" w:color="000000" w:sz="4"/>
            </w:tcBorders>
          </w:tcPr>
          <w:p/>
        </w:tc>
        <w:tc>
          <w:tcPr>
            <w:tcW w:type="dxa" w:w="1015"/>
            <w:tcBorders>
              <w:top w:val="single" w:color="000000" w:sz="4"/>
              <w:left w:val="single" w:color="000000" w:sz="4"/>
              <w:bottom w:val="single" w:color="000000" w:sz="4"/>
              <w:right w:val="single" w:color="000000" w:sz="4"/>
            </w:tcBorders>
            <w:vAlign w:val="top"/>
          </w:tcPr>
          <w:p>
            <w:pPr>
              <w:jc w:val="center"/>
            </w:pPr>
            <w:r>
              <w:rPr>
                <w:sz w:val="21"/>
              </w:rPr>
              <w:t>一批</w:t>
            </w:r>
          </w:p>
        </w:tc>
        <w:tc>
          <w:tcPr>
            <w:tcW w:type="dxa" w:w="2502"/>
            <w:tcBorders>
              <w:top w:val="single" w:color="000000" w:sz="4"/>
              <w:left w:val="single" w:color="000000" w:sz="4"/>
              <w:bottom w:val="single" w:color="000000" w:sz="4"/>
              <w:right w:val="single" w:color="000000" w:sz="8"/>
            </w:tcBorders>
            <w:vAlign w:val="top"/>
          </w:tcPr>
          <w:p>
            <w:pPr>
              <w:jc w:val="center"/>
            </w:pPr>
            <w:r>
              <w:rPr>
                <w:sz w:val="21"/>
                <w:u w:val="single"/>
              </w:rPr>
              <w:t xml:space="preserve">      </w:t>
            </w:r>
            <w:r>
              <w:rPr>
                <w:sz w:val="21"/>
              </w:rPr>
              <w:t>%</w:t>
            </w:r>
          </w:p>
        </w:tc>
      </w:tr>
      <w:tr>
        <w:tc>
          <w:tcPr>
            <w:tcW w:type="dxa" w:w="773"/>
            <w:tcBorders>
              <w:top w:val="single" w:color="000000" w:sz="4"/>
              <w:left w:val="single" w:color="000000" w:sz="8"/>
              <w:bottom w:val="single" w:color="000000" w:sz="4"/>
              <w:right w:val="single" w:color="000000" w:sz="4"/>
            </w:tcBorders>
            <w:vAlign w:val="top"/>
          </w:tcPr>
          <w:p>
            <w:pPr>
              <w:jc w:val="center"/>
            </w:pPr>
            <w:r>
              <w:rPr>
                <w:sz w:val="21"/>
              </w:rPr>
              <w:t>4</w:t>
            </w:r>
          </w:p>
        </w:tc>
        <w:tc>
          <w:tcPr>
            <w:tcW w:type="dxa" w:w="2177"/>
            <w:tcBorders>
              <w:top w:val="single" w:color="000000" w:sz="4"/>
              <w:left w:val="single" w:color="000000" w:sz="4"/>
              <w:bottom w:val="single" w:color="000000" w:sz="4"/>
              <w:right w:val="single" w:color="000000" w:sz="4"/>
            </w:tcBorders>
            <w:vAlign w:val="top"/>
          </w:tcPr>
          <w:p>
            <w:pPr>
              <w:jc w:val="center"/>
            </w:pPr>
            <w:r>
              <w:rPr>
                <w:sz w:val="21"/>
              </w:rPr>
              <w:t>D-服务器存储设备配件</w:t>
            </w:r>
          </w:p>
        </w:tc>
        <w:tc>
          <w:tcPr>
            <w:tcW w:type="dxa" w:w="1839"/>
            <w:vMerge/>
            <w:tcBorders>
              <w:top w:val="single" w:color="000000" w:sz="4"/>
              <w:left w:val="single" w:color="000000" w:sz="4"/>
              <w:bottom w:val="single" w:color="000000" w:sz="4"/>
              <w:right w:val="single" w:color="000000" w:sz="4"/>
            </w:tcBorders>
          </w:tcPr>
          <w:p/>
        </w:tc>
        <w:tc>
          <w:tcPr>
            <w:tcW w:type="dxa" w:w="1015"/>
            <w:tcBorders>
              <w:top w:val="single" w:color="000000" w:sz="4"/>
              <w:left w:val="single" w:color="000000" w:sz="4"/>
              <w:bottom w:val="single" w:color="000000" w:sz="4"/>
              <w:right w:val="single" w:color="000000" w:sz="4"/>
            </w:tcBorders>
            <w:vAlign w:val="top"/>
          </w:tcPr>
          <w:p>
            <w:pPr>
              <w:jc w:val="center"/>
            </w:pPr>
            <w:r>
              <w:rPr>
                <w:sz w:val="21"/>
              </w:rPr>
              <w:t>一批</w:t>
            </w:r>
          </w:p>
        </w:tc>
        <w:tc>
          <w:tcPr>
            <w:tcW w:type="dxa" w:w="2502"/>
            <w:tcBorders>
              <w:top w:val="single" w:color="000000" w:sz="4"/>
              <w:left w:val="single" w:color="000000" w:sz="4"/>
              <w:bottom w:val="single" w:color="000000" w:sz="4"/>
              <w:right w:val="single" w:color="000000" w:sz="8"/>
            </w:tcBorders>
            <w:vAlign w:val="top"/>
          </w:tcPr>
          <w:p>
            <w:pPr>
              <w:jc w:val="center"/>
            </w:pPr>
            <w:r>
              <w:rPr>
                <w:sz w:val="21"/>
                <w:u w:val="single"/>
              </w:rPr>
              <w:t xml:space="preserve">      </w:t>
            </w:r>
            <w:r>
              <w:rPr>
                <w:sz w:val="21"/>
              </w:rPr>
              <w:t>%</w:t>
            </w:r>
          </w:p>
        </w:tc>
      </w:tr>
      <w:tr>
        <w:tc>
          <w:tcPr>
            <w:tcW w:type="dxa" w:w="773"/>
            <w:tcBorders>
              <w:top w:val="single" w:color="000000" w:sz="4"/>
              <w:left w:val="single" w:color="000000" w:sz="8"/>
              <w:bottom w:val="single" w:color="000000" w:sz="4"/>
              <w:right w:val="single" w:color="000000" w:sz="4"/>
            </w:tcBorders>
            <w:vAlign w:val="top"/>
          </w:tcPr>
          <w:p>
            <w:pPr>
              <w:jc w:val="center"/>
            </w:pPr>
            <w:r>
              <w:rPr>
                <w:sz w:val="21"/>
              </w:rPr>
              <w:t>5</w:t>
            </w:r>
          </w:p>
        </w:tc>
        <w:tc>
          <w:tcPr>
            <w:tcW w:type="dxa" w:w="2177"/>
            <w:tcBorders>
              <w:top w:val="single" w:color="000000" w:sz="4"/>
              <w:left w:val="single" w:color="000000" w:sz="4"/>
              <w:bottom w:val="single" w:color="000000" w:sz="4"/>
              <w:right w:val="single" w:color="000000" w:sz="4"/>
            </w:tcBorders>
            <w:vAlign w:val="top"/>
          </w:tcPr>
          <w:p>
            <w:pPr>
              <w:jc w:val="center"/>
            </w:pPr>
            <w:r>
              <w:rPr>
                <w:sz w:val="21"/>
              </w:rPr>
              <w:t>E-交换机配件</w:t>
            </w:r>
          </w:p>
        </w:tc>
        <w:tc>
          <w:tcPr>
            <w:tcW w:type="dxa" w:w="1839"/>
            <w:vMerge/>
            <w:tcBorders>
              <w:top w:val="single" w:color="000000" w:sz="4"/>
              <w:left w:val="single" w:color="000000" w:sz="4"/>
              <w:bottom w:val="single" w:color="000000" w:sz="4"/>
              <w:right w:val="single" w:color="000000" w:sz="4"/>
            </w:tcBorders>
          </w:tcPr>
          <w:p/>
        </w:tc>
        <w:tc>
          <w:tcPr>
            <w:tcW w:type="dxa" w:w="1015"/>
            <w:tcBorders>
              <w:top w:val="single" w:color="000000" w:sz="4"/>
              <w:left w:val="single" w:color="000000" w:sz="4"/>
              <w:bottom w:val="single" w:color="000000" w:sz="4"/>
              <w:right w:val="single" w:color="000000" w:sz="4"/>
            </w:tcBorders>
            <w:vAlign w:val="top"/>
          </w:tcPr>
          <w:p>
            <w:pPr>
              <w:jc w:val="center"/>
            </w:pPr>
            <w:r>
              <w:rPr>
                <w:sz w:val="21"/>
              </w:rPr>
              <w:t>一批</w:t>
            </w:r>
          </w:p>
        </w:tc>
        <w:tc>
          <w:tcPr>
            <w:tcW w:type="dxa" w:w="2502"/>
            <w:tcBorders>
              <w:top w:val="single" w:color="000000" w:sz="4"/>
              <w:left w:val="single" w:color="000000" w:sz="4"/>
              <w:bottom w:val="single" w:color="000000" w:sz="4"/>
              <w:right w:val="single" w:color="000000" w:sz="8"/>
            </w:tcBorders>
            <w:vAlign w:val="top"/>
          </w:tcPr>
          <w:p>
            <w:pPr>
              <w:jc w:val="center"/>
            </w:pPr>
            <w:r>
              <w:rPr>
                <w:sz w:val="21"/>
                <w:u w:val="single"/>
              </w:rPr>
              <w:t xml:space="preserve">      </w:t>
            </w:r>
            <w:r>
              <w:rPr>
                <w:sz w:val="21"/>
              </w:rPr>
              <w:t>%</w:t>
            </w:r>
          </w:p>
        </w:tc>
      </w:tr>
      <w:tr>
        <w:tc>
          <w:tcPr>
            <w:tcW w:type="dxa" w:w="773"/>
            <w:tcBorders>
              <w:top w:val="single" w:color="000000" w:sz="4"/>
              <w:left w:val="single" w:color="000000" w:sz="8"/>
              <w:bottom w:val="single" w:color="000000" w:sz="8"/>
              <w:right w:val="single" w:color="000000" w:sz="4"/>
            </w:tcBorders>
            <w:vAlign w:val="top"/>
          </w:tcPr>
          <w:p>
            <w:pPr>
              <w:jc w:val="center"/>
            </w:pPr>
            <w:r>
              <w:rPr>
                <w:sz w:val="21"/>
              </w:rPr>
              <w:t>6</w:t>
            </w:r>
          </w:p>
        </w:tc>
        <w:tc>
          <w:tcPr>
            <w:tcW w:type="dxa" w:w="2177"/>
            <w:tcBorders>
              <w:top w:val="single" w:color="000000" w:sz="4"/>
              <w:left w:val="single" w:color="000000" w:sz="4"/>
              <w:bottom w:val="single" w:color="000000" w:sz="8"/>
              <w:right w:val="single" w:color="000000" w:sz="4"/>
            </w:tcBorders>
            <w:vAlign w:val="top"/>
          </w:tcPr>
          <w:p>
            <w:pPr>
              <w:jc w:val="center"/>
            </w:pPr>
            <w:r>
              <w:rPr>
                <w:sz w:val="21"/>
              </w:rPr>
              <w:t>F-信息安全设备</w:t>
            </w:r>
          </w:p>
        </w:tc>
        <w:tc>
          <w:tcPr>
            <w:tcW w:type="dxa" w:w="1839"/>
            <w:vMerge/>
            <w:tcBorders>
              <w:top w:val="single" w:color="000000" w:sz="4"/>
              <w:left w:val="single" w:color="000000" w:sz="4"/>
              <w:bottom w:val="single" w:color="000000" w:sz="4"/>
              <w:right w:val="single" w:color="000000" w:sz="4"/>
            </w:tcBorders>
          </w:tcPr>
          <w:p/>
        </w:tc>
        <w:tc>
          <w:tcPr>
            <w:tcW w:type="dxa" w:w="1015"/>
            <w:tcBorders>
              <w:top w:val="single" w:color="000000" w:sz="4"/>
              <w:left w:val="single" w:color="000000" w:sz="4"/>
              <w:bottom w:val="single" w:color="000000" w:sz="8"/>
              <w:right w:val="single" w:color="000000" w:sz="4"/>
            </w:tcBorders>
            <w:vAlign w:val="top"/>
          </w:tcPr>
          <w:p>
            <w:pPr>
              <w:jc w:val="center"/>
            </w:pPr>
            <w:r>
              <w:rPr>
                <w:sz w:val="21"/>
              </w:rPr>
              <w:t>一批</w:t>
            </w:r>
          </w:p>
        </w:tc>
        <w:tc>
          <w:tcPr>
            <w:tcW w:type="dxa" w:w="2502"/>
            <w:tcBorders>
              <w:top w:val="single" w:color="000000" w:sz="4"/>
              <w:left w:val="single" w:color="000000" w:sz="4"/>
              <w:bottom w:val="single" w:color="000000" w:sz="8"/>
              <w:right w:val="single" w:color="000000" w:sz="8"/>
            </w:tcBorders>
            <w:vAlign w:val="top"/>
          </w:tcPr>
          <w:p>
            <w:pPr>
              <w:jc w:val="center"/>
            </w:pPr>
            <w:r>
              <w:rPr>
                <w:sz w:val="21"/>
                <w:u w:val="single"/>
              </w:rPr>
              <w:t xml:space="preserve">      </w:t>
            </w:r>
            <w:r>
              <w:rPr>
                <w:sz w:val="21"/>
              </w:rPr>
              <w:t>%</w:t>
            </w:r>
          </w:p>
        </w:tc>
      </w:tr>
    </w:tbl>
    <w:p>
      <w:r>
        <w:rPr/>
        <w:t xml:space="preserve"> </w:t>
      </w:r>
    </w:p>
    <w:p>
      <w:pPr>
        <w:jc w:val="center"/>
      </w:pPr>
      <w:r>
        <w:rPr>
          <w:b/>
          <w:sz w:val="21"/>
        </w:rPr>
        <w:t>三、付款方式</w:t>
      </w:r>
    </w:p>
    <w:p>
      <w:pPr>
        <w:jc w:val="both"/>
      </w:pPr>
      <w:r>
        <w:rPr>
          <w:sz w:val="21"/>
        </w:rPr>
        <w:t>（一）付款方式</w:t>
      </w:r>
    </w:p>
    <w:p>
      <w:pPr>
        <w:ind w:firstLine="420"/>
        <w:jc w:val="both"/>
      </w:pPr>
      <w:r>
        <w:rPr>
          <w:sz w:val="21"/>
        </w:rPr>
        <w:t>1.按月结算，即双方核对每月的入库单，按合同约定的价格，确认该月的实际供货数量、金额，甲方当月收到双方签收的送货清单和正规商品销售发票后</w:t>
      </w:r>
      <w:r>
        <w:rPr>
          <w:sz w:val="21"/>
        </w:rPr>
        <w:t>按法定要求办理支付手续</w:t>
      </w:r>
      <w:r>
        <w:rPr>
          <w:sz w:val="21"/>
        </w:rPr>
        <w:t>；</w:t>
      </w:r>
    </w:p>
    <w:p>
      <w:pPr>
        <w:ind w:firstLine="420"/>
        <w:jc w:val="both"/>
      </w:pPr>
      <w:r>
        <w:rPr>
          <w:sz w:val="21"/>
        </w:rPr>
        <w:t>2.该合同包含了货物采购、安装部署、调试、培训、质保期服务涉及的所有软硬件、辅材、人工，验收合格交付使用之前的所有费用等费用，以及技术和售后服务等其他各项有关费用。甲方不再支付任何其他费用。</w:t>
      </w:r>
    </w:p>
    <w:p>
      <w:pPr>
        <w:jc w:val="center"/>
      </w:pPr>
      <w:r>
        <w:rPr>
          <w:b/>
          <w:sz w:val="21"/>
        </w:rPr>
        <w:t>四、交货及验收</w:t>
      </w:r>
    </w:p>
    <w:p>
      <w:pPr>
        <w:ind w:firstLine="420"/>
        <w:jc w:val="both"/>
      </w:pPr>
      <w:r>
        <w:rPr>
          <w:sz w:val="21"/>
        </w:rPr>
        <w:t>（一）货物交货：</w:t>
      </w:r>
      <w:r>
        <w:rPr>
          <w:sz w:val="21"/>
        </w:rPr>
        <w:t>打印设备配件、线材及其他类产品，</w:t>
      </w:r>
      <w:r>
        <w:rPr>
          <w:sz w:val="21"/>
        </w:rPr>
        <w:t>乙方在甲方发出订货指定的</w:t>
      </w:r>
      <w:r>
        <w:rPr>
          <w:sz w:val="21"/>
        </w:rPr>
        <w:t>5 分钟内响应</w:t>
      </w:r>
      <w:r>
        <w:rPr>
          <w:sz w:val="21"/>
        </w:rPr>
        <w:t>并反馈备货情况。</w:t>
      </w:r>
      <w:r>
        <w:rPr>
          <w:sz w:val="21"/>
        </w:rPr>
        <w:t>非紧急情况下，乙方在接到指令后的</w:t>
      </w:r>
      <w:r>
        <w:rPr>
          <w:sz w:val="21"/>
        </w:rPr>
        <w:t>60 分钟内送达。紧急情况下，30 分钟内送达。如有困难不能按要求时间送达，乙方应第一时间向甲方说明，如由甲方通过其他途径采购，由此产生的费用计入本项目，结算时扣除该部分费用。</w:t>
      </w:r>
      <w:r>
        <w:rPr>
          <w:sz w:val="21"/>
        </w:rPr>
        <w:t>计算机设备配件</w:t>
      </w:r>
      <w:r>
        <w:rPr>
          <w:sz w:val="21"/>
        </w:rPr>
        <w:t>、</w:t>
      </w:r>
      <w:r>
        <w:rPr>
          <w:sz w:val="21"/>
        </w:rPr>
        <w:t>服务器存储设备配件</w:t>
      </w:r>
      <w:r>
        <w:rPr>
          <w:sz w:val="21"/>
        </w:rPr>
        <w:t>、</w:t>
      </w:r>
      <w:r>
        <w:rPr>
          <w:sz w:val="21"/>
        </w:rPr>
        <w:t>交换机配件</w:t>
      </w:r>
      <w:r>
        <w:rPr>
          <w:sz w:val="21"/>
        </w:rPr>
        <w:t>及</w:t>
      </w:r>
      <w:r>
        <w:rPr>
          <w:sz w:val="21"/>
        </w:rPr>
        <w:t>信息安全设备</w:t>
      </w:r>
      <w:r>
        <w:rPr>
          <w:sz w:val="21"/>
        </w:rPr>
        <w:t>，</w:t>
      </w:r>
      <w:r>
        <w:rPr>
          <w:sz w:val="21"/>
        </w:rPr>
        <w:t>甲方向乙方发出供货通知后，乙方应在</w:t>
      </w:r>
      <w:r>
        <w:rPr>
          <w:sz w:val="21"/>
        </w:rPr>
        <w:t>2天内</w:t>
      </w:r>
      <w:r>
        <w:rPr>
          <w:sz w:val="21"/>
        </w:rPr>
        <w:t>完成设备的供货、安装、调试，并交付给甲方正常使用。</w:t>
      </w:r>
    </w:p>
    <w:p>
      <w:pPr>
        <w:ind w:firstLine="420"/>
        <w:jc w:val="both"/>
      </w:pPr>
      <w:r>
        <w:rPr>
          <w:sz w:val="21"/>
        </w:rPr>
        <w:t>（二）安装地点：直接发货到甲方指定地点，并完成安装部署、调试及培训工作，否则甲方可以拒收或要求退货。</w:t>
      </w:r>
    </w:p>
    <w:p>
      <w:pPr>
        <w:ind w:firstLine="420"/>
        <w:jc w:val="both"/>
      </w:pPr>
      <w:r>
        <w:rPr>
          <w:sz w:val="21"/>
        </w:rPr>
        <w:t>（三）由甲乙双方一起进行到货验收，由乙方完成货物的安装调试工作。</w:t>
      </w:r>
    </w:p>
    <w:p>
      <w:pPr>
        <w:ind w:firstLine="420"/>
        <w:jc w:val="both"/>
      </w:pPr>
      <w:r>
        <w:rPr>
          <w:sz w:val="21"/>
        </w:rPr>
        <w:t>（四）验收要求：</w:t>
      </w:r>
    </w:p>
    <w:p>
      <w:pPr>
        <w:ind w:firstLine="420"/>
        <w:jc w:val="both"/>
      </w:pPr>
      <w:r>
        <w:rPr>
          <w:sz w:val="21"/>
        </w:rPr>
        <w:t>1. 乙方提供厂商原装、完整、全新的、符合国家及甲方提出的有关质量标准的设备及部件。</w:t>
      </w:r>
    </w:p>
    <w:p>
      <w:pPr>
        <w:ind w:firstLine="420"/>
        <w:jc w:val="both"/>
      </w:pPr>
      <w:r>
        <w:rPr>
          <w:sz w:val="21"/>
        </w:rPr>
        <w:t>2. 要求对全部设备、产品、型号、规格、数量、外型、外观、包装及资料、文件（如装箱单、保修单、随箱介质等）的验收。乙方应已经包含设备连接并构成完整运行环境所必要的配件、辅件、配线、许可。</w:t>
      </w:r>
    </w:p>
    <w:p>
      <w:pPr>
        <w:ind w:firstLine="420"/>
        <w:jc w:val="both"/>
      </w:pPr>
      <w:r>
        <w:rPr>
          <w:sz w:val="21"/>
        </w:rPr>
        <w:t>3. 凡列入《中华人民共和国实施强制性产品认证的产品目录》的产品在验收时出具CCC 认证证书复印件，并以在产品外部加施认证标志作为验收依据之一。</w:t>
      </w:r>
    </w:p>
    <w:p>
      <w:pPr>
        <w:ind w:firstLine="420"/>
        <w:jc w:val="both"/>
      </w:pPr>
      <w:r>
        <w:rPr>
          <w:sz w:val="21"/>
        </w:rPr>
        <w:t>4. 乙方负责在项目验收时将系统的全部有关装箱清单、产品说明书、安装手册、用户手册、原厂保修卡、随机资料及配件、随机工具等技术文件、资料及安装、验收报告等文档汇集成册交付甲方。乙方不能完整交付货物及规定的单证和工具的，视为未按合同约定付货，乙方必须负责补齐，因此导致逾期交付的，由乙方承担相关的违约责任。</w:t>
      </w:r>
    </w:p>
    <w:p>
      <w:pPr>
        <w:ind w:firstLine="420"/>
        <w:jc w:val="both"/>
      </w:pPr>
      <w:r>
        <w:rPr>
          <w:sz w:val="21"/>
        </w:rPr>
        <w:t>5. 所有设备、器材在开箱时须完好，无破损。配置与装箱单相符。数量、质量及性能不低于合同及采购文件中的要求。</w:t>
      </w:r>
    </w:p>
    <w:p>
      <w:pPr>
        <w:ind w:firstLine="420"/>
        <w:jc w:val="both"/>
      </w:pPr>
      <w:r>
        <w:rPr>
          <w:sz w:val="21"/>
        </w:rPr>
        <w:t>6. 拆箱后，乙方应对其全部产品、零件、配件、用户许可证书、资料、介质造册登记，并与装箱单对比，如有出入应立即书面记录，由供货商解决，如影响安装导致逾期交付的，由乙方承担相关的违约责任。登记册作为验收文档之一。</w:t>
      </w:r>
    </w:p>
    <w:p>
      <w:pPr>
        <w:jc w:val="center"/>
      </w:pPr>
      <w:r>
        <w:rPr>
          <w:b/>
          <w:sz w:val="21"/>
        </w:rPr>
        <w:t>五、售后服务</w:t>
      </w:r>
    </w:p>
    <w:p>
      <w:pPr>
        <w:ind w:firstLine="420"/>
        <w:jc w:val="both"/>
      </w:pPr>
      <w:r>
        <w:rPr>
          <w:sz w:val="21"/>
        </w:rPr>
        <w:t>（一）乙方应为甲方提供培训服务，并指派专人负责与甲方联系售后服务事宜。主要培训内容为货物的基本结构、主要部件的构造，日常使用操作、保养与管理、常见故障的排除、紧急情况的处理等，如甲方未使用过同类型货物，乙方还需就货物的功能对甲方进行相应的技术培训，培训地点主要在货物安装现场或由双方约定。</w:t>
      </w:r>
    </w:p>
    <w:p>
      <w:pPr>
        <w:ind w:firstLine="420"/>
        <w:jc w:val="both"/>
      </w:pPr>
      <w:r>
        <w:rPr>
          <w:sz w:val="21"/>
        </w:rPr>
        <w:t>培训要求：</w:t>
      </w:r>
    </w:p>
    <w:p>
      <w:pPr>
        <w:ind w:firstLine="420"/>
        <w:jc w:val="both"/>
      </w:pPr>
      <w:r>
        <w:rPr>
          <w:sz w:val="21"/>
        </w:rPr>
        <w:t>1. 乙方提出全面的培训计划和课程内容安排，征得甲方同意后实施。乙方应承担培训所产生的所有费用。所有的培训资料必须是中文或英文书写。</w:t>
      </w:r>
    </w:p>
    <w:p>
      <w:pPr>
        <w:ind w:firstLine="420"/>
        <w:jc w:val="both"/>
      </w:pPr>
      <w:r>
        <w:rPr>
          <w:sz w:val="21"/>
        </w:rPr>
        <w:t>2. 培训时间：用户不少于5 个工作日；系统管理员不少于10 个工作日。</w:t>
      </w:r>
    </w:p>
    <w:p>
      <w:pPr>
        <w:ind w:firstLine="420"/>
        <w:jc w:val="both"/>
      </w:pPr>
      <w:r>
        <w:rPr>
          <w:sz w:val="21"/>
        </w:rPr>
        <w:t>（二）质量保证期</w:t>
      </w:r>
      <w:r>
        <w:rPr>
          <w:sz w:val="21"/>
        </w:rPr>
        <w:t>:</w:t>
      </w:r>
    </w:p>
    <w:p>
      <w:pPr>
        <w:ind w:firstLine="420"/>
        <w:jc w:val="both"/>
      </w:pPr>
      <w:r>
        <w:rPr>
          <w:sz w:val="21"/>
        </w:rPr>
        <w:t>1.质量保证期自通过甲方验收设备之日起计算，质保费用计入总价。</w:t>
      </w:r>
    </w:p>
    <w:p>
      <w:pPr>
        <w:ind w:firstLine="420"/>
        <w:jc w:val="both"/>
      </w:pPr>
      <w:r>
        <w:rPr>
          <w:sz w:val="21"/>
        </w:rPr>
        <w:t>2.所有服务器存储设备配件、交换机配件、信息安全设备均需提供3 年以上原厂上门保修服务。质量保证期内，所有硬件设备的维修均包含在投标报价中。</w:t>
      </w:r>
    </w:p>
    <w:p>
      <w:pPr>
        <w:ind w:firstLine="420"/>
        <w:jc w:val="both"/>
      </w:pPr>
      <w:r>
        <w:rPr>
          <w:sz w:val="21"/>
        </w:rPr>
        <w:t>（三）质量保证期内服务：</w:t>
      </w:r>
    </w:p>
    <w:p>
      <w:pPr>
        <w:ind w:firstLine="420"/>
        <w:jc w:val="both"/>
      </w:pPr>
      <w:r>
        <w:rPr>
          <w:sz w:val="21"/>
        </w:rPr>
        <w:t>1. 设备故障报修全天候半小时内响应，其中周一至周五8：30～18:00期间在1小时之内派员到现场解决问题，其余时间为4 小时内。在24 小时内无法解决问题，无条件提供不低于故障设备的性能的设备供甲方代用，直到排除故障。</w:t>
      </w:r>
    </w:p>
    <w:p>
      <w:pPr>
        <w:ind w:firstLine="420"/>
        <w:jc w:val="both"/>
      </w:pPr>
      <w:r>
        <w:rPr>
          <w:sz w:val="21"/>
        </w:rPr>
        <w:t>2. 乙方在安装产品和质量保证期内的维修中对甲方的现场管理人员进行培训，提供24 小时急修服务，接到急修通知，按规定时间到达。</w:t>
      </w:r>
    </w:p>
    <w:p>
      <w:pPr>
        <w:ind w:firstLine="420"/>
        <w:jc w:val="both"/>
      </w:pPr>
      <w:r>
        <w:rPr>
          <w:sz w:val="21"/>
        </w:rPr>
        <w:t>3. 质量保证期内，如设备或零部件因非人为因素出现故障而造成短期停用时，则保修期和维修期相应顺延</w:t>
      </w:r>
      <w:r>
        <w:rPr>
          <w:color w:val="000000"/>
          <w:sz w:val="21"/>
        </w:rPr>
        <w:t>（投标报价已包含）</w:t>
      </w:r>
      <w:r>
        <w:rPr>
          <w:sz w:val="21"/>
        </w:rPr>
        <w:t>。如停用时间累计超过</w:t>
      </w:r>
      <w:r>
        <w:rPr>
          <w:sz w:val="21"/>
        </w:rPr>
        <w:t>60 天则保修期重新计算。</w:t>
      </w:r>
    </w:p>
    <w:p>
      <w:pPr>
        <w:ind w:firstLine="420"/>
        <w:jc w:val="both"/>
      </w:pPr>
      <w:r>
        <w:rPr>
          <w:sz w:val="21"/>
        </w:rPr>
        <w:t>（四）质量保证期内，乙方须对所提供的设备做定期检查和保养。</w:t>
      </w:r>
    </w:p>
    <w:p>
      <w:pPr>
        <w:ind w:firstLine="420"/>
        <w:jc w:val="both"/>
      </w:pPr>
      <w:r>
        <w:rPr>
          <w:sz w:val="21"/>
        </w:rPr>
        <w:t>（五）质量保证期内，乙方负责对其提供的货物实行包修、包换、包退、包维护保养，不再收取任何费用，但不可抗力（如火灾、雷击等）造成的故障除外。</w:t>
      </w:r>
    </w:p>
    <w:p>
      <w:pPr>
        <w:ind w:firstLine="420"/>
        <w:jc w:val="both"/>
      </w:pPr>
      <w:r>
        <w:rPr>
          <w:sz w:val="21"/>
        </w:rPr>
        <w:t>（六）所有货物质保服务方式均为乙方上门服务，即由乙方派员到甲方货物使用现场维修，由此产生的一切费用均由乙方承担。</w:t>
      </w:r>
    </w:p>
    <w:p>
      <w:pPr>
        <w:ind w:firstLine="420"/>
        <w:jc w:val="both"/>
      </w:pPr>
      <w:r>
        <w:rPr>
          <w:sz w:val="21"/>
        </w:rPr>
        <w:t>（七）质量保证期后的货物维护，乙方必须承诺在法定工作时间内，无条件提供技术指导和咨询，如需要乙方在非法定工作时间内提供货物维护，则乙方可适当收费，标准由双方协商确定。</w:t>
      </w:r>
    </w:p>
    <w:p>
      <w:pPr>
        <w:jc w:val="center"/>
      </w:pPr>
      <w:r>
        <w:rPr>
          <w:b/>
          <w:sz w:val="21"/>
        </w:rPr>
        <w:t>六、技术资料和数据保密</w:t>
      </w:r>
    </w:p>
    <w:p>
      <w:pPr>
        <w:ind w:firstLine="420"/>
        <w:jc w:val="both"/>
      </w:pPr>
      <w:r>
        <w:rPr>
          <w:sz w:val="21"/>
        </w:rPr>
        <w:t>（一）自甲乙双方正式签订合同之日起，乙方必须采取措施对本项目开发过程中接触到的数据、源代码、技术文档、居民个人信息等资料保密，甲方提供的所有资料只能用作本项目开发之用；否则，由于乙方过错导致的上述资料以任何形式提供给第三方或用于与本项目无关的任何目的，乙方必须承担一切责任。</w:t>
      </w:r>
    </w:p>
    <w:p>
      <w:pPr>
        <w:ind w:firstLine="420"/>
        <w:jc w:val="both"/>
      </w:pPr>
      <w:r>
        <w:rPr>
          <w:sz w:val="21"/>
        </w:rPr>
        <w:t>（二）甲方需对乙方在本项目中采取的独有技术及相关文档、源代码、光盘资料和文件资料等承担保密责任，未经乙方许可，不得以任何形式提供给第三方。</w:t>
      </w:r>
    </w:p>
    <w:p>
      <w:pPr>
        <w:ind w:firstLine="420"/>
        <w:jc w:val="both"/>
      </w:pPr>
      <w:r>
        <w:rPr>
          <w:sz w:val="21"/>
        </w:rPr>
        <w:t>（三）双方均有为对方保密的义务，涉及本项目的任何文件资料、来往信函等，应妥善保管，不向除法律顾问之外的第三方传泄，不论本项目是否变更、解除或终止，本条款均有效。</w:t>
      </w:r>
    </w:p>
    <w:p>
      <w:pPr>
        <w:jc w:val="center"/>
      </w:pPr>
      <w:r>
        <w:rPr>
          <w:b/>
          <w:sz w:val="21"/>
        </w:rPr>
        <w:t>七</w:t>
      </w:r>
      <w:r>
        <w:rPr>
          <w:b/>
          <w:sz w:val="21"/>
        </w:rPr>
        <w:t>.技术成果归属和分享</w:t>
      </w:r>
    </w:p>
    <w:p>
      <w:pPr>
        <w:ind w:firstLine="420"/>
        <w:jc w:val="both"/>
      </w:pPr>
      <w:r>
        <w:rPr>
          <w:sz w:val="21"/>
        </w:rPr>
        <w:t>(一)乙方所提供的一切资料和技术成果需通过合法途径取得，任何第三方不得对该资料和技术成果主张权利。否则，乙方需承担与此相关的一切责任，并承担由此给甲方造成的所有损失，不论本项目是否变更、解除或终止，本条款在本合同生效之日起永久有效，不受本合同有效期或质保期之限。</w:t>
      </w:r>
    </w:p>
    <w:p>
      <w:pPr>
        <w:jc w:val="center"/>
      </w:pPr>
      <w:r>
        <w:rPr>
          <w:b/>
          <w:sz w:val="21"/>
        </w:rPr>
        <w:t>八、</w:t>
      </w:r>
      <w:r>
        <w:rPr>
          <w:b/>
          <w:sz w:val="21"/>
        </w:rPr>
        <w:t>项目考核与</w:t>
      </w:r>
      <w:r>
        <w:rPr>
          <w:b/>
          <w:sz w:val="21"/>
        </w:rPr>
        <w:t>违约责任</w:t>
      </w:r>
    </w:p>
    <w:p>
      <w:pPr>
        <w:jc w:val="center"/>
      </w:pPr>
      <w:r>
        <w:rPr/>
        <w:t xml:space="preserve"> </w:t>
      </w:r>
    </w:p>
    <w:p/>
    <w:p>
      <w:pPr>
        <w:jc w:val="both"/>
      </w:pPr>
      <w:r>
        <w:rPr>
          <w:sz w:val="21"/>
        </w:rPr>
        <w:t>（一）</w:t>
      </w:r>
      <w:r>
        <w:rPr>
          <w:sz w:val="21"/>
        </w:rPr>
        <w:t>项目考核</w:t>
      </w:r>
    </w:p>
    <w:p>
      <w:pPr>
        <w:jc w:val="both"/>
      </w:pPr>
      <w:r>
        <w:rPr>
          <w:sz w:val="21"/>
        </w:rPr>
        <w:t>1、甲方建立考核评分制度，对乙方合同执行期间的服务态度及工作内容完成情况进行考核，并根据考核结果进行相应处理。</w:t>
      </w:r>
    </w:p>
    <w:p>
      <w:pPr>
        <w:jc w:val="both"/>
      </w:pPr>
      <w:r>
        <w:rPr>
          <w:sz w:val="21"/>
        </w:rPr>
        <w:t>2、乙方无条件接受甲方考核评分制度，甲方每3个月考核一次。</w:t>
      </w:r>
    </w:p>
    <w:p>
      <w:pPr>
        <w:jc w:val="both"/>
      </w:pPr>
      <w:r>
        <w:rPr>
          <w:sz w:val="21"/>
        </w:rPr>
        <w:t>3、由甲方对服务态度及工作完成情况进行扣分记录，形成考核成绩。每次扣分超过10分（不含10分）的，于每次款项支付中扣罚500元/分（仅对超过10分部分予以扣款，如扣分为11分，扣罚款项为（11-10）*500=500元）。乙方必须按甲方的要求进行整改。</w:t>
      </w:r>
    </w:p>
    <w:p>
      <w:pPr>
        <w:jc w:val="both"/>
      </w:pPr>
      <w:r>
        <w:rPr>
          <w:sz w:val="21"/>
        </w:rPr>
        <w:t>4、由甲方组建考核小组。</w:t>
      </w:r>
    </w:p>
    <w:p>
      <w:pPr>
        <w:jc w:val="both"/>
      </w:pPr>
      <w:r>
        <w:rPr>
          <w:sz w:val="21"/>
        </w:rPr>
        <w:t>5、考核指标评分表：</w:t>
      </w:r>
    </w:p>
    <w:tbl>
      <w:tblPr>
        <w:tblW w:w="0" w:type="auto"/>
        <w:tblBorders>
          <w:top w:val="none" w:color="000000" w:sz="4"/>
          <w:left w:val="none" w:color="000000" w:sz="4"/>
          <w:bottom w:val="none" w:color="000000" w:sz="4"/>
          <w:right w:val="none" w:color="000000" w:sz="4"/>
          <w:insideH w:val="none"/>
          <w:insideV w:val="none"/>
        </w:tblBorders>
      </w:tblPr>
      <w:tblGrid>
        <w:gridCol w:w="606"/>
        <w:gridCol w:w="4918"/>
        <w:gridCol w:w="2779"/>
      </w:tblGrid>
      <w:tr>
        <w:tc>
          <w:tcPr>
            <w:tcW w:type="dxa" w:w="60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918"/>
            <w:tcBorders>
              <w:top w:val="single" w:color="000000" w:sz="4"/>
              <w:left w:val="single" w:color="000000" w:sz="4"/>
              <w:bottom w:val="single" w:color="000000" w:sz="4"/>
              <w:right w:val="single" w:color="000000" w:sz="4"/>
            </w:tcBorders>
            <w:vAlign w:val="top"/>
          </w:tcPr>
          <w:p>
            <w:pPr>
              <w:jc w:val="center"/>
            </w:pPr>
            <w:r>
              <w:rPr>
                <w:b/>
                <w:sz w:val="21"/>
              </w:rPr>
              <w:t>指标要求</w:t>
            </w:r>
          </w:p>
        </w:tc>
        <w:tc>
          <w:tcPr>
            <w:tcW w:type="dxa" w:w="2779"/>
            <w:tcBorders>
              <w:top w:val="single" w:color="000000" w:sz="4"/>
              <w:left w:val="single" w:color="000000" w:sz="4"/>
              <w:bottom w:val="single" w:color="000000" w:sz="4"/>
              <w:right w:val="single" w:color="000000" w:sz="4"/>
            </w:tcBorders>
            <w:vAlign w:val="top"/>
          </w:tcPr>
          <w:p>
            <w:pPr>
              <w:jc w:val="center"/>
            </w:pPr>
            <w:r>
              <w:rPr>
                <w:b/>
                <w:sz w:val="21"/>
              </w:rPr>
              <w:t>扣分标准</w:t>
            </w:r>
          </w:p>
        </w:tc>
      </w:tr>
      <w:tr>
        <w:tc>
          <w:tcPr>
            <w:tcW w:type="dxa" w:w="60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918"/>
            <w:tcBorders>
              <w:top w:val="none" w:color="000000" w:sz="4"/>
              <w:left w:val="single" w:color="000000" w:sz="4"/>
              <w:bottom w:val="single" w:color="000000" w:sz="4"/>
              <w:right w:val="single" w:color="000000" w:sz="4"/>
            </w:tcBorders>
            <w:vAlign w:val="top"/>
          </w:tcPr>
          <w:p>
            <w:pPr>
              <w:jc w:val="both"/>
            </w:pPr>
            <w:r>
              <w:rPr>
                <w:sz w:val="21"/>
              </w:rPr>
              <w:t>工作人员服务态度不端正，如恶言恶语、推诿责任、未经采购人同意进入禁入区域等。</w:t>
            </w:r>
          </w:p>
        </w:tc>
        <w:tc>
          <w:tcPr>
            <w:tcW w:type="dxa" w:w="2779"/>
            <w:tcBorders>
              <w:top w:val="none" w:color="000000" w:sz="4"/>
              <w:left w:val="single" w:color="000000" w:sz="4"/>
              <w:bottom w:val="single" w:color="000000" w:sz="4"/>
              <w:right w:val="single" w:color="000000" w:sz="4"/>
            </w:tcBorders>
            <w:vAlign w:val="top"/>
          </w:tcPr>
          <w:p>
            <w:pPr>
              <w:jc w:val="both"/>
            </w:pPr>
            <w:r>
              <w:rPr>
                <w:sz w:val="21"/>
              </w:rPr>
              <w:t>每发生一次扣</w:t>
            </w:r>
            <w:r>
              <w:rPr>
                <w:sz w:val="21"/>
              </w:rPr>
              <w:t>2分。</w:t>
            </w:r>
          </w:p>
        </w:tc>
      </w:tr>
      <w:tr>
        <w:tc>
          <w:tcPr>
            <w:tcW w:type="dxa" w:w="60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918"/>
            <w:tcBorders>
              <w:top w:val="none" w:color="000000" w:sz="4"/>
              <w:left w:val="single" w:color="000000" w:sz="4"/>
              <w:bottom w:val="single" w:color="000000" w:sz="4"/>
              <w:right w:val="single" w:color="000000" w:sz="4"/>
            </w:tcBorders>
            <w:vAlign w:val="top"/>
          </w:tcPr>
          <w:p>
            <w:pPr>
              <w:jc w:val="both"/>
            </w:pPr>
            <w:r>
              <w:rPr>
                <w:sz w:val="21"/>
              </w:rPr>
              <w:t>按要求做好项目各项工作，配合提供各类单证、凭证、发票。</w:t>
            </w:r>
          </w:p>
        </w:tc>
        <w:tc>
          <w:tcPr>
            <w:tcW w:type="dxa" w:w="2779"/>
            <w:tcBorders>
              <w:top w:val="none" w:color="000000" w:sz="4"/>
              <w:left w:val="single" w:color="000000" w:sz="4"/>
              <w:bottom w:val="single" w:color="000000" w:sz="4"/>
              <w:right w:val="single" w:color="000000" w:sz="4"/>
            </w:tcBorders>
            <w:vAlign w:val="top"/>
          </w:tcPr>
          <w:p>
            <w:pPr>
              <w:jc w:val="both"/>
            </w:pPr>
            <w:r>
              <w:rPr>
                <w:sz w:val="21"/>
              </w:rPr>
              <w:t>每缺少一张</w:t>
            </w:r>
            <w:r>
              <w:rPr>
                <w:sz w:val="21"/>
              </w:rPr>
              <w:t>单证或凭证或发票</w:t>
            </w:r>
            <w:r>
              <w:rPr>
                <w:sz w:val="21"/>
              </w:rPr>
              <w:t>扣</w:t>
            </w:r>
            <w:r>
              <w:rPr>
                <w:sz w:val="21"/>
              </w:rPr>
              <w:t>1分。</w:t>
            </w:r>
          </w:p>
        </w:tc>
      </w:tr>
    </w:tbl>
    <w:p>
      <w:pPr>
        <w:ind w:firstLine="420"/>
        <w:jc w:val="both"/>
      </w:pPr>
      <w:r>
        <w:rPr>
          <w:sz w:val="21"/>
        </w:rPr>
        <w:t>（二）违约责任</w:t>
      </w:r>
    </w:p>
    <w:p>
      <w:pPr>
        <w:ind w:firstLine="420"/>
        <w:jc w:val="both"/>
      </w:pPr>
      <w:r>
        <w:rPr>
          <w:sz w:val="21"/>
        </w:rPr>
        <w:t>1、甲方无正当理由拒收货物、拒付货款的，由甲方向乙方支付当期应付货款总价的5%违约金。</w:t>
      </w:r>
    </w:p>
    <w:p>
      <w:pPr>
        <w:ind w:firstLine="420"/>
        <w:jc w:val="both"/>
      </w:pPr>
      <w:r>
        <w:rPr>
          <w:sz w:val="21"/>
        </w:rPr>
        <w:t>2、乙方在任何情况下都不得转让其应履行的合同义务，否则甲方有权终止合同。</w:t>
      </w:r>
    </w:p>
    <w:p>
      <w:pPr>
        <w:ind w:firstLine="420"/>
        <w:jc w:val="both"/>
      </w:pPr>
      <w:r>
        <w:rPr>
          <w:sz w:val="21"/>
        </w:rPr>
        <w:t>3、乙方所交的货物、型号、规格不符合合同、采购文件规定的，甲方有权拒收，乙方向甲方支付当期应付货款总价的5%违约金。乙方逾期交付货物的，每逾期1天，乙方向甲方支付逾期交货部分的货款总额的5‰的违约金，累计不超过逾期交货部分的货款总额的5%。甲方可暂时通过其他途径采购，由此产生高于实际供货价的差额部分，由乙方支付。</w:t>
      </w:r>
    </w:p>
    <w:p>
      <w:pPr>
        <w:ind w:firstLine="420"/>
        <w:jc w:val="both"/>
      </w:pPr>
      <w:r>
        <w:rPr>
          <w:sz w:val="21"/>
        </w:rPr>
        <w:t>4、如乙方交付货物的品质、性能、技术标准、质量要求不符合合同约定的，甲方有权向乙方提出更换货物，乙方应在甲方提出之日起15 天内更换货物，此时段按逾期交货处理；如经更换，货物质量仍不符合合同约定的，乙方无条件退货，并退回对应货款，并赔偿甲方因此遭受的损失。</w:t>
      </w:r>
    </w:p>
    <w:p>
      <w:pPr>
        <w:ind w:firstLine="420"/>
        <w:jc w:val="both"/>
      </w:pPr>
      <w:r>
        <w:rPr>
          <w:sz w:val="21"/>
        </w:rPr>
        <w:t>5、乙方所供货物必须权属清楚，不得侵害他人的知识产权，否则构成对甲方违约，并承担相应的赔偿责任，不论本项目是否变更、解除或终止，本条款在本合同生效之日起永久有效，不受本合同有效期或质保期之限。</w:t>
      </w:r>
    </w:p>
    <w:p>
      <w:pPr>
        <w:ind w:firstLine="420"/>
        <w:jc w:val="both"/>
      </w:pPr>
      <w:r>
        <w:rPr>
          <w:sz w:val="21"/>
        </w:rPr>
        <w:t>6、乙方如未能严格按照本合同验收要求、售后服务执行时，影响甲方业务，由乙方向甲方支付合同总价的5%的违约金，并追究违约责任。</w:t>
      </w:r>
    </w:p>
    <w:p>
      <w:pPr>
        <w:jc w:val="center"/>
      </w:pPr>
      <w:r>
        <w:rPr>
          <w:b/>
          <w:sz w:val="21"/>
        </w:rPr>
        <w:t>九</w:t>
      </w:r>
      <w:r>
        <w:rPr>
          <w:b/>
          <w:sz w:val="21"/>
        </w:rPr>
        <w:t>.争议及解决办法</w:t>
      </w:r>
    </w:p>
    <w:p>
      <w:pPr>
        <w:ind w:firstLine="420"/>
        <w:jc w:val="both"/>
      </w:pPr>
      <w:r>
        <w:rPr>
          <w:sz w:val="21"/>
        </w:rPr>
        <w:t>（一）因货物的质量问题发生争议，由广州市质量技术监督局或其指定的质量鉴定单位进行质量鉴定。货物符合质量标准的，鉴定费由甲方承担；货物不符合质量标准的，鉴定费由乙方承担。</w:t>
      </w:r>
    </w:p>
    <w:p>
      <w:pPr>
        <w:ind w:firstLine="420"/>
        <w:jc w:val="both"/>
      </w:pPr>
      <w:r>
        <w:rPr>
          <w:sz w:val="21"/>
        </w:rPr>
        <w:t>（二）合同履行过程中如一方提议对合同做修改或补充，必须在所需更改的内容生效十日以前提出，经得另一方同意并鉴定、补充合同书后进行。</w:t>
      </w:r>
    </w:p>
    <w:p>
      <w:pPr>
        <w:ind w:firstLine="420"/>
        <w:jc w:val="both"/>
      </w:pPr>
      <w:r>
        <w:rPr>
          <w:sz w:val="21"/>
        </w:rPr>
        <w:t>（三）本合同发生争议，由双方协商或由政府采购监管部门调解解决，协商或调解不成时按以下第</w:t>
      </w:r>
      <w:r>
        <w:rPr>
          <w:sz w:val="21"/>
        </w:rPr>
        <w:t>2种方式解决：</w:t>
      </w:r>
    </w:p>
    <w:p>
      <w:pPr>
        <w:ind w:firstLine="420"/>
        <w:jc w:val="both"/>
      </w:pPr>
      <w:r>
        <w:rPr>
          <w:sz w:val="21"/>
        </w:rPr>
        <w:t>1. 广州仲裁委员会仲裁；</w:t>
      </w:r>
    </w:p>
    <w:p>
      <w:pPr>
        <w:ind w:firstLine="420"/>
        <w:jc w:val="both"/>
      </w:pPr>
      <w:r>
        <w:rPr>
          <w:sz w:val="21"/>
        </w:rPr>
        <w:t>2. 向甲方所在地人民法院提起诉讼。</w:t>
      </w:r>
    </w:p>
    <w:p>
      <w:pPr>
        <w:ind w:firstLine="420"/>
        <w:jc w:val="both"/>
      </w:pPr>
      <w:r>
        <w:rPr>
          <w:sz w:val="21"/>
        </w:rPr>
        <w:t>（四）在诉讼期间，双方应继续履行合同其余部分。</w:t>
      </w:r>
    </w:p>
    <w:p>
      <w:pPr>
        <w:jc w:val="center"/>
      </w:pPr>
      <w:r>
        <w:rPr>
          <w:b/>
          <w:sz w:val="21"/>
        </w:rPr>
        <w:t>十、不可抗力</w:t>
      </w:r>
    </w:p>
    <w:p>
      <w:pPr>
        <w:ind w:firstLine="420"/>
        <w:jc w:val="both"/>
      </w:pPr>
      <w:r>
        <w:rPr>
          <w:sz w:val="21"/>
        </w:rPr>
        <w:t>（一）由于不可预见、不可避免、不可克服等不可抗力的原因，一方不能履行合同义务的，应当在不可抗力发生之日起天内以书面形式通知对方，证明不可抗力事件的存在。</w:t>
      </w:r>
    </w:p>
    <w:p>
      <w:pPr>
        <w:ind w:firstLine="420"/>
        <w:jc w:val="both"/>
      </w:pPr>
      <w:r>
        <w:rPr>
          <w:sz w:val="21"/>
        </w:rPr>
        <w:t>（二）不可抗力事件发生后，甲方和乙方应当积极寻求以合理的方式履行本合同。如不可抗力无法消除，致使合同目的无法实现的，双方均有权解除合同，且均不互相索赔。</w:t>
      </w:r>
    </w:p>
    <w:p>
      <w:pPr>
        <w:jc w:val="center"/>
      </w:pPr>
      <w:r>
        <w:rPr>
          <w:b/>
          <w:sz w:val="21"/>
        </w:rPr>
        <w:t>十一、其他</w:t>
      </w:r>
    </w:p>
    <w:p>
      <w:pPr>
        <w:ind w:firstLine="420"/>
        <w:jc w:val="both"/>
      </w:pPr>
      <w:r>
        <w:rPr>
          <w:sz w:val="21"/>
        </w:rPr>
        <w:t>(一)本合同一式肆份，具有同等效力，甲方执贰份、乙方执贰份。合同自双方签字盖章之日起生效。</w:t>
      </w:r>
    </w:p>
    <w:p>
      <w:pPr>
        <w:ind w:firstLine="420"/>
        <w:jc w:val="both"/>
      </w:pPr>
      <w:r>
        <w:rPr>
          <w:sz w:val="21"/>
        </w:rPr>
        <w:t>(二)本合同未尽事宜，由双方协商处理。</w:t>
      </w:r>
    </w:p>
    <w:p>
      <w:pPr>
        <w:jc w:val="both"/>
      </w:pPr>
    </w:p>
    <w:p/>
    <w:p/>
    <w:p>
      <w:pPr>
        <w:jc w:val="both"/>
      </w:pPr>
      <w:r>
        <w:rPr>
          <w:sz w:val="21"/>
        </w:rPr>
        <w:t>甲方（盖章）：广州医科大学附属第五医院</w:t>
      </w:r>
    </w:p>
    <w:p>
      <w:pPr>
        <w:jc w:val="both"/>
      </w:pPr>
    </w:p>
    <w:p>
      <w:pPr>
        <w:jc w:val="both"/>
      </w:pPr>
      <w:r>
        <w:rPr>
          <w:sz w:val="21"/>
        </w:rPr>
        <w:t>法人</w:t>
      </w:r>
      <w:r>
        <w:rPr>
          <w:sz w:val="21"/>
        </w:rPr>
        <w:t>/授权代表：</w:t>
      </w:r>
    </w:p>
    <w:p>
      <w:pPr>
        <w:jc w:val="both"/>
      </w:pPr>
    </w:p>
    <w:p>
      <w:pPr>
        <w:jc w:val="both"/>
      </w:pPr>
      <w:r>
        <w:rPr>
          <w:sz w:val="21"/>
        </w:rPr>
        <w:t>地址：广州市黄埔区港湾路</w:t>
      </w:r>
      <w:r>
        <w:rPr>
          <w:sz w:val="21"/>
        </w:rPr>
        <w:t>621号</w:t>
      </w:r>
    </w:p>
    <w:p>
      <w:pPr>
        <w:ind w:firstLine="630"/>
        <w:jc w:val="both"/>
      </w:pPr>
      <w:r>
        <w:rPr>
          <w:sz w:val="21"/>
        </w:rPr>
        <w:t>广州医科大学附属第五医院</w:t>
      </w:r>
    </w:p>
    <w:p>
      <w:pPr>
        <w:jc w:val="both"/>
      </w:pPr>
      <w:r>
        <w:rPr>
          <w:sz w:val="21"/>
        </w:rPr>
        <w:t>电话：</w:t>
      </w:r>
      <w:r>
        <w:rPr>
          <w:sz w:val="21"/>
        </w:rPr>
        <w:t>020-82039434</w:t>
      </w:r>
    </w:p>
    <w:p>
      <w:pPr>
        <w:jc w:val="both"/>
      </w:pPr>
      <w:r>
        <w:rPr>
          <w:sz w:val="21"/>
        </w:rPr>
        <w:t>传真：</w:t>
      </w:r>
    </w:p>
    <w:p>
      <w:pPr>
        <w:jc w:val="both"/>
      </w:pPr>
      <w:r>
        <w:rPr>
          <w:sz w:val="21"/>
        </w:rPr>
        <w:t>开户行：中国工商银行广州黄埔支行</w:t>
      </w:r>
    </w:p>
    <w:p>
      <w:pPr>
        <w:jc w:val="both"/>
      </w:pPr>
      <w:r>
        <w:rPr>
          <w:sz w:val="21"/>
        </w:rPr>
        <w:t>户名：广州医科大学附属第五医院</w:t>
      </w:r>
    </w:p>
    <w:p>
      <w:pPr>
        <w:jc w:val="both"/>
      </w:pPr>
      <w:r>
        <w:rPr>
          <w:sz w:val="21"/>
        </w:rPr>
        <w:t>账号：</w:t>
      </w:r>
      <w:r>
        <w:rPr>
          <w:sz w:val="21"/>
        </w:rPr>
        <w:t>3602001309200204110</w:t>
      </w: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both"/>
      </w:pPr>
    </w:p>
    <w:p>
      <w:pPr>
        <w:ind w:firstLine="420"/>
        <w:jc w:val="both"/>
      </w:pPr>
    </w:p>
    <w:p>
      <w:pPr>
        <w:jc w:val="both"/>
      </w:pPr>
      <w:r>
        <w:rPr>
          <w:sz w:val="21"/>
        </w:rPr>
        <w:t>乙方（盖章）：</w:t>
      </w:r>
    </w:p>
    <w:p>
      <w:pPr>
        <w:jc w:val="both"/>
      </w:pPr>
    </w:p>
    <w:p>
      <w:pPr>
        <w:jc w:val="both"/>
      </w:pPr>
      <w:r>
        <w:rPr>
          <w:sz w:val="21"/>
        </w:rPr>
        <w:t>法人</w:t>
      </w:r>
      <w:r>
        <w:rPr>
          <w:sz w:val="21"/>
        </w:rPr>
        <w:t>/授权代表：</w:t>
      </w:r>
    </w:p>
    <w:p>
      <w:pPr>
        <w:jc w:val="both"/>
      </w:pPr>
    </w:p>
    <w:p>
      <w:pPr>
        <w:jc w:val="both"/>
      </w:pPr>
      <w:r>
        <w:rPr>
          <w:sz w:val="21"/>
        </w:rPr>
        <w:t>地址：</w:t>
      </w:r>
    </w:p>
    <w:p>
      <w:pPr>
        <w:jc w:val="both"/>
      </w:pPr>
    </w:p>
    <w:p>
      <w:pPr>
        <w:jc w:val="both"/>
      </w:pPr>
      <w:r>
        <w:rPr>
          <w:sz w:val="21"/>
        </w:rPr>
        <w:t>电话：</w:t>
      </w:r>
    </w:p>
    <w:p>
      <w:pPr>
        <w:jc w:val="both"/>
      </w:pPr>
      <w:r>
        <w:rPr>
          <w:sz w:val="21"/>
        </w:rPr>
        <w:t>传真：</w:t>
      </w:r>
    </w:p>
    <w:p>
      <w:pPr>
        <w:jc w:val="both"/>
      </w:pPr>
      <w:r>
        <w:rPr>
          <w:sz w:val="21"/>
        </w:rPr>
        <w:t>开户行：</w:t>
      </w:r>
    </w:p>
    <w:p>
      <w:pPr>
        <w:jc w:val="both"/>
      </w:pPr>
      <w:r>
        <w:rPr>
          <w:sz w:val="21"/>
        </w:rPr>
        <w:t>户名：</w:t>
      </w:r>
    </w:p>
    <w:p>
      <w:pPr>
        <w:jc w:val="both"/>
      </w:pPr>
      <w:r>
        <w:rPr>
          <w:sz w:val="21"/>
        </w:rPr>
        <w:t>账号：</w:t>
      </w: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
    <w:p>
      <w:pPr>
        <w:jc w:val="center"/>
      </w:pPr>
      <w:r>
        <w:rPr>
          <w:b/>
          <w:sz w:val="32"/>
        </w:rPr>
        <w:t>广州医科大学附属第五医院招标廉洁协议</w:t>
      </w:r>
    </w:p>
    <w:p>
      <w:pPr>
        <w:jc w:val="both"/>
      </w:pPr>
    </w:p>
    <w:p>
      <w:pPr>
        <w:ind w:firstLine="480"/>
        <w:jc w:val="both"/>
      </w:pPr>
      <w:r>
        <w:rPr>
          <w:sz w:val="21"/>
        </w:rPr>
        <w:t>甲方：广州医科大学附属第五医院</w:t>
      </w:r>
    </w:p>
    <w:p>
      <w:pPr>
        <w:ind w:firstLine="480"/>
        <w:jc w:val="both"/>
      </w:pPr>
    </w:p>
    <w:p>
      <w:pPr>
        <w:ind w:firstLine="480"/>
        <w:jc w:val="both"/>
      </w:pPr>
      <w:r>
        <w:rPr>
          <w:sz w:val="21"/>
        </w:rPr>
        <w:t>乙方：</w:t>
      </w:r>
      <w:r>
        <w:rPr>
          <w:sz w:val="21"/>
          <w:u w:val="single"/>
        </w:rPr>
        <w:t xml:space="preserve">                       </w:t>
      </w:r>
    </w:p>
    <w:p>
      <w:pPr>
        <w:ind w:firstLine="420"/>
        <w:jc w:val="both"/>
      </w:pPr>
    </w:p>
    <w:p>
      <w:pPr>
        <w:ind w:firstLine="420"/>
        <w:jc w:val="both"/>
      </w:pPr>
      <w:r>
        <w:rPr>
          <w:sz w:val="21"/>
        </w:rPr>
        <w:t>为加强医院廉政建设，促进医院与企业廉洁合作，有效防范商业贿赂行为。经甲、乙双方协商，同意签订本协议，并共同遵守。</w:t>
      </w:r>
    </w:p>
    <w:p>
      <w:pPr>
        <w:ind w:firstLine="422"/>
        <w:jc w:val="both"/>
      </w:pPr>
      <w:r>
        <w:rPr>
          <w:b/>
          <w:sz w:val="21"/>
        </w:rPr>
        <w:t>一、甲方责任和廉洁要求</w:t>
      </w:r>
    </w:p>
    <w:p>
      <w:pPr>
        <w:ind w:firstLine="420"/>
        <w:jc w:val="both"/>
      </w:pPr>
      <w:r>
        <w:rPr>
          <w:sz w:val="21"/>
        </w:rPr>
        <w:t>甲方在招标、遴选、议标、合同签订、合同履约、合同付款、合同结算等过程中，要遵守以下廉洁约定：</w:t>
      </w:r>
    </w:p>
    <w:p>
      <w:pPr>
        <w:ind w:firstLine="420"/>
        <w:jc w:val="both"/>
      </w:pPr>
      <w:r>
        <w:rPr>
          <w:sz w:val="21"/>
        </w:rPr>
        <w:t>1.甲方在进行上述业务活动过程中，应严格遵守国家法律法规、行业纪律和医院规章制度，严格执行双方确定的合同、协议和承诺；</w:t>
      </w:r>
    </w:p>
    <w:p>
      <w:pPr>
        <w:ind w:firstLine="420"/>
        <w:jc w:val="both"/>
      </w:pPr>
      <w:r>
        <w:rPr>
          <w:sz w:val="21"/>
        </w:rPr>
        <w:t>2.甲方人员在进行上述活动，如与乙方存在利益关联或者亲属关系的，应主动向业务主管部门报告，申请回避；</w:t>
      </w:r>
    </w:p>
    <w:p>
      <w:pPr>
        <w:ind w:firstLine="420"/>
        <w:jc w:val="both"/>
      </w:pPr>
      <w:r>
        <w:rPr>
          <w:sz w:val="21"/>
        </w:rPr>
        <w:t>3.甲方的人员必须严格执行廉洁自律各项规定，不得向乙方索要任何形式的个人利益，不得收受乙方赠送的礼品、礼金和有价证券，不得接受乙方宴请、免费旅游、房屋装修、出国留学或其它财产性利益；</w:t>
      </w:r>
    </w:p>
    <w:p>
      <w:pPr>
        <w:ind w:firstLine="420"/>
        <w:jc w:val="both"/>
      </w:pPr>
      <w:r>
        <w:rPr>
          <w:sz w:val="21"/>
        </w:rPr>
        <w:t>4.甲方应向乙方介绍本单位的有关廉政建设的各项制度和规定，有权对乙方在业务活动中保持廉洁的情况实行监督，如发现乙方的人员有不廉洁行为，应及时采取措施，终止其不廉洁行为的继续发生。</w:t>
      </w:r>
    </w:p>
    <w:p>
      <w:pPr>
        <w:ind w:firstLine="422"/>
        <w:jc w:val="both"/>
      </w:pPr>
      <w:r>
        <w:rPr>
          <w:b/>
          <w:sz w:val="21"/>
        </w:rPr>
        <w:t>二、乙方责任和廉洁要求</w:t>
      </w:r>
    </w:p>
    <w:p>
      <w:pPr>
        <w:ind w:firstLine="420"/>
        <w:jc w:val="both"/>
      </w:pPr>
      <w:r>
        <w:rPr>
          <w:sz w:val="21"/>
        </w:rPr>
        <w:t>1.乙方加强对应标项目工作的乙方人员的廉洁教育，主动如实向甲方报告是否与甲方的员工存在利益关联或亲属关系的情况；</w:t>
      </w:r>
    </w:p>
    <w:p>
      <w:pPr>
        <w:ind w:firstLine="420"/>
        <w:jc w:val="both"/>
      </w:pPr>
      <w:r>
        <w:rPr>
          <w:sz w:val="21"/>
        </w:rPr>
        <w:t>2.业务活动坚持“公开、公正、诚信、透明”原则，乙方不得与甲方的人员就业务事项进行私下商谈或者达成默契，不得与其他单位串通投标，不得采取不正当手段竞争业务；</w:t>
      </w:r>
    </w:p>
    <w:p>
      <w:pPr>
        <w:ind w:firstLine="420"/>
        <w:jc w:val="both"/>
      </w:pPr>
      <w:r>
        <w:rPr>
          <w:sz w:val="21"/>
        </w:rPr>
        <w:t>3.乙方承诺杜绝实施商业贿赂行为，不以任何名义宴请采购人的人员及其亲属，或为甲方的人员及其亲属提供娱乐服务、免费旅游、房屋装修、出国留学或其它财产性利益，或赠送礼品、礼金及有价证券等，不以任何其他方式为甲方的人员及其亲属赠送、提供其他未列举的任何形式的好处与利益；</w:t>
      </w:r>
    </w:p>
    <w:p>
      <w:pPr>
        <w:ind w:firstLine="420"/>
        <w:jc w:val="both"/>
      </w:pPr>
      <w:r>
        <w:rPr>
          <w:sz w:val="21"/>
        </w:rPr>
        <w:t>4.乙方在业务活动过程中发现甲方的人员有不廉洁的行为，须及时采取措施，终止其不廉洁行为的继续发生。</w:t>
      </w:r>
    </w:p>
    <w:p>
      <w:pPr>
        <w:ind w:firstLine="422"/>
        <w:jc w:val="both"/>
      </w:pPr>
      <w:r>
        <w:rPr>
          <w:b/>
          <w:sz w:val="21"/>
        </w:rPr>
        <w:t>三、违约的处理</w:t>
      </w:r>
    </w:p>
    <w:p>
      <w:pPr>
        <w:ind w:firstLine="420"/>
        <w:jc w:val="both"/>
      </w:pPr>
      <w:r>
        <w:rPr>
          <w:sz w:val="21"/>
        </w:rPr>
        <w:t>1.甲乙双方如违反上述协议任何一条，被发现或被投诉，一经查实，即构成违约。如甲方违约，按管理权限，依据有关规定，给予党纪、政纪或组织处理；如乙方违约，甲方有权立即终止与乙方的所有项目合同和其他一切业务，并由乙方赔偿甲方因此造成的损失以及发生的一切费用；涉嫌犯罪的，移交司法机关处理。</w:t>
      </w:r>
    </w:p>
    <w:p>
      <w:pPr>
        <w:ind w:firstLine="420"/>
        <w:jc w:val="both"/>
      </w:pPr>
      <w:r>
        <w:rPr>
          <w:sz w:val="21"/>
        </w:rPr>
        <w:t>2.如乙方被政府部门列入商业贿赂不良记录，则严格按照《中华人民共和国反不正当竞争法》相关规定处理。</w:t>
      </w:r>
    </w:p>
    <w:p>
      <w:pPr>
        <w:ind w:firstLine="422"/>
        <w:jc w:val="both"/>
      </w:pPr>
      <w:r>
        <w:rPr>
          <w:b/>
          <w:sz w:val="21"/>
        </w:rPr>
        <w:t>四、</w:t>
      </w:r>
      <w:r>
        <w:rPr>
          <w:sz w:val="21"/>
        </w:rPr>
        <w:t>本协议作为甲乙双方业务合同的重要组成部分，与业务合同一并执行，具有同等法律效力。</w:t>
      </w:r>
    </w:p>
    <w:p>
      <w:pPr>
        <w:ind w:firstLine="422"/>
        <w:jc w:val="both"/>
      </w:pPr>
      <w:r>
        <w:rPr>
          <w:b/>
          <w:sz w:val="21"/>
        </w:rPr>
        <w:t>五、</w:t>
      </w:r>
      <w:r>
        <w:rPr>
          <w:sz w:val="21"/>
        </w:rPr>
        <w:t>本协议一式贰份，甲、乙双方各执壹份，并从签订之日起生效。</w:t>
      </w:r>
    </w:p>
    <w:p>
      <w:pPr>
        <w:ind w:firstLine="420"/>
        <w:jc w:val="both"/>
      </w:pPr>
    </w:p>
    <w:p>
      <w:pPr>
        <w:ind w:firstLine="420"/>
        <w:jc w:val="both"/>
      </w:pPr>
    </w:p>
    <w:p>
      <w:pPr>
        <w:jc w:val="both"/>
      </w:pPr>
    </w:p>
    <w:p>
      <w:pPr>
        <w:ind w:firstLine="420"/>
        <w:jc w:val="both"/>
      </w:pPr>
      <w:r>
        <w:rPr>
          <w:sz w:val="21"/>
        </w:rPr>
        <w:t xml:space="preserve"> </w:t>
      </w:r>
    </w:p>
    <w:p>
      <w:pPr>
        <w:ind w:firstLine="420"/>
        <w:jc w:val="both"/>
      </w:pPr>
      <w:r>
        <w:rPr>
          <w:sz w:val="21"/>
        </w:rPr>
        <w:t>甲方（盖章）：</w:t>
      </w:r>
      <w:r>
        <w:rPr>
          <w:sz w:val="21"/>
        </w:rPr>
        <w:t xml:space="preserve">                    </w:t>
      </w:r>
      <w:r>
        <w:rPr>
          <w:sz w:val="21"/>
        </w:rPr>
        <w:t>乙方（盖章）：</w:t>
      </w:r>
    </w:p>
    <w:p>
      <w:pPr>
        <w:ind w:firstLine="420"/>
        <w:jc w:val="both"/>
      </w:pPr>
    </w:p>
    <w:p>
      <w:pPr>
        <w:ind w:firstLine="420"/>
        <w:jc w:val="both"/>
      </w:pPr>
      <w:r>
        <w:rPr>
          <w:sz w:val="21"/>
        </w:rPr>
        <w:t>法人代表（负责人）：</w:t>
      </w:r>
      <w:r>
        <w:rPr>
          <w:sz w:val="21"/>
        </w:rPr>
        <w:t xml:space="preserve">              </w:t>
      </w:r>
      <w:r>
        <w:rPr>
          <w:sz w:val="21"/>
        </w:rPr>
        <w:t>法人代表（负责人）：</w:t>
      </w:r>
    </w:p>
    <w:p>
      <w:pPr>
        <w:ind w:firstLine="420"/>
        <w:jc w:val="both"/>
      </w:pPr>
    </w:p>
    <w:p>
      <w:pPr>
        <w:ind w:firstLine="420"/>
        <w:jc w:val="both"/>
      </w:pPr>
      <w:r>
        <w:rPr>
          <w:sz w:val="21"/>
        </w:rPr>
        <w:t>经办人签名：</w:t>
      </w:r>
      <w:r>
        <w:rPr>
          <w:sz w:val="21"/>
        </w:rPr>
        <w:t xml:space="preserve">                      </w:t>
      </w:r>
      <w:r>
        <w:rPr>
          <w:sz w:val="21"/>
        </w:rPr>
        <w:t>经办人签名：</w:t>
      </w:r>
    </w:p>
    <w:p>
      <w:pPr>
        <w:ind w:firstLine="420"/>
        <w:jc w:val="both"/>
      </w:pPr>
    </w:p>
    <w:p>
      <w:pPr>
        <w:ind w:firstLine="420"/>
        <w:jc w:val="both"/>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440101-2023-27128</w:t>
      </w:r>
    </w:p>
    <w:p>
      <w:pPr>
        <w:jc w:val="center"/>
      </w:pPr>
      <w:r>
        <w:rPr>
          <w:b/>
          <w:sz w:val="24"/>
        </w:rPr>
        <w:t>采购项目编号：</w:t>
      </w:r>
      <w:r>
        <w:rPr>
          <w:b/>
          <w:sz w:val="24"/>
        </w:rPr>
        <w:t>GZGK23D281A0888Z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广州医科大学附属第五医院零散配件采购供应商资格项目</w:t>
      </w:r>
      <w:r>
        <w:rPr>
          <w:u w:val="single"/>
        </w:rPr>
        <w:t>”</w:t>
      </w:r>
      <w:r>
        <w:rPr/>
        <w:t>项目的招标[采购项目编号为：</w:t>
      </w:r>
      <w:r>
        <w:rPr>
          <w:u w:val="single"/>
        </w:rPr>
        <w:t>GZGK23D281A0888Z</w:t>
      </w:r>
      <w:r>
        <w:rPr/>
        <w:t>]，我方愿参与投标。</w:t>
      </w:r>
    </w:p>
    <w:p>
      <w:pPr>
        <w:ind w:firstLine="480"/>
      </w:pPr>
      <w:r>
        <w:rPr/>
        <w:t>我方确认收到贵方提供的</w:t>
      </w:r>
      <w:r>
        <w:rPr>
          <w:u w:val="single"/>
        </w:rPr>
        <w:t>“</w:t>
      </w:r>
      <w:r>
        <w:rPr>
          <w:u w:val="single"/>
        </w:rPr>
        <w:t>广州医科大学附属第五医院零散配件采购供应商资格项目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广州医科大学附属第五医院零散配件采购供应商资格项目</w:t>
      </w:r>
      <w:r>
        <w:rPr/>
        <w:t>”项目采购[采购项目编号为</w:t>
      </w:r>
      <w:r>
        <w:rPr/>
        <w:t>GZGK23D281A0888Z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广州医科大学附属第五医院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广州医科大学附属第五医院零散配件采购供应商资格项目</w:t>
      </w:r>
      <w:r>
        <w:rPr/>
        <w:t>招标中获中标（采购项目编号：</w:t>
      </w:r>
      <w:r>
        <w:rPr/>
        <w:t>GZGK23D281A0888Z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