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440101-2023-14724</w:t>
      </w:r>
    </w:p>
    <w:p>
      <w:pPr>
        <w:jc w:val="center"/>
      </w:pPr>
      <w:r>
        <w:rPr>
          <w:b/>
          <w:sz w:val="24"/>
        </w:rPr>
        <w:t>采购项目编号：</w:t>
      </w:r>
      <w:r>
        <w:rPr>
          <w:b/>
          <w:sz w:val="24"/>
        </w:rPr>
        <w:t>GZGK23D137C0391Z</w:t>
      </w:r>
    </w:p>
    <w:p>
      <w:pPr>
        <w:jc w:val="center"/>
      </w:pPr>
      <w:r>
        <w:rPr>
          <w:b/>
          <w:sz w:val="24"/>
        </w:rPr>
        <w:t>项目名称：</w:t>
      </w:r>
      <w:r>
        <w:rPr>
          <w:b/>
          <w:sz w:val="24"/>
        </w:rPr>
        <w:t>广东省产业就业培训基地数字化培训教学资源库采购项目</w:t>
      </w:r>
    </w:p>
    <w:p>
      <w:pPr>
        <w:jc w:val="center"/>
      </w:pPr>
      <w:r>
        <w:rPr>
          <w:b/>
          <w:sz w:val="24"/>
        </w:rPr>
        <w:t>采购人：</w:t>
      </w:r>
      <w:r>
        <w:rPr>
          <w:b/>
          <w:sz w:val="24"/>
        </w:rPr>
        <w:t>广州市机电技师学院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广州市机电技师学院</w:t>
      </w:r>
      <w:r>
        <w:rPr/>
        <w:t>的委托，采用</w:t>
      </w:r>
      <w:r>
        <w:rPr/>
        <w:t>公开招标</w:t>
      </w:r>
      <w:r>
        <w:rPr/>
        <w:t>方式组织采购</w:t>
      </w:r>
      <w:r>
        <w:rPr/>
        <w:t>广东省产业就业培训基地数字化培训教学资源库采购项目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广东省产业就业培训基地数字化培训教学资源库采购项目</w:t>
      </w:r>
    </w:p>
    <w:p>
      <w:pPr>
        <w:ind w:firstLine="480"/>
      </w:pPr>
      <w:r>
        <w:rPr/>
        <w:t>采购计划编号：</w:t>
      </w:r>
      <w:r>
        <w:rPr/>
        <w:t>440101-2023-14724</w:t>
      </w:r>
    </w:p>
    <w:p>
      <w:pPr>
        <w:ind w:firstLine="480"/>
      </w:pPr>
      <w:r>
        <w:rPr/>
        <w:t>采购项目编号：</w:t>
      </w:r>
      <w:r>
        <w:rPr/>
        <w:t>GZGK23D137C0391Z</w:t>
      </w:r>
    </w:p>
    <w:p>
      <w:pPr>
        <w:ind w:firstLine="480"/>
      </w:pPr>
      <w:r>
        <w:rPr/>
        <w:t>采购方式：</w:t>
      </w:r>
      <w:r>
        <w:rPr/>
        <w:t>公开招标</w:t>
      </w:r>
    </w:p>
    <w:p>
      <w:pPr>
        <w:ind w:firstLine="480"/>
      </w:pPr>
      <w:r>
        <w:rPr/>
        <w:t>预算金额：</w:t>
      </w:r>
      <w:r>
        <w:rPr/>
        <w:t>900,000.00</w:t>
      </w:r>
      <w:r>
        <w:rPr/>
        <w:t>元</w:t>
      </w:r>
    </w:p>
    <w:p>
      <w:r>
        <w:rPr>
          <w:b/>
          <w:sz w:val="24"/>
        </w:rPr>
        <w:t>2.项目内容及需求情况（采购项目技术规格、参数及要求）</w:t>
      </w:r>
    </w:p>
    <w:p>
      <w:pPr>
        <w:ind w:firstLine="480"/>
      </w:pPr>
    </w:p>
    <w:p/>
    <w:p>
      <w:r>
        <w:rPr/>
        <w:t>采购包1(广东省产业就业培训基地数字化培训教学资源库采购项目):</w:t>
      </w:r>
    </w:p>
    <w:p>
      <w:r>
        <w:rPr/>
        <w:t>采购包预算金额：900,000.00元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教育课程研究与开发服务</w:t>
            </w:r>
          </w:p>
        </w:tc>
        <w:tc>
          <w:tcPr>
            <w:tcW w:type="dxa" w:w="2136"/>
          </w:tcPr>
          <w:p>
            <w:r>
              <w:rPr/>
              <w:t>广东省产业就业培训基地数字化培训教学资源库采购项目</w:t>
            </w:r>
          </w:p>
        </w:tc>
        <w:tc>
          <w:tcPr>
            <w:tcW w:type="dxa" w:w="1187"/>
          </w:tcPr>
          <w:p>
            <w:r>
              <w:rPr/>
              <w:t>1(项)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采购包1（广东省产业就业培训基地数字化培训教学资源库采购项目）：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采购包1（广东省产业就业培训基地数字化培训教学资源库采购项目）：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广州市机电技师学院</w:t>
      </w:r>
    </w:p>
    <w:p>
      <w:pPr>
        <w:ind w:firstLine="480"/>
      </w:pPr>
      <w:r>
        <w:rPr/>
        <w:t>地址：</w:t>
      </w:r>
      <w:r>
        <w:rPr/>
        <w:t>广东省广州市白云区西洲北路148号</w:t>
      </w:r>
    </w:p>
    <w:p>
      <w:pPr>
        <w:ind w:firstLine="480"/>
      </w:pPr>
      <w:r>
        <w:rPr/>
        <w:t>联系方式：</w:t>
      </w:r>
      <w:r>
        <w:rPr/>
        <w:t>020-81972092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020-31603842、020-37635007</w:t>
      </w:r>
    </w:p>
    <w:p>
      <w:r>
        <w:rPr>
          <w:b/>
          <w:sz w:val="24"/>
        </w:rPr>
        <w:t>3.项目联系方式</w:t>
      </w:r>
    </w:p>
    <w:p>
      <w:pPr>
        <w:ind w:firstLine="480"/>
      </w:pPr>
      <w:r>
        <w:rPr/>
        <w:t>项目联系人：</w:t>
      </w:r>
      <w:r>
        <w:rPr/>
        <w:t>李国晨、张锡宇</w:t>
      </w:r>
    </w:p>
    <w:p>
      <w:pPr>
        <w:ind w:firstLine="480"/>
      </w:pPr>
      <w:r>
        <w:rPr/>
        <w:t>电话：</w:t>
      </w:r>
      <w:r>
        <w:rPr/>
        <w:t>020-31603842、020-37635007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GZGK23D137C0391Z</w:t>
      </w:r>
    </w:p>
    <w:p>
      <w:pPr>
        <w:jc w:val="both"/>
      </w:pPr>
      <w:r>
        <w:rPr>
          <w:b/>
          <w:sz w:val="21"/>
        </w:rPr>
        <w:t>（二）</w:t>
      </w:r>
      <w:r>
        <w:rPr>
          <w:b/>
          <w:sz w:val="21"/>
        </w:rPr>
        <w:t>项目名称：</w:t>
      </w:r>
      <w:r>
        <w:rPr>
          <w:sz w:val="21"/>
        </w:rPr>
        <w:t>广东省产业就业培训基地数字化培训教学资源库采购项目</w:t>
      </w:r>
    </w:p>
    <w:p>
      <w:pPr>
        <w:jc w:val="both"/>
      </w:pPr>
      <w:r>
        <w:rPr>
          <w:b/>
          <w:sz w:val="21"/>
        </w:rPr>
        <w:t>（三）</w:t>
      </w:r>
      <w:r>
        <w:rPr>
          <w:b/>
          <w:sz w:val="21"/>
        </w:rPr>
        <w:t>总体要求说明：</w:t>
      </w:r>
    </w:p>
    <w:p>
      <w:pPr>
        <w:ind w:firstLine="420"/>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ind w:firstLine="420"/>
        <w:jc w:val="both"/>
      </w:pPr>
      <w:r>
        <w:rPr>
          <w:sz w:val="21"/>
        </w:rPr>
        <w:t>2、</w:t>
      </w:r>
      <w:r>
        <w:rPr>
          <w:sz w:val="21"/>
        </w:rPr>
        <w:t>标有</w:t>
      </w:r>
      <w:r>
        <w:rPr>
          <w:sz w:val="21"/>
        </w:rPr>
        <w:t>“▲”的条款为重要性要求，投标人如有“▲”的条款未响应或负偏离的将被严重扣分。</w:t>
      </w:r>
    </w:p>
    <w:p>
      <w:pPr>
        <w:ind w:firstLine="420"/>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ind w:firstLine="420"/>
        <w:jc w:val="both"/>
      </w:pPr>
      <w:r>
        <w:rPr>
          <w:sz w:val="21"/>
        </w:rPr>
        <w:t>4、</w:t>
      </w:r>
      <w:r>
        <w:rPr>
          <w:sz w:val="21"/>
        </w:rPr>
        <w:t>投标人没有在投标文件中注明偏离（文字说明或在响应表注明）的参数、配置、条款视为被投标人完全接受。</w:t>
      </w:r>
    </w:p>
    <w:p>
      <w:pPr>
        <w:ind w:firstLine="420"/>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ind w:firstLine="420"/>
        <w:jc w:val="both"/>
      </w:pPr>
      <w:r>
        <w:rPr>
          <w:sz w:val="21"/>
        </w:rPr>
        <w:t>6、</w:t>
      </w:r>
      <w:r>
        <w:rPr>
          <w:sz w:val="21"/>
        </w:rPr>
        <w:t>不允许中标供应商</w:t>
      </w:r>
      <w:r>
        <w:rPr>
          <w:sz w:val="21"/>
        </w:rPr>
        <w:t>转包、分包项目内容</w:t>
      </w:r>
      <w:r>
        <w:rPr>
          <w:sz w:val="21"/>
        </w:rPr>
        <w:t>。</w:t>
      </w:r>
    </w:p>
    <w:p>
      <w:pPr>
        <w:ind w:firstLine="420"/>
        <w:jc w:val="both"/>
      </w:pPr>
      <w:r>
        <w:rPr>
          <w:sz w:val="21"/>
        </w:rPr>
        <w:t>7、</w:t>
      </w:r>
      <w:r>
        <w:rPr>
          <w:sz w:val="21"/>
        </w:rPr>
        <w:t>小型和微型企业、监狱企业和残疾人福利性单位必须按照招标</w:t>
      </w:r>
      <w:r>
        <w:rPr>
          <w:sz w:val="21"/>
        </w:rPr>
        <w:t>文件第三章</w:t>
      </w:r>
      <w:r>
        <w:rPr>
          <w:sz w:val="21"/>
        </w:rPr>
        <w:t>的内容提供相应的资料。</w:t>
      </w:r>
    </w:p>
    <w:p>
      <w:pPr>
        <w:ind w:firstLine="420"/>
        <w:jc w:val="both"/>
      </w:pPr>
      <w:r>
        <w:rPr>
          <w:sz w:val="21"/>
        </w:rPr>
        <w:t>8、</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w:t>
      </w:r>
      <w:r>
        <w:rPr>
          <w:sz w:val="21"/>
        </w:rPr>
        <w:t>广州市先烈中路</w:t>
      </w:r>
      <w:r>
        <w:rPr>
          <w:sz w:val="21"/>
        </w:rPr>
        <w:t>100号科学院大院9号楼东座2楼（中国广州分析测试中心对面）</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w:t>
      </w:r>
      <w:r>
        <w:rPr>
          <w:b/>
          <w:sz w:val="21"/>
        </w:rPr>
        <w:t>报价说明：</w:t>
      </w:r>
    </w:p>
    <w:p>
      <w:pPr>
        <w:ind w:firstLine="420"/>
        <w:jc w:val="both"/>
      </w:pPr>
      <w:r>
        <w:rPr>
          <w:sz w:val="21"/>
        </w:rPr>
        <w:t>投标报价包括：项目实施服务费、材料费、课程费开发及设计费、课程制作费、各项税费及合同实施过程中不可预见费用等，投标人报价中漏报、少报的费用，视为此项费用已隐含在投标报价中，中标后不得再向采购人收取任何费用。</w:t>
      </w:r>
    </w:p>
    <w:p>
      <w:pPr>
        <w:jc w:val="both"/>
      </w:pPr>
      <w:r>
        <w:rPr>
          <w:b/>
          <w:sz w:val="21"/>
        </w:rPr>
        <w:t>（六）</w:t>
      </w:r>
      <w:r>
        <w:rPr>
          <w:b/>
          <w:sz w:val="21"/>
        </w:rPr>
        <w:t>实现的目标</w:t>
      </w:r>
    </w:p>
    <w:p>
      <w:pPr>
        <w:ind w:firstLine="420"/>
        <w:jc w:val="both"/>
      </w:pPr>
      <w:r>
        <w:rPr>
          <w:sz w:val="21"/>
        </w:rPr>
        <w:t>开发与精密制造、精密检测用人需求相适应多工序数控机床操作调整工、工业机器人系统运维员、工业视觉系统运维员、计量员（长度计量员）等工种的职业技能培训数字化资源，满足采购人培训教学需求。</w:t>
      </w:r>
    </w:p>
    <w:p>
      <w:pPr>
        <w:jc w:val="both"/>
      </w:pPr>
      <w:r>
        <w:rPr>
          <w:b/>
          <w:sz w:val="21"/>
        </w:rPr>
        <w:t>（七）</w:t>
      </w:r>
      <w:r>
        <w:rPr>
          <w:b/>
          <w:sz w:val="21"/>
        </w:rPr>
        <w:t>需执行国家相关标准、行业标准、地方标准或者其他标准、规范。</w:t>
      </w:r>
    </w:p>
    <w:p/>
    <w:p>
      <w:pPr>
        <w:ind w:firstLine="480"/>
      </w:pPr>
    </w:p>
    <w:p/>
    <w:p>
      <w:r>
        <w:rPr/>
        <w:t>采购包1（广东省产业就业培训基地数字化培训教学资源库采购项目）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合同签订之日起120天内。</w:t>
            </w:r>
          </w:p>
        </w:tc>
      </w:tr>
      <w:tr>
        <w:tc>
          <w:tcPr>
            <w:tcW w:type="dxa" w:w="4153"/>
          </w:tcPr>
          <w:p>
            <w:r>
              <w:rPr/>
              <w:t>标的提供的地点</w:t>
            </w:r>
          </w:p>
        </w:tc>
        <w:tc>
          <w:tcPr>
            <w:tcW w:type="dxa" w:w="4153"/>
          </w:tcPr>
          <w:p/>
          <w:p>
            <w:r>
              <w:rPr/>
              <w:t>采购人指定地点（广东省广州市）。</w:t>
            </w:r>
          </w:p>
        </w:tc>
      </w:tr>
      <w:tr>
        <w:tc>
          <w:tcPr>
            <w:tcW w:type="dxa" w:w="4153"/>
          </w:tcPr>
          <w:p>
            <w:r>
              <w:rPr/>
              <w:t>付款方式</w:t>
            </w:r>
          </w:p>
        </w:tc>
        <w:tc>
          <w:tcPr>
            <w:tcW w:type="dxa" w:w="4153"/>
          </w:tcPr>
          <w:p/>
          <w:p/>
          <w:p>
            <w:r>
              <w:rPr/>
              <w:t>1期：支付比例50%,合同签订后收到发票5个工作日内，采购人向中标供应商支付合同总价的50%作为预付款；</w:t>
            </w:r>
          </w:p>
          <w:p/>
          <w:p>
            <w:r>
              <w:rPr/>
              <w:t>2期：支付比例50%,项目完成验收后收到发票15日内，采购人向中标供应商支付合同总价的50%款项。 注：（1）每笔款项支付前，中标供应商须提交与每笔款项金额相等的正式发票。 （2）支付方式：采用支票、银行汇付（含电汇）等形式。</w:t>
            </w:r>
          </w:p>
        </w:tc>
      </w:tr>
      <w:tr>
        <w:tc>
          <w:tcPr>
            <w:tcW w:type="dxa" w:w="4153"/>
          </w:tcPr>
          <w:p>
            <w:r>
              <w:rPr/>
              <w:t>验收要求</w:t>
            </w:r>
          </w:p>
        </w:tc>
        <w:tc>
          <w:tcPr>
            <w:tcW w:type="dxa" w:w="4153"/>
          </w:tcPr>
          <w:p/>
          <w:p/>
          <w:p/>
          <w:p>
            <w:r>
              <w:rPr/>
              <w:t>1期：1. 验收标准：按照需求完成所有服务内容、提交所有服务成果。 2. 验收方式：项目服务期满后，由成交供应商提出项目验收申请，采购人组织验收工作，依国家有关标准、合同的约定对成交供应商提供的服务进行验收，若成交供应商提供的服务与要求不符，将在成交供应商改进服务后重新组织验收。 3. 验收期限：采购人应当在收到成交供应商提出项目验收申请之日7日内按照合同的约定对履约情况进行验收，对每一项技术、服务的履约情况进行确认。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知识产权要求，中标供应商应承诺提供给采购人的成果中无版权上的瑕疵或争议，若因上述原因引起的第三方追诉，采购人概不负责，中标供应商承担由此引起的全部责任，并赔偿因此给采购人带来的全部损失。</w:t>
            </w:r>
          </w:p>
          <w:p/>
          <w:p>
            <w:r>
              <w:rPr/>
              <w:t>（二）售后服务要求，课程资源交付后，需运行两个月，此期间中标供应商需根据采购方的使用意见，并在规定时间内完成必要的修改。</w:t>
            </w:r>
          </w:p>
          <w:p/>
          <w:p>
            <w:r>
              <w:rPr/>
              <w:t>（三）专家团队，投标人须提供项目建设专家团队</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教育课程研究与开发服务</w:t>
            </w:r>
          </w:p>
        </w:tc>
        <w:tc>
          <w:tcPr>
            <w:tcW w:type="dxa" w:w="933"/>
          </w:tcPr>
          <w:p>
            <w:pPr>
              <w:jc w:val="left"/>
            </w:pPr>
            <w:r>
              <w:rPr/>
              <w:t>广东省产业就业培训基地数字化培训教学资源库采购项目</w:t>
            </w:r>
          </w:p>
        </w:tc>
        <w:tc>
          <w:tcPr>
            <w:tcW w:type="dxa" w:w="933"/>
          </w:tcPr>
          <w:p>
            <w:pPr>
              <w:jc w:val="left"/>
            </w:pPr>
            <w:r>
              <w:rPr/>
              <w:t>项</w:t>
            </w:r>
          </w:p>
        </w:tc>
        <w:tc>
          <w:tcPr>
            <w:tcW w:type="dxa" w:w="933"/>
          </w:tcPr>
          <w:p>
            <w:pPr>
              <w:jc w:val="right"/>
            </w:pPr>
            <w:r>
              <w:rPr/>
              <w:t>1.00</w:t>
            </w:r>
          </w:p>
        </w:tc>
        <w:tc>
          <w:tcPr>
            <w:tcW w:type="dxa" w:w="933"/>
          </w:tcPr>
          <w:p>
            <w:pPr>
              <w:jc w:val="right"/>
            </w:pPr>
            <w:r>
              <w:rPr/>
              <w:t>900,000.00</w:t>
            </w:r>
          </w:p>
        </w:tc>
        <w:tc>
          <w:tcPr>
            <w:tcW w:type="dxa" w:w="933"/>
          </w:tcPr>
          <w:p>
            <w:pPr>
              <w:jc w:val="right"/>
            </w:pPr>
            <w:r>
              <w:rPr/>
              <w:t>900,000.00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广东省产业就业培训基地数字化培训教学资源库采购项目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一、项目具体要求</w:t>
            </w:r>
          </w:p>
          <w:p>
            <w:pPr>
              <w:ind w:firstLine="422"/>
              <w:jc w:val="left"/>
            </w:pPr>
            <w:r>
              <w:rPr>
                <w:b/>
                <w:sz w:val="21"/>
              </w:rPr>
              <w:t>（一）开发课程</w:t>
            </w:r>
          </w:p>
          <w:p>
            <w:pPr>
              <w:ind w:firstLine="420"/>
              <w:jc w:val="left"/>
            </w:pPr>
            <w:r>
              <w:rPr>
                <w:sz w:val="21"/>
              </w:rPr>
              <w:t>针对多工序数控机床操作调整工、工业机器人系统运维员、工业视觉系统运维员、计量员（长度计量员）、钳工等工种，开发</w:t>
            </w:r>
            <w:r>
              <w:rPr>
                <w:sz w:val="21"/>
              </w:rPr>
              <w:t>5门网络课程资源，其中须含有附表中（见表1-5）的知识点（技能点）。</w:t>
            </w:r>
          </w:p>
          <w:p>
            <w:pPr>
              <w:ind w:firstLine="422"/>
              <w:jc w:val="left"/>
            </w:pPr>
            <w:r>
              <w:rPr>
                <w:b/>
                <w:sz w:val="21"/>
              </w:rPr>
              <w:t>（二）课程开发内容</w:t>
            </w:r>
          </w:p>
          <w:p>
            <w:pPr>
              <w:ind w:firstLine="420"/>
              <w:jc w:val="left"/>
            </w:pPr>
            <w:r>
              <w:rPr>
                <w:sz w:val="21"/>
              </w:rPr>
              <w:t>1.按照知识点或技能点开发的网络课程（包括但不限于授课录像、实操录像、软件操作演示、3D动画）</w:t>
            </w:r>
          </w:p>
          <w:p>
            <w:pPr>
              <w:ind w:firstLine="420"/>
              <w:jc w:val="left"/>
            </w:pPr>
            <w:r>
              <w:rPr>
                <w:sz w:val="21"/>
              </w:rPr>
              <w:t>2.配套试题（包括但不限于单选、多选、判断题型）</w:t>
            </w:r>
          </w:p>
          <w:p>
            <w:pPr>
              <w:ind w:firstLine="422"/>
              <w:jc w:val="left"/>
            </w:pPr>
            <w:r>
              <w:rPr>
                <w:b/>
                <w:sz w:val="21"/>
              </w:rPr>
              <w:t>（三）建设标准</w:t>
            </w:r>
          </w:p>
          <w:p>
            <w:pPr>
              <w:ind w:firstLine="420"/>
              <w:jc w:val="left"/>
            </w:pPr>
            <w:r>
              <w:rPr>
                <w:sz w:val="21"/>
              </w:rPr>
              <w:t>课程设计要满足相关工种职业岗位要求，内容全面、系统详细，课程讲解要通俗易懂、语言清晰。课程形式应满足采购人线上网络平台关于网络课程的要求，符合使用者线上学习要求。</w:t>
            </w:r>
          </w:p>
          <w:p>
            <w:pPr>
              <w:ind w:firstLine="420"/>
              <w:jc w:val="left"/>
            </w:pPr>
            <w:r>
              <w:rPr>
                <w:sz w:val="21"/>
              </w:rPr>
              <w:t>1.网络课程</w:t>
            </w:r>
          </w:p>
          <w:p>
            <w:pPr>
              <w:ind w:firstLine="420"/>
              <w:jc w:val="left"/>
            </w:pPr>
            <w:r>
              <w:rPr>
                <w:sz w:val="21"/>
              </w:rPr>
              <w:t>▲1.1每门课程不少于50个视频，总时长不低于500分钟，每个视频应该至少包含一个完整的知识点（技能点），剪辑后一般在7-15分钟。每个视频要设计课头和课尾语，上下节要承前启后连贯，授课人员在课头、课尾可以出镜，课中部分视具体内容决定是否出镜，实操演示关键环节要全过程实景录制。</w:t>
            </w:r>
          </w:p>
          <w:p>
            <w:pPr>
              <w:ind w:firstLine="420"/>
              <w:jc w:val="left"/>
            </w:pPr>
            <w:r>
              <w:rPr>
                <w:sz w:val="21"/>
              </w:rPr>
              <w:t>▲1.2录制要求：所用摄像机分辨率≥1920*1080，录制视频宽高比16:9，视频帧率为≥25帧/秒，如果是录屏部分，屏幕分辨率也是≥1920*1080，宽高比16:9。</w:t>
            </w:r>
          </w:p>
          <w:p>
            <w:pPr>
              <w:ind w:firstLine="420"/>
              <w:jc w:val="left"/>
            </w:pPr>
            <w:r>
              <w:rPr>
                <w:sz w:val="21"/>
              </w:rPr>
              <w:t>▲1.3后期制作要求：片头与片尾，片头在8-12秒，包括但不限于学校LOGO、课程名称、主讲教师信息。</w:t>
            </w:r>
          </w:p>
          <w:p>
            <w:pPr>
              <w:ind w:firstLine="420"/>
              <w:jc w:val="left"/>
            </w:pPr>
            <w:r>
              <w:rPr>
                <w:sz w:val="21"/>
              </w:rPr>
              <w:t>1.4视频信号源</w:t>
            </w:r>
          </w:p>
          <w:p>
            <w:pPr>
              <w:ind w:firstLine="420"/>
              <w:jc w:val="left"/>
            </w:pPr>
            <w:r>
              <w:rPr>
                <w:sz w:val="21"/>
              </w:rPr>
              <w:t>▲（1）稳定性：全片图像同步性能稳定，无失步现象，CTL同步控制信号连续；图像无抖动跳跃，色彩无突变，编辑点处图像稳定。</w:t>
            </w:r>
          </w:p>
          <w:p>
            <w:pPr>
              <w:ind w:firstLine="420"/>
              <w:jc w:val="left"/>
            </w:pPr>
            <w:r>
              <w:rPr>
                <w:sz w:val="21"/>
              </w:rPr>
              <w:t>▲（2）信噪比：图像信噪比不低于55dB，无明显杂波。</w:t>
            </w:r>
          </w:p>
          <w:p>
            <w:pPr>
              <w:ind w:firstLine="420"/>
              <w:jc w:val="left"/>
            </w:pPr>
            <w:r>
              <w:rPr>
                <w:sz w:val="21"/>
              </w:rPr>
              <w:t>▲（3）色调：白平衡正确，无明显偏色，多机拍摄的镜头衔接处无明显色差。</w:t>
            </w:r>
          </w:p>
          <w:p>
            <w:pPr>
              <w:ind w:firstLine="420"/>
              <w:jc w:val="left"/>
            </w:pPr>
            <w:r>
              <w:rPr>
                <w:sz w:val="21"/>
              </w:rPr>
              <w:t>▲（4）视频电平：视频全讯号幅度为1Ⅴp-p，最大不超过1.1Ⅴ p-p。其中，消隐电平为0V时，白电平幅度0.7Ⅴp-p，同步信号-0.3V，色同步信号幅度0.3V p-p (以消隐线上下对称)，全片一致。</w:t>
            </w:r>
          </w:p>
          <w:p>
            <w:pPr>
              <w:ind w:firstLine="420"/>
              <w:jc w:val="left"/>
            </w:pPr>
            <w:r>
              <w:rPr>
                <w:sz w:val="21"/>
              </w:rPr>
              <w:t>1.5音频信号源</w:t>
            </w:r>
          </w:p>
          <w:p>
            <w:pPr>
              <w:ind w:firstLine="420"/>
              <w:jc w:val="left"/>
            </w:pPr>
            <w:r>
              <w:rPr>
                <w:sz w:val="21"/>
              </w:rPr>
              <w:t>▲（1）声道：中文内容音频信号记录于第1声道，音乐、音效、同期声记录于第2声道，若有其他文字解说记录于第3声道（如录音设备无第3声道，则录于第2声道）。</w:t>
            </w:r>
          </w:p>
          <w:p>
            <w:pPr>
              <w:ind w:firstLine="420"/>
              <w:jc w:val="left"/>
            </w:pPr>
            <w:r>
              <w:rPr>
                <w:sz w:val="21"/>
              </w:rPr>
              <w:t>▲（2）电平指标：-2db~ -8db声音应无明显失真、放音过冲、过弱。</w:t>
            </w:r>
          </w:p>
          <w:p>
            <w:pPr>
              <w:ind w:firstLine="420"/>
              <w:jc w:val="left"/>
            </w:pPr>
            <w:r>
              <w:rPr>
                <w:sz w:val="21"/>
              </w:rPr>
              <w:t>▲（3）音频信噪比不低于48db。</w:t>
            </w:r>
          </w:p>
          <w:p>
            <w:pPr>
              <w:ind w:firstLine="420"/>
              <w:jc w:val="left"/>
            </w:pPr>
            <w:r>
              <w:rPr>
                <w:sz w:val="21"/>
              </w:rPr>
              <w:t>▲（4）声音和画面要求同步，无交流声或其他杂音等缺陷。</w:t>
            </w:r>
          </w:p>
          <w:p>
            <w:pPr>
              <w:ind w:firstLine="420"/>
              <w:jc w:val="left"/>
            </w:pPr>
            <w:r>
              <w:rPr>
                <w:sz w:val="21"/>
              </w:rPr>
              <w:t>▲（5）伴音清晰、饱满、圆润，无失真、噪声杂音干扰、音量忽大忽小现象。</w:t>
            </w:r>
          </w:p>
          <w:p>
            <w:pPr>
              <w:ind w:firstLine="420"/>
              <w:jc w:val="left"/>
            </w:pPr>
            <w:r>
              <w:rPr>
                <w:sz w:val="21"/>
              </w:rPr>
              <w:t>1.6视、音频交付文件要求</w:t>
            </w:r>
          </w:p>
          <w:p>
            <w:pPr>
              <w:ind w:firstLine="420"/>
              <w:jc w:val="left"/>
            </w:pPr>
            <w:r>
              <w:rPr>
                <w:sz w:val="21"/>
              </w:rPr>
              <w:t>▲（1）交付载体：所有视频文件及配套的课程资料文件应刻录在DVD+R光盘上，并对刻录光盘做封口处理。每张DVD+R光盘可以刻录多讲内容（每一讲内容包括视频文件及配套课程资料文件），并在盘面上注明光盘中的内容清单（标记包括但不限于学校名称、课程名称、主讲教师、时长）。</w:t>
            </w:r>
          </w:p>
          <w:p>
            <w:pPr>
              <w:ind w:firstLine="420"/>
              <w:jc w:val="left"/>
            </w:pPr>
            <w:r>
              <w:rPr>
                <w:sz w:val="21"/>
              </w:rPr>
              <w:t>（</w:t>
            </w:r>
            <w:r>
              <w:rPr>
                <w:sz w:val="21"/>
              </w:rPr>
              <w:t>2）视频压缩格式及技术参数：</w:t>
            </w:r>
          </w:p>
          <w:p>
            <w:pPr>
              <w:ind w:firstLine="420"/>
              <w:jc w:val="left"/>
            </w:pPr>
            <w:r>
              <w:rPr>
                <w:sz w:val="21"/>
              </w:rPr>
              <w:t>▲① 视频压缩采用H.264/AVC (MPEG-4 Part10)编码、使用二次编码、不包含字幕的MP4格式。</w:t>
            </w:r>
          </w:p>
          <w:p>
            <w:pPr>
              <w:ind w:firstLine="420"/>
              <w:jc w:val="left"/>
            </w:pPr>
            <w:r>
              <w:rPr>
                <w:sz w:val="21"/>
              </w:rPr>
              <w:t>▲② 视频码流率：动态码流的最高码率不高于2500 Kbps，最低码率不得低于1024Kbps。</w:t>
            </w:r>
          </w:p>
          <w:p>
            <w:pPr>
              <w:ind w:firstLine="420"/>
              <w:jc w:val="left"/>
            </w:pPr>
            <w:r>
              <w:rPr>
                <w:sz w:val="21"/>
              </w:rPr>
              <w:t>▲③ 视频分辨率：前期采用高清16：9拍摄，设定为 1280×720。在同一课程中，各讲的视频分辨率统一，统一高清。</w:t>
            </w:r>
          </w:p>
          <w:p>
            <w:pPr>
              <w:ind w:firstLine="420"/>
              <w:jc w:val="left"/>
            </w:pPr>
            <w:r>
              <w:rPr>
                <w:sz w:val="21"/>
              </w:rPr>
              <w:t>▲④ 视频画幅宽高比：分辨率设定为 1280×720，选定为16：9。在同一课程中，各讲画幅的宽高比统一。视频帧率为≥25帧/秒。扫描方式采用逐行扫描。</w:t>
            </w:r>
          </w:p>
          <w:p>
            <w:pPr>
              <w:ind w:firstLine="420"/>
              <w:jc w:val="left"/>
            </w:pPr>
            <w:r>
              <w:rPr>
                <w:sz w:val="21"/>
              </w:rPr>
              <w:t>▲⑤ 音频压缩格式及技术参数。音频压缩采用AAC(MPEG4 Part3)格式。采样率48KHz。音频码流率128Kbps 。</w:t>
            </w:r>
          </w:p>
          <w:p>
            <w:pPr>
              <w:ind w:firstLine="420"/>
              <w:jc w:val="left"/>
            </w:pPr>
            <w:r>
              <w:rPr>
                <w:sz w:val="21"/>
              </w:rPr>
              <w:t>2.配套试题：</w:t>
            </w:r>
            <w:r>
              <w:rPr>
                <w:sz w:val="21"/>
              </w:rPr>
              <w:t>为测试学生对该节知识的掌握情况，巩固所学的知识，应按照知识点、技能点设置相应的习题，题型包括但不限于单选、多选、判断题，每门课程不少于</w:t>
            </w:r>
            <w:r>
              <w:rPr>
                <w:sz w:val="21"/>
              </w:rPr>
              <w:t>800题。</w:t>
            </w:r>
          </w:p>
          <w:p>
            <w:pPr>
              <w:ind w:firstLine="420"/>
              <w:jc w:val="left"/>
            </w:pPr>
            <w:r>
              <w:rPr/>
              <w:t>▲3.支持服务器运行参数配置，可以设置实时数据缓存区大小，部署数据缓存区大小，自动选择组部署。(投标时提供功能截图及具备CMA或CNAS标识专用章的软件测试报告)</w:t>
            </w:r>
          </w:p>
          <w:p>
            <w:pPr>
              <w:ind w:firstLine="420"/>
              <w:jc w:val="left"/>
            </w:pPr>
            <w:r>
              <w:rPr/>
              <w:t>▲4.终端加载模式：服务器能以覆盖PXE数据段、可用内存能满足项目运行要求、临近PXE数据段三种启动加载模式连接终端。（投标时提供三种终端加载的功能截图及具备CMA或CNAS标识专用章的软件测试报告）</w:t>
            </w:r>
          </w:p>
          <w:p>
            <w:pPr>
              <w:ind w:firstLine="420"/>
              <w:jc w:val="left"/>
            </w:pPr>
            <w:r>
              <w:rPr/>
              <w:t>▲5.服务端数据支持扩展镜像存储目录配置，可进行添加、删除镜像存储目录操作。（投标时提供扩展镜像存储目录配置功能截图及具备CMA或CNAS标识专用章的软件测试报告）</w:t>
            </w:r>
          </w:p>
          <w:p>
            <w:pPr>
              <w:ind w:firstLine="422"/>
              <w:jc w:val="left"/>
            </w:pPr>
            <w:r>
              <w:rPr>
                <w:b/>
                <w:sz w:val="21"/>
              </w:rPr>
              <w:t>二、</w:t>
            </w:r>
            <w:r>
              <w:rPr>
                <w:b/>
                <w:sz w:val="21"/>
              </w:rPr>
              <w:t>知识点（技能点）要求</w:t>
            </w:r>
          </w:p>
          <w:p>
            <w:pPr>
              <w:ind w:firstLine="420"/>
              <w:jc w:val="left"/>
            </w:pPr>
            <w:r>
              <w:rPr>
                <w:sz w:val="21"/>
              </w:rPr>
              <w:t>拍摄的网络课程资源知识点（技能点）应涵盖以下内容。</w:t>
            </w:r>
          </w:p>
          <w:p>
            <w:pPr>
              <w:jc w:val="center"/>
            </w:pPr>
          </w:p>
          <w:p>
            <w:pPr>
              <w:jc w:val="center"/>
            </w:pPr>
            <w:r>
              <w:rPr>
                <w:b/>
                <w:sz w:val="21"/>
              </w:rPr>
              <w:t>表</w:t>
            </w:r>
            <w:r>
              <w:rPr>
                <w:b/>
                <w:sz w:val="21"/>
              </w:rPr>
              <w:t>1 多工序数控机床操作调整工</w:t>
            </w:r>
          </w:p>
          <w:tbl>
            <w:tblPr>
              <w:tblBorders>
                <w:top w:val="none" w:color="000000" w:sz="4"/>
                <w:left w:val="none" w:color="000000" w:sz="4"/>
                <w:bottom w:val="none" w:color="000000" w:sz="4"/>
                <w:right w:val="none" w:color="000000" w:sz="4"/>
                <w:insideH w:val="none"/>
                <w:insideV w:val="none"/>
              </w:tblBorders>
            </w:tblPr>
            <w:tblGrid>
              <w:gridCol w:w="1028"/>
              <w:gridCol w:w="4569"/>
            </w:tblGrid>
            <w:tr>
              <w:tc>
                <w:tcPr>
                  <w:tcW w:type="dxa" w:w="1028"/>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4569"/>
                  <w:tcBorders>
                    <w:top w:val="single" w:color="000000" w:sz="4"/>
                    <w:left w:val="none" w:color="000000" w:sz="4"/>
                    <w:bottom w:val="single" w:color="000000" w:sz="4"/>
                    <w:right w:val="single" w:color="000000" w:sz="4"/>
                  </w:tcBorders>
                  <w:vAlign w:val="top"/>
                </w:tcPr>
                <w:p>
                  <w:pPr>
                    <w:jc w:val="center"/>
                  </w:pPr>
                  <w:r>
                    <w:rPr>
                      <w:b/>
                      <w:sz w:val="21"/>
                    </w:rPr>
                    <w:t>知识点（技能点）</w:t>
                  </w:r>
                </w:p>
              </w:tc>
            </w:tr>
            <w:tr>
              <w:tc>
                <w:tcPr>
                  <w:tcW w:type="dxa" w:w="1028"/>
                  <w:vMerge w:val="restart"/>
                  <w:tcBorders>
                    <w:top w:val="none" w:color="000000" w:sz="4"/>
                    <w:left w:val="single" w:color="000000" w:sz="4"/>
                    <w:bottom w:val="single" w:color="000000" w:sz="4"/>
                    <w:right w:val="single" w:color="000000" w:sz="4"/>
                  </w:tcBorders>
                  <w:vAlign w:val="top"/>
                </w:tcPr>
                <w:p>
                  <w:pPr>
                    <w:jc w:val="left"/>
                  </w:pPr>
                  <w:r>
                    <w:rPr>
                      <w:sz w:val="21"/>
                    </w:rPr>
                    <w:t>1.数控加工工艺基础知识</w:t>
                  </w:r>
                </w:p>
              </w:tc>
              <w:tc>
                <w:tcPr>
                  <w:tcW w:type="dxa" w:w="4569"/>
                  <w:tcBorders>
                    <w:top w:val="none" w:color="000000" w:sz="4"/>
                    <w:left w:val="none" w:color="000000" w:sz="4"/>
                    <w:bottom w:val="single" w:color="000000" w:sz="4"/>
                    <w:right w:val="single" w:color="000000" w:sz="4"/>
                  </w:tcBorders>
                  <w:vAlign w:val="top"/>
                </w:tcPr>
                <w:p>
                  <w:pPr>
                    <w:jc w:val="left"/>
                  </w:pPr>
                  <w:r>
                    <w:rPr>
                      <w:sz w:val="21"/>
                    </w:rPr>
                    <w:t>切削运动和切削用量</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刀具角度定义及选择</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金属切削基本规律</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刀具材料选择及刀具安装调整</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定位原理和定位元件</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定位基准及其选择</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夹具选用与夹具、工件的安装调整</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工序安排</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加工精度控制</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常用量具的使用方法</w:t>
                  </w:r>
                </w:p>
              </w:tc>
            </w:tr>
            <w:tr>
              <w:tc>
                <w:tcPr>
                  <w:tcW w:type="dxa" w:w="1028"/>
                  <w:vMerge w:val="restart"/>
                  <w:tcBorders>
                    <w:top w:val="none" w:color="000000" w:sz="4"/>
                    <w:left w:val="single" w:color="000000" w:sz="4"/>
                    <w:bottom w:val="none" w:color="000000" w:sz="4"/>
                    <w:right w:val="single" w:color="000000" w:sz="4"/>
                  </w:tcBorders>
                  <w:vAlign w:val="top"/>
                </w:tcPr>
                <w:p>
                  <w:pPr>
                    <w:jc w:val="left"/>
                  </w:pPr>
                  <w:r>
                    <w:rPr>
                      <w:sz w:val="21"/>
                    </w:rPr>
                    <w:t>2.方形底座的编程与加工</w:t>
                  </w:r>
                </w:p>
              </w:tc>
              <w:tc>
                <w:tcPr>
                  <w:tcW w:type="dxa" w:w="4569"/>
                  <w:tcBorders>
                    <w:top w:val="none" w:color="000000" w:sz="4"/>
                    <w:left w:val="none" w:color="000000" w:sz="4"/>
                    <w:bottom w:val="single" w:color="000000" w:sz="4"/>
                    <w:right w:val="single" w:color="000000" w:sz="4"/>
                  </w:tcBorders>
                  <w:vAlign w:val="top"/>
                </w:tcPr>
                <w:p>
                  <w:pPr>
                    <w:jc w:val="left"/>
                  </w:pPr>
                  <w:r>
                    <w:rPr>
                      <w:sz w:val="21"/>
                    </w:rPr>
                    <w:t>NX软件的简介</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底座的建模</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NX软件编程模块基本操作</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底座的加工工艺分析</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底座的程序编写</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底座的仿真加工</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数控加工安全技术和文明生产常识</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JDVT600型机床开机、关机及结构介绍</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JDVT600型机床基本操作</w:t>
                  </w:r>
                </w:p>
              </w:tc>
            </w:tr>
            <w:tr>
              <w:tc>
                <w:tcPr>
                  <w:tcW w:type="dxa" w:w="1028"/>
                  <w:vMerge/>
                  <w:tcBorders>
                    <w:top w:val="none" w:color="000000" w:sz="4"/>
                    <w:left w:val="single" w:color="000000" w:sz="4"/>
                    <w:bottom w:val="non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底座的加工</w:t>
                  </w:r>
                  <w:r>
                    <w:rPr>
                      <w:sz w:val="21"/>
                    </w:rPr>
                    <w:t>——刀具安装、加工准备、零件加工、零件反面校正</w:t>
                  </w:r>
                </w:p>
              </w:tc>
            </w:tr>
            <w:tr>
              <w:tc>
                <w:tcPr>
                  <w:tcW w:type="dxa" w:w="1028"/>
                  <w:vMerge w:val="restart"/>
                  <w:tcBorders>
                    <w:top w:val="single" w:color="000000" w:sz="4"/>
                    <w:left w:val="single" w:color="000000" w:sz="4"/>
                    <w:bottom w:val="single" w:color="000000" w:sz="4"/>
                    <w:right w:val="single" w:color="000000" w:sz="4"/>
                  </w:tcBorders>
                  <w:vAlign w:val="top"/>
                </w:tcPr>
                <w:p>
                  <w:pPr>
                    <w:jc w:val="left"/>
                  </w:pPr>
                  <w:r>
                    <w:rPr>
                      <w:sz w:val="21"/>
                    </w:rPr>
                    <w:t>3.圆柱基体的编程与加工</w:t>
                  </w:r>
                </w:p>
              </w:tc>
              <w:tc>
                <w:tcPr>
                  <w:tcW w:type="dxa" w:w="4569"/>
                  <w:tcBorders>
                    <w:top w:val="none" w:color="000000" w:sz="4"/>
                    <w:left w:val="none" w:color="000000" w:sz="4"/>
                    <w:bottom w:val="single" w:color="000000" w:sz="4"/>
                    <w:right w:val="single" w:color="000000" w:sz="4"/>
                  </w:tcBorders>
                  <w:vAlign w:val="top"/>
                </w:tcPr>
                <w:p>
                  <w:pPr>
                    <w:jc w:val="left"/>
                  </w:pPr>
                  <w:r>
                    <w:rPr>
                      <w:sz w:val="21"/>
                    </w:rPr>
                    <w:t>多轴机床的概述</w:t>
                  </w:r>
                </w:p>
              </w:tc>
            </w:tr>
            <w:tr>
              <w:tc>
                <w:tcPr>
                  <w:tcW w:type="dxa" w:w="1028"/>
                  <w:vMerge/>
                  <w:tcBorders>
                    <w:top w:val="singl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圆柱基体的建模</w:t>
                  </w:r>
                </w:p>
              </w:tc>
            </w:tr>
            <w:tr>
              <w:tc>
                <w:tcPr>
                  <w:tcW w:type="dxa" w:w="1028"/>
                  <w:vMerge/>
                  <w:tcBorders>
                    <w:top w:val="singl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圆柱基体的加工工艺分析</w:t>
                  </w:r>
                </w:p>
              </w:tc>
            </w:tr>
            <w:tr>
              <w:tc>
                <w:tcPr>
                  <w:tcW w:type="dxa" w:w="1028"/>
                  <w:vMerge/>
                  <w:tcBorders>
                    <w:top w:val="singl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圆柱基体的程序编写</w:t>
                  </w:r>
                </w:p>
              </w:tc>
            </w:tr>
            <w:tr>
              <w:tc>
                <w:tcPr>
                  <w:tcW w:type="dxa" w:w="1028"/>
                  <w:vMerge/>
                  <w:tcBorders>
                    <w:top w:val="singl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圆柱基体的仿真加工</w:t>
                  </w:r>
                </w:p>
              </w:tc>
            </w:tr>
            <w:tr>
              <w:tc>
                <w:tcPr>
                  <w:tcW w:type="dxa" w:w="1028"/>
                  <w:vMerge/>
                  <w:tcBorders>
                    <w:top w:val="singl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圆柱基体的加工</w:t>
                  </w:r>
                </w:p>
              </w:tc>
            </w:tr>
            <w:tr>
              <w:tc>
                <w:tcPr>
                  <w:tcW w:type="dxa" w:w="1028"/>
                  <w:vMerge w:val="restart"/>
                  <w:tcBorders>
                    <w:top w:val="none" w:color="000000" w:sz="4"/>
                    <w:left w:val="single" w:color="000000" w:sz="4"/>
                    <w:bottom w:val="single" w:color="000000" w:sz="4"/>
                    <w:right w:val="single" w:color="000000" w:sz="4"/>
                  </w:tcBorders>
                  <w:vAlign w:val="top"/>
                </w:tcPr>
                <w:p>
                  <w:pPr>
                    <w:jc w:val="left"/>
                  </w:pPr>
                  <w:r>
                    <w:rPr>
                      <w:sz w:val="21"/>
                    </w:rPr>
                    <w:t>4.发动机叶轮的编程与加工</w:t>
                  </w:r>
                </w:p>
              </w:tc>
              <w:tc>
                <w:tcPr>
                  <w:tcW w:type="dxa" w:w="4569"/>
                  <w:tcBorders>
                    <w:top w:val="none" w:color="000000" w:sz="4"/>
                    <w:left w:val="none" w:color="000000" w:sz="4"/>
                    <w:bottom w:val="single" w:color="000000" w:sz="4"/>
                    <w:right w:val="single" w:color="000000" w:sz="4"/>
                  </w:tcBorders>
                  <w:vAlign w:val="top"/>
                </w:tcPr>
                <w:p>
                  <w:pPr>
                    <w:jc w:val="left"/>
                  </w:pPr>
                  <w:r>
                    <w:rPr>
                      <w:sz w:val="21"/>
                    </w:rPr>
                    <w:t>发动机叶轮的加工工艺分析</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发动机叶轮的编程准备</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发动机叶轮的程序编写</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发动机叶轮的仿真加工</w:t>
                  </w:r>
                </w:p>
              </w:tc>
            </w:tr>
            <w:tr>
              <w:tc>
                <w:tcPr>
                  <w:tcW w:type="dxa" w:w="1028"/>
                  <w:vMerge/>
                  <w:tcBorders>
                    <w:top w:val="none" w:color="000000" w:sz="4"/>
                    <w:left w:val="single" w:color="000000" w:sz="4"/>
                    <w:bottom w:val="single" w:color="000000" w:sz="4"/>
                    <w:right w:val="single" w:color="000000" w:sz="4"/>
                  </w:tcBorders>
                </w:tcPr>
                <w:p/>
              </w:tc>
              <w:tc>
                <w:tcPr>
                  <w:tcW w:type="dxa" w:w="4569"/>
                  <w:tcBorders>
                    <w:top w:val="none" w:color="000000" w:sz="4"/>
                    <w:left w:val="none" w:color="000000" w:sz="4"/>
                    <w:bottom w:val="single" w:color="000000" w:sz="4"/>
                    <w:right w:val="single" w:color="000000" w:sz="4"/>
                  </w:tcBorders>
                  <w:vAlign w:val="top"/>
                </w:tcPr>
                <w:p>
                  <w:pPr>
                    <w:jc w:val="left"/>
                  </w:pPr>
                  <w:r>
                    <w:rPr>
                      <w:sz w:val="21"/>
                    </w:rPr>
                    <w:t>发动机叶轮的零件加工</w:t>
                  </w:r>
                </w:p>
              </w:tc>
            </w:tr>
          </w:tbl>
          <w:p>
            <w:r>
              <w:rPr/>
              <w:t xml:space="preserve"> </w:t>
            </w:r>
          </w:p>
          <w:p>
            <w:pPr>
              <w:jc w:val="center"/>
            </w:pPr>
            <w:r>
              <w:rPr>
                <w:b/>
                <w:sz w:val="21"/>
              </w:rPr>
              <w:t>表</w:t>
            </w:r>
            <w:r>
              <w:rPr>
                <w:b/>
                <w:sz w:val="21"/>
              </w:rPr>
              <w:t>2 工业机器人系统运维员</w:t>
            </w:r>
          </w:p>
          <w:tbl>
            <w:tblPr>
              <w:tblBorders>
                <w:top w:val="none" w:color="000000" w:sz="4"/>
                <w:left w:val="none" w:color="000000" w:sz="4"/>
                <w:bottom w:val="none" w:color="000000" w:sz="4"/>
                <w:right w:val="none" w:color="000000" w:sz="4"/>
                <w:insideH w:val="none"/>
                <w:insideV w:val="none"/>
              </w:tblBorders>
            </w:tblPr>
            <w:tblGrid>
              <w:gridCol w:w="987"/>
              <w:gridCol w:w="4609"/>
            </w:tblGrid>
            <w:tr>
              <w:tc>
                <w:tcPr>
                  <w:tcW w:type="dxa" w:w="987"/>
                  <w:tcBorders>
                    <w:top w:val="single" w:color="000000" w:sz="4"/>
                    <w:left w:val="single" w:color="000000" w:sz="4"/>
                    <w:bottom w:val="single" w:color="000000" w:sz="4"/>
                    <w:right w:val="single" w:color="000000" w:sz="4"/>
                  </w:tcBorders>
                  <w:vAlign w:val="top"/>
                </w:tcPr>
                <w:p>
                  <w:pPr>
                    <w:jc w:val="center"/>
                  </w:pPr>
                  <w:r>
                    <w:rPr>
                      <w:b/>
                      <w:sz w:val="21"/>
                    </w:rPr>
                    <w:t>项</w:t>
                  </w:r>
                  <w:r>
                    <w:rPr>
                      <w:b/>
                      <w:sz w:val="21"/>
                    </w:rPr>
                    <w:t>目</w:t>
                  </w:r>
                </w:p>
              </w:tc>
              <w:tc>
                <w:tcPr>
                  <w:tcW w:type="dxa" w:w="4609"/>
                  <w:tcBorders>
                    <w:top w:val="single" w:color="000000" w:sz="4"/>
                    <w:left w:val="none" w:color="000000" w:sz="4"/>
                    <w:bottom w:val="single" w:color="000000" w:sz="4"/>
                    <w:right w:val="single" w:color="000000" w:sz="4"/>
                  </w:tcBorders>
                  <w:vAlign w:val="top"/>
                </w:tcPr>
                <w:p>
                  <w:pPr>
                    <w:jc w:val="center"/>
                  </w:pPr>
                  <w:r>
                    <w:rPr>
                      <w:b/>
                      <w:sz w:val="21"/>
                    </w:rPr>
                    <w:t>知识点（技能点）</w:t>
                  </w:r>
                </w:p>
              </w:tc>
            </w:tr>
            <w:tr>
              <w:tc>
                <w:tcPr>
                  <w:tcW w:type="dxa" w:w="987"/>
                  <w:vMerge w:val="restart"/>
                  <w:tcBorders>
                    <w:top w:val="none" w:color="000000" w:sz="4"/>
                    <w:left w:val="single" w:color="000000" w:sz="4"/>
                    <w:bottom w:val="single" w:color="000000" w:sz="4"/>
                    <w:right w:val="single" w:color="000000" w:sz="4"/>
                  </w:tcBorders>
                  <w:vAlign w:val="top"/>
                </w:tcPr>
                <w:p>
                  <w:pPr>
                    <w:jc w:val="left"/>
                  </w:pPr>
                  <w:r>
                    <w:rPr>
                      <w:sz w:val="21"/>
                    </w:rPr>
                    <w:t>1.工业机器人本体故障诊断</w:t>
                  </w: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伯朗特机器人开关机及基本操作</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伯朗特机器人本体各轴噪声、振动的故障定位、分析和原因判定</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伯朗特机器人本体齿轮箱、手腕等漏油和渗油故障定位、分析和原因判定</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伯朗特机器人各轴限位挡块进行故障定位、分析和原因判定</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伯朗特机器人各关节驱动电机温度异常进行故障定位、分析和原因判定</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伯朗特机器人关节运动范围、负载、速度进行检测和故障诊断</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伯朗特机器人抱闸功能进行检查和故障诊断</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根据日志或错误代码定位、分析、判定伯朗特机器人本体故障</w:t>
                  </w:r>
                </w:p>
              </w:tc>
            </w:tr>
            <w:tr>
              <w:tc>
                <w:tcPr>
                  <w:tcW w:type="dxa" w:w="987"/>
                  <w:vMerge w:val="restart"/>
                  <w:tcBorders>
                    <w:top w:val="none" w:color="000000" w:sz="4"/>
                    <w:left w:val="single" w:color="000000" w:sz="4"/>
                    <w:bottom w:val="single" w:color="000000" w:sz="4"/>
                    <w:right w:val="single" w:color="000000" w:sz="4"/>
                  </w:tcBorders>
                  <w:vAlign w:val="top"/>
                </w:tcPr>
                <w:p>
                  <w:pPr>
                    <w:jc w:val="left"/>
                  </w:pPr>
                  <w:r>
                    <w:rPr>
                      <w:sz w:val="21"/>
                    </w:rPr>
                    <w:t>2.FANUC机器人运行维护与保养</w:t>
                  </w:r>
                </w:p>
              </w:tc>
              <w:tc>
                <w:tcPr>
                  <w:tcW w:type="dxa" w:w="4609"/>
                  <w:tcBorders>
                    <w:top w:val="none" w:color="000000" w:sz="4"/>
                    <w:left w:val="none" w:color="000000" w:sz="4"/>
                    <w:bottom w:val="single" w:color="000000" w:sz="4"/>
                    <w:right w:val="single" w:color="000000" w:sz="4"/>
                  </w:tcBorders>
                  <w:vAlign w:val="top"/>
                </w:tcPr>
                <w:p>
                  <w:pPr>
                    <w:jc w:val="left"/>
                  </w:pPr>
                  <w:r>
                    <w:rPr>
                      <w:sz w:val="21"/>
                    </w:rPr>
                    <w:t>示教器修改和存储工业机器人程序</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示教器操作机器人执行运动轨迹（直线、关节、圆弧）</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示教器操作机器人执行宏指令</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示教器调试工业机器人程序</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FANUC机器人输入输出信号配置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FANUC工业机器人工具坐标系设置（校准末端执行器）</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FANUC工业机器人用户坐标系设置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FANUC工业机器人基准点设置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FANUC工业机器人数值寄存器指令设置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FANUC工业机器人位置寄存器程序设置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FANUC工业机器人自变量程序设置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FANUC工业机器人moniter监控程序设置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FANUC工业机器人注释导入设置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FANUC工业机器人RSR启动方式设置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FANUC工业机器人PNS启动方式设置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FANUC工业机器人个性化倍率设置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FANUC工业机器人干涉区设置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FANUC工业机器人保养介绍</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FANUC工业机器人备份和恢复系统</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更换工业机器人本体和控制柜电池</w:t>
                  </w:r>
                </w:p>
              </w:tc>
            </w:tr>
            <w:tr>
              <w:tc>
                <w:tcPr>
                  <w:tcW w:type="dxa" w:w="987"/>
                  <w:vMerge w:val="restart"/>
                  <w:tcBorders>
                    <w:top w:val="none" w:color="000000" w:sz="4"/>
                    <w:left w:val="single" w:color="000000" w:sz="4"/>
                    <w:bottom w:val="single" w:color="000000" w:sz="4"/>
                    <w:right w:val="single" w:color="000000" w:sz="4"/>
                  </w:tcBorders>
                  <w:vAlign w:val="top"/>
                </w:tcPr>
                <w:p>
                  <w:pPr>
                    <w:jc w:val="left"/>
                  </w:pPr>
                  <w:r>
                    <w:rPr>
                      <w:sz w:val="21"/>
                    </w:rPr>
                    <w:t>3.FANUC机器人工作站调试</w:t>
                  </w: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西门子博途软件基本使用</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w:t>
                  </w:r>
                  <w:r>
                    <w:rPr>
                      <w:sz w:val="21"/>
                    </w:rPr>
                    <w:t>1200PLC基本调试设置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w:t>
                  </w:r>
                  <w:r>
                    <w:rPr>
                      <w:sz w:val="21"/>
                    </w:rPr>
                    <w:t>1200PLC基础接线</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w:t>
                  </w:r>
                  <w:r>
                    <w:rPr>
                      <w:sz w:val="21"/>
                    </w:rPr>
                    <w:t>1200PLC转盘控制传送带程序编程</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西门子博途软件触摸屏设置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PLC与机器人通信</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使用数据采集程序进行数据采集</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人机界面识读实时数据</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实时数据检测机器人工作状态</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w:t>
                  </w:r>
                  <w:r>
                    <w:rPr>
                      <w:sz w:val="21"/>
                    </w:rPr>
                    <w:t>1200PLC称重控制程序编程</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西门子</w:t>
                  </w:r>
                  <w:r>
                    <w:rPr>
                      <w:sz w:val="21"/>
                    </w:rPr>
                    <w:t>1200PLC转盘控制程序编程</w:t>
                  </w:r>
                </w:p>
              </w:tc>
            </w:tr>
            <w:tr>
              <w:tc>
                <w:tcPr>
                  <w:tcW w:type="dxa" w:w="987"/>
                  <w:vMerge/>
                  <w:tcBorders>
                    <w:top w:val="none" w:color="000000" w:sz="4"/>
                    <w:left w:val="single" w:color="000000" w:sz="4"/>
                    <w:bottom w:val="single" w:color="000000" w:sz="4"/>
                    <w:right w:val="single" w:color="000000" w:sz="4"/>
                  </w:tcBorders>
                </w:tcPr>
                <w:p/>
              </w:tc>
              <w:tc>
                <w:tcPr>
                  <w:tcW w:type="dxa" w:w="4609"/>
                  <w:tcBorders>
                    <w:top w:val="none" w:color="000000" w:sz="4"/>
                    <w:left w:val="none" w:color="000000" w:sz="4"/>
                    <w:bottom w:val="single" w:color="000000" w:sz="4"/>
                    <w:right w:val="single" w:color="000000" w:sz="4"/>
                  </w:tcBorders>
                  <w:vAlign w:val="top"/>
                </w:tcPr>
                <w:p>
                  <w:pPr>
                    <w:jc w:val="left"/>
                  </w:pPr>
                  <w:r>
                    <w:rPr>
                      <w:sz w:val="21"/>
                    </w:rPr>
                    <w:t>机器人状态检测记录表的填写</w:t>
                  </w:r>
                </w:p>
              </w:tc>
            </w:tr>
            <w:tr>
              <w:tc>
                <w:tcPr>
                  <w:tcW w:type="dxa" w:w="987"/>
                  <w:vMerge w:val="restart"/>
                  <w:tcBorders>
                    <w:top w:val="none" w:color="000000" w:sz="4"/>
                    <w:left w:val="single" w:color="000000" w:sz="4"/>
                    <w:bottom w:val="single" w:color="000000" w:sz="4"/>
                    <w:right w:val="none" w:color="000000" w:sz="4"/>
                  </w:tcBorders>
                  <w:vAlign w:val="top"/>
                </w:tcPr>
                <w:p>
                  <w:pPr>
                    <w:jc w:val="left"/>
                  </w:pPr>
                  <w:r>
                    <w:rPr>
                      <w:sz w:val="21"/>
                    </w:rPr>
                    <w:t>4.工作站设备故障处理</w:t>
                  </w: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FANUC机器人本体噪声、振动检查排故</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FANUC机器人工作站末端执行器机械气动失效</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FANUC机器人工作站末端执行器电气线路失效</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FANUC机器人控制柜风扇检查及更换（控制柜温升排故）</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FANUC机器人工作站安全回路连接线路检查排故</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FANUC机器人工作站送料气缸传感器有效性检查排故</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FANUC机器人工作站周边设备电气系统线路检查排故</w:t>
                  </w:r>
                </w:p>
              </w:tc>
            </w:tr>
            <w:tr>
              <w:tc>
                <w:tcPr>
                  <w:tcW w:type="dxa" w:w="987"/>
                  <w:vMerge/>
                  <w:tcBorders>
                    <w:top w:val="none" w:color="000000" w:sz="4"/>
                    <w:left w:val="single" w:color="000000" w:sz="4"/>
                    <w:bottom w:val="single" w:color="000000" w:sz="4"/>
                    <w:right w:val="none" w:color="000000" w:sz="4"/>
                  </w:tcBorders>
                </w:tcPr>
                <w:p/>
              </w:tc>
              <w:tc>
                <w:tcPr>
                  <w:tcW w:type="dxa" w:w="4609"/>
                  <w:tcBorders>
                    <w:top w:val="none" w:color="000000" w:sz="4"/>
                    <w:left w:val="single" w:color="000000" w:sz="4"/>
                    <w:bottom w:val="single" w:color="000000" w:sz="4"/>
                    <w:right w:val="single" w:color="000000" w:sz="4"/>
                  </w:tcBorders>
                  <w:vAlign w:val="top"/>
                </w:tcPr>
                <w:p>
                  <w:pPr>
                    <w:jc w:val="left"/>
                  </w:pPr>
                  <w:r>
                    <w:rPr>
                      <w:sz w:val="21"/>
                    </w:rPr>
                    <w:t>FANUC机器人工作站周边设备检查排故</w:t>
                  </w:r>
                </w:p>
              </w:tc>
            </w:tr>
          </w:tbl>
          <w:p>
            <w:r>
              <w:rPr/>
              <w:t xml:space="preserve"> </w:t>
            </w:r>
          </w:p>
          <w:p>
            <w:pPr>
              <w:jc w:val="center"/>
            </w:pPr>
            <w:r>
              <w:rPr>
                <w:b/>
                <w:sz w:val="21"/>
              </w:rPr>
              <w:t>表</w:t>
            </w:r>
            <w:r>
              <w:rPr>
                <w:b/>
                <w:sz w:val="21"/>
              </w:rPr>
              <w:t>3  工业视觉系统运维员</w:t>
            </w:r>
          </w:p>
          <w:tbl>
            <w:tblGrid>
              <w:gridCol w:w="1008"/>
              <w:gridCol w:w="4534"/>
            </w:tblGrid>
            <w:tr>
              <w:tc>
                <w:tcPr>
                  <w:tcW w:type="dxa" w:w="1008"/>
                  <w:tcBorders>
                    <w:top w:val="single" w:color="000000" w:sz="4"/>
                    <w:left w:val="single" w:color="000000" w:sz="4"/>
                    <w:bottom w:val="single" w:color="000000" w:sz="4"/>
                    <w:right w:val="single" w:color="000000" w:sz="4"/>
                  </w:tcBorders>
                </w:tcPr>
                <w:p>
                  <w:pPr>
                    <w:jc w:val="center"/>
                  </w:pPr>
                  <w:r>
                    <w:rPr>
                      <w:b/>
                      <w:sz w:val="21"/>
                    </w:rPr>
                    <w:t>项 目</w:t>
                  </w:r>
                </w:p>
              </w:tc>
              <w:tc>
                <w:tcPr>
                  <w:tcW w:type="dxa" w:w="4534"/>
                  <w:tcBorders>
                    <w:top w:val="single" w:color="000000" w:sz="4"/>
                    <w:left w:val="none" w:color="000000" w:sz="4"/>
                    <w:bottom w:val="single" w:color="000000" w:sz="4"/>
                    <w:right w:val="single" w:color="000000" w:sz="4"/>
                  </w:tcBorders>
                </w:tcPr>
                <w:p>
                  <w:pPr>
                    <w:jc w:val="center"/>
                  </w:pPr>
                  <w:r>
                    <w:rPr>
                      <w:b/>
                      <w:sz w:val="21"/>
                    </w:rPr>
                    <w:t>知识点（技能点）</w:t>
                  </w:r>
                </w:p>
              </w:tc>
            </w:tr>
            <w:tr>
              <w:tc>
                <w:tcPr>
                  <w:tcW w:type="dxa" w:w="1008"/>
                  <w:vMerge w:val="restart"/>
                  <w:tcBorders>
                    <w:top w:val="none" w:color="000000" w:sz="4"/>
                    <w:left w:val="single" w:color="000000" w:sz="4"/>
                    <w:bottom w:val="single" w:color="000000" w:sz="4"/>
                    <w:right w:val="single" w:color="000000" w:sz="4"/>
                  </w:tcBorders>
                </w:tcPr>
                <w:p>
                  <w:pPr>
                    <w:jc w:val="left"/>
                  </w:pPr>
                  <w:r>
                    <w:rPr>
                      <w:sz w:val="21"/>
                    </w:rPr>
                    <w:t>1.</w:t>
                  </w:r>
                  <w:r>
                    <w:rPr>
                      <w:sz w:val="21"/>
                    </w:rPr>
                    <w:t>工业视觉系统构建</w:t>
                  </w:r>
                </w:p>
              </w:tc>
              <w:tc>
                <w:tcPr>
                  <w:tcW w:type="dxa" w:w="4534"/>
                  <w:tcBorders>
                    <w:top w:val="none" w:color="000000" w:sz="4"/>
                    <w:left w:val="none" w:color="000000" w:sz="4"/>
                    <w:bottom w:val="single" w:color="000000" w:sz="4"/>
                    <w:right w:val="single" w:color="000000" w:sz="4"/>
                  </w:tcBorders>
                </w:tcPr>
                <w:p>
                  <w:pPr>
                    <w:jc w:val="left"/>
                  </w:pPr>
                  <w:r>
                    <w:rPr>
                      <w:sz w:val="21"/>
                    </w:rPr>
                    <w:t>工业视觉应用及常用术语概述</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视觉成像原理</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数字图像与图像处理基础</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相机工作原理及应用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工业相机分类及选型</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镜头工作原理及应用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镜头分类及选型</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常见光源分类</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光场设计</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常用通信方式介绍</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工业视觉硬件的安装</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工业视觉软件介绍</w:t>
                  </w:r>
                </w:p>
              </w:tc>
            </w:tr>
            <w:tr>
              <w:tc>
                <w:tcPr>
                  <w:tcW w:type="dxa" w:w="1008"/>
                  <w:vMerge w:val="restart"/>
                  <w:tcBorders>
                    <w:top w:val="none" w:color="000000" w:sz="4"/>
                    <w:left w:val="single" w:color="000000" w:sz="4"/>
                    <w:bottom w:val="single" w:color="000000" w:sz="4"/>
                    <w:right w:val="single" w:color="000000" w:sz="4"/>
                  </w:tcBorders>
                </w:tcPr>
                <w:p>
                  <w:pPr>
                    <w:jc w:val="left"/>
                  </w:pPr>
                  <w:r>
                    <w:rPr>
                      <w:sz w:val="21"/>
                    </w:rPr>
                    <w:t>2.</w:t>
                  </w:r>
                  <w:r>
                    <w:rPr>
                      <w:sz w:val="21"/>
                    </w:rPr>
                    <w:t>工业视觉系统编程与调试</w:t>
                  </w:r>
                </w:p>
              </w:tc>
              <w:tc>
                <w:tcPr>
                  <w:tcW w:type="dxa" w:w="4534"/>
                  <w:tcBorders>
                    <w:top w:val="none" w:color="000000" w:sz="4"/>
                    <w:left w:val="none" w:color="000000" w:sz="4"/>
                    <w:bottom w:val="single" w:color="000000" w:sz="4"/>
                    <w:right w:val="single" w:color="000000" w:sz="4"/>
                  </w:tcBorders>
                </w:tcPr>
                <w:p>
                  <w:pPr>
                    <w:jc w:val="left"/>
                  </w:pPr>
                  <w:r>
                    <w:rPr>
                      <w:sz w:val="21"/>
                    </w:rPr>
                    <w:t>visionmaster</w:t>
                  </w:r>
                  <w:r>
                    <w:rPr>
                      <w:sz w:val="21"/>
                    </w:rPr>
                    <w:t>软件安装及介绍</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相机参数设置、镜头调试、光源参数设置</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标定（相机、两点、标定板、九点）</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尺寸测量应用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角度测量应用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工件定位分拣应用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颜色辨别应用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脏污检测应用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划痕检测应用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拼图应用</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字符、二维码、条形码识别</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检测（焊印、缺陷、缺失、涂胶）</w:t>
                  </w:r>
                </w:p>
              </w:tc>
            </w:tr>
            <w:tr>
              <w:tc>
                <w:tcPr>
                  <w:tcW w:type="dxa" w:w="1008"/>
                  <w:vMerge w:val="restart"/>
                  <w:tcBorders>
                    <w:top w:val="none" w:color="000000" w:sz="4"/>
                    <w:left w:val="single" w:color="000000" w:sz="4"/>
                    <w:bottom w:val="single" w:color="000000" w:sz="4"/>
                    <w:right w:val="single" w:color="000000" w:sz="4"/>
                  </w:tcBorders>
                </w:tcPr>
                <w:p>
                  <w:pPr>
                    <w:jc w:val="left"/>
                  </w:pPr>
                  <w:r>
                    <w:rPr>
                      <w:sz w:val="21"/>
                    </w:rPr>
                    <w:t>3.</w:t>
                  </w:r>
                  <w:r>
                    <w:rPr>
                      <w:sz w:val="21"/>
                    </w:rPr>
                    <w:t>工业视觉系统维护与保养</w:t>
                  </w:r>
                </w:p>
              </w:tc>
              <w:tc>
                <w:tcPr>
                  <w:tcW w:type="dxa" w:w="4534"/>
                  <w:tcBorders>
                    <w:top w:val="none" w:color="000000" w:sz="4"/>
                    <w:left w:val="none" w:color="000000" w:sz="4"/>
                    <w:bottom w:val="single" w:color="000000" w:sz="4"/>
                    <w:right w:val="single" w:color="000000" w:sz="4"/>
                  </w:tcBorders>
                </w:tcPr>
                <w:p>
                  <w:pPr>
                    <w:jc w:val="left"/>
                  </w:pPr>
                  <w:r>
                    <w:rPr>
                      <w:sz w:val="21"/>
                    </w:rPr>
                    <w:t>工业视觉硬件维护与保养</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工业相机常见故障检测与排除</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镜头常见故障检测与排除</w:t>
                  </w:r>
                </w:p>
              </w:tc>
            </w:tr>
          </w:tbl>
          <w:p>
            <w:pPr>
              <w:jc w:val="center"/>
            </w:pPr>
            <w:r>
              <w:rPr/>
              <w:t xml:space="preserve"> </w:t>
            </w:r>
          </w:p>
          <w:p>
            <w:pPr>
              <w:jc w:val="center"/>
            </w:pPr>
            <w:r>
              <w:rPr>
                <w:b/>
                <w:sz w:val="21"/>
              </w:rPr>
              <w:t>表</w:t>
            </w:r>
            <w:r>
              <w:rPr>
                <w:b/>
                <w:sz w:val="21"/>
              </w:rPr>
              <w:t>4  计量员（长度计量员）</w:t>
            </w:r>
          </w:p>
          <w:p>
            <w:pPr>
              <w:jc w:val="center"/>
            </w:pPr>
          </w:p>
          <w:tbl>
            <w:tblGrid>
              <w:gridCol w:w="1008"/>
              <w:gridCol w:w="4534"/>
            </w:tblGrid>
            <w:tr>
              <w:tc>
                <w:tcPr>
                  <w:tcW w:type="dxa" w:w="1008"/>
                  <w:tcBorders>
                    <w:top w:val="single" w:color="000000" w:sz="4"/>
                    <w:left w:val="single" w:color="000000" w:sz="4"/>
                    <w:bottom w:val="single" w:color="000000" w:sz="4"/>
                    <w:right w:val="single" w:color="000000" w:sz="4"/>
                  </w:tcBorders>
                </w:tcPr>
                <w:p>
                  <w:pPr>
                    <w:jc w:val="center"/>
                  </w:pPr>
                  <w:r>
                    <w:rPr>
                      <w:b/>
                      <w:sz w:val="21"/>
                    </w:rPr>
                    <w:t>项 目</w:t>
                  </w:r>
                </w:p>
              </w:tc>
              <w:tc>
                <w:tcPr>
                  <w:tcW w:type="dxa" w:w="4534"/>
                  <w:tcBorders>
                    <w:top w:val="single" w:color="000000" w:sz="4"/>
                    <w:left w:val="none" w:color="000000" w:sz="4"/>
                    <w:bottom w:val="single" w:color="000000" w:sz="4"/>
                    <w:right w:val="single" w:color="000000" w:sz="4"/>
                  </w:tcBorders>
                </w:tcPr>
                <w:p>
                  <w:pPr>
                    <w:jc w:val="center"/>
                  </w:pPr>
                  <w:r>
                    <w:rPr>
                      <w:b/>
                      <w:sz w:val="21"/>
                    </w:rPr>
                    <w:t>知识点（技能点）</w:t>
                  </w:r>
                </w:p>
              </w:tc>
            </w:tr>
            <w:tr>
              <w:tc>
                <w:tcPr>
                  <w:tcW w:type="dxa" w:w="1008"/>
                  <w:vMerge w:val="restart"/>
                  <w:tcBorders>
                    <w:top w:val="none" w:color="000000" w:sz="4"/>
                    <w:left w:val="single" w:color="000000" w:sz="4"/>
                    <w:bottom w:val="single" w:color="000000" w:sz="4"/>
                    <w:right w:val="single" w:color="000000" w:sz="4"/>
                  </w:tcBorders>
                </w:tcPr>
                <w:p>
                  <w:pPr>
                    <w:jc w:val="left"/>
                  </w:pPr>
                  <w:r>
                    <w:rPr>
                      <w:sz w:val="21"/>
                    </w:rPr>
                    <w:t>1.</w:t>
                  </w:r>
                  <w:r>
                    <w:rPr>
                      <w:sz w:val="21"/>
                    </w:rPr>
                    <w:t>零件的手工测量</w:t>
                  </w:r>
                </w:p>
              </w:tc>
              <w:tc>
                <w:tcPr>
                  <w:tcW w:type="dxa" w:w="4534"/>
                  <w:tcBorders>
                    <w:top w:val="none" w:color="000000" w:sz="4"/>
                    <w:left w:val="none" w:color="000000" w:sz="4"/>
                    <w:bottom w:val="single" w:color="000000" w:sz="4"/>
                    <w:right w:val="single" w:color="000000" w:sz="4"/>
                  </w:tcBorders>
                </w:tcPr>
                <w:p>
                  <w:pPr>
                    <w:jc w:val="left"/>
                  </w:pPr>
                  <w:r>
                    <w:rPr>
                      <w:sz w:val="21"/>
                    </w:rPr>
                    <w:t>底板的手工测量与合格评定</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轴套的手工测量与合格评定</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联轴器的手工测量与合格评定</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制动轴的手工测量与合格评定</w:t>
                  </w:r>
                </w:p>
              </w:tc>
            </w:tr>
            <w:tr>
              <w:tc>
                <w:tcPr>
                  <w:tcW w:type="dxa" w:w="1008"/>
                  <w:vMerge w:val="restart"/>
                  <w:tcBorders>
                    <w:top w:val="none" w:color="000000" w:sz="4"/>
                    <w:left w:val="single" w:color="000000" w:sz="4"/>
                    <w:bottom w:val="none" w:color="000000" w:sz="4"/>
                    <w:right w:val="single" w:color="000000" w:sz="4"/>
                  </w:tcBorders>
                </w:tcPr>
                <w:p>
                  <w:pPr>
                    <w:jc w:val="left"/>
                  </w:pPr>
                  <w:r>
                    <w:rPr>
                      <w:sz w:val="21"/>
                    </w:rPr>
                    <w:t>2.</w:t>
                  </w:r>
                  <w:r>
                    <w:rPr>
                      <w:sz w:val="21"/>
                    </w:rPr>
                    <w:t>手工测量综合考评</w:t>
                  </w:r>
                </w:p>
              </w:tc>
              <w:tc>
                <w:tcPr>
                  <w:tcW w:type="dxa" w:w="4534"/>
                  <w:tcBorders>
                    <w:top w:val="none" w:color="000000" w:sz="4"/>
                    <w:left w:val="none" w:color="000000" w:sz="4"/>
                    <w:bottom w:val="single" w:color="000000" w:sz="4"/>
                    <w:right w:val="single" w:color="000000" w:sz="4"/>
                  </w:tcBorders>
                </w:tcPr>
                <w:p>
                  <w:pPr>
                    <w:jc w:val="left"/>
                  </w:pPr>
                  <w:r>
                    <w:rPr>
                      <w:sz w:val="21"/>
                    </w:rPr>
                    <w:t>样题测量任务分析及测量前准备</w:t>
                  </w:r>
                </w:p>
              </w:tc>
            </w:tr>
            <w:tr>
              <w:tc>
                <w:tcPr>
                  <w:tcW w:type="dxa" w:w="1008"/>
                  <w:vMerge/>
                  <w:tcBorders>
                    <w:top w:val="none" w:color="000000" w:sz="4"/>
                    <w:left w:val="single" w:color="000000" w:sz="4"/>
                    <w:bottom w:val="non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样题测量任务的测量实施</w:t>
                  </w:r>
                </w:p>
              </w:tc>
            </w:tr>
            <w:tr>
              <w:tc>
                <w:tcPr>
                  <w:tcW w:type="dxa" w:w="1008"/>
                  <w:vMerge/>
                  <w:tcBorders>
                    <w:top w:val="none" w:color="000000" w:sz="4"/>
                    <w:left w:val="single" w:color="000000" w:sz="4"/>
                    <w:bottom w:val="none" w:color="000000" w:sz="4"/>
                    <w:right w:val="single" w:color="000000" w:sz="4"/>
                  </w:tcBorders>
                </w:tcPr>
                <w:p/>
              </w:tc>
              <w:tc>
                <w:tcPr>
                  <w:tcW w:type="dxa" w:w="4534"/>
                  <w:tcBorders>
                    <w:top w:val="none" w:color="000000" w:sz="4"/>
                    <w:left w:val="none" w:color="000000" w:sz="4"/>
                    <w:bottom w:val="single" w:color="000000" w:sz="4"/>
                    <w:right w:val="single" w:color="000000" w:sz="4"/>
                  </w:tcBorders>
                </w:tcPr>
                <w:p>
                  <w:pPr>
                    <w:jc w:val="left"/>
                  </w:pPr>
                  <w:r>
                    <w:rPr>
                      <w:sz w:val="21"/>
                    </w:rPr>
                    <w:t>样题测量任务的测量结果</w:t>
                  </w:r>
                </w:p>
              </w:tc>
            </w:tr>
            <w:tr>
              <w:tc>
                <w:tcPr>
                  <w:tcW w:type="dxa" w:w="1008"/>
                  <w:vMerge w:val="restart"/>
                  <w:tcBorders>
                    <w:top w:val="single" w:color="000000" w:sz="4"/>
                    <w:left w:val="single" w:color="000000" w:sz="4"/>
                    <w:bottom w:val="single" w:color="000000" w:sz="4"/>
                    <w:right w:val="single" w:color="000000" w:sz="4"/>
                  </w:tcBorders>
                </w:tcPr>
                <w:p>
                  <w:pPr>
                    <w:jc w:val="left"/>
                  </w:pPr>
                  <w:r>
                    <w:rPr>
                      <w:sz w:val="21"/>
                    </w:rPr>
                    <w:t>3.</w:t>
                  </w:r>
                  <w:r>
                    <w:rPr>
                      <w:sz w:val="21"/>
                    </w:rPr>
                    <w:t>已有测量程序的 DEMO 零件检测</w:t>
                  </w:r>
                </w:p>
              </w:tc>
              <w:tc>
                <w:tcPr>
                  <w:tcW w:type="dxa" w:w="4534"/>
                  <w:tcBorders>
                    <w:top w:val="none" w:color="000000" w:sz="4"/>
                    <w:left w:val="none" w:color="000000" w:sz="4"/>
                    <w:bottom w:val="single" w:color="000000" w:sz="4"/>
                    <w:right w:val="single" w:color="000000" w:sz="4"/>
                  </w:tcBorders>
                  <w:vAlign w:val="bottom"/>
                </w:tcPr>
                <w:p>
                  <w:pPr>
                    <w:jc w:val="left"/>
                  </w:pPr>
                  <w:r>
                    <w:rPr>
                      <w:sz w:val="21"/>
                    </w:rPr>
                    <w:t>认识三坐标测量机</w:t>
                  </w:r>
                </w:p>
              </w:tc>
            </w:tr>
            <w:tr>
              <w:tc>
                <w:tcPr>
                  <w:tcW w:type="dxa" w:w="1008"/>
                  <w:vMerge/>
                  <w:tcBorders>
                    <w:top w:val="singl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测座及传感器配置</w:t>
                  </w:r>
                </w:p>
              </w:tc>
            </w:tr>
            <w:tr>
              <w:tc>
                <w:tcPr>
                  <w:tcW w:type="dxa" w:w="1008"/>
                  <w:vMerge/>
                  <w:tcBorders>
                    <w:top w:val="singl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三坐标测量的准备工作</w:t>
                  </w:r>
                </w:p>
              </w:tc>
            </w:tr>
            <w:tr>
              <w:tc>
                <w:tcPr>
                  <w:tcW w:type="dxa" w:w="1008"/>
                  <w:vMerge/>
                  <w:tcBorders>
                    <w:top w:val="singl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认识PC-DIMS软件</w:t>
                  </w:r>
                </w:p>
              </w:tc>
            </w:tr>
            <w:tr>
              <w:tc>
                <w:tcPr>
                  <w:tcW w:type="dxa" w:w="1008"/>
                  <w:vMerge/>
                  <w:tcBorders>
                    <w:top w:val="singl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测头配置及校验</w:t>
                  </w:r>
                </w:p>
              </w:tc>
            </w:tr>
            <w:tr>
              <w:tc>
                <w:tcPr>
                  <w:tcW w:type="dxa" w:w="1008"/>
                  <w:vMerge/>
                  <w:tcBorders>
                    <w:top w:val="singl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测量零件</w:t>
                  </w:r>
                </w:p>
              </w:tc>
            </w:tr>
            <w:tr>
              <w:tc>
                <w:tcPr>
                  <w:tcW w:type="dxa" w:w="1008"/>
                  <w:vMerge w:val="restart"/>
                  <w:tcBorders>
                    <w:top w:val="none" w:color="000000" w:sz="4"/>
                    <w:left w:val="single" w:color="000000" w:sz="4"/>
                    <w:bottom w:val="single" w:color="000000" w:sz="4"/>
                    <w:right w:val="single" w:color="000000" w:sz="4"/>
                  </w:tcBorders>
                </w:tcPr>
                <w:p>
                  <w:pPr>
                    <w:jc w:val="left"/>
                  </w:pPr>
                  <w:r>
                    <w:rPr>
                      <w:sz w:val="21"/>
                    </w:rPr>
                    <w:t>4.</w:t>
                  </w:r>
                  <w:r>
                    <w:rPr>
                      <w:sz w:val="21"/>
                    </w:rPr>
                    <w:t>零件检测</w:t>
                  </w:r>
                </w:p>
              </w:tc>
              <w:tc>
                <w:tcPr>
                  <w:tcW w:type="dxa" w:w="4534"/>
                  <w:tcBorders>
                    <w:top w:val="none" w:color="000000" w:sz="4"/>
                    <w:left w:val="none" w:color="000000" w:sz="4"/>
                    <w:bottom w:val="single" w:color="000000" w:sz="4"/>
                    <w:right w:val="single" w:color="000000" w:sz="4"/>
                  </w:tcBorders>
                  <w:vAlign w:val="bottom"/>
                </w:tcPr>
                <w:p>
                  <w:pPr>
                    <w:jc w:val="left"/>
                  </w:pPr>
                  <w:r>
                    <w:rPr>
                      <w:sz w:val="21"/>
                    </w:rPr>
                    <w:t>底板零件的手动检测</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组装基座零件的自动检测</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联轴器零件的自动检测</w:t>
                  </w:r>
                </w:p>
              </w:tc>
            </w:tr>
            <w:tr>
              <w:tc>
                <w:tcPr>
                  <w:tcW w:type="dxa" w:w="1008"/>
                  <w:vMerge/>
                  <w:tcBorders>
                    <w:top w:val="none" w:color="000000" w:sz="4"/>
                    <w:left w:val="single" w:color="000000" w:sz="4"/>
                    <w:bottom w:val="single" w:color="000000" w:sz="4"/>
                    <w:right w:val="single" w:color="000000" w:sz="4"/>
                  </w:tcBorders>
                </w:tcPr>
                <w:p/>
              </w:tc>
              <w:tc>
                <w:tcPr>
                  <w:tcW w:type="dxa" w:w="4534"/>
                  <w:tcBorders>
                    <w:top w:val="none" w:color="000000" w:sz="4"/>
                    <w:left w:val="none" w:color="000000" w:sz="4"/>
                    <w:bottom w:val="single" w:color="000000" w:sz="4"/>
                    <w:right w:val="single" w:color="000000" w:sz="4"/>
                  </w:tcBorders>
                  <w:vAlign w:val="bottom"/>
                </w:tcPr>
                <w:p>
                  <w:pPr>
                    <w:jc w:val="left"/>
                  </w:pPr>
                  <w:r>
                    <w:rPr>
                      <w:sz w:val="21"/>
                    </w:rPr>
                    <w:t>立板零件的自动检测</w:t>
                  </w:r>
                </w:p>
              </w:tc>
            </w:tr>
          </w:tbl>
          <w:p>
            <w:pPr>
              <w:jc w:val="center"/>
            </w:pPr>
            <w:r>
              <w:rPr/>
              <w:t xml:space="preserve"> </w:t>
            </w:r>
          </w:p>
          <w:p>
            <w:pPr>
              <w:jc w:val="center"/>
            </w:pPr>
            <w:r>
              <w:rPr>
                <w:b/>
                <w:sz w:val="21"/>
              </w:rPr>
              <w:t>表</w:t>
            </w:r>
            <w:r>
              <w:rPr>
                <w:b/>
                <w:sz w:val="21"/>
              </w:rPr>
              <w:t>5  钳工</w:t>
            </w:r>
          </w:p>
          <w:tbl>
            <w:tblPr>
              <w:tblBorders>
                <w:top w:val="none" w:color="000000" w:sz="4"/>
                <w:left w:val="none" w:color="000000" w:sz="4"/>
                <w:bottom w:val="none" w:color="000000" w:sz="4"/>
                <w:right w:val="none" w:color="000000" w:sz="4"/>
                <w:insideH w:val="none"/>
                <w:insideV w:val="none"/>
              </w:tblBorders>
            </w:tblPr>
            <w:tblGrid>
              <w:gridCol w:w="1008"/>
              <w:gridCol w:w="4589"/>
            </w:tblGrid>
            <w:tr>
              <w:tc>
                <w:tcPr>
                  <w:tcW w:type="dxa" w:w="1008"/>
                  <w:tcBorders>
                    <w:top w:val="single" w:color="000000" w:sz="4"/>
                    <w:left w:val="single" w:color="000000" w:sz="4"/>
                    <w:bottom w:val="single" w:color="000000" w:sz="4"/>
                    <w:right w:val="single" w:color="000000" w:sz="4"/>
                  </w:tcBorders>
                  <w:vAlign w:val="top"/>
                </w:tcPr>
                <w:p>
                  <w:pPr>
                    <w:jc w:val="left"/>
                  </w:pPr>
                  <w:r>
                    <w:rPr>
                      <w:b/>
                      <w:sz w:val="21"/>
                    </w:rPr>
                    <w:t>项</w:t>
                  </w:r>
                  <w:r>
                    <w:rPr>
                      <w:b/>
                      <w:sz w:val="21"/>
                    </w:rPr>
                    <w:t>目</w:t>
                  </w:r>
                </w:p>
              </w:tc>
              <w:tc>
                <w:tcPr>
                  <w:tcW w:type="dxa" w:w="4589"/>
                  <w:tcBorders>
                    <w:top w:val="single" w:color="000000" w:sz="4"/>
                    <w:left w:val="single" w:color="000000" w:sz="4"/>
                    <w:bottom w:val="single" w:color="000000" w:sz="4"/>
                    <w:right w:val="single" w:color="000000" w:sz="4"/>
                  </w:tcBorders>
                  <w:vAlign w:val="top"/>
                </w:tcPr>
                <w:p>
                  <w:pPr>
                    <w:jc w:val="left"/>
                  </w:pPr>
                  <w:r>
                    <w:rPr>
                      <w:b/>
                      <w:sz w:val="21"/>
                    </w:rPr>
                    <w:t>知识点（技能点）</w:t>
                  </w:r>
                </w:p>
              </w:tc>
            </w:tr>
            <w:tr>
              <w:tc>
                <w:tcPr>
                  <w:tcW w:type="dxa" w:w="1008"/>
                  <w:vMerge w:val="restart"/>
                  <w:tcBorders>
                    <w:top w:val="none" w:color="000000" w:sz="4"/>
                    <w:left w:val="single" w:color="000000" w:sz="4"/>
                    <w:bottom w:val="single" w:color="000000" w:sz="4"/>
                    <w:right w:val="single" w:color="000000" w:sz="4"/>
                  </w:tcBorders>
                  <w:vAlign w:val="top"/>
                </w:tcPr>
                <w:p>
                  <w:pPr>
                    <w:jc w:val="left"/>
                  </w:pPr>
                  <w:r>
                    <w:rPr>
                      <w:sz w:val="21"/>
                    </w:rPr>
                    <w:t>1.零件钳加工</w:t>
                  </w:r>
                </w:p>
              </w:tc>
              <w:tc>
                <w:tcPr>
                  <w:tcW w:type="dxa" w:w="4589"/>
                  <w:tcBorders>
                    <w:top w:val="none" w:color="000000" w:sz="4"/>
                    <w:left w:val="single" w:color="000000" w:sz="4"/>
                    <w:bottom w:val="single" w:color="000000" w:sz="4"/>
                    <w:right w:val="single" w:color="000000" w:sz="4"/>
                  </w:tcBorders>
                  <w:vAlign w:val="top"/>
                </w:tcPr>
                <w:p>
                  <w:pPr>
                    <w:jc w:val="left"/>
                  </w:pPr>
                  <w:r>
                    <w:rPr>
                      <w:sz w:val="21"/>
                    </w:rPr>
                    <w:t>下料</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测量工具的使用</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划线</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锯削</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錾削</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挫削</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钻孔、扩孔</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攻螺纹、套螺纹</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压花、去毛刺和打磨</w:t>
                  </w:r>
                </w:p>
              </w:tc>
            </w:tr>
            <w:tr>
              <w:tc>
                <w:tcPr>
                  <w:tcW w:type="dxa" w:w="1008"/>
                  <w:vMerge w:val="restart"/>
                  <w:tcBorders>
                    <w:top w:val="none" w:color="000000" w:sz="4"/>
                    <w:left w:val="single" w:color="000000" w:sz="4"/>
                    <w:bottom w:val="single" w:color="000000" w:sz="4"/>
                    <w:right w:val="single" w:color="000000" w:sz="4"/>
                  </w:tcBorders>
                  <w:vAlign w:val="top"/>
                </w:tcPr>
                <w:p>
                  <w:pPr>
                    <w:jc w:val="left"/>
                  </w:pPr>
                  <w:r>
                    <w:rPr>
                      <w:sz w:val="21"/>
                    </w:rPr>
                    <w:t>2.减速器拆装</w:t>
                  </w:r>
                </w:p>
              </w:tc>
              <w:tc>
                <w:tcPr>
                  <w:tcW w:type="dxa" w:w="4589"/>
                  <w:tcBorders>
                    <w:top w:val="none" w:color="000000" w:sz="4"/>
                    <w:left w:val="single" w:color="000000" w:sz="4"/>
                    <w:bottom w:val="single" w:color="000000" w:sz="4"/>
                    <w:right w:val="single" w:color="000000" w:sz="4"/>
                  </w:tcBorders>
                  <w:vAlign w:val="top"/>
                </w:tcPr>
                <w:p>
                  <w:pPr>
                    <w:jc w:val="left"/>
                  </w:pPr>
                  <w:r>
                    <w:rPr>
                      <w:sz w:val="21"/>
                    </w:rPr>
                    <w:t>减速器结构和原理</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公差配合及技术测量知识</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安全教育、装配工具介绍与使用</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装配钳工技术，装配技术规范</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减速器拆卸</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减速器零件清洗</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减速器装配（包括润滑与密封）</w:t>
                  </w:r>
                </w:p>
              </w:tc>
            </w:tr>
            <w:tr>
              <w:tc>
                <w:tcPr>
                  <w:tcW w:type="dxa" w:w="1008"/>
                  <w:vMerge w:val="restart"/>
                  <w:tcBorders>
                    <w:top w:val="none" w:color="000000" w:sz="4"/>
                    <w:left w:val="single" w:color="000000" w:sz="4"/>
                    <w:bottom w:val="single" w:color="000000" w:sz="4"/>
                    <w:right w:val="single" w:color="000000" w:sz="4"/>
                  </w:tcBorders>
                  <w:vAlign w:val="top"/>
                </w:tcPr>
                <w:p>
                  <w:pPr>
                    <w:jc w:val="left"/>
                  </w:pPr>
                  <w:r>
                    <w:rPr>
                      <w:sz w:val="21"/>
                    </w:rPr>
                    <w:t>3.机床床头箱拆装</w:t>
                  </w: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普通车床基本组成</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水平仪使用及注意事项</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机床水平调整</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普通车床导轨精度检测</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普通车床中滑板</w:t>
                  </w:r>
                  <w:r>
                    <w:rPr>
                      <w:sz w:val="21"/>
                    </w:rPr>
                    <w:t>+刀架组成</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普通车床中滑板拆卸</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普通车床中滑板装调</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普通车床中滑板精度检测</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普通车床溜板箱组成</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普通车床溜板箱拆卸</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普通车床溜板箱装调</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普通车床溜板箱精度检测</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普通车床尾座组成</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普通车床尾座拆卸</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普通车床尾座装调</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普通车床尾座精度检测</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拆装工具介绍</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普通车床主轴箱拆卸</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普通车床主轴箱零件清洗</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普通车床主轴箱装配</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普通车床主轴箱精度检测</w:t>
                  </w:r>
                </w:p>
              </w:tc>
            </w:tr>
            <w:tr>
              <w:tc>
                <w:tcPr>
                  <w:tcW w:type="dxa" w:w="1008"/>
                  <w:vMerge w:val="restart"/>
                  <w:tcBorders>
                    <w:top w:val="none" w:color="000000" w:sz="4"/>
                    <w:left w:val="single" w:color="000000" w:sz="4"/>
                    <w:bottom w:val="single" w:color="000000" w:sz="4"/>
                    <w:right w:val="single" w:color="000000" w:sz="4"/>
                  </w:tcBorders>
                  <w:vAlign w:val="top"/>
                </w:tcPr>
                <w:p>
                  <w:pPr>
                    <w:jc w:val="left"/>
                  </w:pPr>
                  <w:r>
                    <w:rPr>
                      <w:sz w:val="21"/>
                    </w:rPr>
                    <w:t>4.数控机床保养与维修</w:t>
                  </w:r>
                </w:p>
              </w:tc>
              <w:tc>
                <w:tcPr>
                  <w:tcW w:type="dxa" w:w="4589"/>
                  <w:tcBorders>
                    <w:top w:val="none" w:color="000000" w:sz="4"/>
                    <w:left w:val="single" w:color="000000" w:sz="4"/>
                    <w:bottom w:val="single" w:color="000000" w:sz="4"/>
                    <w:right w:val="single" w:color="000000" w:sz="4"/>
                  </w:tcBorders>
                  <w:vAlign w:val="top"/>
                </w:tcPr>
                <w:p>
                  <w:pPr>
                    <w:jc w:val="left"/>
                  </w:pPr>
                  <w:r>
                    <w:rPr>
                      <w:sz w:val="21"/>
                    </w:rPr>
                    <w:t>常见机械设备结构与原理</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常见机械传动类型</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气压传动基本原理、常用器件</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气动系统维护与检修</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液压传动基本原理、常用器件</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液压系统维护与检修</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机床保养</w:t>
                  </w:r>
                </w:p>
              </w:tc>
            </w:tr>
            <w:tr>
              <w:tc>
                <w:tcPr>
                  <w:tcW w:type="dxa" w:w="1008"/>
                  <w:vMerge w:val="restart"/>
                  <w:tcBorders>
                    <w:top w:val="none" w:color="000000" w:sz="4"/>
                    <w:left w:val="single" w:color="000000" w:sz="4"/>
                    <w:bottom w:val="single" w:color="000000" w:sz="4"/>
                    <w:right w:val="single" w:color="000000" w:sz="4"/>
                  </w:tcBorders>
                  <w:vAlign w:val="top"/>
                </w:tcPr>
                <w:p>
                  <w:pPr>
                    <w:jc w:val="left"/>
                  </w:pPr>
                  <w:r>
                    <w:rPr>
                      <w:sz w:val="21"/>
                    </w:rPr>
                    <w:t>5.气割与气焊</w:t>
                  </w:r>
                </w:p>
              </w:tc>
              <w:tc>
                <w:tcPr>
                  <w:tcW w:type="dxa" w:w="4589"/>
                  <w:tcBorders>
                    <w:top w:val="none" w:color="000000" w:sz="4"/>
                    <w:left w:val="single" w:color="000000" w:sz="4"/>
                    <w:bottom w:val="single" w:color="000000" w:sz="4"/>
                    <w:right w:val="single" w:color="000000" w:sz="4"/>
                  </w:tcBorders>
                  <w:vAlign w:val="top"/>
                </w:tcPr>
                <w:p>
                  <w:pPr>
                    <w:jc w:val="left"/>
                  </w:pPr>
                  <w:r>
                    <w:rPr>
                      <w:sz w:val="21"/>
                    </w:rPr>
                    <w:t>气割与气焊工具材料</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气割工作原理</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气割工艺与实操</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气焊工作原理</w:t>
                  </w:r>
                </w:p>
              </w:tc>
            </w:tr>
            <w:tr>
              <w:tc>
                <w:tcPr>
                  <w:tcW w:type="dxa" w:w="1008"/>
                  <w:vMerge/>
                  <w:tcBorders>
                    <w:top w:val="none" w:color="000000" w:sz="4"/>
                    <w:left w:val="single" w:color="000000" w:sz="4"/>
                    <w:bottom w:val="single" w:color="000000" w:sz="4"/>
                    <w:right w:val="single" w:color="000000" w:sz="4"/>
                  </w:tcBorders>
                </w:tcPr>
                <w:p/>
              </w:tc>
              <w:tc>
                <w:tcPr>
                  <w:tcW w:type="dxa" w:w="4589"/>
                  <w:tcBorders>
                    <w:top w:val="none" w:color="000000" w:sz="4"/>
                    <w:left w:val="single" w:color="000000" w:sz="4"/>
                    <w:bottom w:val="single" w:color="000000" w:sz="4"/>
                    <w:right w:val="single" w:color="000000" w:sz="4"/>
                  </w:tcBorders>
                  <w:vAlign w:val="top"/>
                </w:tcPr>
                <w:p>
                  <w:pPr>
                    <w:jc w:val="left"/>
                  </w:pPr>
                  <w:r>
                    <w:rPr>
                      <w:sz w:val="21"/>
                    </w:rPr>
                    <w:t>气焊工艺与实操</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广州市机电技师学院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中标金额为计算基数参照国家计委颁布的（计价格【2002】1980号）及国家发改委颁布的（发改办价格【2003】857号）收费标准的80%（即下浮20%）进行计算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李国晨、张锡宇</w:t>
      </w:r>
    </w:p>
    <w:p>
      <w:pPr>
        <w:ind w:firstLine="480"/>
      </w:pPr>
      <w:r>
        <w:rPr/>
        <w:t>电话：</w:t>
      </w:r>
      <w:r>
        <w:rPr/>
        <w:t>020-31603842、020-37635007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产业就业培训基地数字化培训教学资源库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采购包1（广东省产业就业培训基地数字化培训教学资源库采购项目）：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采购包1（广东省产业就业培训基地数字化培训教学资源库采购项目）：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采购包1（广东省产业就业培训基地数字化培训教学资源库采购项目）：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采购包1(广东省产业就业培训基地数字化培训教学资源库采购项目):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投标响应程度 (21.0分)</w:t>
            </w:r>
          </w:p>
        </w:tc>
        <w:tc>
          <w:tcPr>
            <w:tcW w:type="dxa" w:w="5076"/>
          </w:tcPr>
          <w:p>
            <w:pPr>
              <w:jc w:val="left"/>
            </w:pPr>
            <w:r>
              <w:rPr/>
              <w:t>投标人对“技术标准与要求”中所有带“▲”条款（共21项）完全响应或正偏离的，得21分；每有一项未响应或负偏离的扣1分，本项最低扣至0分。 注：以投标人投标文件中的《技术和服务要求响应表》中的响应情况填写内容为准，未填写的或参数不满足的都视为负偏离。</w:t>
            </w:r>
          </w:p>
        </w:tc>
      </w:tr>
      <w:tr>
        <w:tc>
          <w:tcPr>
            <w:tcW w:type="dxa" w:w="922"/>
            <w:gridSpan w:val="2"/>
            <w:vMerge/>
          </w:tcPr>
          <w:p/>
        </w:tc>
        <w:tc>
          <w:tcPr>
            <w:tcW w:type="dxa" w:w="2307"/>
          </w:tcPr>
          <w:p>
            <w:pPr>
              <w:jc w:val="left"/>
            </w:pPr>
            <w:r>
              <w:rPr/>
              <w:t>现有的课程资源 (6.0分)</w:t>
            </w:r>
          </w:p>
        </w:tc>
        <w:tc>
          <w:tcPr>
            <w:tcW w:type="dxa" w:w="5076"/>
          </w:tcPr>
          <w:p>
            <w:pPr>
              <w:jc w:val="left"/>
            </w:pPr>
            <w:r>
              <w:rPr/>
              <w:t>投标人每提供一门与采购相关的现有课程资源，得1.5分，最高得分6分。 注：提供证明材料，包括但不限于课程中设备厂家提供的培训课程、同类型课程的课件等，不提供或专家无法认定的不得分。</w:t>
            </w:r>
          </w:p>
        </w:tc>
      </w:tr>
      <w:tr>
        <w:tc>
          <w:tcPr>
            <w:tcW w:type="dxa" w:w="922"/>
            <w:gridSpan w:val="2"/>
            <w:vMerge/>
          </w:tcPr>
          <w:p/>
        </w:tc>
        <w:tc>
          <w:tcPr>
            <w:tcW w:type="dxa" w:w="2307"/>
          </w:tcPr>
          <w:p>
            <w:pPr>
              <w:jc w:val="left"/>
            </w:pPr>
            <w:r>
              <w:rPr/>
              <w:t>实施方案（一） (4.0分)</w:t>
            </w:r>
          </w:p>
        </w:tc>
        <w:tc>
          <w:tcPr>
            <w:tcW w:type="dxa" w:w="5076"/>
          </w:tcPr>
          <w:p>
            <w:pPr>
              <w:jc w:val="left"/>
            </w:pPr>
            <w:r>
              <w:rPr/>
              <w:t>评标委员会根据投标人提供的对本项目实施方案评价，方案应包括（投标文件中方案标题应以下列方案名称命名）： （1）通过前期调研对项目的理解； （2）项目执行标准及目标； （3）项目工作安排； （4）各环节的配合措施； （5）人员安排 （6）成果提交 （7）成果验收方案 （8）售后服务方案。 注：提供全部内容得4分，每缺1项扣0.5分。</w:t>
            </w:r>
          </w:p>
        </w:tc>
      </w:tr>
      <w:tr>
        <w:tc>
          <w:tcPr>
            <w:tcW w:type="dxa" w:w="922"/>
            <w:gridSpan w:val="2"/>
            <w:vMerge/>
          </w:tcPr>
          <w:p/>
        </w:tc>
        <w:tc>
          <w:tcPr>
            <w:tcW w:type="dxa" w:w="2307"/>
          </w:tcPr>
          <w:p>
            <w:pPr>
              <w:jc w:val="left"/>
            </w:pPr>
            <w:r>
              <w:rPr/>
              <w:t>实施方案（二） (9.0分)</w:t>
            </w:r>
          </w:p>
        </w:tc>
        <w:tc>
          <w:tcPr>
            <w:tcW w:type="dxa" w:w="5076"/>
          </w:tcPr>
          <w:p>
            <w:pPr>
              <w:jc w:val="left"/>
            </w:pPr>
            <w:r>
              <w:rPr/>
              <w:t>根据投标人所提供实施方案是否具体、详细、完善、有利于项目实施的方面进行评审。 1、方案完整，方案完善、合理，可行性高，得9分； 2、方案较完整，方案较完善、较合理，可行性较高，得6分； 3、方案基本完善，基本合理，可行性一般，得3分； 4、未提供，不得分。</w:t>
            </w:r>
          </w:p>
        </w:tc>
      </w:tr>
      <w:tr>
        <w:tc>
          <w:tcPr>
            <w:tcW w:type="dxa" w:w="922"/>
            <w:gridSpan w:val="2"/>
            <w:vMerge/>
          </w:tcPr>
          <w:p/>
        </w:tc>
        <w:tc>
          <w:tcPr>
            <w:tcW w:type="dxa" w:w="2307"/>
          </w:tcPr>
          <w:p>
            <w:pPr>
              <w:jc w:val="left"/>
            </w:pPr>
            <w:r>
              <w:rPr/>
              <w:t>课程开发及设计（一） (1.0分)</w:t>
            </w:r>
          </w:p>
        </w:tc>
        <w:tc>
          <w:tcPr>
            <w:tcW w:type="dxa" w:w="5076"/>
          </w:tcPr>
          <w:p>
            <w:pPr>
              <w:jc w:val="left"/>
            </w:pPr>
            <w:r>
              <w:rPr/>
              <w:t>评标委员会根据投标人提供的课程开发及设计进行评价，课程开发及设计应包括（投标文件中方案标题应以下列方案名称命名）： （1）课程开发及设计的构想方案； （2）课程章节目录设计。 注：提供全部内容得1分，每缺1项扣0.5分。</w:t>
            </w:r>
          </w:p>
        </w:tc>
      </w:tr>
      <w:tr>
        <w:tc>
          <w:tcPr>
            <w:tcW w:type="dxa" w:w="922"/>
            <w:gridSpan w:val="2"/>
            <w:vMerge/>
          </w:tcPr>
          <w:p/>
        </w:tc>
        <w:tc>
          <w:tcPr>
            <w:tcW w:type="dxa" w:w="2307"/>
          </w:tcPr>
          <w:p>
            <w:pPr>
              <w:jc w:val="left"/>
            </w:pPr>
            <w:r>
              <w:rPr/>
              <w:t>课程开发及设计（二） (5.0分)</w:t>
            </w:r>
          </w:p>
        </w:tc>
        <w:tc>
          <w:tcPr>
            <w:tcW w:type="dxa" w:w="5076"/>
          </w:tcPr>
          <w:p>
            <w:pPr>
              <w:jc w:val="left"/>
            </w:pPr>
            <w:r>
              <w:rPr/>
              <w:t>根据投标人所提供的课程开发及设计的合理性、可行性、专业性的综合评价。 1、方案完整，课程设计章节目录详尽、合理、专业性强的，得5分； 2、方案较完整，课程设计章节目录较详尽、较合理、专业性较强的，得3分； 3、方案基本完整，课程设计章节目录的基本详尽、基本合理、专业性一般的，得1分； 4、未提供方案不得分。</w:t>
            </w:r>
          </w:p>
        </w:tc>
      </w:tr>
      <w:tr>
        <w:tc>
          <w:tcPr>
            <w:tcW w:type="dxa" w:w="922"/>
            <w:gridSpan w:val="2"/>
            <w:vMerge/>
          </w:tcPr>
          <w:p/>
        </w:tc>
        <w:tc>
          <w:tcPr>
            <w:tcW w:type="dxa" w:w="2307"/>
          </w:tcPr>
          <w:p>
            <w:pPr>
              <w:jc w:val="left"/>
            </w:pPr>
            <w:r>
              <w:rPr/>
              <w:t>质量保证措施（一） (1.0分)</w:t>
            </w:r>
          </w:p>
        </w:tc>
        <w:tc>
          <w:tcPr>
            <w:tcW w:type="dxa" w:w="5076"/>
          </w:tcPr>
          <w:p>
            <w:pPr>
              <w:jc w:val="left"/>
            </w:pPr>
            <w:r>
              <w:rPr/>
              <w:t>评标委员会根据投标人提供的质量保证措施内容进行评价，质量保证措施应包括（投标文件中方案标题应以下列方案名称命名）： （1）各知识点、技能点的准确性保障； （2）时间计划保障措施。 注：提供全部内容得1分，每缺1项扣0.5分。</w:t>
            </w:r>
          </w:p>
        </w:tc>
      </w:tr>
      <w:tr>
        <w:tc>
          <w:tcPr>
            <w:tcW w:type="dxa" w:w="922"/>
            <w:gridSpan w:val="2"/>
            <w:vMerge/>
          </w:tcPr>
          <w:p/>
        </w:tc>
        <w:tc>
          <w:tcPr>
            <w:tcW w:type="dxa" w:w="2307"/>
          </w:tcPr>
          <w:p>
            <w:pPr>
              <w:jc w:val="left"/>
            </w:pPr>
            <w:r>
              <w:rPr/>
              <w:t>质量保证措施（二） (8.0分)</w:t>
            </w:r>
          </w:p>
        </w:tc>
        <w:tc>
          <w:tcPr>
            <w:tcW w:type="dxa" w:w="5076"/>
          </w:tcPr>
          <w:p>
            <w:pPr>
              <w:jc w:val="left"/>
            </w:pPr>
            <w:r>
              <w:rPr/>
              <w:t>根据投标人针对本项目提供的质量保证措施和质量管理制度进行评审：  1、方案完整，质量保证措施和质量管理制度详细、完善、可行性高，得8分； 2、方案较完整，质量保证措施和质量管理制度较详细、完善、可行性较高，得5分； 3、方案基本完整，质量保证措施和质量管理制度基本详细、基本完善、方案基本可行，得2分； 4、未提供方案不得分。</w:t>
            </w:r>
          </w:p>
        </w:tc>
      </w:tr>
      <w:tr>
        <w:tc>
          <w:tcPr>
            <w:tcW w:type="dxa" w:w="922"/>
            <w:gridSpan w:val="2"/>
            <w:vMerge w:val="restart"/>
          </w:tcPr>
          <w:p>
            <w:pPr>
              <w:jc w:val="center"/>
            </w:pPr>
            <w:r>
              <w:rPr/>
              <w:t>商务部分</w:t>
            </w:r>
          </w:p>
        </w:tc>
        <w:tc>
          <w:tcPr>
            <w:tcW w:type="dxa" w:w="2307"/>
          </w:tcPr>
          <w:p>
            <w:pPr>
              <w:jc w:val="left"/>
            </w:pPr>
            <w:r>
              <w:rPr/>
              <w:t>管理体系认证情况 (6.0分)</w:t>
            </w:r>
          </w:p>
        </w:tc>
        <w:tc>
          <w:tcPr>
            <w:tcW w:type="dxa" w:w="5076"/>
          </w:tcPr>
          <w:p>
            <w:pPr>
              <w:jc w:val="left"/>
            </w:pPr>
            <w:r>
              <w:rPr/>
              <w:t>具有质量体系认证证书、环境管理体系认证证书、职业健康安全管理体系认证证书，每提供一个得2分，最高6分。 注：提供有效的证书复印件，不提供或专家无法认定的不得分。</w:t>
            </w:r>
          </w:p>
        </w:tc>
      </w:tr>
      <w:tr>
        <w:tc>
          <w:tcPr>
            <w:tcW w:type="dxa" w:w="922"/>
            <w:gridSpan w:val="2"/>
            <w:vMerge/>
          </w:tcPr>
          <w:p/>
        </w:tc>
        <w:tc>
          <w:tcPr>
            <w:tcW w:type="dxa" w:w="2307"/>
          </w:tcPr>
          <w:p>
            <w:pPr>
              <w:jc w:val="left"/>
            </w:pPr>
            <w:r>
              <w:rPr/>
              <w:t>同类业绩 (2.0分)</w:t>
            </w:r>
          </w:p>
        </w:tc>
        <w:tc>
          <w:tcPr>
            <w:tcW w:type="dxa" w:w="5076"/>
          </w:tcPr>
          <w:p>
            <w:pPr>
              <w:jc w:val="left"/>
            </w:pPr>
            <w:r>
              <w:rPr/>
              <w:t>投标人2019年1月1日（以合同签订时间为准）至今具有网络（数字化）课程开发的经验，每提供一个得1分，最高得2分。 注：需提供合同或委托协议的关键页复印件（关键页须包括项目名称、签约时间、项目主要内容和双方盖章页）不提供不得分。</w:t>
            </w:r>
          </w:p>
        </w:tc>
      </w:tr>
      <w:tr>
        <w:tc>
          <w:tcPr>
            <w:tcW w:type="dxa" w:w="922"/>
            <w:gridSpan w:val="2"/>
            <w:vMerge/>
          </w:tcPr>
          <w:p/>
        </w:tc>
        <w:tc>
          <w:tcPr>
            <w:tcW w:type="dxa" w:w="2307"/>
          </w:tcPr>
          <w:p>
            <w:pPr>
              <w:jc w:val="left"/>
            </w:pPr>
            <w:r>
              <w:rPr/>
              <w:t>专家团队情况 (7.0分)</w:t>
            </w:r>
          </w:p>
        </w:tc>
        <w:tc>
          <w:tcPr>
            <w:tcW w:type="dxa" w:w="5076"/>
          </w:tcPr>
          <w:p>
            <w:pPr>
              <w:jc w:val="left"/>
            </w:pPr>
            <w:r>
              <w:rPr/>
              <w:t>投标人为本项目拟投入的专家情况，具有与项目建设内容相匹配的专家团队： 1、专家种类包含具有与项目建设专业相符的副高或以上专业技术职称或高级工以上技能等级的人员； 2、专家具有职业分类、职业标准、题库开发、教材编写、课程开发、方式方法指导、企业实践专家、技能人才培养评价专家等工作经验的； 满足上述任意一种情形的，每提供1人得1分，最高7 分。  注：需提供专家职称复印件及专家简历和资质证明（专家有效证明材料可以是证书或公开出版物或合作协议或政府红头文件或政府官网公开信息等内容），并提供上述专家针对本项目与投标人签订的合作协议或聘书并加盖公章，不提供或者专家无法认定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ind w:firstLine="211"/>
        <w:jc w:val="left"/>
      </w:pPr>
    </w:p>
    <w:p>
      <w:pPr>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广东省产业就业培训基地数字化培训教学资源库采购项目</w:t>
      </w:r>
      <w:r>
        <w:rPr>
          <w:sz w:val="21"/>
        </w:rPr>
        <w:t>招标文件（项目编号：</w:t>
      </w:r>
      <w:r>
        <w:rPr>
          <w:sz w:val="21"/>
        </w:rPr>
        <w:t>GZGK23D137C0391Z）的要求，经双方协商，本着平等互利和诚实信用的原则，一致同意签订本合同。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w:t>
      </w:r>
      <w:r>
        <w:rPr>
          <w:sz w:val="21"/>
        </w:rPr>
        <w:t>投标文件</w:t>
      </w:r>
      <w:r>
        <w:rPr>
          <w:sz w:val="21"/>
        </w:rPr>
        <w:t>承诺为准，如招标文件与</w:t>
      </w:r>
      <w:r>
        <w:rPr>
          <w:sz w:val="21"/>
        </w:rPr>
        <w:t>投标文件</w:t>
      </w:r>
      <w:r>
        <w:rPr>
          <w:sz w:val="21"/>
        </w:rPr>
        <w:t>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t xml:space="preserve"> </w:t>
      </w:r>
    </w:p>
    <w:p>
      <w:pPr>
        <w:jc w:val="both"/>
      </w:pPr>
      <w:r>
        <w:rPr>
          <w:sz w:val="21"/>
        </w:rPr>
        <w:t>（以下无正文）</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662"/>
        <w:gridCol w:w="4644"/>
      </w:tblGrid>
      <w:tr>
        <w:tc>
          <w:tcPr>
            <w:tcW w:type="dxa" w:w="3662"/>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4"/>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p>
            <w:pPr>
              <w:jc w:val="both"/>
            </w:pPr>
            <w:r>
              <w:rPr>
                <w:sz w:val="19"/>
              </w:rPr>
              <w:t xml:space="preserve"> </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440101-2023-14724</w:t>
      </w:r>
    </w:p>
    <w:p>
      <w:pPr>
        <w:jc w:val="center"/>
      </w:pPr>
      <w:r>
        <w:rPr>
          <w:b/>
          <w:sz w:val="24"/>
        </w:rPr>
        <w:t>采购项目编号：</w:t>
      </w:r>
      <w:r>
        <w:rPr>
          <w:b/>
          <w:sz w:val="24"/>
        </w:rPr>
        <w:t>GZGK23D137C0391Z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广东省产业就业培训基地数字化培训教学资源库采购项目</w:t>
      </w:r>
      <w:r>
        <w:rPr>
          <w:u w:val="single"/>
        </w:rPr>
        <w:t>”</w:t>
      </w:r>
      <w:r>
        <w:rPr/>
        <w:t>项目的招标[采购项目编号为：</w:t>
      </w:r>
      <w:r>
        <w:rPr>
          <w:u w:val="single"/>
        </w:rPr>
        <w:t>GZGK23D137C0391Z</w:t>
      </w:r>
      <w:r>
        <w:rPr/>
        <w:t>]，我方愿参与投标。</w:t>
      </w:r>
    </w:p>
    <w:p>
      <w:pPr>
        <w:ind w:firstLine="480"/>
      </w:pPr>
      <w:r>
        <w:rPr/>
        <w:t>我方确认收到贵方提供的</w:t>
      </w:r>
      <w:r>
        <w:rPr>
          <w:u w:val="single"/>
        </w:rPr>
        <w:t>“</w:t>
      </w:r>
      <w:r>
        <w:rPr>
          <w:u w:val="single"/>
        </w:rPr>
        <w:t>广东省产业就业培训基地数字化培训教学资源库采购项目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广东省产业就业培训基地数字化培训教学资源库采购项目</w:t>
      </w:r>
      <w:r>
        <w:rPr/>
        <w:t>”项目采购[采购项目编号为</w:t>
      </w:r>
      <w:r>
        <w:rPr/>
        <w:t>GZGK23D137C0391Z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广州市机电技师学院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广东省产业就业培训基地数字化培训教学资源库采购项目</w:t>
      </w:r>
      <w:r>
        <w:rPr/>
        <w:t>招标中获中标（采购项目编号：</w:t>
      </w:r>
      <w:r>
        <w:rPr/>
        <w:t>GZGK23D137C0391Z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