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cs="宋体"/>
          <w:color w:val="auto"/>
          <w:sz w:val="24"/>
        </w:rPr>
      </w:pPr>
      <w:r>
        <w:rPr>
          <w:rFonts w:hint="eastAsia" w:ascii="宋体" w:hAnsi="宋体" w:cs="宋体"/>
          <w:b/>
          <w:bCs/>
          <w:color w:val="auto"/>
          <w:sz w:val="30"/>
          <w:szCs w:val="30"/>
        </w:rPr>
        <w:t>医用耗材/试剂报价表</w:t>
      </w:r>
    </w:p>
    <w:p>
      <w:pPr>
        <w:snapToGrid w:val="0"/>
        <w:spacing w:line="360" w:lineRule="auto"/>
        <w:rPr>
          <w:rFonts w:hint="eastAsia" w:ascii="宋体" w:hAnsi="宋体" w:cs="宋体"/>
          <w:color w:val="auto"/>
          <w:szCs w:val="21"/>
        </w:rPr>
      </w:pPr>
      <w:r>
        <w:rPr>
          <w:rFonts w:hint="eastAsia" w:ascii="宋体" w:hAnsi="宋体" w:cs="宋体"/>
          <w:color w:val="auto"/>
          <w:szCs w:val="21"/>
        </w:rPr>
        <w:t xml:space="preserve">项目编号：GZGK23P270A0889Z                             </w:t>
      </w:r>
    </w:p>
    <w:p>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项目名称：汕头大学医学院第二附属医院快速全自动微生物质谱鉴定系统采购项目</w:t>
      </w:r>
      <w:r>
        <w:rPr>
          <w:rFonts w:hint="eastAsia" w:ascii="宋体" w:hAnsi="宋体" w:cs="宋体"/>
          <w:color w:val="auto"/>
          <w:szCs w:val="21"/>
          <w:lang w:eastAsia="zh-CN"/>
        </w:rPr>
        <w:t>（</w:t>
      </w:r>
      <w:r>
        <w:rPr>
          <w:rFonts w:hint="eastAsia" w:ascii="宋体" w:hAnsi="宋体" w:cs="宋体"/>
          <w:color w:val="auto"/>
          <w:szCs w:val="21"/>
          <w:lang w:val="en-US" w:eastAsia="zh-CN"/>
        </w:rPr>
        <w:t>二次</w:t>
      </w:r>
      <w:bookmarkStart w:id="0" w:name="_GoBack"/>
      <w:bookmarkEnd w:id="0"/>
      <w:r>
        <w:rPr>
          <w:rFonts w:hint="eastAsia" w:ascii="宋体" w:hAnsi="宋体" w:cs="宋体"/>
          <w:color w:val="auto"/>
          <w:szCs w:val="21"/>
          <w:lang w:eastAsia="zh-CN"/>
        </w:rPr>
        <w:t>）</w:t>
      </w:r>
    </w:p>
    <w:tbl>
      <w:tblPr>
        <w:tblStyle w:val="4"/>
        <w:tblW w:w="5142" w:type="pct"/>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154"/>
        <w:gridCol w:w="1936"/>
        <w:gridCol w:w="650"/>
        <w:gridCol w:w="1150"/>
        <w:gridCol w:w="1575"/>
        <w:gridCol w:w="1088"/>
        <w:gridCol w:w="1075"/>
        <w:gridCol w:w="1687"/>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4" w:hRule="atLeast"/>
        </w:trPr>
        <w:tc>
          <w:tcPr>
            <w:tcW w:w="217"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738"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检验或治疗项目名称</w:t>
            </w:r>
          </w:p>
        </w:tc>
        <w:tc>
          <w:tcPr>
            <w:tcW w:w="664" w:type="pct"/>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所需耗材种类</w:t>
            </w:r>
          </w:p>
        </w:tc>
        <w:tc>
          <w:tcPr>
            <w:tcW w:w="222"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品牌</w:t>
            </w:r>
          </w:p>
        </w:tc>
        <w:tc>
          <w:tcPr>
            <w:tcW w:w="394"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规格型号</w:t>
            </w:r>
          </w:p>
        </w:tc>
        <w:tc>
          <w:tcPr>
            <w:tcW w:w="540"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制造商、产地</w:t>
            </w:r>
          </w:p>
        </w:tc>
        <w:tc>
          <w:tcPr>
            <w:tcW w:w="373" w:type="pct"/>
            <w:noWrap w:val="0"/>
            <w:vAlign w:val="center"/>
          </w:tcPr>
          <w:p>
            <w:pPr>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用量</w:t>
            </w:r>
          </w:p>
        </w:tc>
        <w:tc>
          <w:tcPr>
            <w:tcW w:w="368" w:type="pct"/>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单位</w:t>
            </w:r>
          </w:p>
        </w:tc>
        <w:tc>
          <w:tcPr>
            <w:tcW w:w="578" w:type="pct"/>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rPr>
              <w:t>单价</w:t>
            </w:r>
            <w:r>
              <w:rPr>
                <w:rFonts w:hint="eastAsia" w:ascii="宋体" w:hAnsi="宋体" w:cs="宋体"/>
                <w:color w:val="auto"/>
                <w:szCs w:val="21"/>
                <w:lang w:eastAsia="zh-CN"/>
              </w:rPr>
              <w:t>（</w:t>
            </w:r>
            <w:r>
              <w:rPr>
                <w:rFonts w:hint="eastAsia" w:ascii="宋体" w:hAnsi="宋体" w:cs="宋体"/>
                <w:color w:val="auto"/>
                <w:szCs w:val="21"/>
                <w:lang w:val="en-US" w:eastAsia="zh-CN"/>
              </w:rPr>
              <w:t>元</w:t>
            </w:r>
            <w:r>
              <w:rPr>
                <w:rFonts w:hint="eastAsia" w:ascii="宋体" w:hAnsi="宋体" w:cs="宋体"/>
                <w:color w:val="auto"/>
                <w:szCs w:val="21"/>
                <w:lang w:eastAsia="zh-CN"/>
              </w:rPr>
              <w:t>）</w:t>
            </w:r>
          </w:p>
        </w:tc>
        <w:tc>
          <w:tcPr>
            <w:tcW w:w="901" w:type="pct"/>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小计</w:t>
            </w:r>
            <w:r>
              <w:rPr>
                <w:rFonts w:hint="eastAsia" w:ascii="宋体" w:hAnsi="宋体" w:cs="宋体"/>
                <w:color w:val="auto"/>
                <w:szCs w:val="21"/>
              </w:rPr>
              <w:t>（元</w:t>
            </w:r>
            <w:r>
              <w:rPr>
                <w:rFonts w:hint="eastAsia" w:ascii="宋体" w:hAnsi="宋体" w:cs="宋体"/>
                <w:color w:val="auto"/>
                <w:szCs w:val="21"/>
                <w:lang w:val="en-US" w:eastAsia="zh-CN"/>
              </w:rPr>
              <w:t>/人份/项目</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cs="宋体"/>
                <w:color w:val="auto"/>
              </w:rPr>
            </w:pPr>
            <w:r>
              <w:rPr>
                <w:rFonts w:hint="eastAsia" w:ascii="宋体" w:hAnsi="宋体" w:cs="宋体"/>
                <w:color w:val="auto"/>
              </w:rPr>
              <w:t>1</w:t>
            </w:r>
          </w:p>
        </w:tc>
        <w:tc>
          <w:tcPr>
            <w:tcW w:w="738" w:type="pct"/>
            <w:vMerge w:val="restart"/>
            <w:noWrap w:val="0"/>
            <w:vAlign w:val="center"/>
          </w:tcPr>
          <w:p>
            <w:pPr>
              <w:jc w:val="center"/>
              <w:rPr>
                <w:color w:val="auto"/>
              </w:rPr>
            </w:pPr>
            <w:r>
              <w:rPr>
                <w:rFonts w:hint="eastAsia" w:ascii="宋体" w:hAnsi="宋体" w:eastAsia="宋体" w:cs="宋体"/>
                <w:sz w:val="21"/>
                <w:szCs w:val="21"/>
                <w:vertAlign w:val="baseline"/>
                <w:lang w:eastAsia="zh-CN"/>
              </w:rPr>
              <w:t>一般样本细菌及真菌培养及鉴定</w:t>
            </w:r>
          </w:p>
        </w:tc>
        <w:tc>
          <w:tcPr>
            <w:tcW w:w="664" w:type="pct"/>
            <w:noWrap w:val="0"/>
            <w:vAlign w:val="center"/>
          </w:tcPr>
          <w:p>
            <w:pPr>
              <w:jc w:val="both"/>
              <w:rPr>
                <w:rFonts w:hint="default" w:eastAsia="宋体"/>
                <w:color w:val="auto"/>
                <w:lang w:val="en-US" w:eastAsia="zh-CN"/>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rFonts w:hint="default" w:eastAsia="宋体"/>
                <w:color w:val="auto"/>
                <w:lang w:val="en-US" w:eastAsia="zh-CN"/>
              </w:rPr>
            </w:pPr>
          </w:p>
        </w:tc>
        <w:tc>
          <w:tcPr>
            <w:tcW w:w="368" w:type="pct"/>
            <w:noWrap w:val="0"/>
            <w:vAlign w:val="center"/>
          </w:tcPr>
          <w:p>
            <w:pPr>
              <w:jc w:val="center"/>
              <w:rPr>
                <w:rFonts w:hint="eastAsia"/>
                <w:color w:val="auto"/>
                <w:lang w:val="en-US" w:eastAsia="zh-CN"/>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eastAsia="宋体"/>
                <w:color w:val="auto"/>
                <w:lang w:val="en-US" w:eastAsia="zh-CN"/>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rFonts w:hint="eastAsia"/>
                <w:color w:val="auto"/>
                <w:lang w:val="en-US" w:eastAsia="zh-CN"/>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lang w:val="en-US" w:eastAsia="zh-CN"/>
              </w:rPr>
            </w:pPr>
            <w:r>
              <w:rPr>
                <w:rFonts w:hint="eastAsia"/>
                <w:color w:val="auto"/>
                <w:lang w:val="en-US" w:eastAsia="zh-CN"/>
              </w:rPr>
              <w:t>……</w:t>
            </w:r>
          </w:p>
        </w:tc>
        <w:tc>
          <w:tcPr>
            <w:tcW w:w="222" w:type="pct"/>
            <w:noWrap w:val="0"/>
            <w:vAlign w:val="center"/>
          </w:tcPr>
          <w:p>
            <w:pPr>
              <w:jc w:val="center"/>
              <w:rPr>
                <w:color w:val="auto"/>
              </w:rPr>
            </w:pPr>
            <w:r>
              <w:rPr>
                <w:rFonts w:hint="eastAsia"/>
                <w:color w:val="auto"/>
                <w:lang w:val="en-US" w:eastAsia="zh-CN"/>
              </w:rPr>
              <w:t>……</w:t>
            </w:r>
          </w:p>
        </w:tc>
        <w:tc>
          <w:tcPr>
            <w:tcW w:w="394" w:type="pct"/>
            <w:noWrap w:val="0"/>
            <w:vAlign w:val="center"/>
          </w:tcPr>
          <w:p>
            <w:pPr>
              <w:jc w:val="center"/>
              <w:rPr>
                <w:color w:val="auto"/>
              </w:rPr>
            </w:pPr>
            <w:r>
              <w:rPr>
                <w:rFonts w:hint="eastAsia"/>
                <w:color w:val="auto"/>
                <w:lang w:val="en-US" w:eastAsia="zh-CN"/>
              </w:rPr>
              <w:t>……</w:t>
            </w:r>
          </w:p>
        </w:tc>
        <w:tc>
          <w:tcPr>
            <w:tcW w:w="540" w:type="pct"/>
            <w:noWrap w:val="0"/>
            <w:vAlign w:val="center"/>
          </w:tcPr>
          <w:p>
            <w:pPr>
              <w:jc w:val="center"/>
              <w:rPr>
                <w:color w:val="auto"/>
              </w:rPr>
            </w:pPr>
            <w:r>
              <w:rPr>
                <w:rFonts w:hint="eastAsia"/>
                <w:color w:val="auto"/>
                <w:lang w:val="en-US" w:eastAsia="zh-CN"/>
              </w:rPr>
              <w:t>……</w:t>
            </w:r>
          </w:p>
        </w:tc>
        <w:tc>
          <w:tcPr>
            <w:tcW w:w="373" w:type="pct"/>
            <w:noWrap w:val="0"/>
            <w:vAlign w:val="center"/>
          </w:tcPr>
          <w:p>
            <w:pPr>
              <w:jc w:val="center"/>
              <w:rPr>
                <w:color w:val="auto"/>
              </w:rPr>
            </w:pPr>
            <w:r>
              <w:rPr>
                <w:rFonts w:hint="eastAsia"/>
                <w:color w:val="auto"/>
                <w:lang w:val="en-US" w:eastAsia="zh-CN"/>
              </w:rPr>
              <w:t>……</w:t>
            </w:r>
          </w:p>
        </w:tc>
        <w:tc>
          <w:tcPr>
            <w:tcW w:w="368" w:type="pct"/>
            <w:noWrap w:val="0"/>
            <w:vAlign w:val="center"/>
          </w:tcPr>
          <w:p>
            <w:pPr>
              <w:jc w:val="center"/>
              <w:rPr>
                <w:rFonts w:hint="eastAsia"/>
                <w:color w:val="auto"/>
                <w:lang w:val="en-US" w:eastAsia="zh-CN"/>
              </w:rPr>
            </w:pPr>
            <w:r>
              <w:rPr>
                <w:rFonts w:hint="eastAsia"/>
                <w:color w:val="auto"/>
                <w:lang w:val="en-US" w:eastAsia="zh-CN"/>
              </w:rPr>
              <w:t>……</w:t>
            </w:r>
          </w:p>
        </w:tc>
        <w:tc>
          <w:tcPr>
            <w:tcW w:w="578" w:type="pct"/>
            <w:noWrap w:val="0"/>
            <w:vAlign w:val="center"/>
          </w:tcPr>
          <w:p>
            <w:pPr>
              <w:jc w:val="center"/>
              <w:rPr>
                <w:color w:val="auto"/>
              </w:rPr>
            </w:pPr>
            <w:r>
              <w:rPr>
                <w:rFonts w:hint="eastAsia"/>
                <w:color w:val="auto"/>
                <w:lang w:val="en-US" w:eastAsia="zh-CN"/>
              </w:rPr>
              <w:t>……</w:t>
            </w: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215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vertAlign w:val="baseline"/>
                <w:lang w:eastAsia="zh-CN"/>
              </w:rPr>
              <w:t>血培养阳性样本鉴定</w:t>
            </w:r>
          </w:p>
        </w:tc>
        <w:tc>
          <w:tcPr>
            <w:tcW w:w="664" w:type="pct"/>
            <w:noWrap w:val="0"/>
            <w:vAlign w:val="center"/>
          </w:tcPr>
          <w:p>
            <w:pPr>
              <w:jc w:val="both"/>
              <w:rPr>
                <w:rFonts w:hint="eastAsia"/>
                <w:color w:val="auto"/>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color w:val="auto"/>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rPr>
            </w:pPr>
            <w:r>
              <w:rPr>
                <w:rFonts w:hint="eastAsia"/>
                <w:color w:val="auto"/>
                <w:lang w:val="en-US" w:eastAsia="zh-CN"/>
              </w:rPr>
              <w:t>……</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215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vertAlign w:val="baseline"/>
                <w:lang w:eastAsia="zh-CN"/>
              </w:rPr>
              <w:t>霉菌样本鉴定</w:t>
            </w:r>
          </w:p>
        </w:tc>
        <w:tc>
          <w:tcPr>
            <w:tcW w:w="664" w:type="pct"/>
            <w:noWrap w:val="0"/>
            <w:vAlign w:val="center"/>
          </w:tcPr>
          <w:p>
            <w:pPr>
              <w:jc w:val="both"/>
              <w:rPr>
                <w:rFonts w:hint="eastAsia"/>
                <w:color w:val="auto"/>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color w:val="auto"/>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rPr>
            </w:pPr>
            <w:r>
              <w:rPr>
                <w:rFonts w:hint="eastAsia"/>
                <w:color w:val="auto"/>
                <w:lang w:val="en-US" w:eastAsia="zh-CN"/>
              </w:rPr>
              <w:t>……</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bl>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注：</w:t>
      </w:r>
      <w:r>
        <w:rPr>
          <w:rFonts w:hint="eastAsia" w:ascii="宋体" w:hAnsi="宋体" w:cs="宋体"/>
          <w:color w:val="auto"/>
          <w:lang w:val="en-US" w:eastAsia="zh-CN"/>
        </w:rPr>
        <w:t>1、</w:t>
      </w:r>
      <w:r>
        <w:rPr>
          <w:rFonts w:hint="eastAsia" w:ascii="宋体" w:hAnsi="宋体" w:cs="宋体"/>
          <w:color w:val="auto"/>
        </w:rPr>
        <w:t>投标人应在投标文件中报出专用耗材的单价，具体单价限价详见招标文件中《医用耗材/试剂购置需求及限价表》。如采购人在设备的使用过程中须另外购买耗材，则按照中标供应商投标文件中所报的价格作为参考价格，实际的采购品种及数量以采购人需求通知下单的数量为准，费用按实结算，该部分费用不包含在本次投标报价之中。试剂报价需按照1人份（或1测试或1uL）报价，非试剂类按包装规格最小计量单位报价。投标人须列出《医用耗材/试剂购置需求及限价表》中开展的检查或治疗项目所用耗材明细清单，清单内耗材单人份价格不得高于广东省第三方药品电子交易平台及招采子系统限价；某检查或治疗项目所用耗材单人份之和不得高于《医用耗材/试剂购置需求及限价表》中的单人份最高限价。投标人保证所提供全部耗材（含专用及通用耗材）能开展一个检查或治疗项目，如因耗材漏报导致检查或治疗项目无法开展，投标人须承担漏报耗材费用。中标人所提供耗材如院内有同类可替代产品，招标人则可根据实际情况可根据实际情情况使用院内产品。如采购人需购买耗材或试剂，中标人所提供耗材须与招标人在广东省第三方药品电子交易平台或新招采子系统签订《医用耗材购销合同》和《廉洁协议书》。</w:t>
      </w:r>
    </w:p>
    <w:p>
      <w:pPr>
        <w:spacing w:line="360" w:lineRule="auto"/>
        <w:ind w:firstLine="420" w:firstLineChars="200"/>
        <w:rPr>
          <w:rFonts w:hint="default" w:ascii="宋体" w:hAnsi="宋体" w:eastAsia="宋体" w:cs="宋体"/>
          <w:color w:val="auto"/>
          <w:lang w:val="en-US" w:eastAsia="zh-CN"/>
        </w:rPr>
      </w:pPr>
      <w:r>
        <w:rPr>
          <w:rFonts w:hint="eastAsia" w:ascii="宋体" w:hAnsi="宋体" w:cs="宋体"/>
          <w:color w:val="auto"/>
          <w:lang w:val="en-US" w:eastAsia="zh-CN"/>
        </w:rPr>
        <w:t>2、本报价表必须附在投标人的投标文件中。</w:t>
      </w:r>
    </w:p>
    <w:p>
      <w:pPr>
        <w:pStyle w:val="3"/>
        <w:rPr>
          <w:rFonts w:hint="eastAsia"/>
          <w:color w:val="auto"/>
        </w:rPr>
      </w:pPr>
    </w:p>
    <w:p>
      <w:pPr>
        <w:pStyle w:val="3"/>
        <w:rPr>
          <w:rFonts w:hint="eastAsia"/>
          <w:color w:val="auto"/>
        </w:rPr>
      </w:pPr>
    </w:p>
    <w:p>
      <w:pPr>
        <w:spacing w:line="360" w:lineRule="auto"/>
        <w:ind w:firstLine="105" w:firstLineChars="50"/>
        <w:rPr>
          <w:rFonts w:hint="eastAsia" w:ascii="宋体" w:hAnsi="宋体" w:cs="宋体"/>
          <w:color w:val="auto"/>
          <w:u w:val="single"/>
        </w:rPr>
      </w:pPr>
      <w:r>
        <w:rPr>
          <w:rFonts w:hint="eastAsia" w:ascii="宋体" w:hAnsi="宋体" w:cs="宋体"/>
          <w:color w:val="auto"/>
        </w:rPr>
        <w:t xml:space="preserve">                                              投标人名称（盖公章）：</w:t>
      </w:r>
      <w:r>
        <w:rPr>
          <w:rFonts w:hint="eastAsia" w:ascii="宋体" w:hAnsi="宋体" w:cs="宋体"/>
          <w:color w:val="auto"/>
          <w:u w:val="single"/>
        </w:rPr>
        <w:t xml:space="preserve">                    </w:t>
      </w:r>
    </w:p>
    <w:p>
      <w:pPr>
        <w:spacing w:line="360" w:lineRule="auto"/>
        <w:ind w:firstLine="4935" w:firstLineChars="2350"/>
        <w:rPr>
          <w:rFonts w:hint="eastAsia" w:ascii="宋体" w:hAnsi="宋体" w:cs="宋体"/>
          <w:color w:val="auto"/>
          <w:u w:val="single"/>
        </w:rPr>
      </w:pPr>
      <w:r>
        <w:rPr>
          <w:rFonts w:hint="eastAsia" w:ascii="宋体" w:hAnsi="宋体" w:cs="宋体"/>
          <w:color w:val="auto"/>
        </w:rPr>
        <w:t>投标人授权代表（签字或盖章）：</w:t>
      </w:r>
      <w:r>
        <w:rPr>
          <w:rFonts w:hint="eastAsia" w:ascii="宋体" w:hAnsi="宋体" w:cs="宋体"/>
          <w:color w:val="auto"/>
          <w:u w:val="single"/>
        </w:rPr>
        <w:t xml:space="preserve">            </w:t>
      </w:r>
    </w:p>
    <w:p>
      <w:pPr>
        <w:spacing w:line="360" w:lineRule="auto"/>
        <w:ind w:firstLine="4935" w:firstLineChars="2350"/>
        <w:rPr>
          <w:rFonts w:hint="eastAsia"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ZDE5OWEwOTM5ZWQ3ZjE1NzYzYjRiNDZmOWMxY2MifQ=="/>
  </w:docVars>
  <w:rsids>
    <w:rsidRoot w:val="5E0A71E4"/>
    <w:rsid w:val="1E1E420A"/>
    <w:rsid w:val="34045566"/>
    <w:rsid w:val="3ED26C5B"/>
    <w:rsid w:val="53D31D87"/>
    <w:rsid w:val="57B819BF"/>
    <w:rsid w:val="5AE70CA2"/>
    <w:rsid w:val="5E0A71E4"/>
    <w:rsid w:val="7A10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lock Text"/>
    <w:basedOn w:val="1"/>
    <w:unhideWhenUsed/>
    <w:qFormat/>
    <w:uiPriority w:val="99"/>
    <w:pPr>
      <w:ind w:left="105" w:right="353" w:firstLine="720"/>
      <w:jc w:val="center"/>
    </w:pPr>
    <w:rPr>
      <w:rFonts w:eastAsia="楷体_GB2312"/>
      <w:sz w:val="24"/>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2023-11-10T03:50:00Z</dcterms:created>
  <dc:creator>J</dc:creator>
  <cp:lastModifiedBy>zqy</cp:lastModifiedBy>
  <dcterms:modified xsi:type="dcterms:W3CDTF">2023-12-07T08:08:58Z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22D7F5A307FD4878B411F16609C73E12_11</vt:lpwstr>
  </property>
</Properties>
</file>