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440001-2024-03436</w:t>
      </w:r>
    </w:p>
    <w:p>
      <w:pPr>
        <w:jc w:val="center"/>
      </w:pPr>
      <w:r>
        <w:rPr>
          <w:b/>
          <w:sz w:val="24"/>
        </w:rPr>
        <w:t>采购项目编号：</w:t>
      </w:r>
      <w:r>
        <w:rPr>
          <w:b/>
          <w:sz w:val="24"/>
        </w:rPr>
        <w:t>GZGK23P291C0966Z</w:t>
      </w:r>
    </w:p>
    <w:p>
      <w:pPr>
        <w:jc w:val="center"/>
      </w:pPr>
      <w:r>
        <w:rPr>
          <w:b/>
          <w:sz w:val="24"/>
        </w:rPr>
        <w:t>项目名称：</w:t>
      </w:r>
      <w:r>
        <w:rPr>
          <w:b/>
          <w:sz w:val="24"/>
        </w:rPr>
        <w:t>佛山市典型区域地下水监测井周边污染源调查与精准管控项目（二期）</w:t>
      </w:r>
    </w:p>
    <w:p>
      <w:pPr>
        <w:jc w:val="center"/>
      </w:pPr>
      <w:r>
        <w:rPr>
          <w:b/>
          <w:sz w:val="24"/>
        </w:rPr>
        <w:t>采购人：</w:t>
      </w:r>
      <w:r>
        <w:rPr>
          <w:b/>
          <w:sz w:val="24"/>
        </w:rPr>
        <w:t>广东省佛山生态环境监测站</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广东省佛山生态环境监测站</w:t>
      </w:r>
      <w:r>
        <w:rPr/>
        <w:t>的委托，采用</w:t>
      </w:r>
      <w:r>
        <w:rPr/>
        <w:t>公开招标</w:t>
      </w:r>
      <w:r>
        <w:rPr/>
        <w:t>方式组织采购</w:t>
      </w:r>
      <w:r>
        <w:rPr/>
        <w:t>佛山市典型区域地下水监测井周边污染源调查与精准管控项目（二期）</w:t>
      </w:r>
      <w:r>
        <w:rPr/>
        <w:t>。欢迎符合资格条件的国内供应商参加投标。</w:t>
      </w:r>
    </w:p>
    <w:p>
      <w:r>
        <w:rPr>
          <w:b/>
          <w:sz w:val="28"/>
        </w:rPr>
        <w:t>一.项目概述</w:t>
      </w:r>
    </w:p>
    <w:p>
      <w:r>
        <w:rPr>
          <w:b/>
          <w:sz w:val="24"/>
        </w:rPr>
        <w:t>1.名称与编号</w:t>
      </w:r>
    </w:p>
    <w:p>
      <w:pPr>
        <w:ind w:firstLine="480"/>
      </w:pPr>
      <w:r>
        <w:rPr/>
        <w:t>项目名称：</w:t>
      </w:r>
      <w:r>
        <w:rPr/>
        <w:t>佛山市典型区域地下水监测井周边污染源调查与精准管控项目（二期）</w:t>
      </w:r>
    </w:p>
    <w:p>
      <w:pPr>
        <w:ind w:firstLine="480"/>
      </w:pPr>
      <w:r>
        <w:rPr/>
        <w:t>采购计划编号：</w:t>
      </w:r>
      <w:r>
        <w:rPr/>
        <w:t>440001-2024-03436</w:t>
      </w:r>
    </w:p>
    <w:p>
      <w:pPr>
        <w:ind w:firstLine="480"/>
      </w:pPr>
      <w:r>
        <w:rPr/>
        <w:t>采购项目编号：</w:t>
      </w:r>
      <w:r>
        <w:rPr/>
        <w:t>GZGK23P291C0966Z</w:t>
      </w:r>
    </w:p>
    <w:p>
      <w:pPr>
        <w:ind w:firstLine="480"/>
      </w:pPr>
      <w:r>
        <w:rPr/>
        <w:t>采购方式：</w:t>
      </w:r>
      <w:r>
        <w:rPr/>
        <w:t>公开招标</w:t>
      </w:r>
    </w:p>
    <w:p>
      <w:pPr>
        <w:ind w:firstLine="480"/>
      </w:pPr>
      <w:r>
        <w:rPr/>
        <w:t>预算金额：</w:t>
      </w:r>
      <w:r>
        <w:rPr/>
        <w:t>3,950,000.00</w:t>
      </w:r>
      <w:r>
        <w:rPr/>
        <w:t>元</w:t>
      </w:r>
    </w:p>
    <w:p>
      <w:r>
        <w:rPr>
          <w:b/>
          <w:sz w:val="24"/>
        </w:rPr>
        <w:t>2.项目内容及需求情况（采购项目技术规格、参数及要求）</w:t>
      </w:r>
    </w:p>
    <w:p>
      <w:pPr>
        <w:ind w:firstLine="480"/>
      </w:pPr>
    </w:p>
    <w:p/>
    <w:p>
      <w:r>
        <w:rPr/>
        <w:t>采购包1(佛山市典型区域地下水监测井周边污染源调查与精准管控项目（二期）):</w:t>
      </w:r>
    </w:p>
    <w:p>
      <w:r>
        <w:rPr/>
        <w:t>采购包预算金额：3,662,400.00元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地下水污染治理服务</w:t>
            </w:r>
          </w:p>
        </w:tc>
        <w:tc>
          <w:tcPr>
            <w:tcW w:type="dxa" w:w="2136"/>
          </w:tcPr>
          <w:p>
            <w:r>
              <w:rPr/>
              <w:t>佛山市典型区域地下水监测井周边污染源调查与精准管控项目（二期）</w:t>
            </w:r>
          </w:p>
        </w:tc>
        <w:tc>
          <w:tcPr>
            <w:tcW w:type="dxa" w:w="1187"/>
          </w:tcPr>
          <w:p>
            <w:r>
              <w:rPr/>
              <w:t>1.00(项)</w:t>
            </w:r>
          </w:p>
        </w:tc>
        <w:tc>
          <w:tcPr>
            <w:tcW w:type="dxa" w:w="1187"/>
          </w:tcPr>
          <w:p>
            <w:r>
              <w:rPr/>
              <w:t>详见第二章</w:t>
            </w:r>
          </w:p>
        </w:tc>
        <w:tc>
          <w:tcPr>
            <w:tcW w:type="dxa" w:w="1187"/>
          </w:tcPr>
          <w:p>
            <w:r>
              <w:rPr/>
              <w:t>否</w:t>
            </w:r>
          </w:p>
        </w:tc>
      </w:tr>
    </w:tbl>
    <w:p/>
    <w:p>
      <w:r>
        <w:rPr/>
        <w:t>本采购包接受联合体投标</w:t>
      </w:r>
    </w:p>
    <w:p/>
    <w:p>
      <w:r>
        <w:rPr/>
        <w:t>合同履行期限：见“标的提供时间”要求。</w:t>
      </w:r>
    </w:p>
    <w:p/>
    <w:p>
      <w:r>
        <w:rPr/>
        <w:t>采购包2(佛山市典型区域地下水监测井周边污染源调查与精准管控项目（二期）质控服务):</w:t>
      </w:r>
    </w:p>
    <w:p>
      <w:r>
        <w:rPr/>
        <w:t>采购包预算金额：287,600.00元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其他生态环境治理服务</w:t>
            </w:r>
          </w:p>
        </w:tc>
        <w:tc>
          <w:tcPr>
            <w:tcW w:type="dxa" w:w="2136"/>
          </w:tcPr>
          <w:p>
            <w:r>
              <w:rPr/>
              <w:t>佛山市典型区域地下水监测井周边污染源调查与精准管控项目（二期）质控服务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采购包1（佛山市典型区域地下水监测井周边污染源调查与精准管控项目（二期））：</w:t>
      </w:r>
      <w:r>
        <w:rPr/>
        <w:t>本项目预留部分采购项目预算专门面向中小企业采购。对于预留份额，提供的服务由符合政策要求的中小企业承接。预留份额通过以下措施进行,投标人可选择以下其中一种方式参与： 1.投标人不属于中小企业的，必须与中小企业以联合体形式参加本项目，联合体中中小企业承担的合同份额占合同金额的比例达到40%以上（其中预留给小微企业的部分不低于合同金额的28%）,组成联合体的中小企业与联合体内其他企业之间不得存在直接控股、管理关系。【依据符合上述比例的联合体共同投标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2.投标人属于中型企业的，必须与小微企业以联合体形式参加本项目，联合体中小微企业承担的合同份额占合同金额的比例不低于28%,组成联合体的中小企业与联合体内其他企业之间不得存在直接控股、管理关系。【依据符合上述比例的联合体共同投标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3.投标人属于小微企业的，是否以联合体形式参加本项目不作强制要求。【依据全部服务的承接方的《中小企业声明函》或由省级以上监狱管理局、戒毒管理局(含新疆生产建设兵团)出具的承接方属于监狱企业的证明文件或承接方的《残疾人福利性单位声明函》】。如以联合体形式参加本项目，则只能与小微企业以联合体形式参加本项目。组成联合体的中小企业与联合体内其他企业之间不得存在直接控股、管理关系。【依据联合体共同投标协议书、联合体各方全部服务的承接方的《中小企业声明函》或由省级以上监狱管理局、戒毒管理局(含新疆生产建设兵团)出具的联合体各方的承接方属于监狱企业的证明文件或联合体各方的承接方的《残疾人福利性单位声明函》】。</w:t>
      </w:r>
    </w:p>
    <w:p>
      <w:pPr>
        <w:jc w:val="left"/>
      </w:pPr>
    </w:p>
    <w:p>
      <w:r>
        <w:rPr/>
        <w:t>采购包2（佛山市典型区域地下水监测井周边污染源调查与精准管控项目（二期）质控服务）：</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采购包1（佛山市典型区域地下水监测井周边污染源调查与精准管控项目（二期））：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3)本采购包接受联合体投标。 如以联合体形式参与投标： 1）联合体最多由5家单位（已含牵头单位及成员单位）组成，联合体须在投标文件中提供《联合体共同投标协议书》，《联合体共同投标协议书》中应明确各方的权利、义务和投标金额的各自占比； 2）联合体各方签订《联合体共同投标协议书》后，不得再以自己名义单独投标或加入其他联合体在同一项目中进行投标，如有违反，其投标和与此有关的联合体的投标将被拒绝； 3）联合体如获得中标资格，联合体各方应当共同与采购人签订合同，为履行合同向采购人承担连带责任。联合体牵头方应被授权作为联合体各方的代表，向采购人承担责任和接受指令，并负责整个合同的全面履行。</w:t>
      </w:r>
    </w:p>
    <w:p/>
    <w:p>
      <w:r>
        <w:rPr/>
        <w:t>4)投标人需提供盖章确认的廉洁自律承诺书（格式见附件）</w:t>
      </w:r>
    </w:p>
    <w:p/>
    <w:p>
      <w:r>
        <w:rPr/>
        <w:t>5)具备CMA资质，且资质证书附表涵盖地下水基本监测指标和土壤基本监测指标。①地下水检测资质应包括：pH值、总硬度（以CaCO3计）、溶解性总固体、硫酸盐、氯化物、铁、锰、铜、锌、铝、挥发性酚类（挥发酚）、阴离子表面活性剂、高锰酸盐指数（CODMn）、氨氮、硫化物、钠、亚硝酸盐、硝酸盐、氰化物、氟化物、碘化物、汞、砷、硒、镉、六价铬、铅、三氯甲烷、四氯化碳、苯、甲苯、Ca2+、 Mg2+、 K+、 碳酸根（CO32-）、重碳酸根（HCO3-）、溶解氧、氧化还原电位、浊度、电导率、镍、银、二氯甲烷、氯苯、二甲苯，共45项;②土壤检测资质应包含《土壤环境质量建设用地土壤污染风险管控标准（试行）》（GB 36600-2018）的基本指标45项（砷、镉、六价铬、铜、铅、汞、镍、四氯化碳、氯仿、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和pH值、铝，共47项。</w:t>
      </w:r>
    </w:p>
    <w:p/>
    <w:p>
      <w:r>
        <w:rPr/>
        <w:t>6)已获取本项目采购文件。</w:t>
      </w:r>
    </w:p>
    <w:p/>
    <w:p>
      <w:r>
        <w:rPr/>
        <w:t>采购包2（佛山市典型区域地下水监测井周边污染源调查与精准管控项目（二期）质控服务）：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3)投标人需提供盖章确认的廉洁自律承诺书（格式见附件）</w:t>
      </w:r>
    </w:p>
    <w:p/>
    <w:p>
      <w:r>
        <w:rPr/>
        <w:t>4)具备CMA资质，且资质证书附表涵盖地下水基本监测指标和土壤基本监测指标。①地下水检测资质应包括：pH值、总硬度（以CaCO3计）、溶解性总固体、硫酸盐、氯化物、铁、锰、铜、锌、铝、挥发性酚类（挥发酚）、阴离子表面活性剂、高锰酸盐指数（CODMn）、氨氮、硫化物、钠、亚硝酸盐、硝酸盐、氰化物、氟化物、碘化物、汞、砷、硒、镉、六价铬、铅、三氯甲烷、四氯化碳、苯、甲苯、Ca2+、 Mg2+、 K+、 碳酸根（CO32-）、重碳酸根（HCO3-）、溶解氧、氧化还原电位、浊度、电导率、镍、银、二氯甲烷、氯苯、二甲苯，共45项;②土壤检测资质应包含《土壤环境质量建设用地土壤污染风险管控标准（试行）》（GB 36600-2018）的基本指标45项（砷、镉、六价铬、铜、铅、汞、镍、四氯化碳、氯仿、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和pH值、铝，共47项。</w:t>
      </w:r>
    </w:p>
    <w:p/>
    <w:p>
      <w:r>
        <w:rPr/>
        <w:t>5)已获取本项目采购文件。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广东省佛山生态环境监测站</w:t>
      </w:r>
    </w:p>
    <w:p>
      <w:pPr>
        <w:ind w:firstLine="480"/>
      </w:pPr>
      <w:r>
        <w:rPr/>
        <w:t>地址：</w:t>
      </w:r>
      <w:r>
        <w:rPr/>
        <w:t>佛山市禅城区汾江南路28号</w:t>
      </w:r>
    </w:p>
    <w:p>
      <w:pPr>
        <w:ind w:firstLine="480"/>
      </w:pPr>
      <w:r>
        <w:rPr/>
        <w:t>联系方式：</w:t>
      </w:r>
      <w:r>
        <w:rPr/>
        <w:t>0757-83876370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020-37656571、020-39977414</w:t>
      </w:r>
    </w:p>
    <w:p>
      <w:r>
        <w:rPr>
          <w:b/>
          <w:sz w:val="24"/>
        </w:rPr>
        <w:t>3.项目联系方式</w:t>
      </w:r>
    </w:p>
    <w:p>
      <w:pPr>
        <w:ind w:firstLine="480"/>
      </w:pPr>
      <w:r>
        <w:rPr/>
        <w:t>项目联系人：</w:t>
      </w:r>
      <w:r>
        <w:rPr/>
        <w:t>张智钊、郑壁伦</w:t>
      </w:r>
    </w:p>
    <w:p>
      <w:pPr>
        <w:ind w:firstLine="480"/>
      </w:pPr>
      <w:r>
        <w:rPr/>
        <w:t>电话：</w:t>
      </w:r>
      <w:r>
        <w:rPr/>
        <w:t>020-37656571、020-39977414</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GZGK23P291C0966Z</w:t>
      </w:r>
    </w:p>
    <w:p>
      <w:pPr>
        <w:jc w:val="both"/>
      </w:pPr>
      <w:r>
        <w:rPr>
          <w:b/>
          <w:sz w:val="21"/>
        </w:rPr>
        <w:t>（二）</w:t>
      </w:r>
      <w:r>
        <w:rPr>
          <w:b/>
          <w:sz w:val="21"/>
        </w:rPr>
        <w:t>项目名称：</w:t>
      </w:r>
      <w:r>
        <w:rPr>
          <w:sz w:val="21"/>
        </w:rPr>
        <w:t>佛山市典型区域地下水监测井周边污染源调查与精准管控项目（二期）</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涉及到软件产品的，必须采购和使用正版软件，项目中涉及计算机办公产品的，必须预装正版操作系统软件。</w:t>
      </w:r>
    </w:p>
    <w:p>
      <w:pPr>
        <w:jc w:val="both"/>
      </w:pPr>
      <w:r>
        <w:rPr>
          <w:sz w:val="21"/>
        </w:rPr>
        <w:t>5、</w:t>
      </w:r>
      <w:r>
        <w:rPr>
          <w:sz w:val="21"/>
        </w:rPr>
        <w:t>投标人没有在投标文件中注明偏离（文字说明或在响应表注明）的参数、配置、条款视为被投标人完全接受。</w:t>
      </w:r>
    </w:p>
    <w:p>
      <w:pPr>
        <w:jc w:val="both"/>
      </w:pPr>
      <w:r>
        <w:rPr>
          <w:sz w:val="21"/>
        </w:rPr>
        <w:t>6、</w:t>
      </w:r>
      <w:r>
        <w:rPr>
          <w:sz w:val="21"/>
        </w:rPr>
        <w:t>投标人应保证，采购人在中华人民共和国使用该服务或服务的任何一部分时，免受第三方提出的侵犯其专利权、商标权、著作权或其它知识产权的起诉。</w:t>
      </w:r>
    </w:p>
    <w:p>
      <w:pPr>
        <w:jc w:val="both"/>
      </w:pPr>
      <w:r>
        <w:rPr>
          <w:sz w:val="21"/>
        </w:rPr>
        <w:t>7、</w:t>
      </w:r>
      <w:r>
        <w:rPr>
          <w:sz w:val="21"/>
        </w:rPr>
        <w:t>不允许中标供应商</w:t>
      </w:r>
      <w:r>
        <w:rPr>
          <w:sz w:val="21"/>
        </w:rPr>
        <w:t>转包、分包项目（中标采购包的）内容</w:t>
      </w:r>
      <w:r>
        <w:rPr>
          <w:sz w:val="21"/>
        </w:rPr>
        <w:t>。</w:t>
      </w:r>
    </w:p>
    <w:p>
      <w:pPr>
        <w:jc w:val="both"/>
      </w:pPr>
      <w:r>
        <w:rPr>
          <w:sz w:val="21"/>
        </w:rPr>
        <w:t>8、</w:t>
      </w:r>
      <w:r>
        <w:rPr>
          <w:sz w:val="21"/>
        </w:rPr>
        <w:t>小型和微型企业、监狱企业和残疾人福利性单位必须按照招标（采购）文件第三章内容提供相应的资料。</w:t>
      </w:r>
    </w:p>
    <w:p>
      <w:pPr>
        <w:jc w:val="both"/>
      </w:pPr>
      <w:r>
        <w:rPr>
          <w:sz w:val="21"/>
        </w:rPr>
        <w:t>9、</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p>
    <w:p>
      <w:pPr>
        <w:jc w:val="both"/>
      </w:pPr>
      <w:r>
        <w:rPr>
          <w:sz w:val="21"/>
        </w:rPr>
        <w:t>2、</w:t>
      </w:r>
      <w:r>
        <w:rPr>
          <w:sz w:val="21"/>
        </w:rPr>
        <w:t>纸质投标文件邮寄地址（邮寄地址：广东省佛山市禅城区季华二路佛山国家火炬创新创业园火炬大楼</w:t>
      </w:r>
      <w:r>
        <w:rPr>
          <w:sz w:val="21"/>
        </w:rPr>
        <w:t>5楼501室），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投标报价说明（各采购包适用）：</w:t>
      </w:r>
    </w:p>
    <w:p>
      <w:pPr>
        <w:ind w:firstLine="420"/>
        <w:jc w:val="both"/>
      </w:pPr>
      <w:r>
        <w:rPr>
          <w:sz w:val="21"/>
        </w:rPr>
        <w:t>投标报价包括：中标供应商为实施合同约定的服务项目所需支出的所有费用，包括但不限于人工费、材料费、差旅费、检测费、专家咨询费、会议费以及各种税费等，</w:t>
      </w:r>
      <w:r>
        <w:rPr>
          <w:sz w:val="21"/>
        </w:rPr>
        <w:t>除招标文件规定由采购人另行支付外</w:t>
      </w:r>
      <w:r>
        <w:rPr>
          <w:sz w:val="21"/>
        </w:rPr>
        <w:t>，中标供应商不得要求采购人支付除上述服务费用之外的任何额外的费用。</w:t>
      </w:r>
    </w:p>
    <w:p>
      <w:pPr>
        <w:jc w:val="both"/>
      </w:pPr>
      <w:r>
        <w:rPr>
          <w:b/>
          <w:sz w:val="21"/>
        </w:rPr>
        <w:t>（六）</w:t>
      </w:r>
      <w:r>
        <w:rPr>
          <w:b/>
          <w:sz w:val="21"/>
        </w:rPr>
        <w:t>实现的目标</w:t>
      </w:r>
    </w:p>
    <w:p>
      <w:pPr>
        <w:ind w:firstLine="420"/>
        <w:jc w:val="both"/>
      </w:pPr>
      <w:r>
        <w:rPr>
          <w:sz w:val="21"/>
        </w:rPr>
        <w:t>采购包</w:t>
      </w:r>
      <w:r>
        <w:rPr>
          <w:sz w:val="21"/>
        </w:rPr>
        <w:t>1：在佛山市典型区域5口调查井周边新建补充调查监测井，开展地下水及土壤现状监测、污染源同位素补充调查监测；利用构建同位素溯源模型，结合现状和补充监测结果，开展污染溯源和验证；利用同位素溯源模型和地下水污染监测预警模块，对污染风险区域开展地下水污染监测预警；提出佛山市典型区域地下水监测井精准管控对策。</w:t>
      </w:r>
    </w:p>
    <w:p>
      <w:pPr>
        <w:ind w:firstLine="420"/>
        <w:jc w:val="both"/>
      </w:pPr>
      <w:r>
        <w:rPr>
          <w:sz w:val="21"/>
        </w:rPr>
        <w:t>采购包</w:t>
      </w:r>
      <w:r>
        <w:rPr>
          <w:sz w:val="21"/>
        </w:rPr>
        <w:t>2：组织和开展采购包1的质量保证与质量控制核查工作及跟进采购包1工作进度，对检测机构分析方法适用性进行确认审核，组织分析测试质控结果的审核及上报，对新建补充调查点位布设和建设、样品采集保存和流转、样品分析测试、数据上报与审核、成果报告编制等各环节工作进行全过程的质量保证与质量控制，确保项目调查信息及检测数据真实、准确和全面。</w:t>
      </w:r>
    </w:p>
    <w:p>
      <w:pPr>
        <w:jc w:val="both"/>
      </w:pPr>
      <w:r>
        <w:rPr>
          <w:b/>
          <w:sz w:val="21"/>
        </w:rPr>
        <w:t>（七）</w:t>
      </w:r>
      <w:r>
        <w:rPr>
          <w:b/>
          <w:sz w:val="21"/>
        </w:rPr>
        <w:t>需执行国家相关标准、行业标准、地方标准或者其他标准、规范</w:t>
      </w:r>
    </w:p>
    <w:p/>
    <w:p>
      <w:pPr>
        <w:ind w:firstLine="480"/>
      </w:pPr>
    </w:p>
    <w:p/>
    <w:p>
      <w:r>
        <w:rPr/>
        <w:t>采购包1（佛山市典型区域地下水监测井周边污染源调查与精准管控项目（二期））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自合同签订之日起，至2024年12月31日。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1期：支付比例50%,签订合同后30个工作日内，采购人收到中标供应商开具的服务发票之日起 5 个工作日内，按广东省财政资金管理规定的程序向中标供应商支付合同总价的50%。中标供应商凭以下有效的文件向采购人提出支付申请： （1）项目合同； （2）中标供应商开具的正式发票； （3）本项目中标通知书。</w:t>
            </w:r>
          </w:p>
          <w:p/>
          <w:p>
            <w:r>
              <w:rPr/>
              <w:t>2期：支付比例40%,中标供应商完成21口地下水监测井（含1个分层监测井）建设、15口监测井的土壤分层检测、21口监测井至少1次的水质检测、11家污染源的同位素检测、至少30口地下水监测井的同位素检测；完成污染监控区域风险评估，完成同位素溯源模型和地下水监测预警模型及体系构建并投入应用，通过专家评审并经采购人确认，采购人收到中标供应商开具的服务发票之日起 5 个工作日内，按广东省财政资金管理规定的程序向中标供应商支付合同总价的40%。中标供应商凭以下有效的文件向采购人提出支付申请： （1）项目合同； （2）中标供应商开具的正式发票； （3）本项目中标通知书； （4）项目中期验收意见； （5）工作完成情况确认书（采购人签字确认）。</w:t>
            </w:r>
          </w:p>
          <w:p/>
          <w:p>
            <w:r>
              <w:rPr/>
              <w:t>3期：支付比例10%,中标供应商完成采购人要求的全部项目工作，通过采购人组织的专家验收，采购人收到中标供应商开具的服务发票之日起 5 个工作日内，按广东省财政资金管理规定的程序向中标供应商支付合同总金额的10%。中标供应商凭以下有效的文件向采购人提出支付申请： （1）项目合同； （2）中标供应商开具的正式发票； （3）本项目中标通知书； （4）项目验收意见； （5）所需提交的项目成果。 注： （1）采购人有权直接从合同款内扣除违约金、赔偿金、考核不合格应扣减的服务费等。 （2）中标供应商有义务向采购人提供申请财政付款所需文件材料。除了证明当期约定项目服务内容已完成的材料之外，中标供应商还必须向采购人提供税务局制定的相应的款项发票作为请款凭据。如财政部门对申请材料有其他要求的，中标供应商也应配合及时提供。如中标供应商未按本合同约定及时提供请款所需材料和发票的，采购人有权延缓申请支付，直至收到中标供应商提供的材料和发票时止，而不视为采购人违约。 6、关于付款的特别约定： 由于采购人使用的是财政性资金，采购人向财政部门申请支付即视为履行了付款义务，成交供应商不得因财政部门审核需要时间、拨款迟延等原因要求采购人承担迟延付款的责任，更不得因此怠于履行合同义务。</w:t>
            </w:r>
          </w:p>
        </w:tc>
      </w:tr>
      <w:tr>
        <w:tc>
          <w:tcPr>
            <w:tcW w:type="dxa" w:w="4153"/>
          </w:tcPr>
          <w:p>
            <w:r>
              <w:rPr/>
              <w:t>验收要求</w:t>
            </w:r>
          </w:p>
        </w:tc>
        <w:tc>
          <w:tcPr>
            <w:tcW w:type="dxa" w:w="4153"/>
          </w:tcPr>
          <w:p/>
          <w:p/>
          <w:p/>
          <w:p>
            <w:r>
              <w:rPr/>
              <w:t>1期：1.中标供应商按合同的约定、采购文件的要求、投标文件的承诺（响应）内容，完成全部服务内容，并提交了服务成果后发起验收申请，采购人收到中标供应商验收申请后7日内组织专家进行验收履约验收。 2.验收合格后，中标供应商负责按成果要求中的规定将全部有关技术文件、资料、安装、测试、验收报告等文档汇集成册交付采购人。 3.验收标准包括： （1）中标供应商完成合同约定、采购文件的采购需求内容和投标文件响应的全部服务内容。 （2）中标供应商已按要求提交了全部的服务成果及资料。 （3）项目服务内容和成果通过采购人组织的验收。 （4）如因项目政策的不确定性或特殊情况，导致本项目各环节出现变动或者基于本项目衍生其他工作任务、提交的成果有其他要求，中标人须无条件配合完成采购人的工作，中标人必须在规定时间内按项目服务要求完成全部服务内容并确保通过采购人对项目的验收为止。若项目履行期间有关规定或政策发生变更，有最新国家标准、行业标准、地方标准的则按最新规定执行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地下水污染治理服务</w:t>
            </w:r>
          </w:p>
        </w:tc>
        <w:tc>
          <w:tcPr>
            <w:tcW w:type="dxa" w:w="933"/>
          </w:tcPr>
          <w:p>
            <w:pPr>
              <w:jc w:val="left"/>
            </w:pPr>
            <w:r>
              <w:rPr/>
              <w:t>佛山市典型区域地下水监测井周边污染源调查与精准管控项目（二期）</w:t>
            </w:r>
          </w:p>
        </w:tc>
        <w:tc>
          <w:tcPr>
            <w:tcW w:type="dxa" w:w="933"/>
          </w:tcPr>
          <w:p>
            <w:pPr>
              <w:jc w:val="left"/>
            </w:pPr>
            <w:r>
              <w:rPr/>
              <w:t>项</w:t>
            </w:r>
          </w:p>
        </w:tc>
        <w:tc>
          <w:tcPr>
            <w:tcW w:type="dxa" w:w="933"/>
          </w:tcPr>
          <w:p>
            <w:pPr>
              <w:jc w:val="right"/>
            </w:pPr>
            <w:r>
              <w:rPr/>
              <w:t>1.00</w:t>
            </w:r>
          </w:p>
        </w:tc>
        <w:tc>
          <w:tcPr>
            <w:tcW w:type="dxa" w:w="933"/>
          </w:tcPr>
          <w:p>
            <w:pPr>
              <w:jc w:val="right"/>
            </w:pPr>
            <w:r>
              <w:rPr/>
              <w:t>3,662,400.00</w:t>
            </w:r>
          </w:p>
        </w:tc>
        <w:tc>
          <w:tcPr>
            <w:tcW w:type="dxa" w:w="933"/>
          </w:tcPr>
          <w:p>
            <w:pPr>
              <w:jc w:val="right"/>
            </w:pPr>
            <w:r>
              <w:rPr/>
              <w:t>3,662,400.00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佛山市典型区域地下水监测井周边污染源调查与精准管控项目（二期）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一、服务要求</w:t>
            </w:r>
          </w:p>
          <w:p>
            <w:pPr>
              <w:ind w:firstLine="422"/>
              <w:jc w:val="both"/>
            </w:pPr>
            <w:r>
              <w:rPr>
                <w:b/>
                <w:sz w:val="21"/>
              </w:rPr>
              <w:t>（一）技术要求</w:t>
            </w:r>
          </w:p>
          <w:p>
            <w:pPr>
              <w:ind w:firstLine="446"/>
            </w:pPr>
            <w:r>
              <w:rPr>
                <w:b/>
                <w:sz w:val="21"/>
              </w:rPr>
              <w:t>1</w:t>
            </w:r>
            <w:r>
              <w:rPr>
                <w:b/>
                <w:sz w:val="21"/>
              </w:rPr>
              <w:t>.</w:t>
            </w:r>
            <w:r>
              <w:rPr>
                <w:b/>
                <w:sz w:val="21"/>
              </w:rPr>
              <w:t>佛山市典型区域地下水环境现状补充调查</w:t>
            </w:r>
          </w:p>
          <w:p>
            <w:pPr>
              <w:ind w:firstLine="444"/>
              <w:jc w:val="left"/>
            </w:pPr>
            <w:r>
              <w:rPr>
                <w:sz w:val="21"/>
              </w:rPr>
              <w:t>根据本项目一期污染调查结果，对</w:t>
            </w:r>
            <w:r>
              <w:rPr>
                <w:sz w:val="21"/>
              </w:rPr>
              <w:t>5口调查监测井周边加密布设监测井开展补充调查，为污染溯源、风险评估和地下水监测预警及精准管控对策等工作提供基础信息和数据支撑。</w:t>
            </w:r>
          </w:p>
          <w:p>
            <w:pPr>
              <w:jc w:val="left"/>
            </w:pPr>
            <w:r>
              <w:rPr>
                <w:b/>
                <w:sz w:val="21"/>
              </w:rPr>
              <w:t>（</w:t>
            </w:r>
            <w:r>
              <w:rPr>
                <w:b/>
                <w:sz w:val="21"/>
              </w:rPr>
              <w:t>1）补充调查井建设</w:t>
            </w:r>
          </w:p>
          <w:p>
            <w:pPr>
              <w:ind w:firstLine="444"/>
              <w:jc w:val="left"/>
            </w:pPr>
            <w:r>
              <w:rPr>
                <w:sz w:val="21"/>
              </w:rPr>
              <w:t>在拟开展调查的</w:t>
            </w:r>
            <w:r>
              <w:rPr>
                <w:sz w:val="21"/>
              </w:rPr>
              <w:t>5口监测井周边布设不少于2</w:t>
            </w:r>
            <w:r>
              <w:rPr>
                <w:sz w:val="21"/>
              </w:rPr>
              <w:t>1</w:t>
            </w:r>
            <w:r>
              <w:rPr>
                <w:sz w:val="21"/>
              </w:rPr>
              <w:t>口规范监测井，其中选择至少</w:t>
            </w:r>
            <w:r>
              <w:rPr>
                <w:sz w:val="21"/>
              </w:rPr>
              <w:t>1口建设成分层监测井（根据地质结构和地下水含水层情况，采用一孔多层的巢式、CMT式或其他井结构方式的监测井，分层不少于3层），</w:t>
            </w:r>
            <w:r>
              <w:rPr>
                <w:sz w:val="21"/>
              </w:rPr>
              <w:t>补充新建井监测层位应能为揭示调查监测井污染状况提供支撑。根据调查需要，拟建浅层和深层井，预计浅层井深度在</w:t>
            </w:r>
            <w:r>
              <w:rPr>
                <w:sz w:val="21"/>
              </w:rPr>
              <w:t>8-30m范围,深层监测井深度在30-50m范围，具体建井数量和钻探深度根据实际情况优化调整。新建监测井应参照主要的建井技术规范，建井基本要求包括但不限于土孔钻探使用冲击式钻机等非扰动钻探设备，监测井井径应满足洗井、取样、维护等工作要求，井管内径不小于110mm，井管应选用不影响地下水水质的材料，壁厚不小于6mm，井管需加工螺纹丝扣连接，禁止使用胶水连接；滤水管长度应根据检测目标含水层厚度设计；具体建井情况可根据现场实际水文地质状况进行调整，但需确保建井技术要求满足采购人的监测需求。</w:t>
            </w:r>
          </w:p>
          <w:p>
            <w:pPr>
              <w:jc w:val="left"/>
            </w:pPr>
            <w:r>
              <w:rPr>
                <w:b/>
                <w:sz w:val="21"/>
              </w:rPr>
              <w:t>（</w:t>
            </w:r>
            <w:r>
              <w:rPr>
                <w:b/>
                <w:sz w:val="21"/>
              </w:rPr>
              <w:t>2）补充调查井现状监测</w:t>
            </w:r>
          </w:p>
          <w:p>
            <w:pPr>
              <w:ind w:firstLine="444"/>
              <w:jc w:val="left"/>
            </w:pPr>
            <w:r>
              <w:rPr>
                <w:sz w:val="21"/>
              </w:rPr>
              <w:t>对不少于</w:t>
            </w:r>
            <w:r>
              <w:rPr>
                <w:sz w:val="21"/>
              </w:rPr>
              <w:t>2</w:t>
            </w:r>
            <w:r>
              <w:rPr>
                <w:sz w:val="21"/>
              </w:rPr>
              <w:t>1</w:t>
            </w:r>
            <w:r>
              <w:rPr>
                <w:sz w:val="21"/>
              </w:rPr>
              <w:t>口周边补充调查监测井开展监测，其中地下水水质监测频率为一个水文年内不低于</w:t>
            </w:r>
            <w:r>
              <w:rPr>
                <w:sz w:val="21"/>
              </w:rPr>
              <w:t>3次，每次采样监测均加采10%的平行样。采样前洗井、样品采集、保存及运输、分析测试等过程按照相关技术规范和标准要求执行。</w:t>
            </w:r>
          </w:p>
          <w:p>
            <w:pPr>
              <w:ind w:firstLine="444"/>
              <w:jc w:val="left"/>
            </w:pPr>
            <w:r>
              <w:rPr>
                <w:sz w:val="21"/>
              </w:rPr>
              <w:t>监测指标应包含《地下水质量标准》（</w:t>
            </w:r>
            <w:r>
              <w:rPr>
                <w:sz w:val="21"/>
              </w:rPr>
              <w:t>GB/T 14848-2017）中的常规指标（微生物指标和放射性指标除外）、八大离子、现场监测指标及前期调查确定的各点位的特征污染指标（镍、银、二氯甲烷、氯苯、二甲苯）。</w:t>
            </w:r>
            <w:r>
              <w:rPr>
                <w:b/>
                <w:sz w:val="21"/>
              </w:rPr>
              <w:t>其中水位、水温、色、浑浊度、肉眼可见物指标等指标可在现场采样时监测并记录，无需</w:t>
            </w:r>
            <w:r>
              <w:rPr>
                <w:b/>
                <w:sz w:val="21"/>
              </w:rPr>
              <w:t>CMA检测资质要求。</w:t>
            </w:r>
            <w:r>
              <w:rPr>
                <w:sz w:val="21"/>
              </w:rPr>
              <w:t>具体见表</w:t>
            </w:r>
            <w:r>
              <w:rPr>
                <w:sz w:val="21"/>
              </w:rPr>
              <w:t>1。</w:t>
            </w:r>
          </w:p>
          <w:p>
            <w:pPr>
              <w:ind w:firstLine="422"/>
              <w:jc w:val="center"/>
            </w:pPr>
            <w:r>
              <w:rPr>
                <w:b/>
                <w:sz w:val="21"/>
              </w:rPr>
              <w:t>表</w:t>
            </w:r>
            <w:r>
              <w:rPr>
                <w:b/>
                <w:sz w:val="21"/>
              </w:rPr>
              <w:t>1</w:t>
            </w:r>
            <w:r>
              <w:rPr>
                <w:b/>
                <w:sz w:val="21"/>
              </w:rPr>
              <w:t xml:space="preserve"> </w:t>
            </w:r>
            <w:r>
              <w:rPr>
                <w:b/>
                <w:sz w:val="21"/>
              </w:rPr>
              <w:t>地下水监测指标</w:t>
            </w:r>
          </w:p>
          <w:tbl>
            <w:tblPr>
              <w:tblBorders>
                <w:top w:val="none" w:color="000000" w:sz="4"/>
                <w:left w:val="none" w:color="000000" w:sz="4"/>
                <w:bottom w:val="none" w:color="000000" w:sz="4"/>
                <w:right w:val="none" w:color="000000" w:sz="4"/>
                <w:insideH w:val="none"/>
                <w:insideV w:val="none"/>
              </w:tblBorders>
            </w:tblPr>
            <w:tblGrid>
              <w:gridCol w:w="1130"/>
              <w:gridCol w:w="3660"/>
              <w:gridCol w:w="808"/>
            </w:tblGrid>
            <w:tr>
              <w:tc>
                <w:tcPr>
                  <w:tcW w:type="dxa" w:w="1130"/>
                  <w:tcBorders>
                    <w:top w:val="single" w:color="000000" w:sz="4"/>
                    <w:left w:val="single" w:color="000000" w:sz="4"/>
                    <w:bottom w:val="single" w:color="000000" w:sz="4"/>
                    <w:right w:val="single" w:color="000000" w:sz="4"/>
                  </w:tcBorders>
                  <w:vAlign w:val="top"/>
                </w:tcPr>
                <w:p>
                  <w:pPr>
                    <w:jc w:val="center"/>
                  </w:pPr>
                  <w:r>
                    <w:rPr>
                      <w:b/>
                      <w:sz w:val="21"/>
                    </w:rPr>
                    <w:t>指标类型</w:t>
                  </w:r>
                </w:p>
              </w:tc>
              <w:tc>
                <w:tcPr>
                  <w:tcW w:type="dxa" w:w="3660"/>
                  <w:tcBorders>
                    <w:top w:val="single" w:color="000000" w:sz="4"/>
                    <w:left w:val="single" w:color="000000" w:sz="4"/>
                    <w:bottom w:val="single" w:color="000000" w:sz="4"/>
                    <w:right w:val="single" w:color="000000" w:sz="4"/>
                  </w:tcBorders>
                  <w:vAlign w:val="top"/>
                </w:tcPr>
                <w:p>
                  <w:pPr>
                    <w:jc w:val="center"/>
                  </w:pPr>
                  <w:r>
                    <w:rPr>
                      <w:b/>
                      <w:sz w:val="21"/>
                    </w:rPr>
                    <w:t>指标名称</w:t>
                  </w:r>
                </w:p>
              </w:tc>
              <w:tc>
                <w:tcPr>
                  <w:tcW w:type="dxa" w:w="808"/>
                  <w:tcBorders>
                    <w:top w:val="single" w:color="000000" w:sz="4"/>
                    <w:left w:val="single" w:color="000000" w:sz="4"/>
                    <w:bottom w:val="single" w:color="000000" w:sz="4"/>
                    <w:right w:val="single" w:color="000000" w:sz="4"/>
                  </w:tcBorders>
                  <w:vAlign w:val="top"/>
                </w:tcPr>
                <w:p>
                  <w:pPr>
                    <w:jc w:val="center"/>
                  </w:pPr>
                  <w:r>
                    <w:rPr>
                      <w:b/>
                      <w:sz w:val="21"/>
                    </w:rPr>
                    <w:t>指标数量</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《地下水质量标准》（</w:t>
                  </w:r>
                  <w:r>
                    <w:rPr>
                      <w:sz w:val="21"/>
                    </w:rPr>
                    <w:t>GB/T 14848-2017）中的常规指标（微生物指标和放射性指标除外）、八大离子</w:t>
                  </w:r>
                </w:p>
              </w:tc>
              <w:tc>
                <w:tcPr>
                  <w:tcW w:type="dxa" w:w="3660"/>
                  <w:tcBorders>
                    <w:top w:val="none" w:color="000000" w:sz="4"/>
                    <w:left w:val="single" w:color="000000" w:sz="4"/>
                    <w:bottom w:val="single" w:color="000000" w:sz="4"/>
                    <w:right w:val="single" w:color="000000" w:sz="4"/>
                  </w:tcBorders>
                  <w:vAlign w:val="top"/>
                </w:tcPr>
                <w:p>
                  <w:pPr>
                    <w:jc w:val="center"/>
                  </w:pPr>
                  <w:r>
                    <w:rPr>
                      <w:sz w:val="21"/>
                    </w:rPr>
                    <w:t>色、浑浊度、肉眼可见物、</w:t>
                  </w:r>
                  <w:r>
                    <w:rPr>
                      <w:sz w:val="21"/>
                    </w:rPr>
                    <w:t>pH值、总硬度（以CaCO</w:t>
                  </w:r>
                  <w:r>
                    <w:rPr>
                      <w:sz w:val="21"/>
                      <w:vertAlign w:val="subscript"/>
                    </w:rPr>
                    <w:t>3</w:t>
                  </w:r>
                  <w:r>
                    <w:rPr>
                      <w:sz w:val="21"/>
                    </w:rPr>
                    <w:t>计）、溶解性总固体、硫酸盐、氯化物、铁、锰、铜、锌、铝、挥发性酚类（挥发酚）、阴离子表面活性剂、高锰酸酸指数（</w:t>
                  </w:r>
                  <w:r>
                    <w:rPr>
                      <w:sz w:val="21"/>
                    </w:rPr>
                    <w:t>COD</w:t>
                  </w:r>
                  <w:r>
                    <w:rPr>
                      <w:sz w:val="21"/>
                      <w:vertAlign w:val="subscript"/>
                    </w:rPr>
                    <w:t>Mn</w:t>
                  </w:r>
                  <w:r>
                    <w:rPr>
                      <w:sz w:val="21"/>
                    </w:rPr>
                    <w:t>）、氨氮、硫化物、钠、亚硝酸盐、硝酸盐、氰化物、氟化物、碘化物、汞、砷、硒、镉、六价铬、铅、三氯甲烷、四氯化碳、苯、甲苯、</w:t>
                  </w:r>
                  <w:r>
                    <w:rPr>
                      <w:sz w:val="21"/>
                    </w:rPr>
                    <w:t>Ca</w:t>
                  </w:r>
                  <w:r>
                    <w:rPr>
                      <w:sz w:val="21"/>
                      <w:vertAlign w:val="superscript"/>
                    </w:rPr>
                    <w:t>2+</w:t>
                  </w:r>
                  <w:r>
                    <w:rPr>
                      <w:sz w:val="21"/>
                    </w:rPr>
                    <w:t>、</w:t>
                  </w:r>
                  <w:r>
                    <w:rPr>
                      <w:sz w:val="21"/>
                    </w:rPr>
                    <w:t>Mg</w:t>
                  </w:r>
                  <w:r>
                    <w:rPr>
                      <w:sz w:val="21"/>
                      <w:vertAlign w:val="superscript"/>
                    </w:rPr>
                    <w:t>2+</w:t>
                  </w:r>
                  <w:r>
                    <w:rPr>
                      <w:sz w:val="21"/>
                    </w:rPr>
                    <w:t>、</w:t>
                  </w:r>
                  <w:r>
                    <w:rPr>
                      <w:sz w:val="21"/>
                    </w:rPr>
                    <w:t>K</w:t>
                  </w:r>
                  <w:r>
                    <w:rPr>
                      <w:sz w:val="21"/>
                      <w:vertAlign w:val="superscript"/>
                    </w:rPr>
                    <w:t>+</w:t>
                  </w:r>
                  <w:r>
                    <w:rPr>
                      <w:sz w:val="21"/>
                    </w:rPr>
                    <w:t>、碳酸根（</w:t>
                  </w:r>
                  <w:r>
                    <w:rPr>
                      <w:sz w:val="21"/>
                    </w:rPr>
                    <w:t>CO</w:t>
                  </w:r>
                  <w:r>
                    <w:rPr>
                      <w:sz w:val="21"/>
                      <w:vertAlign w:val="subscript"/>
                    </w:rPr>
                    <w:t>3</w:t>
                  </w:r>
                  <w:r>
                    <w:rPr>
                      <w:sz w:val="21"/>
                      <w:vertAlign w:val="superscript"/>
                    </w:rPr>
                    <w:t>2-</w:t>
                  </w:r>
                  <w:r>
                    <w:rPr>
                      <w:sz w:val="21"/>
                    </w:rPr>
                    <w:t>）、重碳酸根（</w:t>
                  </w:r>
                  <w:r>
                    <w:rPr>
                      <w:sz w:val="21"/>
                    </w:rPr>
                    <w:t>HCO</w:t>
                  </w:r>
                  <w:r>
                    <w:rPr>
                      <w:sz w:val="21"/>
                      <w:vertAlign w:val="subscript"/>
                    </w:rPr>
                    <w:t>3</w:t>
                  </w:r>
                  <w:r>
                    <w:rPr>
                      <w:sz w:val="21"/>
                      <w:vertAlign w:val="superscript"/>
                    </w:rPr>
                    <w:t>-</w:t>
                  </w:r>
                  <w:r>
                    <w:rPr>
                      <w:sz w:val="21"/>
                    </w:rPr>
                    <w:t>）</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39</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现场监测指标</w:t>
                  </w:r>
                </w:p>
              </w:tc>
              <w:tc>
                <w:tcPr>
                  <w:tcW w:type="dxa" w:w="3660"/>
                  <w:tcBorders>
                    <w:top w:val="none" w:color="000000" w:sz="4"/>
                    <w:left w:val="single" w:color="000000" w:sz="4"/>
                    <w:bottom w:val="single" w:color="000000" w:sz="4"/>
                    <w:right w:val="single" w:color="000000" w:sz="4"/>
                  </w:tcBorders>
                  <w:vAlign w:val="top"/>
                </w:tcPr>
                <w:p>
                  <w:pPr>
                    <w:jc w:val="center"/>
                  </w:pPr>
                  <w:r>
                    <w:rPr>
                      <w:sz w:val="21"/>
                    </w:rPr>
                    <w:t>水位、水温、溶解氧、氧化还原电位、浊度、电导率</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特征污染指标</w:t>
                  </w:r>
                </w:p>
              </w:tc>
              <w:tc>
                <w:tcPr>
                  <w:tcW w:type="dxa" w:w="3660"/>
                  <w:tcBorders>
                    <w:top w:val="none" w:color="000000" w:sz="4"/>
                    <w:left w:val="single" w:color="000000" w:sz="4"/>
                    <w:bottom w:val="single" w:color="000000" w:sz="4"/>
                    <w:right w:val="single" w:color="000000" w:sz="4"/>
                  </w:tcBorders>
                  <w:vAlign w:val="top"/>
                </w:tcPr>
                <w:p>
                  <w:pPr>
                    <w:jc w:val="center"/>
                  </w:pPr>
                  <w:r>
                    <w:rPr>
                      <w:sz w:val="21"/>
                    </w:rPr>
                    <w:t>镍、银、二氯甲烷、氯苯、二甲苯</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5</w:t>
                  </w:r>
                </w:p>
              </w:tc>
            </w:tr>
          </w:tbl>
          <w:p>
            <w:pPr>
              <w:ind w:firstLine="444"/>
              <w:jc w:val="left"/>
            </w:pPr>
            <w:r>
              <w:rPr>
                <w:sz w:val="21"/>
              </w:rPr>
              <w:t>对不少于</w:t>
            </w:r>
            <w:r>
              <w:rPr>
                <w:sz w:val="21"/>
              </w:rPr>
              <w:t>15</w:t>
            </w:r>
            <w:r>
              <w:rPr>
                <w:sz w:val="21"/>
              </w:rPr>
              <w:t>口周边补充调查监测井同步开展土壤分层监测。每个钻孔土壤监测不少于</w:t>
            </w:r>
            <w:r>
              <w:rPr>
                <w:sz w:val="21"/>
              </w:rPr>
              <w:t>3层，每次采样监测均加采10%的平行样。原则上每个土壤样品的采样点位至少在2个不同深度采集土壤样品，采样深度原则上应包括表层0cm-50cm、存在污染痕迹或现场快速检测识别出的污染相对较重的位置；若钻探至地下水位时，原则上应在水位线附近50cm范围内补充采集一个土壤样品，具体可根据实际调查情况优化调整。土壤样品采集、保存及运输、分析测试等过程按照相关技术规范和标准要求执行。</w:t>
            </w:r>
          </w:p>
          <w:p>
            <w:pPr>
              <w:ind w:firstLine="444"/>
              <w:jc w:val="left"/>
            </w:pPr>
            <w:r>
              <w:rPr>
                <w:sz w:val="21"/>
              </w:rPr>
              <w:t>监测指标应包含《土壤环境质量建设用地土壤污染风险管控标准（试行）》中</w:t>
            </w:r>
            <w:r>
              <w:rPr>
                <w:sz w:val="21"/>
              </w:rPr>
              <w:t>“表</w:t>
            </w:r>
            <w:r>
              <w:rPr>
                <w:sz w:val="21"/>
              </w:rPr>
              <w:t>1建设用地土壤污染风险筛选值和管制值（基本项目）”45项指标和pH值</w:t>
            </w:r>
            <w:r>
              <w:rPr>
                <w:sz w:val="21"/>
              </w:rPr>
              <w:t>，以及铝等前期风险指标</w:t>
            </w:r>
            <w:r>
              <w:rPr>
                <w:sz w:val="21"/>
              </w:rPr>
              <w:t>。</w:t>
            </w:r>
            <w:r>
              <w:rPr>
                <w:sz w:val="21"/>
              </w:rPr>
              <w:t>监测指标将根据实际调查情况进行适当补充。具体见表</w:t>
            </w:r>
            <w:r>
              <w:rPr>
                <w:sz w:val="21"/>
              </w:rPr>
              <w:t>2</w:t>
            </w:r>
            <w:r>
              <w:rPr>
                <w:sz w:val="21"/>
              </w:rPr>
              <w:t>。</w:t>
            </w:r>
          </w:p>
          <w:p>
            <w:pPr>
              <w:ind w:firstLine="422"/>
              <w:jc w:val="center"/>
            </w:pPr>
            <w:r>
              <w:rPr>
                <w:b/>
                <w:sz w:val="21"/>
              </w:rPr>
              <w:t>表</w:t>
            </w:r>
            <w:r>
              <w:rPr>
                <w:b/>
                <w:sz w:val="21"/>
              </w:rPr>
              <w:t>2</w:t>
            </w:r>
            <w:r>
              <w:rPr>
                <w:b/>
                <w:sz w:val="21"/>
              </w:rPr>
              <w:t xml:space="preserve"> </w:t>
            </w:r>
            <w:r>
              <w:rPr>
                <w:b/>
                <w:sz w:val="21"/>
              </w:rPr>
              <w:t>土壤监测指标</w:t>
            </w:r>
          </w:p>
          <w:tbl>
            <w:tblPr>
              <w:tblBorders>
                <w:top w:val="none" w:color="000000" w:sz="4"/>
                <w:left w:val="none" w:color="000000" w:sz="4"/>
                <w:bottom w:val="none" w:color="000000" w:sz="4"/>
                <w:right w:val="none" w:color="000000" w:sz="4"/>
                <w:insideH w:val="none"/>
                <w:insideV w:val="none"/>
              </w:tblBorders>
            </w:tblPr>
            <w:tblGrid>
              <w:gridCol w:w="1130"/>
              <w:gridCol w:w="3660"/>
              <w:gridCol w:w="808"/>
            </w:tblGrid>
            <w:tr>
              <w:tc>
                <w:tcPr>
                  <w:tcW w:type="dxa" w:w="1130"/>
                  <w:tcBorders>
                    <w:top w:val="single" w:color="000000" w:sz="4"/>
                    <w:left w:val="single" w:color="000000" w:sz="4"/>
                    <w:bottom w:val="single" w:color="000000" w:sz="4"/>
                    <w:right w:val="single" w:color="000000" w:sz="4"/>
                  </w:tcBorders>
                  <w:vAlign w:val="top"/>
                </w:tcPr>
                <w:p>
                  <w:pPr>
                    <w:jc w:val="center"/>
                  </w:pPr>
                  <w:r>
                    <w:rPr>
                      <w:b/>
                      <w:sz w:val="21"/>
                    </w:rPr>
                    <w:t>指标类型</w:t>
                  </w:r>
                </w:p>
              </w:tc>
              <w:tc>
                <w:tcPr>
                  <w:tcW w:type="dxa" w:w="3660"/>
                  <w:tcBorders>
                    <w:top w:val="single" w:color="000000" w:sz="4"/>
                    <w:left w:val="single" w:color="000000" w:sz="4"/>
                    <w:bottom w:val="single" w:color="000000" w:sz="4"/>
                    <w:right w:val="single" w:color="000000" w:sz="4"/>
                  </w:tcBorders>
                  <w:vAlign w:val="top"/>
                </w:tcPr>
                <w:p>
                  <w:pPr>
                    <w:jc w:val="center"/>
                  </w:pPr>
                  <w:r>
                    <w:rPr>
                      <w:b/>
                      <w:sz w:val="21"/>
                    </w:rPr>
                    <w:t>指标名称</w:t>
                  </w:r>
                </w:p>
              </w:tc>
              <w:tc>
                <w:tcPr>
                  <w:tcW w:type="dxa" w:w="808"/>
                  <w:tcBorders>
                    <w:top w:val="single" w:color="000000" w:sz="4"/>
                    <w:left w:val="single" w:color="000000" w:sz="4"/>
                    <w:bottom w:val="single" w:color="000000" w:sz="4"/>
                    <w:right w:val="single" w:color="000000" w:sz="4"/>
                  </w:tcBorders>
                  <w:vAlign w:val="top"/>
                </w:tcPr>
                <w:p>
                  <w:pPr>
                    <w:jc w:val="center"/>
                  </w:pPr>
                  <w:r>
                    <w:rPr>
                      <w:b/>
                      <w:sz w:val="21"/>
                    </w:rPr>
                    <w:t>指标数量</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《土壤环境质量建设用地土壤污染风险管控标准（试行）》（</w:t>
                  </w:r>
                  <w:r>
                    <w:rPr>
                      <w:sz w:val="21"/>
                    </w:rPr>
                    <w:t>GB 36600-2018）的基本45项</w:t>
                  </w:r>
                </w:p>
              </w:tc>
              <w:tc>
                <w:tcPr>
                  <w:tcW w:type="dxa" w:w="3660"/>
                  <w:tcBorders>
                    <w:top w:val="none" w:color="000000" w:sz="4"/>
                    <w:left w:val="single" w:color="000000" w:sz="4"/>
                    <w:bottom w:val="single" w:color="000000" w:sz="4"/>
                    <w:right w:val="single" w:color="000000" w:sz="4"/>
                  </w:tcBorders>
                  <w:vAlign w:val="top"/>
                </w:tcPr>
                <w:p>
                  <w:pPr>
                    <w:jc w:val="center"/>
                  </w:pPr>
                  <w:r>
                    <w:rPr>
                      <w:sz w:val="21"/>
                    </w:rPr>
                    <w:t>砷、镉、六价铬、铜、铅、汞、镍、四氯化碳、氯仿、氯甲烷、</w:t>
                  </w:r>
                  <w:r>
                    <w:rPr>
                      <w:sz w:val="21"/>
                    </w:rPr>
                    <w:t>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45</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其他指标</w:t>
                  </w:r>
                </w:p>
              </w:tc>
              <w:tc>
                <w:tcPr>
                  <w:tcW w:type="dxa" w:w="3660"/>
                  <w:tcBorders>
                    <w:top w:val="none" w:color="000000" w:sz="4"/>
                    <w:left w:val="single" w:color="000000" w:sz="4"/>
                    <w:bottom w:val="single" w:color="000000" w:sz="4"/>
                    <w:right w:val="single" w:color="000000" w:sz="4"/>
                  </w:tcBorders>
                  <w:vAlign w:val="top"/>
                </w:tcPr>
                <w:p>
                  <w:pPr>
                    <w:jc w:val="center"/>
                  </w:pPr>
                  <w:r>
                    <w:rPr>
                      <w:sz w:val="21"/>
                    </w:rPr>
                    <w:t>pH值、铝</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2</w:t>
                  </w:r>
                </w:p>
              </w:tc>
            </w:tr>
          </w:tbl>
          <w:p>
            <w:pPr>
              <w:jc w:val="left"/>
            </w:pPr>
            <w:r>
              <w:rPr>
                <w:b/>
                <w:sz w:val="21"/>
              </w:rPr>
              <w:t>（</w:t>
            </w:r>
            <w:r>
              <w:rPr>
                <w:b/>
                <w:sz w:val="21"/>
              </w:rPr>
              <w:t>3）补充分层监测井监测</w:t>
            </w:r>
          </w:p>
          <w:p>
            <w:pPr>
              <w:ind w:firstLine="444"/>
              <w:jc w:val="left"/>
            </w:pPr>
            <w:r>
              <w:rPr>
                <w:sz w:val="21"/>
              </w:rPr>
              <w:t>选取</w:t>
            </w:r>
            <w:r>
              <w:rPr>
                <w:sz w:val="21"/>
              </w:rPr>
              <w:t>4号调查井地下水下游方向（或采购人确定的4号调查井周边）1口新建井建设成分层井，根据地质结构和地下水含水层情况，采用一孔多层的巢式、CMT式或其他井结构方式的监测井，开展不少于3层的水质动态监测。</w:t>
            </w:r>
          </w:p>
          <w:p>
            <w:pPr>
              <w:ind w:firstLine="444"/>
              <w:jc w:val="left"/>
            </w:pPr>
            <w:r>
              <w:rPr>
                <w:sz w:val="21"/>
              </w:rPr>
              <w:t>依据地下水分层情况对井内地下水进行加密分层采样监测分析，实现对各层次地下水水质的监测和水质监控，掌握不同地下水水层污染特性，探索和定位主要污染水层，确定影响水质的主要特征污染物。</w:t>
            </w:r>
          </w:p>
          <w:p>
            <w:pPr>
              <w:ind w:firstLine="444"/>
              <w:jc w:val="left"/>
            </w:pPr>
            <w:r>
              <w:rPr>
                <w:sz w:val="21"/>
              </w:rPr>
              <w:t>监测指标为水位、水温、溶解性总固体、</w:t>
            </w:r>
            <w:r>
              <w:rPr>
                <w:sz w:val="21"/>
              </w:rPr>
              <w:t>pH值、溶解氧、电导率、浊度、氧化还原电位、镍、铜等水质指标，采样前应进行充分洗井，保证采集的是新鲜水样，监测频次不少于每周1次（客观条件限制除外），监测时长不少于6个月，应覆盖不同水期，必要时进行加密监测或延长监测时长。具体见表</w:t>
            </w:r>
            <w:r>
              <w:rPr>
                <w:sz w:val="21"/>
              </w:rPr>
              <w:t>3</w:t>
            </w:r>
            <w:r>
              <w:rPr>
                <w:sz w:val="21"/>
              </w:rPr>
              <w:t>。</w:t>
            </w:r>
          </w:p>
          <w:p>
            <w:pPr>
              <w:ind w:firstLine="422"/>
              <w:jc w:val="center"/>
            </w:pPr>
            <w:r>
              <w:rPr>
                <w:b/>
                <w:sz w:val="21"/>
              </w:rPr>
              <w:t>表</w:t>
            </w:r>
            <w:r>
              <w:rPr>
                <w:b/>
                <w:sz w:val="21"/>
              </w:rPr>
              <w:t>3</w:t>
            </w:r>
            <w:r>
              <w:rPr>
                <w:b/>
                <w:sz w:val="21"/>
              </w:rPr>
              <w:t xml:space="preserve"> </w:t>
            </w:r>
            <w:r>
              <w:rPr>
                <w:b/>
                <w:sz w:val="21"/>
              </w:rPr>
              <w:t>分层监测指标</w:t>
            </w:r>
          </w:p>
          <w:tbl>
            <w:tblPr>
              <w:tblBorders>
                <w:top w:val="none" w:color="000000" w:sz="4"/>
                <w:left w:val="none" w:color="000000" w:sz="4"/>
                <w:bottom w:val="none" w:color="000000" w:sz="4"/>
                <w:right w:val="none" w:color="000000" w:sz="4"/>
                <w:insideH w:val="none"/>
                <w:insideV w:val="none"/>
              </w:tblBorders>
            </w:tblPr>
            <w:tblGrid>
              <w:gridCol w:w="1130"/>
              <w:gridCol w:w="3660"/>
              <w:gridCol w:w="808"/>
            </w:tblGrid>
            <w:tr>
              <w:tc>
                <w:tcPr>
                  <w:tcW w:type="dxa" w:w="1130"/>
                  <w:tcBorders>
                    <w:top w:val="single" w:color="000000" w:sz="4"/>
                    <w:left w:val="single" w:color="000000" w:sz="4"/>
                    <w:bottom w:val="single" w:color="000000" w:sz="4"/>
                    <w:right w:val="single" w:color="000000" w:sz="4"/>
                  </w:tcBorders>
                  <w:vAlign w:val="top"/>
                </w:tcPr>
                <w:p>
                  <w:pPr>
                    <w:jc w:val="center"/>
                  </w:pPr>
                  <w:r>
                    <w:rPr>
                      <w:b/>
                      <w:sz w:val="21"/>
                    </w:rPr>
                    <w:t>指标类型</w:t>
                  </w:r>
                </w:p>
              </w:tc>
              <w:tc>
                <w:tcPr>
                  <w:tcW w:type="dxa" w:w="3660"/>
                  <w:tcBorders>
                    <w:top w:val="single" w:color="000000" w:sz="4"/>
                    <w:left w:val="single" w:color="000000" w:sz="4"/>
                    <w:bottom w:val="single" w:color="000000" w:sz="4"/>
                    <w:right w:val="single" w:color="000000" w:sz="4"/>
                  </w:tcBorders>
                  <w:vAlign w:val="top"/>
                </w:tcPr>
                <w:p>
                  <w:pPr>
                    <w:jc w:val="center"/>
                  </w:pPr>
                  <w:r>
                    <w:rPr>
                      <w:b/>
                      <w:sz w:val="21"/>
                    </w:rPr>
                    <w:t>指标名称</w:t>
                  </w:r>
                </w:p>
              </w:tc>
              <w:tc>
                <w:tcPr>
                  <w:tcW w:type="dxa" w:w="808"/>
                  <w:tcBorders>
                    <w:top w:val="single" w:color="000000" w:sz="4"/>
                    <w:left w:val="single" w:color="000000" w:sz="4"/>
                    <w:bottom w:val="single" w:color="000000" w:sz="4"/>
                    <w:right w:val="single" w:color="000000" w:sz="4"/>
                  </w:tcBorders>
                  <w:vAlign w:val="top"/>
                </w:tcPr>
                <w:p>
                  <w:pPr>
                    <w:jc w:val="center"/>
                  </w:pPr>
                  <w:r>
                    <w:rPr>
                      <w:b/>
                      <w:sz w:val="21"/>
                    </w:rPr>
                    <w:t>指标数量</w:t>
                  </w:r>
                </w:p>
              </w:tc>
            </w:tr>
            <w:tr>
              <w:tc>
                <w:tcPr>
                  <w:tcW w:type="dxa" w:w="1130"/>
                  <w:tcBorders>
                    <w:top w:val="none" w:color="000000" w:sz="4"/>
                    <w:left w:val="single" w:color="000000" w:sz="4"/>
                    <w:bottom w:val="single" w:color="000000" w:sz="4"/>
                    <w:right w:val="single" w:color="000000" w:sz="4"/>
                  </w:tcBorders>
                  <w:vAlign w:val="top"/>
                </w:tcPr>
                <w:p>
                  <w:pPr>
                    <w:jc w:val="center"/>
                  </w:pPr>
                  <w:r>
                    <w:rPr>
                      <w:sz w:val="21"/>
                    </w:rPr>
                    <w:t>监测指标</w:t>
                  </w:r>
                </w:p>
              </w:tc>
              <w:tc>
                <w:tcPr>
                  <w:tcW w:type="dxa" w:w="3660"/>
                  <w:tcBorders>
                    <w:top w:val="none" w:color="000000" w:sz="4"/>
                    <w:left w:val="single" w:color="000000" w:sz="4"/>
                    <w:bottom w:val="single" w:color="000000" w:sz="4"/>
                    <w:right w:val="single" w:color="000000" w:sz="4"/>
                  </w:tcBorders>
                  <w:vAlign w:val="top"/>
                </w:tcPr>
                <w:p>
                  <w:pPr>
                    <w:jc w:val="center"/>
                  </w:pPr>
                  <w:r>
                    <w:rPr>
                      <w:sz w:val="21"/>
                    </w:rPr>
                    <w:t>水位、水温、溶解性总固体、</w:t>
                  </w:r>
                  <w:r>
                    <w:rPr>
                      <w:sz w:val="21"/>
                    </w:rPr>
                    <w:t>pH值、溶解氧、电导率、浊度、氧化还原电位、镍、铜</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10</w:t>
                  </w:r>
                </w:p>
              </w:tc>
            </w:tr>
          </w:tbl>
          <w:p>
            <w:pPr>
              <w:ind w:firstLine="446"/>
            </w:pPr>
            <w:r>
              <w:rPr>
                <w:b/>
                <w:sz w:val="21"/>
              </w:rPr>
              <w:t>2.佛山市典型区域地下水同位素溯源模型构建</w:t>
            </w:r>
          </w:p>
          <w:p>
            <w:pPr>
              <w:ind w:firstLine="444"/>
              <w:jc w:val="left"/>
            </w:pPr>
            <w:r>
              <w:rPr>
                <w:sz w:val="21"/>
              </w:rPr>
              <w:t>在已有溯源资料及工作的基础上，进一步结合综合多种同位素的补充监测（</w:t>
            </w:r>
            <w:r>
              <w:rPr>
                <w:sz w:val="21"/>
              </w:rPr>
              <w:t>8种及以上同位素）结果，构建同位素溯源模型并进行模型参数优化和模型验证，提出可供界面化的建模流程并协助完成溯源成果信息化展示工作。将多种手段溯源工作进行交叉验证，确定污染源同位素组成特征，开展污染成因分析，发展经济、有效的同位素溯源方法，提出切实可行、可供验证的溯源思路。具体工作内容详见表4。</w:t>
            </w:r>
          </w:p>
          <w:p>
            <w:pPr>
              <w:ind w:firstLine="422"/>
              <w:jc w:val="center"/>
            </w:pPr>
            <w:r>
              <w:rPr>
                <w:b/>
                <w:sz w:val="21"/>
              </w:rPr>
              <w:t>表</w:t>
            </w:r>
            <w:r>
              <w:rPr>
                <w:b/>
                <w:sz w:val="21"/>
              </w:rPr>
              <w:t>4</w:t>
            </w:r>
            <w:r>
              <w:rPr>
                <w:b/>
                <w:sz w:val="21"/>
              </w:rPr>
              <w:t xml:space="preserve">  </w:t>
            </w:r>
            <w:r>
              <w:rPr>
                <w:b/>
                <w:sz w:val="21"/>
              </w:rPr>
              <w:t>同位素监测点位及分析指标</w:t>
            </w:r>
          </w:p>
          <w:tbl>
            <w:tblPr>
              <w:tblBorders>
                <w:top w:val="none" w:color="000000" w:sz="4"/>
                <w:left w:val="none" w:color="000000" w:sz="4"/>
                <w:bottom w:val="none" w:color="000000" w:sz="4"/>
                <w:right w:val="none" w:color="000000" w:sz="4"/>
                <w:insideH w:val="none"/>
                <w:insideV w:val="none"/>
              </w:tblBorders>
            </w:tblPr>
            <w:tblGrid>
              <w:gridCol w:w="644"/>
              <w:gridCol w:w="747"/>
              <w:gridCol w:w="830"/>
              <w:gridCol w:w="1077"/>
              <w:gridCol w:w="2301"/>
            </w:tblGrid>
            <w:tr>
              <w:tc>
                <w:tcPr>
                  <w:tcW w:type="dxa" w:w="644"/>
                  <w:tcBorders>
                    <w:top w:val="single" w:color="000000" w:sz="4"/>
                    <w:left w:val="single" w:color="000000" w:sz="4"/>
                    <w:bottom w:val="single" w:color="000000" w:sz="4"/>
                    <w:right w:val="single" w:color="000000" w:sz="4"/>
                  </w:tcBorders>
                  <w:vAlign w:val="top"/>
                </w:tcPr>
                <w:p>
                  <w:r>
                    <w:rPr>
                      <w:b/>
                      <w:sz w:val="21"/>
                    </w:rPr>
                    <w:t>监测点位</w:t>
                  </w:r>
                </w:p>
              </w:tc>
              <w:tc>
                <w:tcPr>
                  <w:tcW w:type="dxa" w:w="747"/>
                  <w:tcBorders>
                    <w:top w:val="single" w:color="000000" w:sz="4"/>
                    <w:left w:val="single" w:color="000000" w:sz="4"/>
                    <w:bottom w:val="single" w:color="000000" w:sz="4"/>
                    <w:right w:val="single" w:color="000000" w:sz="4"/>
                  </w:tcBorders>
                  <w:vAlign w:val="top"/>
                </w:tcPr>
                <w:p>
                  <w:r>
                    <w:rPr>
                      <w:b/>
                      <w:sz w:val="21"/>
                    </w:rPr>
                    <w:t>布点数量</w:t>
                  </w:r>
                </w:p>
              </w:tc>
              <w:tc>
                <w:tcPr>
                  <w:tcW w:type="dxa" w:w="830"/>
                  <w:tcBorders>
                    <w:top w:val="single" w:color="000000" w:sz="4"/>
                    <w:left w:val="single" w:color="000000" w:sz="4"/>
                    <w:bottom w:val="single" w:color="000000" w:sz="4"/>
                    <w:right w:val="single" w:color="000000" w:sz="4"/>
                  </w:tcBorders>
                  <w:vAlign w:val="top"/>
                </w:tcPr>
                <w:p>
                  <w:r>
                    <w:rPr>
                      <w:b/>
                      <w:sz w:val="21"/>
                    </w:rPr>
                    <w:t>监测频次</w:t>
                  </w:r>
                </w:p>
              </w:tc>
              <w:tc>
                <w:tcPr>
                  <w:tcW w:type="dxa" w:w="1077"/>
                  <w:tcBorders>
                    <w:top w:val="single" w:color="000000" w:sz="4"/>
                    <w:left w:val="single" w:color="000000" w:sz="4"/>
                    <w:bottom w:val="single" w:color="000000" w:sz="4"/>
                    <w:right w:val="single" w:color="000000" w:sz="4"/>
                  </w:tcBorders>
                  <w:vAlign w:val="top"/>
                </w:tcPr>
                <w:p>
                  <w:r>
                    <w:rPr>
                      <w:b/>
                      <w:sz w:val="21"/>
                    </w:rPr>
                    <w:t>监测深度</w:t>
                  </w:r>
                </w:p>
              </w:tc>
              <w:tc>
                <w:tcPr>
                  <w:tcW w:type="dxa" w:w="2301"/>
                  <w:tcBorders>
                    <w:top w:val="single" w:color="000000" w:sz="4"/>
                    <w:left w:val="single" w:color="000000" w:sz="4"/>
                    <w:bottom w:val="single" w:color="000000" w:sz="4"/>
                    <w:right w:val="single" w:color="000000" w:sz="4"/>
                  </w:tcBorders>
                  <w:vAlign w:val="top"/>
                </w:tcPr>
                <w:p>
                  <w:r>
                    <w:rPr>
                      <w:b/>
                      <w:sz w:val="21"/>
                    </w:rPr>
                    <w:t>同位素监测指标</w:t>
                  </w:r>
                </w:p>
              </w:tc>
            </w:tr>
            <w:tr>
              <w:tc>
                <w:tcPr>
                  <w:tcW w:type="dxa" w:w="644"/>
                  <w:tcBorders>
                    <w:top w:val="none" w:color="000000" w:sz="4"/>
                    <w:left w:val="single" w:color="000000" w:sz="4"/>
                    <w:bottom w:val="single" w:color="000000" w:sz="4"/>
                    <w:right w:val="single" w:color="000000" w:sz="4"/>
                  </w:tcBorders>
                  <w:vAlign w:val="top"/>
                </w:tcPr>
                <w:p>
                  <w:r>
                    <w:rPr>
                      <w:sz w:val="21"/>
                    </w:rPr>
                    <w:t>1</w:t>
                  </w:r>
                </w:p>
              </w:tc>
              <w:tc>
                <w:tcPr>
                  <w:tcW w:type="dxa" w:w="747"/>
                  <w:tcBorders>
                    <w:top w:val="none" w:color="000000" w:sz="4"/>
                    <w:left w:val="single" w:color="000000" w:sz="4"/>
                    <w:bottom w:val="single" w:color="000000" w:sz="4"/>
                    <w:right w:val="single" w:color="000000" w:sz="4"/>
                  </w:tcBorders>
                  <w:vAlign w:val="top"/>
                </w:tcPr>
                <w:p>
                  <w:r>
                    <w:rPr>
                      <w:sz w:val="21"/>
                    </w:rPr>
                    <w:t>5</w:t>
                  </w:r>
                  <w:r>
                    <w:rPr>
                      <w:sz w:val="21"/>
                    </w:rPr>
                    <w:t>口</w:t>
                  </w:r>
                </w:p>
              </w:tc>
              <w:tc>
                <w:tcPr>
                  <w:tcW w:type="dxa" w:w="830"/>
                  <w:tcBorders>
                    <w:top w:val="none" w:color="000000" w:sz="4"/>
                    <w:left w:val="single" w:color="000000" w:sz="4"/>
                    <w:bottom w:val="single" w:color="000000" w:sz="4"/>
                    <w:right w:val="single" w:color="000000" w:sz="4"/>
                  </w:tcBorders>
                  <w:vAlign w:val="top"/>
                </w:tcPr>
                <w:p>
                  <w:r>
                    <w:rPr>
                      <w:sz w:val="21"/>
                    </w:rPr>
                    <w:t>3</w:t>
                  </w:r>
                  <w:r>
                    <w:rPr>
                      <w:sz w:val="21"/>
                    </w:rPr>
                    <w:t>期</w:t>
                  </w:r>
                </w:p>
              </w:tc>
              <w:tc>
                <w:tcPr>
                  <w:tcW w:type="dxa" w:w="1077"/>
                  <w:tcBorders>
                    <w:top w:val="none" w:color="000000" w:sz="4"/>
                    <w:left w:val="single" w:color="000000" w:sz="4"/>
                    <w:bottom w:val="single" w:color="000000" w:sz="4"/>
                    <w:right w:val="single" w:color="000000" w:sz="4"/>
                  </w:tcBorders>
                  <w:vAlign w:val="top"/>
                </w:tcPr>
                <w:p>
                  <w:r>
                    <w:rPr>
                      <w:sz w:val="21"/>
                    </w:rPr>
                    <w:t>每口井按深度分</w:t>
                  </w:r>
                  <w:r>
                    <w:rPr>
                      <w:sz w:val="21"/>
                    </w:rPr>
                    <w:t>2</w:t>
                  </w:r>
                  <w:r>
                    <w:rPr>
                      <w:sz w:val="21"/>
                    </w:rPr>
                    <w:t>层开展定深取样</w:t>
                  </w:r>
                </w:p>
              </w:tc>
              <w:tc>
                <w:tcPr>
                  <w:tcW w:type="dxa" w:w="2301"/>
                  <w:tcBorders>
                    <w:top w:val="none" w:color="000000" w:sz="4"/>
                    <w:left w:val="single" w:color="000000" w:sz="4"/>
                    <w:bottom w:val="single" w:color="000000" w:sz="4"/>
                    <w:right w:val="single" w:color="000000" w:sz="4"/>
                  </w:tcBorders>
                  <w:vAlign w:val="top"/>
                </w:tcPr>
                <w:p>
                  <w:r>
                    <w:rPr>
                      <w:sz w:val="21"/>
                    </w:rPr>
                    <w:t>氢氧稳定同位素、氨氮同位素、溶解无机碳浓度及碳同位素、溶解有机碳浓度及碳同位素、</w:t>
                  </w:r>
                  <w:r>
                    <w:rPr>
                      <w:sz w:val="21"/>
                    </w:rPr>
                    <w:t>CO</w:t>
                  </w:r>
                  <w:r>
                    <w:rPr>
                      <w:sz w:val="21"/>
                      <w:vertAlign w:val="subscript"/>
                    </w:rPr>
                    <w:t>2</w:t>
                  </w:r>
                  <w:r>
                    <w:rPr>
                      <w:sz w:val="21"/>
                    </w:rPr>
                    <w:t>和甲烷含量、甲烷碳同位素</w:t>
                  </w:r>
                </w:p>
              </w:tc>
            </w:tr>
            <w:tr>
              <w:tc>
                <w:tcPr>
                  <w:tcW w:type="dxa" w:w="644"/>
                  <w:tcBorders>
                    <w:top w:val="none" w:color="000000" w:sz="4"/>
                    <w:left w:val="single" w:color="000000" w:sz="4"/>
                    <w:bottom w:val="single" w:color="000000" w:sz="4"/>
                    <w:right w:val="single" w:color="000000" w:sz="4"/>
                  </w:tcBorders>
                  <w:vAlign w:val="top"/>
                </w:tcPr>
                <w:p>
                  <w:r>
                    <w:rPr>
                      <w:sz w:val="21"/>
                    </w:rPr>
                    <w:t>2</w:t>
                  </w:r>
                </w:p>
              </w:tc>
              <w:tc>
                <w:tcPr>
                  <w:tcW w:type="dxa" w:w="747"/>
                  <w:tcBorders>
                    <w:top w:val="none" w:color="000000" w:sz="4"/>
                    <w:left w:val="single" w:color="000000" w:sz="4"/>
                    <w:bottom w:val="single" w:color="000000" w:sz="4"/>
                    <w:right w:val="single" w:color="000000" w:sz="4"/>
                  </w:tcBorders>
                  <w:vAlign w:val="top"/>
                </w:tcPr>
                <w:p>
                  <w:pPr>
                    <w:ind w:firstLine="420"/>
                    <w:jc w:val="both"/>
                  </w:pPr>
                  <w:r>
                    <w:rPr>
                      <w:sz w:val="21"/>
                    </w:rPr>
                    <w:t>5</w:t>
                  </w:r>
                  <w:r>
                    <w:rPr>
                      <w:sz w:val="21"/>
                    </w:rPr>
                    <w:t>口</w:t>
                  </w:r>
                </w:p>
              </w:tc>
              <w:tc>
                <w:tcPr>
                  <w:tcW w:type="dxa" w:w="830"/>
                  <w:tcBorders>
                    <w:top w:val="none" w:color="000000" w:sz="4"/>
                    <w:left w:val="single" w:color="000000" w:sz="4"/>
                    <w:bottom w:val="single" w:color="000000" w:sz="4"/>
                    <w:right w:val="single" w:color="000000" w:sz="4"/>
                  </w:tcBorders>
                  <w:vAlign w:val="top"/>
                </w:tcPr>
                <w:p>
                  <w:r>
                    <w:rPr>
                      <w:sz w:val="21"/>
                    </w:rPr>
                    <w:t>3</w:t>
                  </w:r>
                  <w:r>
                    <w:rPr>
                      <w:sz w:val="21"/>
                    </w:rPr>
                    <w:t>期</w:t>
                  </w:r>
                </w:p>
              </w:tc>
              <w:tc>
                <w:tcPr>
                  <w:tcW w:type="dxa" w:w="1077"/>
                  <w:tcBorders>
                    <w:top w:val="none" w:color="000000" w:sz="4"/>
                    <w:left w:val="single" w:color="000000" w:sz="4"/>
                    <w:bottom w:val="single" w:color="000000" w:sz="4"/>
                    <w:right w:val="single" w:color="000000" w:sz="4"/>
                  </w:tcBorders>
                  <w:vAlign w:val="top"/>
                </w:tcPr>
                <w:p>
                  <w:r>
                    <w:rPr>
                      <w:sz w:val="21"/>
                    </w:rPr>
                    <w:t>每口井按深度分</w:t>
                  </w:r>
                  <w:r>
                    <w:rPr>
                      <w:sz w:val="21"/>
                    </w:rPr>
                    <w:t>2</w:t>
                  </w:r>
                  <w:r>
                    <w:rPr>
                      <w:sz w:val="21"/>
                    </w:rPr>
                    <w:t>层开展定深取样</w:t>
                  </w:r>
                </w:p>
              </w:tc>
              <w:tc>
                <w:tcPr>
                  <w:tcW w:type="dxa" w:w="2301"/>
                  <w:tcBorders>
                    <w:top w:val="none" w:color="000000" w:sz="4"/>
                    <w:left w:val="single" w:color="000000" w:sz="4"/>
                    <w:bottom w:val="single" w:color="000000" w:sz="4"/>
                    <w:right w:val="single" w:color="000000" w:sz="4"/>
                  </w:tcBorders>
                  <w:vAlign w:val="top"/>
                </w:tcPr>
                <w:p>
                  <w:r>
                    <w:rPr>
                      <w:sz w:val="21"/>
                    </w:rPr>
                    <w:t>氢氧稳定同位素、氨氮同位素、硫酸根硫同位素</w:t>
                  </w:r>
                </w:p>
              </w:tc>
            </w:tr>
            <w:tr>
              <w:tc>
                <w:tcPr>
                  <w:tcW w:type="dxa" w:w="644"/>
                  <w:tcBorders>
                    <w:top w:val="none" w:color="000000" w:sz="4"/>
                    <w:left w:val="single" w:color="000000" w:sz="4"/>
                    <w:bottom w:val="single" w:color="000000" w:sz="4"/>
                    <w:right w:val="single" w:color="000000" w:sz="4"/>
                  </w:tcBorders>
                  <w:vAlign w:val="top"/>
                </w:tcPr>
                <w:p>
                  <w:r>
                    <w:rPr>
                      <w:sz w:val="21"/>
                    </w:rPr>
                    <w:t>3</w:t>
                  </w:r>
                </w:p>
              </w:tc>
              <w:tc>
                <w:tcPr>
                  <w:tcW w:type="dxa" w:w="747"/>
                  <w:tcBorders>
                    <w:top w:val="none" w:color="000000" w:sz="4"/>
                    <w:left w:val="single" w:color="000000" w:sz="4"/>
                    <w:bottom w:val="single" w:color="000000" w:sz="4"/>
                    <w:right w:val="single" w:color="000000" w:sz="4"/>
                  </w:tcBorders>
                  <w:vAlign w:val="top"/>
                </w:tcPr>
                <w:p>
                  <w:r>
                    <w:rPr>
                      <w:sz w:val="21"/>
                    </w:rPr>
                    <w:t>9</w:t>
                  </w:r>
                  <w:r>
                    <w:rPr>
                      <w:sz w:val="21"/>
                    </w:rPr>
                    <w:t>口常规监测井，</w:t>
                  </w:r>
                  <w:r>
                    <w:rPr>
                      <w:sz w:val="21"/>
                    </w:rPr>
                    <w:t>1</w:t>
                  </w:r>
                  <w:r>
                    <w:rPr>
                      <w:sz w:val="21"/>
                    </w:rPr>
                    <w:t>口自动监测井，合计</w:t>
                  </w:r>
                  <w:r>
                    <w:rPr>
                      <w:sz w:val="21"/>
                    </w:rPr>
                    <w:t>1</w:t>
                  </w:r>
                  <w:r>
                    <w:rPr>
                      <w:sz w:val="21"/>
                    </w:rPr>
                    <w:t>0</w:t>
                  </w:r>
                  <w:r>
                    <w:rPr>
                      <w:sz w:val="21"/>
                    </w:rPr>
                    <w:t>口井</w:t>
                  </w:r>
                </w:p>
              </w:tc>
              <w:tc>
                <w:tcPr>
                  <w:tcW w:type="dxa" w:w="830"/>
                  <w:tcBorders>
                    <w:top w:val="none" w:color="000000" w:sz="4"/>
                    <w:left w:val="single" w:color="000000" w:sz="4"/>
                    <w:bottom w:val="single" w:color="000000" w:sz="4"/>
                    <w:right w:val="single" w:color="000000" w:sz="4"/>
                  </w:tcBorders>
                  <w:vAlign w:val="top"/>
                </w:tcPr>
                <w:p>
                  <w:r>
                    <w:rPr>
                      <w:sz w:val="21"/>
                    </w:rPr>
                    <w:t>常规监测井</w:t>
                  </w:r>
                  <w:r>
                    <w:rPr>
                      <w:sz w:val="21"/>
                    </w:rPr>
                    <w:t>3</w:t>
                  </w:r>
                  <w:r>
                    <w:rPr>
                      <w:sz w:val="21"/>
                    </w:rPr>
                    <w:t>期；自动监测井</w:t>
                  </w:r>
                  <w:r>
                    <w:rPr>
                      <w:sz w:val="21"/>
                    </w:rPr>
                    <w:t>25</w:t>
                  </w:r>
                  <w:r>
                    <w:rPr>
                      <w:sz w:val="21"/>
                    </w:rPr>
                    <w:t>期</w:t>
                  </w:r>
                </w:p>
              </w:tc>
              <w:tc>
                <w:tcPr>
                  <w:tcW w:type="dxa" w:w="1077"/>
                  <w:tcBorders>
                    <w:top w:val="none" w:color="000000" w:sz="4"/>
                    <w:left w:val="single" w:color="000000" w:sz="4"/>
                    <w:bottom w:val="single" w:color="000000" w:sz="4"/>
                    <w:right w:val="single" w:color="000000" w:sz="4"/>
                  </w:tcBorders>
                  <w:vAlign w:val="top"/>
                </w:tcPr>
                <w:p>
                  <w:r>
                    <w:rPr>
                      <w:sz w:val="21"/>
                    </w:rPr>
                    <w:t>选取</w:t>
                  </w:r>
                  <w:r>
                    <w:rPr>
                      <w:sz w:val="21"/>
                    </w:rPr>
                    <w:t>5</w:t>
                  </w:r>
                  <w:r>
                    <w:rPr>
                      <w:sz w:val="21"/>
                    </w:rPr>
                    <w:t>口井按深度分</w:t>
                  </w:r>
                  <w:r>
                    <w:rPr>
                      <w:sz w:val="21"/>
                    </w:rPr>
                    <w:t>2</w:t>
                  </w:r>
                  <w:r>
                    <w:rPr>
                      <w:sz w:val="21"/>
                    </w:rPr>
                    <w:t>层开展定深取样，剩余</w:t>
                  </w:r>
                  <w:r>
                    <w:rPr>
                      <w:sz w:val="21"/>
                    </w:rPr>
                    <w:t>4</w:t>
                  </w:r>
                  <w:r>
                    <w:rPr>
                      <w:sz w:val="21"/>
                    </w:rPr>
                    <w:t>口井不分层；自动监测井分</w:t>
                  </w:r>
                  <w:r>
                    <w:rPr>
                      <w:sz w:val="21"/>
                    </w:rPr>
                    <w:t>3</w:t>
                  </w:r>
                  <w:r>
                    <w:rPr>
                      <w:sz w:val="21"/>
                    </w:rPr>
                    <w:t>层开展定深监测</w:t>
                  </w:r>
                </w:p>
              </w:tc>
              <w:tc>
                <w:tcPr>
                  <w:tcW w:type="dxa" w:w="2301"/>
                  <w:tcBorders>
                    <w:top w:val="none" w:color="000000" w:sz="4"/>
                    <w:left w:val="single" w:color="000000" w:sz="4"/>
                    <w:bottom w:val="single" w:color="000000" w:sz="4"/>
                    <w:right w:val="single" w:color="000000" w:sz="4"/>
                  </w:tcBorders>
                  <w:vAlign w:val="top"/>
                </w:tcPr>
                <w:p>
                  <w:r>
                    <w:rPr>
                      <w:sz w:val="21"/>
                    </w:rPr>
                    <w:t>氢氧稳定同位素、氨氮同位素</w:t>
                  </w:r>
                </w:p>
              </w:tc>
            </w:tr>
            <w:tr>
              <w:tc>
                <w:tcPr>
                  <w:tcW w:type="dxa" w:w="644"/>
                  <w:tcBorders>
                    <w:top w:val="none" w:color="000000" w:sz="4"/>
                    <w:left w:val="single" w:color="000000" w:sz="4"/>
                    <w:bottom w:val="single" w:color="000000" w:sz="4"/>
                    <w:right w:val="single" w:color="000000" w:sz="4"/>
                  </w:tcBorders>
                  <w:vAlign w:val="top"/>
                </w:tcPr>
                <w:p>
                  <w:r>
                    <w:rPr>
                      <w:sz w:val="21"/>
                    </w:rPr>
                    <w:t>4</w:t>
                  </w:r>
                </w:p>
              </w:tc>
              <w:tc>
                <w:tcPr>
                  <w:tcW w:type="dxa" w:w="747"/>
                  <w:tcBorders>
                    <w:top w:val="none" w:color="000000" w:sz="4"/>
                    <w:left w:val="single" w:color="000000" w:sz="4"/>
                    <w:bottom w:val="single" w:color="000000" w:sz="4"/>
                    <w:right w:val="single" w:color="000000" w:sz="4"/>
                  </w:tcBorders>
                  <w:vAlign w:val="top"/>
                </w:tcPr>
                <w:p>
                  <w:r>
                    <w:rPr>
                      <w:sz w:val="21"/>
                    </w:rPr>
                    <w:t>45</w:t>
                  </w:r>
                  <w:r>
                    <w:rPr>
                      <w:sz w:val="21"/>
                    </w:rPr>
                    <w:t>口常规监测井，</w:t>
                  </w:r>
                  <w:r>
                    <w:rPr>
                      <w:sz w:val="21"/>
                    </w:rPr>
                    <w:t>1</w:t>
                  </w:r>
                  <w:r>
                    <w:rPr>
                      <w:sz w:val="21"/>
                    </w:rPr>
                    <w:t>口自动监测井，合计</w:t>
                  </w:r>
                  <w:r>
                    <w:rPr>
                      <w:sz w:val="21"/>
                    </w:rPr>
                    <w:t>4</w:t>
                  </w:r>
                  <w:r>
                    <w:rPr>
                      <w:sz w:val="21"/>
                    </w:rPr>
                    <w:t>6</w:t>
                  </w:r>
                  <w:r>
                    <w:rPr>
                      <w:sz w:val="21"/>
                    </w:rPr>
                    <w:t>口井</w:t>
                  </w:r>
                </w:p>
              </w:tc>
              <w:tc>
                <w:tcPr>
                  <w:tcW w:type="dxa" w:w="830"/>
                  <w:tcBorders>
                    <w:top w:val="none" w:color="000000" w:sz="4"/>
                    <w:left w:val="single" w:color="000000" w:sz="4"/>
                    <w:bottom w:val="single" w:color="000000" w:sz="4"/>
                    <w:right w:val="single" w:color="000000" w:sz="4"/>
                  </w:tcBorders>
                  <w:vAlign w:val="top"/>
                </w:tcPr>
                <w:p>
                  <w:r>
                    <w:rPr>
                      <w:sz w:val="21"/>
                    </w:rPr>
                    <w:t>氢氧稳定同位素和氡同位素</w:t>
                  </w:r>
                  <w:r>
                    <w:rPr>
                      <w:sz w:val="21"/>
                    </w:rPr>
                    <w:t>3</w:t>
                  </w:r>
                  <w:r>
                    <w:rPr>
                      <w:sz w:val="21"/>
                    </w:rPr>
                    <w:t>期</w:t>
                  </w:r>
                </w:p>
                <w:p>
                  <w:r>
                    <w:rPr>
                      <w:sz w:val="21"/>
                    </w:rPr>
                    <w:t>镍同位素同位素</w:t>
                  </w:r>
                  <w:r>
                    <w:rPr>
                      <w:sz w:val="21"/>
                    </w:rPr>
                    <w:t>1</w:t>
                  </w:r>
                  <w:r>
                    <w:rPr>
                      <w:sz w:val="21"/>
                    </w:rPr>
                    <w:t>期；</w:t>
                  </w:r>
                </w:p>
                <w:p>
                  <w:r>
                    <w:rPr>
                      <w:sz w:val="21"/>
                    </w:rPr>
                    <w:t>自动监测井</w:t>
                  </w:r>
                  <w:r>
                    <w:rPr>
                      <w:sz w:val="21"/>
                    </w:rPr>
                    <w:t>25</w:t>
                  </w:r>
                  <w:r>
                    <w:rPr>
                      <w:sz w:val="21"/>
                    </w:rPr>
                    <w:t>期</w:t>
                  </w:r>
                </w:p>
              </w:tc>
              <w:tc>
                <w:tcPr>
                  <w:tcW w:type="dxa" w:w="1077"/>
                  <w:tcBorders>
                    <w:top w:val="none" w:color="000000" w:sz="4"/>
                    <w:left w:val="single" w:color="000000" w:sz="4"/>
                    <w:bottom w:val="single" w:color="000000" w:sz="4"/>
                    <w:right w:val="single" w:color="000000" w:sz="4"/>
                  </w:tcBorders>
                  <w:vAlign w:val="top"/>
                </w:tcPr>
                <w:p>
                  <w:r>
                    <w:rPr>
                      <w:sz w:val="21"/>
                    </w:rPr>
                    <w:t>4</w:t>
                  </w:r>
                  <w:r>
                    <w:rPr>
                      <w:sz w:val="21"/>
                    </w:rPr>
                    <w:t>5</w:t>
                  </w:r>
                  <w:r>
                    <w:rPr>
                      <w:sz w:val="21"/>
                    </w:rPr>
                    <w:t>口常规监测井中选取选取</w:t>
                  </w:r>
                  <w:r>
                    <w:rPr>
                      <w:sz w:val="21"/>
                    </w:rPr>
                    <w:t>5</w:t>
                  </w:r>
                  <w:r>
                    <w:rPr>
                      <w:sz w:val="21"/>
                    </w:rPr>
                    <w:t>口井分</w:t>
                  </w:r>
                  <w:r>
                    <w:rPr>
                      <w:sz w:val="21"/>
                    </w:rPr>
                    <w:t>2</w:t>
                  </w:r>
                  <w:r>
                    <w:rPr>
                      <w:sz w:val="21"/>
                    </w:rPr>
                    <w:t>个深度开展定深取样；剩余</w:t>
                  </w:r>
                  <w:r>
                    <w:rPr>
                      <w:sz w:val="21"/>
                    </w:rPr>
                    <w:t>40</w:t>
                  </w:r>
                  <w:r>
                    <w:rPr>
                      <w:sz w:val="21"/>
                    </w:rPr>
                    <w:t>口井不分层；自动监测井分</w:t>
                  </w:r>
                  <w:r>
                    <w:rPr>
                      <w:sz w:val="21"/>
                    </w:rPr>
                    <w:t>3</w:t>
                  </w:r>
                  <w:r>
                    <w:rPr>
                      <w:sz w:val="21"/>
                    </w:rPr>
                    <w:t>层开展定深监测</w:t>
                  </w:r>
                </w:p>
              </w:tc>
              <w:tc>
                <w:tcPr>
                  <w:tcW w:type="dxa" w:w="2301"/>
                  <w:tcBorders>
                    <w:top w:val="none" w:color="000000" w:sz="4"/>
                    <w:left w:val="single" w:color="000000" w:sz="4"/>
                    <w:bottom w:val="single" w:color="000000" w:sz="4"/>
                    <w:right w:val="single" w:color="000000" w:sz="4"/>
                  </w:tcBorders>
                  <w:vAlign w:val="top"/>
                </w:tcPr>
                <w:p>
                  <w:r>
                    <w:rPr>
                      <w:sz w:val="21"/>
                    </w:rPr>
                    <w:t>氢氧稳定同位素、氡同位素、镍同位素（镍同位素只分析</w:t>
                  </w:r>
                  <w:r>
                    <w:rPr>
                      <w:sz w:val="21"/>
                    </w:rPr>
                    <w:t>5</w:t>
                  </w:r>
                  <w:r>
                    <w:rPr>
                      <w:sz w:val="21"/>
                    </w:rPr>
                    <w:t>口分层监测井）</w:t>
                  </w:r>
                </w:p>
              </w:tc>
            </w:tr>
            <w:tr>
              <w:tc>
                <w:tcPr>
                  <w:tcW w:type="dxa" w:w="644"/>
                  <w:tcBorders>
                    <w:top w:val="none" w:color="000000" w:sz="4"/>
                    <w:left w:val="single" w:color="000000" w:sz="4"/>
                    <w:bottom w:val="single" w:color="000000" w:sz="4"/>
                    <w:right w:val="single" w:color="000000" w:sz="4"/>
                  </w:tcBorders>
                  <w:vAlign w:val="top"/>
                </w:tcPr>
                <w:p>
                  <w:r>
                    <w:rPr>
                      <w:sz w:val="21"/>
                    </w:rPr>
                    <w:t>5</w:t>
                  </w:r>
                </w:p>
              </w:tc>
              <w:tc>
                <w:tcPr>
                  <w:tcW w:type="dxa" w:w="747"/>
                  <w:tcBorders>
                    <w:top w:val="none" w:color="000000" w:sz="4"/>
                    <w:left w:val="single" w:color="000000" w:sz="4"/>
                    <w:bottom w:val="single" w:color="000000" w:sz="4"/>
                    <w:right w:val="single" w:color="000000" w:sz="4"/>
                  </w:tcBorders>
                  <w:vAlign w:val="top"/>
                </w:tcPr>
                <w:p>
                  <w:r>
                    <w:rPr>
                      <w:sz w:val="21"/>
                    </w:rPr>
                    <w:t>5</w:t>
                  </w:r>
                  <w:r>
                    <w:rPr>
                      <w:sz w:val="21"/>
                    </w:rPr>
                    <w:t>口</w:t>
                  </w:r>
                </w:p>
              </w:tc>
              <w:tc>
                <w:tcPr>
                  <w:tcW w:type="dxa" w:w="830"/>
                  <w:tcBorders>
                    <w:top w:val="none" w:color="000000" w:sz="4"/>
                    <w:left w:val="single" w:color="000000" w:sz="4"/>
                    <w:bottom w:val="single" w:color="000000" w:sz="4"/>
                    <w:right w:val="single" w:color="000000" w:sz="4"/>
                  </w:tcBorders>
                  <w:vAlign w:val="top"/>
                </w:tcPr>
                <w:p>
                  <w:r>
                    <w:rPr>
                      <w:sz w:val="21"/>
                    </w:rPr>
                    <w:t>3</w:t>
                  </w:r>
                  <w:r>
                    <w:rPr>
                      <w:sz w:val="21"/>
                    </w:rPr>
                    <w:t>期</w:t>
                  </w:r>
                </w:p>
              </w:tc>
              <w:tc>
                <w:tcPr>
                  <w:tcW w:type="dxa" w:w="1077"/>
                  <w:tcBorders>
                    <w:top w:val="none" w:color="000000" w:sz="4"/>
                    <w:left w:val="single" w:color="000000" w:sz="4"/>
                    <w:bottom w:val="single" w:color="000000" w:sz="4"/>
                    <w:right w:val="single" w:color="000000" w:sz="4"/>
                  </w:tcBorders>
                  <w:vAlign w:val="top"/>
                </w:tcPr>
                <w:p>
                  <w:r>
                    <w:rPr>
                      <w:sz w:val="21"/>
                    </w:rPr>
                    <w:t>5</w:t>
                  </w:r>
                  <w:r>
                    <w:rPr>
                      <w:sz w:val="21"/>
                    </w:rPr>
                    <w:t>口井按深度分</w:t>
                  </w:r>
                  <w:r>
                    <w:rPr>
                      <w:sz w:val="21"/>
                    </w:rPr>
                    <w:t>2</w:t>
                  </w:r>
                  <w:r>
                    <w:rPr>
                      <w:sz w:val="21"/>
                    </w:rPr>
                    <w:t>层开展定深取样</w:t>
                  </w:r>
                </w:p>
              </w:tc>
              <w:tc>
                <w:tcPr>
                  <w:tcW w:type="dxa" w:w="2301"/>
                  <w:tcBorders>
                    <w:top w:val="none" w:color="000000" w:sz="4"/>
                    <w:left w:val="single" w:color="000000" w:sz="4"/>
                    <w:bottom w:val="single" w:color="000000" w:sz="4"/>
                    <w:right w:val="single" w:color="000000" w:sz="4"/>
                  </w:tcBorders>
                  <w:vAlign w:val="top"/>
                </w:tcPr>
                <w:p>
                  <w:r>
                    <w:rPr>
                      <w:sz w:val="21"/>
                    </w:rPr>
                    <w:t>氢氧稳定同位素、溶解无机碳浓度及碳同位素、溶解有机碳浓度及碳同位素、</w:t>
                  </w:r>
                  <w:r>
                    <w:rPr>
                      <w:sz w:val="21"/>
                    </w:rPr>
                    <w:t>CO</w:t>
                  </w:r>
                  <w:r>
                    <w:rPr>
                      <w:sz w:val="21"/>
                      <w:vertAlign w:val="subscript"/>
                    </w:rPr>
                    <w:t>2</w:t>
                  </w:r>
                  <w:r>
                    <w:rPr>
                      <w:sz w:val="21"/>
                    </w:rPr>
                    <w:t>和甲烷含量、甲烷碳同位素</w:t>
                  </w:r>
                </w:p>
              </w:tc>
            </w:tr>
            <w:tr>
              <w:tc>
                <w:tcPr>
                  <w:tcW w:type="dxa" w:w="644"/>
                  <w:tcBorders>
                    <w:top w:val="none" w:color="000000" w:sz="4"/>
                    <w:left w:val="single" w:color="000000" w:sz="4"/>
                    <w:bottom w:val="single" w:color="000000" w:sz="4"/>
                    <w:right w:val="single" w:color="000000" w:sz="4"/>
                  </w:tcBorders>
                  <w:vAlign w:val="top"/>
                </w:tcPr>
                <w:p>
                  <w:r>
                    <w:rPr>
                      <w:sz w:val="21"/>
                    </w:rPr>
                    <w:t>污染源监测</w:t>
                  </w:r>
                </w:p>
              </w:tc>
              <w:tc>
                <w:tcPr>
                  <w:tcW w:type="dxa" w:w="747"/>
                  <w:tcBorders>
                    <w:top w:val="none" w:color="000000" w:sz="4"/>
                    <w:left w:val="single" w:color="000000" w:sz="4"/>
                    <w:bottom w:val="single" w:color="000000" w:sz="4"/>
                    <w:right w:val="single" w:color="000000" w:sz="4"/>
                  </w:tcBorders>
                  <w:vAlign w:val="top"/>
                </w:tcPr>
                <w:p>
                  <w:r>
                    <w:rPr>
                      <w:sz w:val="21"/>
                    </w:rPr>
                    <w:t>11</w:t>
                  </w:r>
                  <w:r>
                    <w:rPr>
                      <w:sz w:val="21"/>
                    </w:rPr>
                    <w:t>个</w:t>
                  </w:r>
                </w:p>
              </w:tc>
              <w:tc>
                <w:tcPr>
                  <w:tcW w:type="dxa" w:w="830"/>
                  <w:tcBorders>
                    <w:top w:val="none" w:color="000000" w:sz="4"/>
                    <w:left w:val="single" w:color="000000" w:sz="4"/>
                    <w:bottom w:val="single" w:color="000000" w:sz="4"/>
                    <w:right w:val="single" w:color="000000" w:sz="4"/>
                  </w:tcBorders>
                  <w:vAlign w:val="top"/>
                </w:tcPr>
                <w:p>
                  <w:r>
                    <w:rPr>
                      <w:sz w:val="21"/>
                    </w:rPr>
                    <w:t>污染企业</w:t>
                  </w:r>
                  <w:r>
                    <w:rPr>
                      <w:sz w:val="21"/>
                    </w:rPr>
                    <w:t>2</w:t>
                  </w:r>
                  <w:r>
                    <w:rPr>
                      <w:sz w:val="21"/>
                    </w:rPr>
                    <w:t>期，渣土厂</w:t>
                  </w:r>
                  <w:r>
                    <w:rPr>
                      <w:sz w:val="21"/>
                    </w:rPr>
                    <w:t>1</w:t>
                  </w:r>
                  <w:r>
                    <w:rPr>
                      <w:sz w:val="21"/>
                    </w:rPr>
                    <w:t>期</w:t>
                  </w:r>
                </w:p>
              </w:tc>
              <w:tc>
                <w:tcPr>
                  <w:tcW w:type="dxa" w:w="1077"/>
                  <w:tcBorders>
                    <w:top w:val="none" w:color="000000" w:sz="4"/>
                    <w:left w:val="single" w:color="000000" w:sz="4"/>
                    <w:bottom w:val="single" w:color="000000" w:sz="4"/>
                    <w:right w:val="single" w:color="000000" w:sz="4"/>
                  </w:tcBorders>
                  <w:vAlign w:val="top"/>
                </w:tcPr>
                <w:p>
                  <w:r>
                    <w:rPr>
                      <w:sz w:val="21"/>
                    </w:rPr>
                    <w:t>每个企业采</w:t>
                  </w:r>
                  <w:r>
                    <w:rPr>
                      <w:sz w:val="21"/>
                    </w:rPr>
                    <w:t>1份水样；</w:t>
                  </w:r>
                </w:p>
                <w:p>
                  <w:r>
                    <w:rPr>
                      <w:sz w:val="21"/>
                    </w:rPr>
                    <w:t>渣土厂采</w:t>
                  </w:r>
                  <w:r>
                    <w:rPr>
                      <w:sz w:val="21"/>
                    </w:rPr>
                    <w:t>3</w:t>
                  </w:r>
                  <w:r>
                    <w:rPr>
                      <w:sz w:val="21"/>
                    </w:rPr>
                    <w:t>个平行样</w:t>
                  </w:r>
                </w:p>
              </w:tc>
              <w:tc>
                <w:tcPr>
                  <w:tcW w:type="dxa" w:w="2301"/>
                  <w:tcBorders>
                    <w:top w:val="none" w:color="000000" w:sz="4"/>
                    <w:left w:val="single" w:color="000000" w:sz="4"/>
                    <w:bottom w:val="single" w:color="000000" w:sz="4"/>
                    <w:right w:val="single" w:color="000000" w:sz="4"/>
                  </w:tcBorders>
                  <w:vAlign w:val="top"/>
                </w:tcPr>
                <w:p>
                  <w:r>
                    <w:rPr>
                      <w:sz w:val="21"/>
                    </w:rPr>
                    <w:t>镍重金属同位素</w:t>
                  </w:r>
                </w:p>
              </w:tc>
            </w:tr>
          </w:tbl>
          <w:p>
            <w:pPr>
              <w:jc w:val="left"/>
            </w:pPr>
            <w:r>
              <w:rPr>
                <w:b/>
                <w:sz w:val="21"/>
              </w:rPr>
              <w:t>（</w:t>
            </w:r>
            <w:r>
              <w:rPr>
                <w:b/>
                <w:sz w:val="21"/>
              </w:rPr>
              <w:t>4）溯源模型构建及参数优化、验证</w:t>
            </w:r>
          </w:p>
          <w:p>
            <w:pPr>
              <w:ind w:firstLine="444"/>
              <w:jc w:val="left"/>
            </w:pPr>
            <w:r>
              <w:rPr>
                <w:sz w:val="21"/>
              </w:rPr>
              <w:t>在已有同位素溯源模型的基础上，通过二期补充监测，获得重点污染源典型污染物同位素组成谱，融合同位素溯源和其他溯源结果，构建包含基础资料、原始数据交互、溯源分析及数据融合和信息统计内容等组成的同位素溯源模型，优化模型相关参数的选择并对模型进行验证，将经参数校准的模型设计模型展示流程，协助完成溯源成果信息化展示工作。</w:t>
            </w:r>
          </w:p>
          <w:p>
            <w:pPr>
              <w:ind w:firstLine="444"/>
              <w:jc w:val="left"/>
            </w:pPr>
            <w:r>
              <w:rPr>
                <w:sz w:val="21"/>
              </w:rPr>
              <w:t>项目要求：</w:t>
            </w:r>
            <w:r>
              <w:rPr>
                <w:sz w:val="21"/>
              </w:rPr>
              <w:t>①围绕污染来源解析结果及特征污染物，开展8种及以上同位素的分析检测能力。②承担同位素检测的实验室需自有实验室，配备多同位素分析设备，可以完成多同位素采样及分析，能独立完成项目所需的所有类型同位素的监测项目。③具备多同位素示踪及定量溯源数据解译能力。</w:t>
            </w:r>
          </w:p>
          <w:p>
            <w:pPr>
              <w:ind w:firstLine="446"/>
            </w:pPr>
            <w:r>
              <w:rPr>
                <w:b/>
                <w:sz w:val="21"/>
              </w:rPr>
              <w:t>3.</w:t>
            </w:r>
            <w:r>
              <w:rPr>
                <w:b/>
                <w:sz w:val="21"/>
              </w:rPr>
              <w:t>佛山市典型区域地下水监测预警</w:t>
            </w:r>
          </w:p>
          <w:p>
            <w:pPr>
              <w:ind w:firstLine="444"/>
              <w:jc w:val="left"/>
            </w:pPr>
            <w:r>
              <w:rPr>
                <w:sz w:val="21"/>
              </w:rPr>
              <w:t>针对佛山市两个污染风险监控点位（</w:t>
            </w:r>
            <w:r>
              <w:rPr>
                <w:sz w:val="21"/>
              </w:rPr>
              <w:t>3号和4号调查井）开展污染区域风险评估，对其可能造成的环境影响进行科学评估，开展地下水监测预警工作。依照预警工作的常规流程，对该区域开展典型污染监控区域风险评估及指标筛选、特征污染物运移模拟及预测、地下水污染监测预警体系构建、地下水污染预警模块验证与优化等部分工作，并最终编制形成《佛山市典型区域地下水污染监测预警报告》1份。</w:t>
            </w:r>
          </w:p>
          <w:p>
            <w:pPr>
              <w:ind w:firstLine="422"/>
            </w:pPr>
            <w:r>
              <w:rPr>
                <w:b/>
                <w:sz w:val="21"/>
              </w:rPr>
              <w:t>（</w:t>
            </w:r>
            <w:r>
              <w:rPr>
                <w:b/>
                <w:sz w:val="21"/>
              </w:rPr>
              <w:t>1）</w:t>
            </w:r>
            <w:r>
              <w:rPr>
                <w:b/>
                <w:sz w:val="21"/>
              </w:rPr>
              <w:t>区域污染风险评估</w:t>
            </w:r>
            <w:r>
              <w:rPr>
                <w:b/>
                <w:sz w:val="21"/>
              </w:rPr>
              <w:t>及指标筛选</w:t>
            </w:r>
          </w:p>
          <w:p>
            <w:pPr>
              <w:ind w:firstLine="444"/>
              <w:jc w:val="left"/>
            </w:pPr>
            <w:r>
              <w:rPr>
                <w:sz w:val="21"/>
              </w:rPr>
              <w:t>针对佛山市两个污染风险监控点位（</w:t>
            </w:r>
            <w:r>
              <w:rPr>
                <w:sz w:val="21"/>
              </w:rPr>
              <w:t>3号和4号调查井）开展污染区域风险评估，对其可能造成的环境影响进行科学评估。评价周边污染源对污染风险监控点位地下水体和人体健康风险进行评估。</w:t>
            </w:r>
          </w:p>
          <w:p>
            <w:pPr>
              <w:ind w:firstLine="422"/>
            </w:pPr>
            <w:r>
              <w:rPr>
                <w:b/>
                <w:sz w:val="21"/>
              </w:rPr>
              <w:t>（</w:t>
            </w:r>
            <w:r>
              <w:rPr>
                <w:b/>
                <w:sz w:val="21"/>
              </w:rPr>
              <w:t>2）特征污染物运移模拟及预测</w:t>
            </w:r>
          </w:p>
          <w:p>
            <w:pPr>
              <w:ind w:firstLine="422"/>
            </w:pPr>
            <w:r>
              <w:rPr>
                <w:b/>
                <w:sz w:val="21"/>
              </w:rPr>
              <w:t>①预警区域水文地质概念模型构建</w:t>
            </w:r>
          </w:p>
          <w:p>
            <w:pPr>
              <w:ind w:firstLine="444"/>
              <w:jc w:val="left"/>
            </w:pPr>
            <w:r>
              <w:rPr>
                <w:sz w:val="21"/>
              </w:rPr>
              <w:t>充分收集研究区以往各类地质、水文地质、地形地貌、气象、水文、钻孔及水资源开发利用等资料，进行系统分析与研究；对研究区水文地质条件进行合理概化，使概化模型达到即反映水文地质条件的实际情况，又能用于后续地下水数值模拟开展计算。</w:t>
            </w:r>
          </w:p>
          <w:p>
            <w:pPr>
              <w:ind w:firstLine="422"/>
            </w:pPr>
            <w:r>
              <w:rPr>
                <w:b/>
                <w:sz w:val="21"/>
              </w:rPr>
              <w:t>②污染运移模型参数及数据的获取</w:t>
            </w:r>
          </w:p>
          <w:p>
            <w:pPr>
              <w:ind w:firstLine="444"/>
              <w:jc w:val="left"/>
            </w:pPr>
            <w:r>
              <w:rPr>
                <w:sz w:val="21"/>
              </w:rPr>
              <w:t>收集区域地质及水文地质图、钻孔柱状图、代表性剖面地质图以及地下水动态观测资料等，获取水文地质参数及特征污染物迁移转化过程模拟参数。</w:t>
            </w:r>
          </w:p>
          <w:p>
            <w:pPr>
              <w:ind w:firstLine="422"/>
            </w:pPr>
            <w:r>
              <w:rPr>
                <w:b/>
                <w:sz w:val="21"/>
              </w:rPr>
              <w:t>③地下水水流及溶质运移数值模型</w:t>
            </w:r>
          </w:p>
          <w:p>
            <w:pPr>
              <w:ind w:firstLine="446"/>
              <w:jc w:val="left"/>
            </w:pPr>
            <w:r>
              <w:rPr>
                <w:b/>
                <w:sz w:val="21"/>
              </w:rPr>
              <w:t>建立地下水动力学及溶质运移的数学模型</w:t>
            </w:r>
            <w:r>
              <w:rPr>
                <w:sz w:val="21"/>
              </w:rPr>
              <w:t>，应用现有数值模拟软件开展地下水水流及溶质运移数值模拟模型构建。基于相关构建的数值模拟模型，采用实测数据进行参数率定并开展后续的预警工作。利用地下水动态数据对建立的地下水污染物运移数值模型开展参数识别及验证，优化数值模型模拟结果。通过构建不同污染物排放情景，并结合降水等气候因子变化情况，开展情景模拟，揭示不同情境下污染物运移过程。为后续地下水监测点位精准管控对策制定提供科学依据。在此基础上建立地下水溯源模型，来反演、推测污染物来源路径和范围。</w:t>
            </w:r>
          </w:p>
          <w:p>
            <w:pPr>
              <w:ind w:firstLine="422"/>
            </w:pPr>
            <w:r>
              <w:rPr>
                <w:b/>
                <w:sz w:val="21"/>
              </w:rPr>
              <w:t>（</w:t>
            </w:r>
            <w:r>
              <w:rPr>
                <w:b/>
                <w:sz w:val="21"/>
              </w:rPr>
              <w:t>3）地下水污染监测预警体系构建</w:t>
            </w:r>
          </w:p>
          <w:p>
            <w:pPr>
              <w:ind w:firstLine="444"/>
              <w:jc w:val="left"/>
            </w:pPr>
            <w:r>
              <w:rPr>
                <w:sz w:val="21"/>
              </w:rPr>
              <w:t>地下水污染风险预警的核心是预警等级和阈值的确定，以及基于预警等级和阈值的预警体系构建。基于相关标准法、临界值法、综合评判法等在内的多种方法，构建包括现状预警、实时预警、突发预警在内的全过程地下水污染监测预警体系。</w:t>
            </w:r>
          </w:p>
          <w:p>
            <w:pPr>
              <w:ind w:firstLine="444"/>
              <w:jc w:val="left"/>
            </w:pPr>
            <w:r>
              <w:rPr>
                <w:sz w:val="21"/>
              </w:rPr>
              <w:t>基于项目一期建设掌握的现有地下水污染数据收集及监测结果，补充项目二期开展的相关监测数据，结合佛山市地下水重点区划定等相关成果，开展针对典型污染监控区域的现状预警工作，初步摸清所在区域的背景预警级别。在监测系统构建的基础上，基于分层监测井、自动监测井等高频次、长时序监测数据开展区域实时预警工作。针对区域内的突发污染泄露，结合已建立的地下水数值模拟模型，设定污染源泄露的种类及强度，开展基于泄露污染物的突发预警工作。构建的预警体系结合预警阈值和预警等级，指导预警模块的建立和平台可视化过程。</w:t>
            </w:r>
          </w:p>
          <w:p>
            <w:pPr>
              <w:ind w:firstLine="422"/>
            </w:pPr>
            <w:r>
              <w:rPr>
                <w:b/>
                <w:sz w:val="21"/>
              </w:rPr>
              <w:t>（</w:t>
            </w:r>
            <w:r>
              <w:rPr>
                <w:b/>
                <w:sz w:val="21"/>
              </w:rPr>
              <w:t>4）</w:t>
            </w:r>
            <w:r>
              <w:rPr>
                <w:b/>
                <w:sz w:val="21"/>
              </w:rPr>
              <w:t>地下水污染预警模块验证与优化</w:t>
            </w:r>
          </w:p>
          <w:p>
            <w:pPr>
              <w:ind w:firstLine="444"/>
              <w:jc w:val="left"/>
            </w:pPr>
            <w:r>
              <w:rPr>
                <w:sz w:val="21"/>
              </w:rPr>
              <w:t>对所搭建的污染监测预警模块导入</w:t>
            </w:r>
            <w:r>
              <w:rPr>
                <w:sz w:val="21"/>
              </w:rPr>
              <w:t>“佛山市土壤信息环境管理平台”进行试运行与优化，针对预警误差进行系统分析与研判，补充现场水质监测与分析，对软件模拟误差进行优化调整，系统分析佛山市4号重金属超标点位污染成因及周边重点污染源，并对该点位持续动态监测及水质在线预警，为佛山市污染风险监控点位系统开展在线监测与水质预警工作提供样板，有效提升佛山市地下水污染防治监管能力。</w:t>
            </w:r>
          </w:p>
          <w:p>
            <w:pPr>
              <w:ind w:firstLine="422"/>
            </w:pPr>
            <w:r>
              <w:rPr>
                <w:b/>
                <w:sz w:val="21"/>
              </w:rPr>
              <w:t>（</w:t>
            </w:r>
            <w:r>
              <w:rPr>
                <w:b/>
                <w:sz w:val="21"/>
              </w:rPr>
              <w:t>5）佛山市典型区域地下水污染监测预警报告编制</w:t>
            </w:r>
          </w:p>
          <w:p>
            <w:pPr>
              <w:ind w:firstLine="444"/>
              <w:jc w:val="left"/>
            </w:pPr>
            <w:r>
              <w:rPr>
                <w:sz w:val="21"/>
              </w:rPr>
              <w:t>根据补充采样调查结果、地下水监测预警模块建设、数据同化处理能力建设，结合一期和二期自动监测站及人工监测结果，开展数据的统计分析，编制佛山市典型区域地下水污染监测预警报告。</w:t>
            </w:r>
          </w:p>
          <w:p>
            <w:pPr>
              <w:ind w:firstLine="446"/>
            </w:pPr>
            <w:r>
              <w:rPr>
                <w:b/>
                <w:sz w:val="21"/>
              </w:rPr>
              <w:t>4.佛山市典型区域地下水动态监测与污染溯源报告编制</w:t>
            </w:r>
          </w:p>
          <w:p>
            <w:pPr>
              <w:ind w:firstLine="444"/>
              <w:jc w:val="left"/>
            </w:pPr>
            <w:r>
              <w:rPr>
                <w:sz w:val="21"/>
              </w:rPr>
              <w:t>根据地下水质现状监测、地下水动态监测、污染风险点位地下水分层监测、点位周边新建规范井同步开展土壤监测、同位素溯源分析与验证结果进行分析，编制《佛山市典型区域地下水动态监测与污染溯源报告》</w:t>
            </w:r>
            <w:r>
              <w:rPr>
                <w:sz w:val="21"/>
              </w:rPr>
              <w:t>1份。</w:t>
            </w:r>
          </w:p>
          <w:p>
            <w:pPr>
              <w:ind w:firstLine="446"/>
            </w:pPr>
            <w:r>
              <w:rPr>
                <w:b/>
                <w:sz w:val="21"/>
              </w:rPr>
              <w:t>5.佛山市典型区域地下水监测井精准管控对策</w:t>
            </w:r>
          </w:p>
          <w:p>
            <w:pPr>
              <w:ind w:firstLine="444"/>
              <w:jc w:val="left"/>
            </w:pPr>
            <w:r>
              <w:rPr>
                <w:sz w:val="21"/>
              </w:rPr>
              <w:t>在一期项目已经开展相关精准管控对策研究的基础上，基于二期项目开展的补充调查、同位素溯源模型、监测预警工作等相关内容，进一步优化补充相关点位的精准管控对策。在已有成果的基础上，丰富和细化准管控对策内容，使其更具实操性和普适性，形成充分考虑污染溯源、预警、污染风险管控</w:t>
            </w:r>
            <w:r>
              <w:rPr>
                <w:sz w:val="21"/>
              </w:rPr>
              <w:t>和修复或治理工程前</w:t>
            </w:r>
            <w:r>
              <w:rPr>
                <w:sz w:val="21"/>
              </w:rPr>
              <w:t>的管控对策</w:t>
            </w:r>
            <w:r>
              <w:rPr>
                <w:sz w:val="21"/>
              </w:rPr>
              <w:t>3份。</w:t>
            </w:r>
          </w:p>
          <w:p>
            <w:pPr>
              <w:ind w:firstLine="422"/>
              <w:jc w:val="both"/>
            </w:pPr>
            <w:r>
              <w:rPr>
                <w:b/>
                <w:sz w:val="21"/>
              </w:rPr>
              <w:t>（二）质控要求</w:t>
            </w:r>
          </w:p>
          <w:p>
            <w:pPr>
              <w:ind w:firstLine="446"/>
            </w:pPr>
            <w:r>
              <w:rPr>
                <w:b/>
                <w:sz w:val="21"/>
              </w:rPr>
              <w:t>1.提交成果质量要求</w:t>
            </w:r>
          </w:p>
          <w:p>
            <w:pPr>
              <w:ind w:firstLine="444"/>
              <w:jc w:val="left"/>
            </w:pPr>
            <w:r>
              <w:rPr>
                <w:sz w:val="21"/>
              </w:rPr>
              <w:t>（</w:t>
            </w:r>
            <w:r>
              <w:rPr>
                <w:sz w:val="21"/>
              </w:rPr>
              <w:t>1）新建规范地下水监测井布点和建设必须符合《地下水环境状况调查评价工作指南》（试行）（环办土壤函〔2019〕770号）、《地下水监测井建设规范》（DZ/T 0270-2014）等相关规范、《地下水环境监测技术规范》（HJ 164-2020）等相关规范，并结合当地的水文地质条件确保钻井深度可揭露到含水层，满足采购人的监测需求；</w:t>
            </w:r>
          </w:p>
          <w:p>
            <w:pPr>
              <w:ind w:firstLine="444"/>
              <w:jc w:val="left"/>
            </w:pPr>
            <w:r>
              <w:rPr>
                <w:sz w:val="21"/>
              </w:rPr>
              <w:t>（</w:t>
            </w:r>
            <w:r>
              <w:rPr>
                <w:sz w:val="21"/>
              </w:rPr>
              <w:t>2）水质、土壤手工采样、现场监测、实验室分析必须符合《地下水环境监测技术规范》（HJ 164-2020）、《地块土壤和地下水中挥发性有机物采样技术导则》（HJ 1019-2019）等相关规范，承担检测工作的机构必须具备所检测项目的CMA资质；</w:t>
            </w:r>
          </w:p>
          <w:p>
            <w:pPr>
              <w:ind w:firstLine="444"/>
              <w:jc w:val="left"/>
            </w:pPr>
            <w:r>
              <w:rPr>
                <w:sz w:val="21"/>
              </w:rPr>
              <w:t>（</w:t>
            </w:r>
            <w:r>
              <w:rPr>
                <w:sz w:val="21"/>
              </w:rPr>
              <w:t>3）佛山市典型区域地下水动态监测与污染溯源报告、佛山市典型区域地下水监测点位精准管控对策报告、佛山市典型区域地下水污染监测预警报告必须内容完整、详实、图表准确清晰。</w:t>
            </w:r>
          </w:p>
          <w:p>
            <w:pPr>
              <w:ind w:firstLine="422"/>
              <w:jc w:val="left"/>
            </w:pPr>
            <w:r>
              <w:rPr>
                <w:b/>
                <w:sz w:val="21"/>
              </w:rPr>
              <w:t>2.质量控制要求</w:t>
            </w:r>
          </w:p>
          <w:p>
            <w:pPr>
              <w:ind w:firstLine="444"/>
              <w:jc w:val="left"/>
            </w:pPr>
            <w:r>
              <w:rPr>
                <w:sz w:val="21"/>
              </w:rPr>
              <w:t>中标供应商应根据地下水及土壤环境状况调查评价工作指南等相关规范对项目工作质量进行全过程控制，同时需配合本项目采购包</w:t>
            </w:r>
            <w:r>
              <w:rPr>
                <w:sz w:val="21"/>
              </w:rPr>
              <w:t>2</w:t>
            </w:r>
            <w:r>
              <w:rPr>
                <w:sz w:val="21"/>
              </w:rPr>
              <w:t>（佛山市典型区域地下水监测井周边污染源调查与精准管控项目（二期）质控服务）的质量控制相关工作，包括但不限于：</w:t>
            </w:r>
          </w:p>
          <w:p>
            <w:pPr>
              <w:ind w:firstLine="444"/>
              <w:jc w:val="left"/>
            </w:pPr>
            <w:r>
              <w:rPr>
                <w:sz w:val="21"/>
              </w:rPr>
              <w:t>（</w:t>
            </w:r>
            <w:r>
              <w:rPr>
                <w:sz w:val="21"/>
              </w:rPr>
              <w:t>1）制订项目质量保证与质量控制实施方案，建立全流程质量控制、质控数据审核、应急处置、问题信息反馈和处理处置等机制，并予以落实。</w:t>
            </w:r>
          </w:p>
          <w:p>
            <w:pPr>
              <w:ind w:firstLine="444"/>
              <w:jc w:val="left"/>
            </w:pPr>
            <w:r>
              <w:rPr>
                <w:sz w:val="21"/>
              </w:rPr>
              <w:t>（</w:t>
            </w:r>
            <w:r>
              <w:rPr>
                <w:sz w:val="21"/>
              </w:rPr>
              <w:t>2）中标供应商在开展分析工作前，做好样品检测分析方法适用性确认工作，并将确认结果提交采购包2质控服务单位审核。</w:t>
            </w:r>
          </w:p>
          <w:p>
            <w:pPr>
              <w:ind w:firstLine="444"/>
              <w:jc w:val="left"/>
            </w:pPr>
            <w:r>
              <w:rPr>
                <w:sz w:val="21"/>
              </w:rPr>
              <w:t>（</w:t>
            </w:r>
            <w:r>
              <w:rPr>
                <w:sz w:val="21"/>
              </w:rPr>
              <w:t>3）按照本项目采购包2质控服务单位要求配合开展各项质量核查工作，针对存在的问题开展自查自纠工作，及时完成相关问题的整改并编写整改报告。发现严重质量问题时，任务承担单位应立即进行整改，并承担与严重问题关联的法律责任。</w:t>
            </w:r>
          </w:p>
          <w:p>
            <w:pPr>
              <w:ind w:firstLine="444"/>
              <w:jc w:val="left"/>
            </w:pPr>
            <w:r>
              <w:rPr>
                <w:sz w:val="21"/>
              </w:rPr>
              <w:t>（</w:t>
            </w:r>
            <w:r>
              <w:rPr>
                <w:sz w:val="21"/>
              </w:rPr>
              <w:t>4）在任务或合同完成时向采购人提交工作质量自评估报告，确保项目调查信息及检测数据真实、准确和全面。</w:t>
            </w:r>
          </w:p>
          <w:p>
            <w:pPr>
              <w:ind w:firstLine="422"/>
              <w:jc w:val="both"/>
            </w:pPr>
            <w:r>
              <w:rPr>
                <w:b/>
                <w:sz w:val="21"/>
              </w:rPr>
              <w:t>（三）管理要求</w:t>
            </w:r>
          </w:p>
          <w:p>
            <w:pPr>
              <w:ind w:firstLine="446"/>
            </w:pPr>
            <w:r>
              <w:rPr>
                <w:b/>
                <w:sz w:val="21"/>
              </w:rPr>
              <w:t>1.</w:t>
            </w:r>
            <w:r>
              <w:rPr>
                <w:b/>
                <w:sz w:val="21"/>
              </w:rPr>
              <w:t>服务人员</w:t>
            </w:r>
          </w:p>
          <w:p>
            <w:pPr>
              <w:ind w:firstLine="444"/>
              <w:jc w:val="left"/>
            </w:pPr>
            <w:r>
              <w:rPr>
                <w:sz w:val="21"/>
              </w:rPr>
              <w:t>（</w:t>
            </w:r>
            <w:r>
              <w:rPr>
                <w:sz w:val="21"/>
              </w:rPr>
              <w:t>1）项目负责人具有生态环境工程、生态环境管理与咨询、生态环境监测、生态环境科学、土壤环境保护、地下水科学、水工环地质、地球化学勘查等其中一个专业副高级职称以上。且具有相关工作经历。</w:t>
            </w:r>
          </w:p>
          <w:p>
            <w:pPr>
              <w:ind w:firstLine="444"/>
              <w:jc w:val="left"/>
            </w:pPr>
            <w:r>
              <w:rPr>
                <w:sz w:val="21"/>
              </w:rPr>
              <w:t>（</w:t>
            </w:r>
            <w:r>
              <w:rPr>
                <w:sz w:val="21"/>
              </w:rPr>
              <w:t>2）中标供应商应指派固定的团队为本项目提供专业服务，服务团队成员≥45人（含项目负责人）。如为联合体的，主体方（牵头方）团队成员需≥11人且除了项目负责人外需要配备至少1名副高级职称以上的联络人负责与采购人对接项目日常事务，统筹联合体各参与单位工作。</w:t>
            </w:r>
          </w:p>
          <w:p>
            <w:pPr>
              <w:ind w:firstLine="444"/>
              <w:jc w:val="left"/>
            </w:pPr>
            <w:r>
              <w:rPr>
                <w:sz w:val="21"/>
              </w:rPr>
              <w:t>（</w:t>
            </w:r>
            <w:r>
              <w:rPr>
                <w:sz w:val="21"/>
              </w:rPr>
              <w:t>3）中标供应商应安排1名驻场人员跟进本项目的工作，驻场时间≥6个月（需同时满足如下条件：①环境科学、环境工程、水文与水资源工程、地下水科学与工程、地球化学与勘查等其中一个专业本科或以上学历；②具有2年及以上环境或地质工作经历）。</w:t>
            </w:r>
          </w:p>
          <w:p>
            <w:pPr>
              <w:ind w:firstLine="446"/>
            </w:pPr>
            <w:r>
              <w:rPr>
                <w:b/>
                <w:sz w:val="21"/>
              </w:rPr>
              <w:t>2.设备及业绩要求</w:t>
            </w:r>
          </w:p>
          <w:p>
            <w:pPr>
              <w:ind w:firstLine="444"/>
              <w:jc w:val="left"/>
            </w:pPr>
            <w:r>
              <w:rPr>
                <w:sz w:val="21"/>
              </w:rPr>
              <w:t>中标供应商应具备地下水、土壤及同位素检测相关设备；具有开展地下水和土壤环境调查评估等相关工作业绩。</w:t>
            </w:r>
          </w:p>
          <w:p>
            <w:pPr>
              <w:ind w:firstLine="446"/>
            </w:pPr>
            <w:r>
              <w:rPr>
                <w:b/>
                <w:sz w:val="21"/>
              </w:rPr>
              <w:t>3</w:t>
            </w:r>
            <w:r>
              <w:rPr>
                <w:b/>
                <w:sz w:val="21"/>
              </w:rPr>
              <w:t>.</w:t>
            </w:r>
            <w:r>
              <w:rPr>
                <w:b/>
                <w:sz w:val="21"/>
              </w:rPr>
              <w:t>进度要求</w:t>
            </w:r>
          </w:p>
          <w:p>
            <w:pPr>
              <w:ind w:firstLine="444"/>
              <w:jc w:val="left"/>
            </w:pPr>
            <w:r>
              <w:rPr>
                <w:sz w:val="21"/>
              </w:rPr>
              <w:t>（</w:t>
            </w:r>
            <w:r>
              <w:rPr>
                <w:sz w:val="21"/>
              </w:rPr>
              <w:t>1）合同签订之日起</w:t>
            </w:r>
            <w:r>
              <w:rPr>
                <w:sz w:val="21"/>
              </w:rPr>
              <w:t>2</w:t>
            </w:r>
            <w:r>
              <w:rPr>
                <w:sz w:val="21"/>
              </w:rPr>
              <w:t>个月内：完成项目工作实施方案、</w:t>
            </w:r>
            <w:r>
              <w:rPr>
                <w:sz w:val="21"/>
              </w:rPr>
              <w:t>21口补充调查井（含1 口分层监测井）的布点及建设方案、地下水及土壤采样检测方案的编制并通过专家评审。</w:t>
            </w:r>
          </w:p>
          <w:p>
            <w:pPr>
              <w:ind w:firstLine="444"/>
              <w:jc w:val="left"/>
            </w:pPr>
            <w:r>
              <w:rPr>
                <w:sz w:val="21"/>
              </w:rPr>
              <w:t>（</w:t>
            </w:r>
            <w:r>
              <w:rPr>
                <w:sz w:val="21"/>
              </w:rPr>
              <w:t>2）合同签订之日起8个月内：完成补充调查井的建设工作，完成所有点位不少于1期的地下水水质监测工作、全部的土壤样品检测工作，开始补充分层监测井的监测工作；开展同位素补充调查监测工作，初步构建同位素溯源模型；完成区域污染风险评估及指标筛选、特征污染物运移模拟及预测，初步构建地下水污染监测预警体系。</w:t>
            </w:r>
          </w:p>
          <w:p>
            <w:pPr>
              <w:ind w:firstLine="444"/>
              <w:jc w:val="left"/>
            </w:pPr>
            <w:r>
              <w:rPr>
                <w:sz w:val="21"/>
              </w:rPr>
              <w:t>（</w:t>
            </w:r>
            <w:r>
              <w:rPr>
                <w:sz w:val="21"/>
              </w:rPr>
              <w:t>3）202</w:t>
            </w:r>
            <w:r>
              <w:rPr>
                <w:sz w:val="21"/>
              </w:rPr>
              <w:t>4</w:t>
            </w:r>
            <w:r>
              <w:rPr>
                <w:sz w:val="21"/>
              </w:rPr>
              <w:t>年</w:t>
            </w:r>
            <w:r>
              <w:rPr>
                <w:sz w:val="21"/>
              </w:rPr>
              <w:t>12月31日前：资料整理和数据汇总分析。完成项目要求的全部内容，编制完完成相关报告，准备验收材料并完成项目验收。</w:t>
            </w:r>
          </w:p>
          <w:p>
            <w:pPr>
              <w:ind w:firstLine="446"/>
            </w:pPr>
            <w:r>
              <w:rPr>
                <w:b/>
                <w:sz w:val="21"/>
              </w:rPr>
              <w:t>4.</w:t>
            </w:r>
            <w:r>
              <w:rPr>
                <w:b/>
                <w:sz w:val="21"/>
              </w:rPr>
              <w:t>成果要求</w:t>
            </w:r>
          </w:p>
          <w:p>
            <w:pPr>
              <w:ind w:firstLine="444"/>
              <w:jc w:val="left"/>
            </w:pPr>
            <w:r>
              <w:rPr>
                <w:sz w:val="21"/>
              </w:rPr>
              <w:t>（</w:t>
            </w:r>
            <w:r>
              <w:rPr>
                <w:sz w:val="21"/>
              </w:rPr>
              <w:t>1）在佛山市 5口典型区域地下水调查井周边新建规范地下水环境监测井≥21口，提交完整建井资料（含土孔钻探记录、监测井成井记录、成井洗井记录等原始记录及土壤岩芯照片等建井过程相关照片视频）；</w:t>
            </w:r>
          </w:p>
          <w:p>
            <w:pPr>
              <w:ind w:firstLine="444"/>
              <w:jc w:val="left"/>
            </w:pPr>
            <w:r>
              <w:rPr>
                <w:sz w:val="21"/>
              </w:rPr>
              <w:t>（</w:t>
            </w:r>
            <w:r>
              <w:rPr>
                <w:sz w:val="21"/>
              </w:rPr>
              <w:t>2）完成地下水手工检测样品≥70个，提交加盖CMA的检测报告（同位素监测检测报告除外）和检测结果汇总表以及结果分析报告和质控报告；</w:t>
            </w:r>
          </w:p>
          <w:p>
            <w:pPr>
              <w:ind w:firstLine="444"/>
              <w:jc w:val="left"/>
            </w:pPr>
            <w:r>
              <w:rPr>
                <w:sz w:val="21"/>
              </w:rPr>
              <w:t>（</w:t>
            </w:r>
            <w:r>
              <w:rPr>
                <w:sz w:val="21"/>
              </w:rPr>
              <w:t>3）完成典型区域地下水调查井（重点关注3号、4号调查井）周边15口监测井土壤检测样品不少于50个，提交加盖CMA的检测报告（同位素监测检测报告除外）、检测结果汇总表及结果分析报告、质控报告；</w:t>
            </w:r>
          </w:p>
          <w:p>
            <w:pPr>
              <w:ind w:firstLine="444"/>
              <w:jc w:val="left"/>
            </w:pPr>
            <w:r>
              <w:rPr>
                <w:sz w:val="21"/>
              </w:rPr>
              <w:t>（</w:t>
            </w:r>
            <w:r>
              <w:rPr>
                <w:sz w:val="21"/>
              </w:rPr>
              <w:t>4）建成经参数校准的同位素溯源模型1个；提交同位素溯源模型构建及解析报告1份；提交同位素检测方法开发与验证报告1份；提交同位素溯源监测与验证的检测结果汇总表及结果分析报告、质控报告；</w:t>
            </w:r>
          </w:p>
          <w:p>
            <w:pPr>
              <w:ind w:firstLine="444"/>
              <w:jc w:val="left"/>
            </w:pPr>
            <w:r>
              <w:rPr>
                <w:sz w:val="21"/>
              </w:rPr>
              <w:t>（</w:t>
            </w:r>
            <w:r>
              <w:rPr>
                <w:sz w:val="21"/>
              </w:rPr>
              <w:t>5）建成基于实际水文地质条件建立的地下水水流及溶质运移数值模型1个、地下水污染溯源模型1个；提供预警区域内包括预警阈值、警情分级、警情应对等要素在内的的预警流程方法1套；提交地下水污染监测预警模型构建及解析报告1份；</w:t>
            </w:r>
          </w:p>
          <w:p>
            <w:pPr>
              <w:ind w:firstLine="444"/>
              <w:jc w:val="left"/>
            </w:pPr>
            <w:r>
              <w:rPr>
                <w:sz w:val="21"/>
              </w:rPr>
              <w:t>（</w:t>
            </w:r>
            <w:r>
              <w:rPr>
                <w:sz w:val="21"/>
              </w:rPr>
              <w:t>6）提交佛山市典型区域地下水动态监测与污染溯源报告1份；</w:t>
            </w:r>
          </w:p>
          <w:p>
            <w:pPr>
              <w:ind w:firstLine="444"/>
              <w:jc w:val="left"/>
            </w:pPr>
            <w:r>
              <w:rPr>
                <w:sz w:val="21"/>
              </w:rPr>
              <w:t>（</w:t>
            </w:r>
            <w:r>
              <w:rPr>
                <w:sz w:val="21"/>
              </w:rPr>
              <w:t>7）提交佛山市典型区域地下水监测点位精准管控对策报告3份；</w:t>
            </w:r>
          </w:p>
          <w:p>
            <w:pPr>
              <w:ind w:firstLine="444"/>
              <w:jc w:val="left"/>
            </w:pPr>
            <w:r>
              <w:rPr>
                <w:sz w:val="21"/>
              </w:rPr>
              <w:t>（</w:t>
            </w:r>
            <w:r>
              <w:rPr>
                <w:sz w:val="21"/>
              </w:rPr>
              <w:t>8）提交佛山市典型区域地下水污染监测预警报告1份；</w:t>
            </w:r>
          </w:p>
          <w:p>
            <w:pPr>
              <w:ind w:firstLine="444"/>
              <w:jc w:val="left"/>
            </w:pPr>
            <w:r>
              <w:rPr>
                <w:sz w:val="21"/>
              </w:rPr>
              <w:t>（</w:t>
            </w:r>
            <w:r>
              <w:rPr>
                <w:sz w:val="21"/>
              </w:rPr>
              <w:t>9）项目技术报告和项目工作总结报告各1份。</w:t>
            </w:r>
          </w:p>
          <w:p>
            <w:pPr>
              <w:ind w:firstLine="444"/>
              <w:jc w:val="left"/>
            </w:pPr>
            <w:r>
              <w:rPr>
                <w:sz w:val="21"/>
              </w:rPr>
              <w:t>（</w:t>
            </w:r>
            <w:r>
              <w:rPr>
                <w:sz w:val="21"/>
              </w:rPr>
              <w:t>10）项目图册（纸质版）及原图（电子版）各1份。</w:t>
            </w:r>
          </w:p>
          <w:p>
            <w:pPr>
              <w:ind w:firstLine="444"/>
              <w:jc w:val="left"/>
            </w:pPr>
            <w:r>
              <w:rPr>
                <w:sz w:val="21"/>
              </w:rPr>
              <w:t>注：以上成果需提供电子文档和纸质文档，其中（</w:t>
            </w:r>
            <w:r>
              <w:rPr>
                <w:sz w:val="21"/>
              </w:rPr>
              <w:t>4）至（9）各</w:t>
            </w:r>
            <w:r>
              <w:rPr>
                <w:sz w:val="21"/>
              </w:rPr>
              <w:t>10</w:t>
            </w:r>
            <w:r>
              <w:rPr>
                <w:sz w:val="21"/>
              </w:rPr>
              <w:t>份，其余资料和报告各</w:t>
            </w:r>
            <w:r>
              <w:rPr>
                <w:sz w:val="21"/>
              </w:rPr>
              <w:t>3</w:t>
            </w:r>
            <w:r>
              <w:rPr>
                <w:sz w:val="21"/>
              </w:rPr>
              <w:t>份。</w:t>
            </w:r>
          </w:p>
          <w:p>
            <w:pPr>
              <w:ind w:firstLine="446"/>
            </w:pPr>
            <w:r>
              <w:rPr>
                <w:b/>
                <w:sz w:val="21"/>
              </w:rPr>
              <w:t>5.</w:t>
            </w:r>
            <w:r>
              <w:rPr>
                <w:b/>
                <w:sz w:val="21"/>
              </w:rPr>
              <w:t>实物工作量</w:t>
            </w:r>
          </w:p>
          <w:tbl>
            <w:tblPr>
              <w:tblBorders>
                <w:top w:val="none" w:color="000000" w:sz="4"/>
                <w:left w:val="none" w:color="000000" w:sz="4"/>
                <w:bottom w:val="none" w:color="000000" w:sz="4"/>
                <w:right w:val="none" w:color="000000" w:sz="4"/>
                <w:insideH w:val="none"/>
                <w:insideV w:val="none"/>
              </w:tblBorders>
            </w:tblPr>
            <w:tblGrid>
              <w:gridCol w:w="406"/>
              <w:gridCol w:w="2744"/>
              <w:gridCol w:w="733"/>
              <w:gridCol w:w="1714"/>
            </w:tblGrid>
            <w:tr>
              <w:tc>
                <w:tcPr>
                  <w:tcW w:type="dxa" w:w="40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744"/>
                  <w:tcBorders>
                    <w:top w:val="single" w:color="000000" w:sz="4"/>
                    <w:left w:val="single" w:color="000000" w:sz="4"/>
                    <w:bottom w:val="single" w:color="000000" w:sz="4"/>
                    <w:right w:val="single" w:color="000000" w:sz="4"/>
                  </w:tcBorders>
                  <w:vAlign w:val="top"/>
                </w:tcPr>
                <w:p>
                  <w:pPr>
                    <w:jc w:val="center"/>
                  </w:pPr>
                  <w:r>
                    <w:rPr>
                      <w:b/>
                      <w:sz w:val="21"/>
                    </w:rPr>
                    <w:t>工作项目</w:t>
                  </w:r>
                </w:p>
              </w:tc>
              <w:tc>
                <w:tcPr>
                  <w:tcW w:type="dxa" w:w="733"/>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714"/>
                  <w:tcBorders>
                    <w:top w:val="single" w:color="000000" w:sz="4"/>
                    <w:left w:val="single" w:color="000000" w:sz="4"/>
                    <w:bottom w:val="single" w:color="000000" w:sz="4"/>
                    <w:right w:val="single" w:color="000000" w:sz="4"/>
                  </w:tcBorders>
                  <w:vAlign w:val="top"/>
                </w:tcPr>
                <w:p>
                  <w:pPr>
                    <w:jc w:val="center"/>
                  </w:pPr>
                  <w:r>
                    <w:rPr>
                      <w:b/>
                      <w:sz w:val="21"/>
                    </w:rPr>
                    <w:t>工作量</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地下水监测井建井</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口</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不少于</w:t>
                  </w:r>
                  <w:r>
                    <w:rPr>
                      <w:sz w:val="21"/>
                    </w:rPr>
                    <w:t>21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抽水试验</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口</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不少于</w:t>
                  </w:r>
                  <w:r>
                    <w:rPr>
                      <w:sz w:val="21"/>
                    </w:rPr>
                    <w:t>21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地下水样品采集及检测</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不少于</w:t>
                  </w:r>
                  <w:r>
                    <w:rPr>
                      <w:sz w:val="21"/>
                    </w:rPr>
                    <w:t>70</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土壤样品采集及检测</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不少于</w:t>
                  </w:r>
                  <w:r>
                    <w:rPr>
                      <w:sz w:val="21"/>
                    </w:rPr>
                    <w:t>50</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同位素溯源模型</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同位素溯源模型构建及解析报告</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同位素溯源监测与验证的检测结果汇总表及结果分析报告、质控报告</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同位素检测方法开发与验证报告</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地下水水流及溶质运移数值模型</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地下水污染溯源模型</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预警流程方法</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地下水污染监测预警模型构建及解析报告</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佛山市典型区域地下水动态监测与污染溯源报告</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佛山市典型区域地下水监测点位精准管控对策报告</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744"/>
                  <w:tcBorders>
                    <w:top w:val="none" w:color="000000" w:sz="4"/>
                    <w:left w:val="single" w:color="000000" w:sz="4"/>
                    <w:bottom w:val="single" w:color="000000" w:sz="4"/>
                    <w:right w:val="single" w:color="000000" w:sz="4"/>
                  </w:tcBorders>
                  <w:vAlign w:val="top"/>
                </w:tcPr>
                <w:p>
                  <w:pPr>
                    <w:jc w:val="center"/>
                  </w:pPr>
                  <w:r>
                    <w:rPr>
                      <w:sz w:val="21"/>
                    </w:rPr>
                    <w:t>佛山市典型区域地下水污染监测预警报告</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714"/>
                  <w:tcBorders>
                    <w:top w:val="none" w:color="000000" w:sz="4"/>
                    <w:left w:val="single" w:color="000000" w:sz="4"/>
                    <w:bottom w:val="single" w:color="000000" w:sz="4"/>
                    <w:right w:val="single" w:color="000000" w:sz="4"/>
                  </w:tcBorders>
                  <w:vAlign w:val="top"/>
                </w:tcPr>
                <w:p>
                  <w:pPr>
                    <w:jc w:val="center"/>
                  </w:pPr>
                  <w:r>
                    <w:rPr>
                      <w:sz w:val="21"/>
                    </w:rPr>
                    <w:t>1</w:t>
                  </w:r>
                </w:p>
              </w:tc>
            </w:tr>
          </w:tbl>
          <w:p>
            <w:pPr>
              <w:ind w:firstLine="422"/>
              <w:jc w:val="both"/>
            </w:pPr>
            <w:r>
              <w:rPr>
                <w:b/>
                <w:sz w:val="21"/>
              </w:rPr>
              <w:t>（四）其他要求</w:t>
            </w:r>
          </w:p>
          <w:p>
            <w:pPr>
              <w:ind w:firstLine="444"/>
              <w:jc w:val="left"/>
            </w:pPr>
            <w:r>
              <w:rPr>
                <w:sz w:val="21"/>
              </w:rPr>
              <w:t>中标供应商未经采购人同意，不得对采购人提供的资料及文件擅自修改，复制或向第三人转让或用于本项目外的项目，中标供应商不得将本项目实施过程产生的数据及资料泄露给与本项目工作无关的人员和单位，不得用于本项目外的其他项目或事项。如发生以上情况，中标供应商需承担一切由此引起的后果并承担法律及经济责任。项目完成后，中标供应商须把采购人提供的所有资料、数据完整归还采购人，并不得留存任何复制品。中标供应商项目组人员均需与采购人签署保密协议。且保密义务不随着项目的结束而结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采购包2（佛山市典型区域地下水监测井周边污染源调查与精准管控项目（二期）质控服务）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自合同签订之日起，至2024年12月31日。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1期：支付比例50%,签订合同后30个工作日内，采购人收到中标供应商开具的服务发票之日起 5 个工作日内，按广东省财政资金管理规定的程序向中标供应商支付合同总价的50%。中标供应商凭以下有效的文件向采购人提出支付申请： （1）项目合同； （2）中标供应商开具的正式发票； （3）本项目中标通知书。</w:t>
            </w:r>
          </w:p>
          <w:p/>
          <w:p>
            <w:r>
              <w:rPr/>
              <w:t>2期：支付比例40%,中标供应商完成采购包1的同步质量检查、标样考核、土壤和水质样品比对工作，经采购人确认，采购人收到中标供应商开具的服务发票之日起 5 个工作日内，按广东省财政资金管理规定的程序向中标供应商支付合同总价的40%。中标供应商凭以下有效的文件向采购人提出支付申请： （1）项目合同； （2）中标供应商开具的正式发票； （3）本项目中标通知书。 （4）工作完成情况确认书（采购人签字确认） （5）质控服务工作报告。</w:t>
            </w:r>
          </w:p>
          <w:p/>
          <w:p>
            <w:r>
              <w:rPr/>
              <w:t>3期：支付比例10%,中标供应商完成项目的全部工作，通过采购人组织的验收，采购人收到中标供应商开具的服务发票之日起 5 个工作日内，按广东省财政资金管理规定的程序向中标供应商支付合同总金额的10%。中标供应商凭以下有效的文件向采购人提出支付申请： （1）项目合同； （2）中标供应商开具的正式发票； （3）本项目中标通知书； （4）项目验收意见； （5）成果报告。 注： （1）采购人有权直接从合同款内扣除违约金、赔偿金、考核不合格应扣减的服务费等。 （2）中标供应商有义务向采购人提供申请财政付款所需文件材料。除了证明当期约定项目服务内容已完成的材料之外，中标供应商还必须向采购人提供税务局制定的相应的款项发票作为请款凭据。如财政部门对申请材料有其他要求的，中标供应商也应配合及时提供。如中标供应商未按本合同约定及时提供请款所需材料和发票的，采购人有权延缓申请支付，直至收到中标供应商提供的材料和发票时止，而不视为采购人违约。 （3）关于付款的特别约定： 由于采购人使用的是财政性资金，采购人向财政部门申请支付即视为履行了付款义务，成交供应商不得因财政部门审核需要时间、拨款迟延等原因要求采购人承担迟延付款的责任，更不得因此怠于履行合同义务。</w:t>
            </w:r>
          </w:p>
        </w:tc>
      </w:tr>
      <w:tr>
        <w:tc>
          <w:tcPr>
            <w:tcW w:type="dxa" w:w="4153"/>
          </w:tcPr>
          <w:p>
            <w:r>
              <w:rPr/>
              <w:t>验收要求</w:t>
            </w:r>
          </w:p>
        </w:tc>
        <w:tc>
          <w:tcPr>
            <w:tcW w:type="dxa" w:w="4153"/>
          </w:tcPr>
          <w:p/>
          <w:p/>
          <w:p/>
          <w:p>
            <w:r>
              <w:rPr/>
              <w:t>1期：1.中标供应商按合同的约定、采购文件的要求、投标文件的承诺（响应）内容，完成全部服务内容，并提交了服务成果后发起验收申请，采购人收到中标供应商验收申请后7日内组织履约验收。 2.验收合格后，中标供应商负责按成果要求中的规定将全部有关技术文件、资料、验收材料等文档汇集成册交付采购人。 3.验收标准包括： （1）中标供应商完成合同约定、采购文件的采购需求内容和投标文件响应的全部服务内容。 （2）中标供应商已按要求提交了全部的服务成果及资料。 （3）项目服务内容和成果通过采购人组织的验收。 （4）如因项目政策的不确定性或特殊情况，导致本项目各环节出现变动或者基于本项目衍生其他工作任务、提交的成果有其他要求，中标供应商须无条件配合完成采购人的工作，中标供应商必须在规定时间内按项目服务要求完成全部服务内容并确保通过采购人对项目的验收为止。若项目履行期间有关规定或政策发生变更，有最新国家标准、行业标准、地方标准的则按最新规定执行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其他生态环境治理服务</w:t>
            </w:r>
          </w:p>
        </w:tc>
        <w:tc>
          <w:tcPr>
            <w:tcW w:type="dxa" w:w="933"/>
          </w:tcPr>
          <w:p>
            <w:pPr>
              <w:jc w:val="left"/>
            </w:pPr>
            <w:r>
              <w:rPr/>
              <w:t>佛山市典型区域地下水监测井周边污染源调查与精准管控项目（二期）质控服务</w:t>
            </w:r>
          </w:p>
        </w:tc>
        <w:tc>
          <w:tcPr>
            <w:tcW w:type="dxa" w:w="933"/>
          </w:tcPr>
          <w:p>
            <w:pPr>
              <w:jc w:val="left"/>
            </w:pPr>
            <w:r>
              <w:rPr/>
              <w:t>项</w:t>
            </w:r>
          </w:p>
        </w:tc>
        <w:tc>
          <w:tcPr>
            <w:tcW w:type="dxa" w:w="933"/>
          </w:tcPr>
          <w:p>
            <w:pPr>
              <w:jc w:val="right"/>
            </w:pPr>
            <w:r>
              <w:rPr/>
              <w:t>1.00</w:t>
            </w:r>
          </w:p>
        </w:tc>
        <w:tc>
          <w:tcPr>
            <w:tcW w:type="dxa" w:w="933"/>
          </w:tcPr>
          <w:p>
            <w:pPr>
              <w:jc w:val="right"/>
            </w:pPr>
            <w:r>
              <w:rPr/>
              <w:t>287,600.00</w:t>
            </w:r>
          </w:p>
        </w:tc>
        <w:tc>
          <w:tcPr>
            <w:tcW w:type="dxa" w:w="933"/>
          </w:tcPr>
          <w:p>
            <w:pPr>
              <w:jc w:val="right"/>
            </w:pPr>
            <w:r>
              <w:rPr/>
              <w:t>287,600.00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佛山市典型区域地下水监测井周边污染源调查与精准管控项目（二期）质控服务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b/>
                <w:sz w:val="21"/>
              </w:rPr>
              <w:t>一、服务要求</w:t>
            </w:r>
          </w:p>
          <w:p>
            <w:pPr>
              <w:ind w:firstLine="422"/>
              <w:jc w:val="both"/>
            </w:pPr>
            <w:r>
              <w:rPr>
                <w:b/>
                <w:sz w:val="21"/>
              </w:rPr>
              <w:t>（一）技术要求</w:t>
            </w:r>
          </w:p>
          <w:p>
            <w:pPr>
              <w:ind w:firstLine="444"/>
              <w:jc w:val="left"/>
            </w:pPr>
            <w:r>
              <w:rPr>
                <w:sz w:val="21"/>
              </w:rPr>
              <w:t>接受采购人的任务安排、技术指导和监督，</w:t>
            </w:r>
            <w:r>
              <w:rPr>
                <w:sz w:val="21"/>
              </w:rPr>
              <w:t>负责</w:t>
            </w:r>
            <w:r>
              <w:rPr>
                <w:sz w:val="21"/>
              </w:rPr>
              <w:t>采购包</w:t>
            </w:r>
            <w:r>
              <w:rPr>
                <w:sz w:val="21"/>
              </w:rPr>
              <w:t>1的质量保证与质量控制实施方案的具体实施，对检测机构分析方法确认工作实施审核，</w:t>
            </w:r>
            <w:r>
              <w:rPr>
                <w:sz w:val="21"/>
              </w:rPr>
              <w:t>开展</w:t>
            </w:r>
            <w:r>
              <w:rPr>
                <w:sz w:val="21"/>
              </w:rPr>
              <w:t>分析测试质控结果的审核及上报，对新建补充调查点位布设和建设、样品采集保存和流转、样品分析测试、数据上报与审核、成果报告编制等各环节工作进行全过程的质量保证与质量控制，确保项目调查及检测的数据真实、准确和全面。</w:t>
            </w:r>
          </w:p>
          <w:p>
            <w:pPr>
              <w:ind w:firstLine="444"/>
              <w:jc w:val="left"/>
            </w:pPr>
            <w:r>
              <w:rPr>
                <w:sz w:val="21"/>
              </w:rPr>
              <w:t>具体承担的工作有：</w:t>
            </w:r>
          </w:p>
          <w:p>
            <w:pPr>
              <w:ind w:firstLine="444"/>
              <w:jc w:val="left"/>
            </w:pPr>
            <w:r>
              <w:rPr>
                <w:sz w:val="21"/>
              </w:rPr>
              <w:t>（</w:t>
            </w:r>
            <w:r>
              <w:rPr>
                <w:sz w:val="21"/>
              </w:rPr>
              <w:t>1）检查规范地下水监测井建设质量，≥</w:t>
            </w:r>
            <w:r>
              <w:rPr>
                <w:sz w:val="21"/>
              </w:rPr>
              <w:t>2</w:t>
            </w:r>
            <w:r>
              <w:rPr>
                <w:sz w:val="21"/>
              </w:rPr>
              <w:t>次，每次检查</w:t>
            </w:r>
            <w:r>
              <w:rPr>
                <w:sz w:val="21"/>
              </w:rPr>
              <w:t>1天，每次邀请≥3名专家，合计组织开展</w:t>
            </w:r>
            <w:r>
              <w:rPr>
                <w:sz w:val="21"/>
              </w:rPr>
              <w:t>6</w:t>
            </w:r>
            <w:r>
              <w:rPr>
                <w:sz w:val="21"/>
              </w:rPr>
              <w:t>人次检查工作。</w:t>
            </w:r>
            <w:r>
              <w:rPr>
                <w:sz w:val="21"/>
              </w:rPr>
              <w:t>对建井不符合质控标准的情况，根据不符合事项的严重程度，督促</w:t>
            </w:r>
            <w:r>
              <w:rPr>
                <w:sz w:val="21"/>
              </w:rPr>
              <w:t>采购包</w:t>
            </w:r>
            <w:r>
              <w:rPr>
                <w:sz w:val="21"/>
              </w:rPr>
              <w:t>1各相关承担单位采取适当的纠正和预防措施，及时查明原因，及时整改，必要时重新建井。</w:t>
            </w:r>
          </w:p>
          <w:p>
            <w:pPr>
              <w:ind w:firstLine="444"/>
              <w:jc w:val="left"/>
            </w:pPr>
            <w:r>
              <w:rPr>
                <w:sz w:val="21"/>
              </w:rPr>
              <w:t>（</w:t>
            </w:r>
            <w:r>
              <w:rPr>
                <w:sz w:val="21"/>
              </w:rPr>
              <w:t>2）覆盖三个水期，每个水期随机抽查≥1口规范地下水监测井地下水样品采样质量，检查内容包括但不限于布点方案、采样记录、采样点位、样品标识、现场空白、样品保存和流转等情况，每口井现场检查1天，每次邀请≥2名外部专家，合计组织开展6人次抽查工作。</w:t>
            </w:r>
            <w:r>
              <w:rPr>
                <w:sz w:val="21"/>
              </w:rPr>
              <w:t>对地下水采样不符合质控标准的情况，根据不符合事项的严重程度，督促</w:t>
            </w:r>
            <w:r>
              <w:rPr>
                <w:sz w:val="21"/>
              </w:rPr>
              <w:t>采购包</w:t>
            </w:r>
            <w:r>
              <w:rPr>
                <w:sz w:val="21"/>
              </w:rPr>
              <w:t>1各相关承担单位采取适当的纠正和预防措施，及时查明原因，及时整改，必要时重新开展不符合点位样品的采样检测工作。</w:t>
            </w:r>
          </w:p>
          <w:p>
            <w:pPr>
              <w:ind w:firstLine="444"/>
              <w:jc w:val="left"/>
            </w:pPr>
            <w:r>
              <w:rPr>
                <w:sz w:val="21"/>
              </w:rPr>
              <w:t>（</w:t>
            </w:r>
            <w:r>
              <w:rPr>
                <w:sz w:val="21"/>
              </w:rPr>
              <w:t>3）随机抽查≥1个点位土壤采样质量，检查内容包括但不限于布点方案、采样记录、采样点位、样品标识、现场空白、样品保存和流转等情况，现场检查1天，每次邀请≥2名外部专家，合计组织开展2人次检查工作。</w:t>
            </w:r>
            <w:r>
              <w:rPr>
                <w:sz w:val="21"/>
              </w:rPr>
              <w:t>对土壤采样不符合质控标准的情况，根据不符合事项的严重程度，督促</w:t>
            </w:r>
            <w:r>
              <w:rPr>
                <w:sz w:val="21"/>
              </w:rPr>
              <w:t>采购包</w:t>
            </w:r>
            <w:r>
              <w:rPr>
                <w:sz w:val="21"/>
              </w:rPr>
              <w:t>1各相关承担单位采取适当的纠正和预防措施，及时查明原因，及时整改，必要时重新开展不符合点位样品的采样检测工作。</w:t>
            </w:r>
          </w:p>
          <w:p>
            <w:pPr>
              <w:ind w:firstLine="444"/>
              <w:jc w:val="left"/>
            </w:pPr>
            <w:r>
              <w:rPr>
                <w:sz w:val="21"/>
              </w:rPr>
              <w:t>（</w:t>
            </w:r>
            <w:r>
              <w:rPr>
                <w:sz w:val="21"/>
              </w:rPr>
              <w:t>4）对承担土壤和地下水样品分析测试任务的机构开展质量监督检查，检查内容包括但不限于分析方法选择与确认、实验室内部质量控制、样品制备、样品流转、样品保存、环境条件、人员配备、操作规范性、室内空白、标准曲线、精密度、准确度、仪器设备、分析测试数据记录与审核、数据报告和是否开展风险分级审核纠偏，预计2次，每次1天，邀请≥3名外部专家，合计组织开展6人次检查工作。</w:t>
            </w:r>
            <w:r>
              <w:rPr>
                <w:sz w:val="21"/>
              </w:rPr>
              <w:t>对</w:t>
            </w:r>
            <w:r>
              <w:rPr>
                <w:sz w:val="21"/>
              </w:rPr>
              <w:t>质量监督检查</w:t>
            </w:r>
            <w:r>
              <w:rPr>
                <w:sz w:val="21"/>
              </w:rPr>
              <w:t>中出现不符合质控标准的情况，根据不符合事项的严重程度，督促</w:t>
            </w:r>
            <w:r>
              <w:rPr>
                <w:sz w:val="21"/>
              </w:rPr>
              <w:t>采购包</w:t>
            </w:r>
            <w:r>
              <w:rPr>
                <w:sz w:val="21"/>
              </w:rPr>
              <w:t>1各相关承担单位采取适当的纠正和预防措施，及时查明原因，及时整改，必要时采取重新采样、重新测试。</w:t>
            </w:r>
          </w:p>
          <w:p>
            <w:pPr>
              <w:ind w:firstLine="444"/>
              <w:jc w:val="left"/>
            </w:pPr>
            <w:r>
              <w:rPr>
                <w:sz w:val="21"/>
              </w:rPr>
              <w:t>（</w:t>
            </w:r>
            <w:r>
              <w:rPr>
                <w:sz w:val="21"/>
              </w:rPr>
              <w:t>5）作为比对实验室，每个水期抽取4个比对样品，覆盖三个水期，合计组织开展12个样品的比对检测。</w:t>
            </w:r>
            <w:r>
              <w:rPr>
                <w:sz w:val="21"/>
              </w:rPr>
              <w:t>比对测试合格率要求应达到</w:t>
            </w:r>
            <w:r>
              <w:rPr>
                <w:sz w:val="21"/>
              </w:rPr>
              <w:t>≥</w:t>
            </w:r>
            <w:r>
              <w:rPr>
                <w:sz w:val="21"/>
              </w:rPr>
              <w:t>95%。当合格率</w:t>
            </w:r>
            <w:r>
              <w:rPr>
                <w:sz w:val="21"/>
              </w:rPr>
              <w:t>＜</w:t>
            </w:r>
            <w:r>
              <w:rPr>
                <w:sz w:val="21"/>
              </w:rPr>
              <w:t>95%时，应查明原因，对不合格结果重新分析测试，必要时对该批次样品重新采样或重新分析。</w:t>
            </w:r>
          </w:p>
          <w:p>
            <w:pPr>
              <w:ind w:firstLine="444"/>
              <w:jc w:val="left"/>
            </w:pPr>
            <w:r>
              <w:rPr>
                <w:sz w:val="21"/>
              </w:rPr>
              <w:t>（</w:t>
            </w:r>
            <w:r>
              <w:rPr>
                <w:sz w:val="21"/>
              </w:rPr>
              <w:t>6）作为比对实验室，按土壤样品数量（不含现场平行样）5%比例抽取样品开展比对检测，合计组织开展3个样品比对检测。</w:t>
            </w:r>
            <w:r>
              <w:rPr>
                <w:sz w:val="21"/>
              </w:rPr>
              <w:t>比对测试合格率要求应达到</w:t>
            </w:r>
            <w:r>
              <w:rPr>
                <w:sz w:val="21"/>
              </w:rPr>
              <w:t>≥</w:t>
            </w:r>
            <w:r>
              <w:rPr>
                <w:sz w:val="21"/>
              </w:rPr>
              <w:t>95%。当合格率</w:t>
            </w:r>
            <w:r>
              <w:rPr>
                <w:sz w:val="21"/>
              </w:rPr>
              <w:t>＜</w:t>
            </w:r>
            <w:r>
              <w:rPr>
                <w:sz w:val="21"/>
              </w:rPr>
              <w:t>95%时，应查明原因，对不合格结果重新分析测试，必要时对该批次样品重新采样或重新分析。</w:t>
            </w:r>
          </w:p>
          <w:p>
            <w:pPr>
              <w:ind w:firstLine="444"/>
              <w:jc w:val="left"/>
            </w:pPr>
            <w:r>
              <w:rPr>
                <w:sz w:val="21"/>
              </w:rPr>
              <w:t>（</w:t>
            </w:r>
            <w:r>
              <w:rPr>
                <w:sz w:val="21"/>
              </w:rPr>
              <w:t>7）配置相关有证标准物质，组织开展对检测单位的盲样考核工作。</w:t>
            </w:r>
          </w:p>
          <w:p>
            <w:pPr>
              <w:ind w:firstLine="444"/>
              <w:jc w:val="left"/>
            </w:pPr>
            <w:r>
              <w:rPr>
                <w:sz w:val="21"/>
              </w:rPr>
              <w:t>①</w:t>
            </w:r>
            <w:r>
              <w:rPr>
                <w:sz w:val="21"/>
              </w:rPr>
              <w:t>按每个水期加插</w:t>
            </w:r>
            <w:r>
              <w:rPr>
                <w:sz w:val="21"/>
              </w:rPr>
              <w:t>4次地下水水质监测质控样（针对市场可购买到标准样品的检测项目），覆盖三个水期，总计12个质控样。</w:t>
            </w:r>
            <w:r>
              <w:rPr>
                <w:sz w:val="21"/>
              </w:rPr>
              <w:t>对有证标准物质样品分析测试合格率要求应达到</w:t>
            </w:r>
            <w:r>
              <w:rPr>
                <w:sz w:val="21"/>
              </w:rPr>
              <w:t>100%。当出现不合格结果时，应查明其原因，采取适当的纠正和预防措施，并对该标准物质样品及与之关联的样品重新进行分析测试。</w:t>
            </w:r>
          </w:p>
          <w:p>
            <w:pPr>
              <w:ind w:firstLine="444"/>
              <w:jc w:val="left"/>
            </w:pPr>
            <w:r>
              <w:rPr>
                <w:sz w:val="21"/>
              </w:rPr>
              <w:t>②</w:t>
            </w:r>
            <w:r>
              <w:rPr>
                <w:sz w:val="21"/>
              </w:rPr>
              <w:t>对</w:t>
            </w:r>
            <w:r>
              <w:rPr>
                <w:sz w:val="21"/>
              </w:rPr>
              <w:t>2个地下水水质动态监测井自动监测设备每月进行一次标样核查（针对市场可购买到标准样品的检测项目），预计9次，总计18个质控样。</w:t>
            </w:r>
          </w:p>
          <w:p>
            <w:pPr>
              <w:ind w:firstLine="444"/>
              <w:jc w:val="left"/>
            </w:pPr>
            <w:r>
              <w:rPr>
                <w:sz w:val="21"/>
              </w:rPr>
              <w:t>③</w:t>
            </w:r>
            <w:r>
              <w:rPr>
                <w:sz w:val="21"/>
              </w:rPr>
              <w:t>对</w:t>
            </w:r>
            <w:r>
              <w:rPr>
                <w:sz w:val="21"/>
              </w:rPr>
              <w:t>镍稳定</w:t>
            </w:r>
            <w:r>
              <w:rPr>
                <w:sz w:val="21"/>
              </w:rPr>
              <w:t>同位素、氢氧稳定同位素</w:t>
            </w:r>
            <w:r>
              <w:rPr>
                <w:sz w:val="21"/>
              </w:rPr>
              <w:t>、放射性</w:t>
            </w:r>
            <w:r>
              <w:rPr>
                <w:sz w:val="21"/>
              </w:rPr>
              <w:t>同位素</w:t>
            </w:r>
            <w:r>
              <w:rPr>
                <w:sz w:val="21"/>
              </w:rPr>
              <w:t>氡</w:t>
            </w:r>
            <w:r>
              <w:rPr>
                <w:sz w:val="21"/>
              </w:rPr>
              <w:t>等检测各加插</w:t>
            </w:r>
            <w:r>
              <w:rPr>
                <w:sz w:val="21"/>
              </w:rPr>
              <w:t>3个质控样进行考核。</w:t>
            </w:r>
          </w:p>
          <w:p>
            <w:pPr>
              <w:ind w:firstLine="444"/>
              <w:jc w:val="left"/>
            </w:pPr>
            <w:r>
              <w:rPr>
                <w:sz w:val="21"/>
              </w:rPr>
              <w:t>④</w:t>
            </w:r>
            <w:r>
              <w:rPr>
                <w:sz w:val="21"/>
              </w:rPr>
              <w:t>按每</w:t>
            </w:r>
            <w:r>
              <w:rPr>
                <w:sz w:val="21"/>
              </w:rPr>
              <w:t>19个土壤样品加插一个质控样，重金属、挥发性有机物、半挥发性有机物分类，每类别约3个质控样。</w:t>
            </w:r>
            <w:r>
              <w:rPr>
                <w:sz w:val="21"/>
              </w:rPr>
              <w:t>对有证标准物质样品分析测试合格率要求应达到</w:t>
            </w:r>
            <w:r>
              <w:rPr>
                <w:sz w:val="21"/>
              </w:rPr>
              <w:t>100%。当出现不合格结果时，应查明其原因，采取适当的纠正和预防措施，并对该标准物质样品及与之关联的样品重新进行分析测试。</w:t>
            </w:r>
          </w:p>
          <w:p>
            <w:pPr>
              <w:ind w:firstLine="444"/>
              <w:jc w:val="left"/>
            </w:pPr>
            <w:r>
              <w:rPr>
                <w:sz w:val="21"/>
              </w:rPr>
              <w:t>（</w:t>
            </w:r>
            <w:r>
              <w:rPr>
                <w:sz w:val="21"/>
              </w:rPr>
              <w:t>8）参与检测单位质控数据和报告检查，检查内容包括但不限于分析方法适用性确认、实验室内部质量控制、样品制备、样品流转、样品保存、环境条件、人员配备、操作规范性、室内空白、标准/校准曲线、精密度、准确度、仪器设备、分析测试数据记录与审核、数据报告，填报相关质控表格。</w:t>
            </w:r>
          </w:p>
          <w:p>
            <w:pPr>
              <w:ind w:firstLine="444"/>
              <w:jc w:val="left"/>
            </w:pPr>
            <w:r>
              <w:rPr>
                <w:sz w:val="21"/>
              </w:rPr>
              <w:t>（</w:t>
            </w:r>
            <w:r>
              <w:rPr>
                <w:sz w:val="21"/>
              </w:rPr>
              <w:t>9）完成每项质量核查工作后一周提供该次质控工作报告1份，发现质控问题应及时报告采购人，对发现的问题及时进行溯源排查，编制质量核查报告提供给采购人作为开展相关工作的依据。</w:t>
            </w:r>
          </w:p>
          <w:p>
            <w:pPr>
              <w:ind w:firstLine="444"/>
              <w:jc w:val="left"/>
            </w:pPr>
            <w:r>
              <w:rPr>
                <w:sz w:val="21"/>
              </w:rPr>
              <w:t>（</w:t>
            </w:r>
            <w:r>
              <w:rPr>
                <w:sz w:val="21"/>
              </w:rPr>
              <w:t>10）根据相关质控要求，完成相关报告、总结、计划方案等资料的编写。</w:t>
            </w:r>
          </w:p>
          <w:p>
            <w:pPr>
              <w:ind w:firstLine="444"/>
              <w:jc w:val="left"/>
            </w:pPr>
            <w:r>
              <w:rPr>
                <w:sz w:val="21"/>
              </w:rPr>
              <w:t>（</w:t>
            </w:r>
            <w:r>
              <w:rPr>
                <w:sz w:val="21"/>
              </w:rPr>
              <w:t>11）安排≥1名人员专职负责跟进相关工作（需同时满足如下条件：①环境科学、环境工程、水文与水资源工程、地下水科学与工程、地球化学与勘查、分析化学等其中一个专业本科或以上学历；②具有2年及以上环境或地质工作经历）协助做好全过程质控和管理，组织、协调、联系各方及检查资料及表格准备、质控报告编制、组织会议及编写会议纪要、开展质控数据审核等工作。在工作开展期间，每周第一个工作日将项目进展情况和质控服务单位完成的质控工作报送给采购人，每月报送质控报告给采购人。</w:t>
            </w:r>
          </w:p>
          <w:p>
            <w:pPr>
              <w:ind w:firstLine="444"/>
              <w:jc w:val="left"/>
            </w:pPr>
            <w:r>
              <w:rPr>
                <w:sz w:val="21"/>
              </w:rPr>
              <w:t>（</w:t>
            </w:r>
            <w:r>
              <w:rPr>
                <w:sz w:val="21"/>
              </w:rPr>
              <w:t>12）具体考核及比对的检测项目：</w:t>
            </w:r>
          </w:p>
          <w:p>
            <w:pPr>
              <w:ind w:firstLine="444"/>
              <w:jc w:val="left"/>
            </w:pPr>
            <w:r>
              <w:rPr>
                <w:sz w:val="21"/>
              </w:rPr>
              <w:t>①地下水基本监测指标原则上应包含《地下水质量标准》（GB/T 14848-2017）中的常规指标（微生物指标和放射性指标除外）、八大离子及前期调查确定的特征污染指标，主要包括pH值、总硬度（以CaCO</w:t>
            </w:r>
            <w:r>
              <w:rPr>
                <w:sz w:val="21"/>
                <w:vertAlign w:val="subscript"/>
              </w:rPr>
              <w:t>3</w:t>
            </w:r>
            <w:r>
              <w:rPr>
                <w:sz w:val="21"/>
              </w:rPr>
              <w:t>计）、溶解性总固体、硫酸盐、氯化物、铁、锰、铜、锌、铝、</w:t>
            </w:r>
            <w:r>
              <w:rPr>
                <w:sz w:val="21"/>
              </w:rPr>
              <w:t>挥发性酚类（挥发酚）</w:t>
            </w:r>
            <w:r>
              <w:rPr>
                <w:sz w:val="21"/>
              </w:rPr>
              <w:t>、阴离子表面活性剂、</w:t>
            </w:r>
            <w:r>
              <w:rPr>
                <w:sz w:val="21"/>
              </w:rPr>
              <w:t>高锰酸盐指数</w:t>
            </w:r>
            <w:r>
              <w:rPr>
                <w:sz w:val="21"/>
              </w:rPr>
              <w:t>（</w:t>
            </w:r>
            <w:r>
              <w:rPr>
                <w:sz w:val="21"/>
              </w:rPr>
              <w:t>COD</w:t>
            </w:r>
            <w:r>
              <w:rPr>
                <w:sz w:val="21"/>
                <w:vertAlign w:val="subscript"/>
              </w:rPr>
              <w:t>Mn</w:t>
            </w:r>
            <w:r>
              <w:rPr>
                <w:sz w:val="21"/>
              </w:rPr>
              <w:t>）、氨氮、硫化物、钠、亚硝酸盐、硝酸盐、氰化物、氟化物、碘化物、汞、砷、硒、镉、</w:t>
            </w:r>
            <w:r>
              <w:rPr>
                <w:sz w:val="21"/>
              </w:rPr>
              <w:t>六价铬</w:t>
            </w:r>
            <w:r>
              <w:rPr>
                <w:sz w:val="21"/>
              </w:rPr>
              <w:t>、铅、三氯甲烷、四氯化碳、苯、甲苯、</w:t>
            </w:r>
            <w:r>
              <w:rPr>
                <w:sz w:val="21"/>
              </w:rPr>
              <w:t>Ca</w:t>
            </w:r>
            <w:r>
              <w:rPr>
                <w:sz w:val="21"/>
                <w:vertAlign w:val="superscript"/>
              </w:rPr>
              <w:t>2+</w:t>
            </w:r>
            <w:r>
              <w:rPr>
                <w:sz w:val="21"/>
              </w:rPr>
              <w:t>、</w:t>
            </w:r>
            <w:r>
              <w:rPr>
                <w:sz w:val="21"/>
              </w:rPr>
              <w:t>Mg</w:t>
            </w:r>
            <w:r>
              <w:rPr>
                <w:sz w:val="21"/>
                <w:vertAlign w:val="superscript"/>
              </w:rPr>
              <w:t>2+</w:t>
            </w:r>
            <w:r>
              <w:rPr>
                <w:sz w:val="21"/>
              </w:rPr>
              <w:t>、</w:t>
            </w:r>
            <w:r>
              <w:rPr>
                <w:sz w:val="21"/>
              </w:rPr>
              <w:t>K</w:t>
            </w:r>
            <w:r>
              <w:rPr>
                <w:sz w:val="21"/>
                <w:vertAlign w:val="superscript"/>
              </w:rPr>
              <w:t>+</w:t>
            </w:r>
            <w:r>
              <w:rPr>
                <w:sz w:val="21"/>
              </w:rPr>
              <w:t>、</w:t>
            </w:r>
            <w:r>
              <w:rPr>
                <w:sz w:val="21"/>
              </w:rPr>
              <w:t>碳酸根（</w:t>
            </w:r>
            <w:r>
              <w:rPr>
                <w:sz w:val="21"/>
              </w:rPr>
              <w:t>CO</w:t>
            </w:r>
            <w:r>
              <w:rPr>
                <w:sz w:val="21"/>
                <w:vertAlign w:val="subscript"/>
              </w:rPr>
              <w:t>3</w:t>
            </w:r>
            <w:r>
              <w:rPr>
                <w:sz w:val="21"/>
                <w:vertAlign w:val="superscript"/>
              </w:rPr>
              <w:t>2-</w:t>
            </w:r>
            <w:r>
              <w:rPr>
                <w:sz w:val="21"/>
              </w:rPr>
              <w:t>）、重碳酸根（</w:t>
            </w:r>
            <w:r>
              <w:rPr>
                <w:sz w:val="21"/>
              </w:rPr>
              <w:t>HCO</w:t>
            </w:r>
            <w:r>
              <w:rPr>
                <w:sz w:val="21"/>
                <w:vertAlign w:val="subscript"/>
              </w:rPr>
              <w:t>3</w:t>
            </w:r>
            <w:r>
              <w:rPr>
                <w:sz w:val="21"/>
                <w:vertAlign w:val="superscript"/>
              </w:rPr>
              <w:t>-</w:t>
            </w:r>
            <w:r>
              <w:rPr>
                <w:sz w:val="21"/>
              </w:rPr>
              <w:t>）、</w:t>
            </w:r>
            <w:r>
              <w:rPr>
                <w:sz w:val="21"/>
              </w:rPr>
              <w:t>镍、银、二氯甲烷、氯苯、二甲苯及前期调查确定的特征污染指标等。</w:t>
            </w:r>
          </w:p>
          <w:p>
            <w:pPr>
              <w:ind w:firstLine="444"/>
              <w:jc w:val="left"/>
            </w:pPr>
            <w:r>
              <w:rPr>
                <w:sz w:val="21"/>
              </w:rPr>
              <w:t>②土壤基本监测指标原则上应包含《土壤环境质量建设用地土壤污染风险管控标准（试行）》（GB 36600-2018）的基本45项（砷、镉、</w:t>
            </w:r>
            <w:r>
              <w:rPr>
                <w:sz w:val="21"/>
              </w:rPr>
              <w:t>六价铬</w:t>
            </w:r>
            <w:r>
              <w:rPr>
                <w:sz w:val="21"/>
              </w:rPr>
              <w:t>、铜、铅、汞、镍、四氯化碳、氯仿、氯甲烷、</w:t>
            </w:r>
            <w:r>
              <w:rPr>
                <w:sz w:val="21"/>
              </w:rPr>
              <w:t>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w:t>
            </w:r>
            <w:r>
              <w:rPr>
                <w:sz w:val="21"/>
              </w:rPr>
              <w:t>、</w:t>
            </w:r>
            <w:r>
              <w:rPr>
                <w:sz w:val="21"/>
              </w:rPr>
              <w:t>pH值和前期调查确定的特征污染</w:t>
            </w:r>
            <w:r>
              <w:rPr>
                <w:sz w:val="21"/>
              </w:rPr>
              <w:t>铝等</w:t>
            </w:r>
            <w:r>
              <w:rPr>
                <w:sz w:val="21"/>
              </w:rPr>
              <w:t>指标。</w:t>
            </w:r>
          </w:p>
          <w:p>
            <w:pPr>
              <w:ind w:firstLine="444"/>
              <w:jc w:val="left"/>
            </w:pPr>
            <w:r>
              <w:rPr>
                <w:sz w:val="21"/>
              </w:rPr>
              <w:t>③自动监测指标为：水位、水温、溶解性总固体、pH值、溶解氧、电导率、浊度、氧化还原电位、镍、铜等水质指标。</w:t>
            </w:r>
          </w:p>
          <w:p>
            <w:pPr>
              <w:ind w:firstLine="444"/>
              <w:jc w:val="left"/>
            </w:pPr>
            <w:r>
              <w:rPr>
                <w:sz w:val="21"/>
              </w:rPr>
              <w:t>④同位素溯源监测指标为：</w:t>
            </w:r>
            <w:r>
              <w:rPr>
                <w:sz w:val="21"/>
              </w:rPr>
              <w:t>氢氧稳定同位素、氨氮同位素、溶解无机碳（</w:t>
            </w:r>
            <w:r>
              <w:rPr>
                <w:sz w:val="21"/>
              </w:rPr>
              <w:t>DIC）浓度及碳同位素、溶解有机碳（TOC）浓度及碳同位素、CO</w:t>
            </w:r>
            <w:r>
              <w:rPr>
                <w:sz w:val="21"/>
                <w:vertAlign w:val="subscript"/>
              </w:rPr>
              <w:t>2</w:t>
            </w:r>
            <w:r>
              <w:rPr>
                <w:sz w:val="21"/>
              </w:rPr>
              <w:t>和甲烷含量、甲烷碳同位素、硫酸根硫同位素</w:t>
            </w:r>
            <w:r>
              <w:rPr>
                <w:sz w:val="21"/>
              </w:rPr>
              <w:t>等。</w:t>
            </w:r>
          </w:p>
          <w:p>
            <w:pPr>
              <w:ind w:firstLine="422"/>
              <w:jc w:val="both"/>
            </w:pPr>
            <w:r>
              <w:rPr>
                <w:b/>
                <w:sz w:val="21"/>
              </w:rPr>
              <w:t>（二）质控要求</w:t>
            </w:r>
          </w:p>
          <w:p>
            <w:pPr>
              <w:ind w:firstLine="446"/>
            </w:pPr>
            <w:r>
              <w:rPr>
                <w:b/>
                <w:sz w:val="21"/>
              </w:rPr>
              <w:t>1.提交成果质量要求</w:t>
            </w:r>
          </w:p>
          <w:p>
            <w:pPr>
              <w:ind w:firstLine="444"/>
              <w:jc w:val="left"/>
            </w:pPr>
            <w:r>
              <w:rPr>
                <w:sz w:val="21"/>
              </w:rPr>
              <w:t>（</w:t>
            </w:r>
            <w:r>
              <w:rPr>
                <w:sz w:val="21"/>
              </w:rPr>
              <w:t>1）开展的质控服务应及时、规范，符合相关规范和本采购包组的要求。</w:t>
            </w:r>
          </w:p>
          <w:p>
            <w:pPr>
              <w:ind w:firstLine="444"/>
              <w:jc w:val="left"/>
            </w:pPr>
            <w:r>
              <w:rPr>
                <w:sz w:val="21"/>
              </w:rPr>
              <w:t>（</w:t>
            </w:r>
            <w:r>
              <w:rPr>
                <w:sz w:val="21"/>
              </w:rPr>
              <w:t>2）提供的质控报告必须内容完整详实、细致、准确，图表准确、清晰，符合相关规范。</w:t>
            </w:r>
          </w:p>
          <w:p>
            <w:pPr>
              <w:ind w:firstLine="446"/>
            </w:pPr>
            <w:r>
              <w:rPr>
                <w:b/>
                <w:sz w:val="21"/>
              </w:rPr>
              <w:t>2.质量控制要求</w:t>
            </w:r>
          </w:p>
          <w:p>
            <w:pPr>
              <w:ind w:firstLine="444"/>
              <w:jc w:val="left"/>
            </w:pPr>
            <w:r>
              <w:rPr>
                <w:sz w:val="21"/>
              </w:rPr>
              <w:t>制定内部质量控制实施方案，对各阶段的工作质量进行控制，保证质控服务工作完整、全面、及时、有效。</w:t>
            </w:r>
          </w:p>
          <w:p>
            <w:pPr>
              <w:ind w:firstLine="422"/>
              <w:jc w:val="both"/>
            </w:pPr>
            <w:r>
              <w:rPr>
                <w:b/>
                <w:sz w:val="21"/>
              </w:rPr>
              <w:t>（三）管理要求</w:t>
            </w:r>
          </w:p>
          <w:p>
            <w:pPr>
              <w:ind w:firstLine="446"/>
            </w:pPr>
            <w:r>
              <w:rPr>
                <w:b/>
                <w:sz w:val="21"/>
              </w:rPr>
              <w:t>1.</w:t>
            </w:r>
            <w:r>
              <w:rPr>
                <w:b/>
                <w:sz w:val="21"/>
              </w:rPr>
              <w:t>服务人员</w:t>
            </w:r>
          </w:p>
          <w:p>
            <w:pPr>
              <w:ind w:firstLine="444"/>
              <w:jc w:val="left"/>
            </w:pPr>
            <w:r>
              <w:rPr>
                <w:sz w:val="21"/>
              </w:rPr>
              <w:t>（</w:t>
            </w:r>
            <w:r>
              <w:rPr>
                <w:sz w:val="21"/>
              </w:rPr>
              <w:t>1）项目负责人具有生态环境工程、生态环境管理与咨询、生态环境监测、生态环境科学、土壤环境保护、地下水科学、水工环地质、地球化学勘查等其中一个专业中级及以上职称。具备相关工作经历。</w:t>
            </w:r>
          </w:p>
          <w:p>
            <w:pPr>
              <w:ind w:firstLine="444"/>
              <w:jc w:val="left"/>
            </w:pPr>
            <w:r>
              <w:rPr>
                <w:sz w:val="21"/>
              </w:rPr>
              <w:t>（</w:t>
            </w:r>
            <w:r>
              <w:rPr>
                <w:sz w:val="21"/>
              </w:rPr>
              <w:t>2）中标供应商应指派固定的团队为本项目提供专业服务，服务团队成员正式签订劳动合同并连续购买社保的技术人员≥25人（含项目负责人），包括比对检测技术人员，其中1人专职负责跟进相关工作。</w:t>
            </w:r>
          </w:p>
          <w:p>
            <w:pPr>
              <w:ind w:firstLine="446"/>
            </w:pPr>
            <w:r>
              <w:rPr>
                <w:b/>
                <w:sz w:val="21"/>
              </w:rPr>
              <w:t>2.</w:t>
            </w:r>
            <w:r>
              <w:rPr>
                <w:b/>
                <w:sz w:val="21"/>
              </w:rPr>
              <w:t>进度要求</w:t>
            </w:r>
          </w:p>
          <w:p>
            <w:pPr>
              <w:ind w:firstLine="444"/>
              <w:jc w:val="left"/>
            </w:pPr>
            <w:r>
              <w:rPr>
                <w:sz w:val="21"/>
              </w:rPr>
              <w:t>按照采购包</w:t>
            </w:r>
            <w:r>
              <w:rPr>
                <w:sz w:val="21"/>
              </w:rPr>
              <w:t>1的项目进度要求，同步组织开展质控服务工作：</w:t>
            </w:r>
          </w:p>
          <w:p>
            <w:pPr>
              <w:ind w:firstLine="444"/>
              <w:jc w:val="left"/>
            </w:pPr>
            <w:r>
              <w:rPr>
                <w:sz w:val="21"/>
              </w:rPr>
              <w:t>（</w:t>
            </w:r>
            <w:r>
              <w:rPr>
                <w:sz w:val="21"/>
              </w:rPr>
              <w:t>1）合同签订之日起2个月内：完成质控服务工作实施方案的编制并通过专家评审，完成采购包1</w:t>
            </w:r>
            <w:r>
              <w:rPr>
                <w:sz w:val="21"/>
              </w:rPr>
              <w:t>检测机构分析方法确认工作</w:t>
            </w:r>
            <w:r>
              <w:rPr>
                <w:sz w:val="21"/>
              </w:rPr>
              <w:t>。</w:t>
            </w:r>
          </w:p>
          <w:p>
            <w:pPr>
              <w:ind w:firstLine="444"/>
              <w:jc w:val="left"/>
            </w:pPr>
            <w:r>
              <w:rPr>
                <w:sz w:val="21"/>
              </w:rPr>
              <w:t>（</w:t>
            </w:r>
            <w:r>
              <w:rPr>
                <w:sz w:val="21"/>
              </w:rPr>
              <w:t>2）合同签订之日起8个月内：按采购包1进度同步完成补充调查井的建设质量核查、地下水水质和土壤现场采样、样品分析、同位素溯源监测等工作的质量检查和盲样考核及比对监测工作。</w:t>
            </w:r>
          </w:p>
          <w:p>
            <w:pPr>
              <w:ind w:firstLine="444"/>
              <w:jc w:val="left"/>
            </w:pPr>
            <w:r>
              <w:rPr>
                <w:sz w:val="21"/>
              </w:rPr>
              <w:t>（</w:t>
            </w:r>
            <w:r>
              <w:rPr>
                <w:sz w:val="21"/>
              </w:rPr>
              <w:t>3）2024年12月31日前：项目质控资料整理和数据汇总分析，编制项目质控工作成果报告等。</w:t>
            </w:r>
          </w:p>
          <w:p>
            <w:pPr>
              <w:ind w:firstLine="446"/>
            </w:pPr>
            <w:r>
              <w:rPr>
                <w:b/>
                <w:sz w:val="21"/>
              </w:rPr>
              <w:t>3</w:t>
            </w:r>
            <w:r>
              <w:rPr>
                <w:b/>
                <w:sz w:val="21"/>
              </w:rPr>
              <w:t>.</w:t>
            </w:r>
            <w:r>
              <w:rPr>
                <w:b/>
                <w:sz w:val="21"/>
              </w:rPr>
              <w:t>成果要求</w:t>
            </w:r>
          </w:p>
          <w:p>
            <w:pPr>
              <w:ind w:firstLine="444"/>
              <w:jc w:val="left"/>
            </w:pPr>
            <w:r>
              <w:rPr>
                <w:sz w:val="21"/>
              </w:rPr>
              <w:t>（</w:t>
            </w:r>
            <w:r>
              <w:rPr>
                <w:sz w:val="21"/>
              </w:rPr>
              <w:t>1）完成单次质量核查工作后一周内提供该次质控工作报告1份。</w:t>
            </w:r>
          </w:p>
          <w:p>
            <w:pPr>
              <w:ind w:firstLine="444"/>
              <w:jc w:val="left"/>
            </w:pPr>
            <w:r>
              <w:rPr>
                <w:sz w:val="21"/>
              </w:rPr>
              <w:t>（</w:t>
            </w:r>
            <w:r>
              <w:rPr>
                <w:sz w:val="21"/>
              </w:rPr>
              <w:t>2）每月编制质控报告1 份。</w:t>
            </w:r>
          </w:p>
          <w:p>
            <w:pPr>
              <w:ind w:firstLine="444"/>
              <w:jc w:val="left"/>
            </w:pPr>
            <w:r>
              <w:rPr>
                <w:sz w:val="21"/>
              </w:rPr>
              <w:t>（</w:t>
            </w:r>
            <w:r>
              <w:rPr>
                <w:sz w:val="21"/>
              </w:rPr>
              <w:t>3）加盖CMA的比对检测报告1份。</w:t>
            </w:r>
          </w:p>
          <w:p>
            <w:pPr>
              <w:ind w:firstLine="444"/>
              <w:jc w:val="left"/>
            </w:pPr>
            <w:r>
              <w:rPr>
                <w:sz w:val="21"/>
              </w:rPr>
              <w:t>（</w:t>
            </w:r>
            <w:r>
              <w:rPr>
                <w:sz w:val="21"/>
              </w:rPr>
              <w:t>4）项目技术报告和项目工作总结报告各1份。</w:t>
            </w:r>
          </w:p>
          <w:p>
            <w:pPr>
              <w:ind w:firstLine="444"/>
              <w:jc w:val="left"/>
            </w:pPr>
            <w:r>
              <w:rPr>
                <w:sz w:val="21"/>
              </w:rPr>
              <w:t>以上成果需提供电子文档及纸质文档</w:t>
            </w:r>
            <w:r>
              <w:rPr>
                <w:sz w:val="21"/>
              </w:rPr>
              <w:t>3份。</w:t>
            </w:r>
          </w:p>
          <w:p>
            <w:pPr>
              <w:ind w:firstLine="446"/>
            </w:pPr>
            <w:r>
              <w:rPr>
                <w:b/>
                <w:sz w:val="21"/>
              </w:rPr>
              <w:t>4.实物工作量</w:t>
            </w:r>
          </w:p>
          <w:tbl>
            <w:tblPr>
              <w:tblBorders>
                <w:top w:val="none" w:color="000000" w:sz="4"/>
                <w:left w:val="none" w:color="000000" w:sz="4"/>
                <w:bottom w:val="none" w:color="000000" w:sz="4"/>
                <w:right w:val="none" w:color="000000" w:sz="4"/>
                <w:insideH w:val="none"/>
                <w:insideV w:val="none"/>
              </w:tblBorders>
            </w:tblPr>
            <w:tblGrid>
              <w:gridCol w:w="521"/>
              <w:gridCol w:w="595"/>
              <w:gridCol w:w="1864"/>
              <w:gridCol w:w="781"/>
              <w:gridCol w:w="974"/>
              <w:gridCol w:w="863"/>
            </w:tblGrid>
            <w:tr>
              <w:tc>
                <w:tcPr>
                  <w:tcW w:type="dxa" w:w="52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459"/>
                  <w:gridSpan w:val="2"/>
                  <w:tcBorders>
                    <w:top w:val="single" w:color="000000" w:sz="4"/>
                    <w:left w:val="single" w:color="000000" w:sz="4"/>
                    <w:bottom w:val="single" w:color="000000" w:sz="4"/>
                    <w:right w:val="single" w:color="000000" w:sz="4"/>
                  </w:tcBorders>
                  <w:vAlign w:val="top"/>
                </w:tcPr>
                <w:p>
                  <w:pPr>
                    <w:jc w:val="center"/>
                  </w:pPr>
                  <w:r>
                    <w:rPr>
                      <w:b/>
                      <w:sz w:val="21"/>
                    </w:rPr>
                    <w:t>工作项目</w:t>
                  </w:r>
                </w:p>
              </w:tc>
              <w:tc>
                <w:tcPr>
                  <w:tcW w:type="dxa" w:w="781"/>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974"/>
                  <w:tcBorders>
                    <w:top w:val="single" w:color="000000" w:sz="4"/>
                    <w:left w:val="single" w:color="000000" w:sz="4"/>
                    <w:bottom w:val="single" w:color="000000" w:sz="4"/>
                    <w:right w:val="single" w:color="000000" w:sz="4"/>
                  </w:tcBorders>
                  <w:vAlign w:val="top"/>
                </w:tcPr>
                <w:p>
                  <w:pPr>
                    <w:jc w:val="center"/>
                  </w:pPr>
                  <w:r>
                    <w:rPr>
                      <w:b/>
                      <w:sz w:val="21"/>
                    </w:rPr>
                    <w:t>工作量</w:t>
                  </w:r>
                </w:p>
              </w:tc>
              <w:tc>
                <w:tcPr>
                  <w:tcW w:type="dxa" w:w="863"/>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59"/>
                  <w:gridSpan w:val="2"/>
                  <w:tcBorders>
                    <w:top w:val="none" w:color="000000" w:sz="4"/>
                    <w:left w:val="single" w:color="000000" w:sz="4"/>
                    <w:bottom w:val="single" w:color="000000" w:sz="4"/>
                    <w:right w:val="single" w:color="000000" w:sz="4"/>
                  </w:tcBorders>
                  <w:vAlign w:val="top"/>
                </w:tcPr>
                <w:p>
                  <w:pPr>
                    <w:jc w:val="center"/>
                  </w:pPr>
                  <w:r>
                    <w:rPr>
                      <w:sz w:val="21"/>
                    </w:rPr>
                    <w:t>建井质量核查</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3"/>
                  <w:tcBorders>
                    <w:top w:val="none" w:color="000000" w:sz="4"/>
                    <w:left w:val="single" w:color="000000" w:sz="4"/>
                    <w:bottom w:val="single" w:color="000000" w:sz="4"/>
                    <w:right w:val="single" w:color="000000" w:sz="4"/>
                  </w:tcBorders>
                  <w:vAlign w:val="top"/>
                </w:tcPr>
                <w:p>
                  <w:pPr>
                    <w:jc w:val="center"/>
                  </w:pPr>
                </w:p>
              </w:tc>
            </w:tr>
            <w:tr>
              <w:tc>
                <w:tcPr>
                  <w:tcW w:type="dxa" w:w="5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59"/>
                  <w:gridSpan w:val="2"/>
                  <w:tcBorders>
                    <w:top w:val="none" w:color="000000" w:sz="4"/>
                    <w:left w:val="single" w:color="000000" w:sz="4"/>
                    <w:bottom w:val="single" w:color="000000" w:sz="4"/>
                    <w:right w:val="single" w:color="000000" w:sz="4"/>
                  </w:tcBorders>
                  <w:vAlign w:val="top"/>
                </w:tcPr>
                <w:p>
                  <w:pPr>
                    <w:jc w:val="center"/>
                  </w:pPr>
                  <w:r>
                    <w:rPr>
                      <w:sz w:val="21"/>
                    </w:rPr>
                    <w:t>地下水采样质量核查</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63"/>
                  <w:tcBorders>
                    <w:top w:val="none" w:color="000000" w:sz="4"/>
                    <w:left w:val="single" w:color="000000" w:sz="4"/>
                    <w:bottom w:val="single" w:color="000000" w:sz="4"/>
                    <w:right w:val="single" w:color="000000" w:sz="4"/>
                  </w:tcBorders>
                  <w:vAlign w:val="top"/>
                </w:tcPr>
                <w:p>
                  <w:pPr>
                    <w:jc w:val="center"/>
                  </w:pPr>
                </w:p>
              </w:tc>
            </w:tr>
            <w:tr>
              <w:tc>
                <w:tcPr>
                  <w:tcW w:type="dxa" w:w="5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59"/>
                  <w:gridSpan w:val="2"/>
                  <w:tcBorders>
                    <w:top w:val="none" w:color="000000" w:sz="4"/>
                    <w:left w:val="single" w:color="000000" w:sz="4"/>
                    <w:bottom w:val="single" w:color="000000" w:sz="4"/>
                    <w:right w:val="single" w:color="000000" w:sz="4"/>
                  </w:tcBorders>
                  <w:vAlign w:val="top"/>
                </w:tcPr>
                <w:p>
                  <w:pPr>
                    <w:jc w:val="center"/>
                  </w:pPr>
                  <w:r>
                    <w:rPr>
                      <w:sz w:val="21"/>
                    </w:rPr>
                    <w:t>土壤采样质量核查</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63"/>
                  <w:tcBorders>
                    <w:top w:val="none" w:color="000000" w:sz="4"/>
                    <w:left w:val="single" w:color="000000" w:sz="4"/>
                    <w:bottom w:val="single" w:color="000000" w:sz="4"/>
                    <w:right w:val="single" w:color="000000" w:sz="4"/>
                  </w:tcBorders>
                  <w:vAlign w:val="top"/>
                </w:tcPr>
                <w:p>
                  <w:pPr>
                    <w:jc w:val="center"/>
                  </w:pPr>
                </w:p>
              </w:tc>
            </w:tr>
            <w:tr>
              <w:tc>
                <w:tcPr>
                  <w:tcW w:type="dxa" w:w="5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59"/>
                  <w:gridSpan w:val="2"/>
                  <w:tcBorders>
                    <w:top w:val="none" w:color="000000" w:sz="4"/>
                    <w:left w:val="single" w:color="000000" w:sz="4"/>
                    <w:bottom w:val="single" w:color="000000" w:sz="4"/>
                    <w:right w:val="single" w:color="000000" w:sz="4"/>
                  </w:tcBorders>
                  <w:vAlign w:val="top"/>
                </w:tcPr>
                <w:p>
                  <w:pPr>
                    <w:jc w:val="center"/>
                  </w:pPr>
                  <w:r>
                    <w:rPr>
                      <w:sz w:val="21"/>
                    </w:rPr>
                    <w:t>地下水和土壤室内测试质量核查</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3"/>
                  <w:tcBorders>
                    <w:top w:val="none" w:color="000000" w:sz="4"/>
                    <w:left w:val="single" w:color="000000" w:sz="4"/>
                    <w:bottom w:val="single" w:color="000000" w:sz="4"/>
                    <w:right w:val="single" w:color="000000" w:sz="4"/>
                  </w:tcBorders>
                  <w:vAlign w:val="top"/>
                </w:tcPr>
                <w:p>
                  <w:pPr>
                    <w:jc w:val="center"/>
                  </w:pPr>
                </w:p>
              </w:tc>
            </w:tr>
            <w:tr>
              <w:tc>
                <w:tcPr>
                  <w:tcW w:type="dxa" w:w="52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59"/>
                  <w:gridSpan w:val="2"/>
                  <w:tcBorders>
                    <w:top w:val="none" w:color="000000" w:sz="4"/>
                    <w:left w:val="single" w:color="000000" w:sz="4"/>
                    <w:bottom w:val="single" w:color="000000" w:sz="4"/>
                    <w:right w:val="single" w:color="000000" w:sz="4"/>
                  </w:tcBorders>
                  <w:vAlign w:val="top"/>
                </w:tcPr>
                <w:p>
                  <w:pPr>
                    <w:jc w:val="center"/>
                  </w:pPr>
                  <w:r>
                    <w:rPr>
                      <w:sz w:val="21"/>
                    </w:rPr>
                    <w:t>地下水样品比对监测</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63"/>
                  <w:tcBorders>
                    <w:top w:val="none" w:color="000000" w:sz="4"/>
                    <w:left w:val="single" w:color="000000" w:sz="4"/>
                    <w:bottom w:val="single" w:color="000000" w:sz="4"/>
                    <w:right w:val="single" w:color="000000" w:sz="4"/>
                  </w:tcBorders>
                  <w:vAlign w:val="top"/>
                </w:tcPr>
                <w:p>
                  <w:pPr>
                    <w:jc w:val="center"/>
                  </w:pPr>
                </w:p>
              </w:tc>
            </w:tr>
            <w:tr>
              <w:tc>
                <w:tcPr>
                  <w:tcW w:type="dxa" w:w="52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59"/>
                  <w:gridSpan w:val="2"/>
                  <w:tcBorders>
                    <w:top w:val="none" w:color="000000" w:sz="4"/>
                    <w:left w:val="single" w:color="000000" w:sz="4"/>
                    <w:bottom w:val="single" w:color="000000" w:sz="4"/>
                    <w:right w:val="single" w:color="000000" w:sz="4"/>
                  </w:tcBorders>
                  <w:vAlign w:val="top"/>
                </w:tcPr>
                <w:p>
                  <w:pPr>
                    <w:jc w:val="center"/>
                  </w:pPr>
                  <w:r>
                    <w:rPr>
                      <w:sz w:val="21"/>
                    </w:rPr>
                    <w:t>土壤样品比对监测</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63"/>
                  <w:tcBorders>
                    <w:top w:val="none" w:color="000000" w:sz="4"/>
                    <w:left w:val="single" w:color="000000" w:sz="4"/>
                    <w:bottom w:val="single" w:color="000000" w:sz="4"/>
                    <w:right w:val="single" w:color="000000" w:sz="4"/>
                  </w:tcBorders>
                  <w:vAlign w:val="top"/>
                </w:tcPr>
                <w:p>
                  <w:pPr>
                    <w:jc w:val="center"/>
                  </w:pPr>
                </w:p>
              </w:tc>
            </w:tr>
            <w:tr>
              <w:tc>
                <w:tcPr>
                  <w:tcW w:type="dxa" w:w="521"/>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95"/>
                  <w:vMerge w:val="restart"/>
                  <w:tcBorders>
                    <w:top w:val="none" w:color="000000" w:sz="4"/>
                    <w:left w:val="single" w:color="000000" w:sz="4"/>
                    <w:bottom w:val="single" w:color="000000" w:sz="4"/>
                    <w:right w:val="single" w:color="000000" w:sz="4"/>
                  </w:tcBorders>
                  <w:vAlign w:val="top"/>
                </w:tcPr>
                <w:p>
                  <w:pPr>
                    <w:jc w:val="center"/>
                  </w:pPr>
                  <w:r>
                    <w:rPr>
                      <w:sz w:val="21"/>
                    </w:rPr>
                    <w:t>标样</w:t>
                  </w:r>
                </w:p>
                <w:p>
                  <w:pPr>
                    <w:jc w:val="center"/>
                  </w:pPr>
                  <w:r>
                    <w:rPr>
                      <w:sz w:val="21"/>
                    </w:rPr>
                    <w:t>考核</w:t>
                  </w:r>
                </w:p>
              </w:tc>
              <w:tc>
                <w:tcPr>
                  <w:tcW w:type="dxa" w:w="1864"/>
                  <w:tcBorders>
                    <w:top w:val="none" w:color="000000" w:sz="4"/>
                    <w:left w:val="single" w:color="000000" w:sz="4"/>
                    <w:bottom w:val="single" w:color="000000" w:sz="4"/>
                    <w:right w:val="single" w:color="000000" w:sz="4"/>
                  </w:tcBorders>
                  <w:vAlign w:val="top"/>
                </w:tcPr>
                <w:p>
                  <w:pPr>
                    <w:jc w:val="center"/>
                  </w:pPr>
                  <w:r>
                    <w:rPr>
                      <w:sz w:val="21"/>
                    </w:rPr>
                    <w:t>地下水手工检测</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63"/>
                  <w:tcBorders>
                    <w:top w:val="single" w:color="000000" w:sz="4"/>
                    <w:left w:val="single" w:color="000000" w:sz="4"/>
                    <w:bottom w:val="single" w:color="000000" w:sz="4"/>
                    <w:right w:val="single" w:color="000000" w:sz="4"/>
                  </w:tcBorders>
                  <w:vAlign w:val="top"/>
                </w:tcPr>
                <w:p>
                  <w:pPr>
                    <w:jc w:val="center"/>
                  </w:pPr>
                  <w:r>
                    <w:rPr>
                      <w:sz w:val="21"/>
                    </w:rPr>
                    <w:t>4次</w:t>
                  </w:r>
                </w:p>
              </w:tc>
            </w:tr>
            <w:tr>
              <w:tc>
                <w:tcPr>
                  <w:tcW w:type="dxa" w:w="521"/>
                  <w:vMerge/>
                  <w:tcBorders>
                    <w:top w:val="none" w:color="000000" w:sz="4"/>
                    <w:left w:val="single" w:color="000000" w:sz="4"/>
                    <w:bottom w:val="single" w:color="000000" w:sz="4"/>
                    <w:right w:val="single" w:color="000000" w:sz="4"/>
                  </w:tcBorders>
                </w:tcPr>
                <w:p/>
              </w:tc>
              <w:tc>
                <w:tcPr>
                  <w:tcW w:type="dxa" w:w="595"/>
                  <w:vMerge/>
                  <w:tcBorders>
                    <w:top w:val="none" w:color="000000" w:sz="4"/>
                    <w:left w:val="single" w:color="000000" w:sz="4"/>
                    <w:bottom w:val="single" w:color="000000" w:sz="4"/>
                    <w:right w:val="single" w:color="000000" w:sz="4"/>
                  </w:tcBorders>
                </w:tcPr>
                <w:p/>
              </w:tc>
              <w:tc>
                <w:tcPr>
                  <w:tcW w:type="dxa" w:w="1864"/>
                  <w:tcBorders>
                    <w:top w:val="none" w:color="000000" w:sz="4"/>
                    <w:left w:val="single" w:color="000000" w:sz="4"/>
                    <w:bottom w:val="single" w:color="000000" w:sz="4"/>
                    <w:right w:val="single" w:color="000000" w:sz="4"/>
                  </w:tcBorders>
                  <w:vAlign w:val="top"/>
                </w:tcPr>
                <w:p>
                  <w:pPr>
                    <w:jc w:val="center"/>
                  </w:pPr>
                  <w:r>
                    <w:rPr>
                      <w:sz w:val="21"/>
                    </w:rPr>
                    <w:t>地下水自动监测设备</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63"/>
                  <w:tcBorders>
                    <w:top w:val="none" w:color="000000" w:sz="4"/>
                    <w:left w:val="single" w:color="000000" w:sz="4"/>
                    <w:bottom w:val="single" w:color="000000" w:sz="4"/>
                    <w:right w:val="single" w:color="000000" w:sz="4"/>
                  </w:tcBorders>
                  <w:vAlign w:val="top"/>
                </w:tcPr>
                <w:p>
                  <w:pPr>
                    <w:jc w:val="center"/>
                  </w:pPr>
                  <w:r>
                    <w:rPr>
                      <w:sz w:val="21"/>
                    </w:rPr>
                    <w:t>9次</w:t>
                  </w:r>
                </w:p>
              </w:tc>
            </w:tr>
            <w:tr>
              <w:tc>
                <w:tcPr>
                  <w:tcW w:type="dxa" w:w="521"/>
                  <w:vMerge/>
                  <w:tcBorders>
                    <w:top w:val="none" w:color="000000" w:sz="4"/>
                    <w:left w:val="single" w:color="000000" w:sz="4"/>
                    <w:bottom w:val="single" w:color="000000" w:sz="4"/>
                    <w:right w:val="single" w:color="000000" w:sz="4"/>
                  </w:tcBorders>
                </w:tcPr>
                <w:p/>
              </w:tc>
              <w:tc>
                <w:tcPr>
                  <w:tcW w:type="dxa" w:w="595"/>
                  <w:vMerge/>
                  <w:tcBorders>
                    <w:top w:val="none" w:color="000000" w:sz="4"/>
                    <w:left w:val="single" w:color="000000" w:sz="4"/>
                    <w:bottom w:val="single" w:color="000000" w:sz="4"/>
                    <w:right w:val="single" w:color="000000" w:sz="4"/>
                  </w:tcBorders>
                </w:tcPr>
                <w:p/>
              </w:tc>
              <w:tc>
                <w:tcPr>
                  <w:tcW w:type="dxa" w:w="1864"/>
                  <w:tcBorders>
                    <w:top w:val="none" w:color="000000" w:sz="4"/>
                    <w:left w:val="single" w:color="000000" w:sz="4"/>
                    <w:bottom w:val="single" w:color="000000" w:sz="4"/>
                    <w:right w:val="single" w:color="000000" w:sz="4"/>
                  </w:tcBorders>
                  <w:vAlign w:val="top"/>
                </w:tcPr>
                <w:p>
                  <w:pPr>
                    <w:jc w:val="center"/>
                  </w:pPr>
                  <w:r>
                    <w:rPr>
                      <w:sz w:val="21"/>
                    </w:rPr>
                    <w:t>同位素检测</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63"/>
                  <w:tcBorders>
                    <w:top w:val="none" w:color="000000" w:sz="4"/>
                    <w:left w:val="single" w:color="000000" w:sz="4"/>
                    <w:bottom w:val="single" w:color="000000" w:sz="4"/>
                    <w:right w:val="single" w:color="000000" w:sz="4"/>
                  </w:tcBorders>
                  <w:vAlign w:val="top"/>
                </w:tcPr>
                <w:p>
                  <w:pPr>
                    <w:jc w:val="center"/>
                  </w:pPr>
                  <w:r>
                    <w:rPr>
                      <w:sz w:val="21"/>
                    </w:rPr>
                    <w:t>3类</w:t>
                  </w:r>
                </w:p>
              </w:tc>
            </w:tr>
            <w:tr>
              <w:tc>
                <w:tcPr>
                  <w:tcW w:type="dxa" w:w="521"/>
                  <w:vMerge/>
                  <w:tcBorders>
                    <w:top w:val="none" w:color="000000" w:sz="4"/>
                    <w:left w:val="single" w:color="000000" w:sz="4"/>
                    <w:bottom w:val="single" w:color="000000" w:sz="4"/>
                    <w:right w:val="single" w:color="000000" w:sz="4"/>
                  </w:tcBorders>
                </w:tcPr>
                <w:p/>
              </w:tc>
              <w:tc>
                <w:tcPr>
                  <w:tcW w:type="dxa" w:w="595"/>
                  <w:vMerge/>
                  <w:tcBorders>
                    <w:top w:val="none" w:color="000000" w:sz="4"/>
                    <w:left w:val="single" w:color="000000" w:sz="4"/>
                    <w:bottom w:val="single" w:color="000000" w:sz="4"/>
                    <w:right w:val="single" w:color="000000" w:sz="4"/>
                  </w:tcBorders>
                </w:tcPr>
                <w:p/>
              </w:tc>
              <w:tc>
                <w:tcPr>
                  <w:tcW w:type="dxa" w:w="1864"/>
                  <w:tcBorders>
                    <w:top w:val="none" w:color="000000" w:sz="4"/>
                    <w:left w:val="single" w:color="000000" w:sz="4"/>
                    <w:bottom w:val="single" w:color="000000" w:sz="4"/>
                    <w:right w:val="single" w:color="000000" w:sz="4"/>
                  </w:tcBorders>
                  <w:vAlign w:val="top"/>
                </w:tcPr>
                <w:p>
                  <w:pPr>
                    <w:jc w:val="center"/>
                  </w:pPr>
                  <w:r>
                    <w:rPr>
                      <w:sz w:val="21"/>
                    </w:rPr>
                    <w:t>土壤手工检测</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63"/>
                  <w:tcBorders>
                    <w:top w:val="none" w:color="000000" w:sz="4"/>
                    <w:left w:val="single" w:color="000000" w:sz="4"/>
                    <w:bottom w:val="single" w:color="000000" w:sz="4"/>
                    <w:right w:val="single" w:color="000000" w:sz="4"/>
                  </w:tcBorders>
                  <w:vAlign w:val="top"/>
                </w:tcPr>
                <w:p>
                  <w:pPr>
                    <w:jc w:val="center"/>
                  </w:pPr>
                  <w:r>
                    <w:rPr>
                      <w:sz w:val="21"/>
                    </w:rPr>
                    <w:t>3类</w:t>
                  </w:r>
                </w:p>
              </w:tc>
            </w:tr>
            <w:tr>
              <w:tc>
                <w:tcPr>
                  <w:tcW w:type="dxa" w:w="52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59"/>
                  <w:gridSpan w:val="2"/>
                  <w:tcBorders>
                    <w:top w:val="none" w:color="000000" w:sz="4"/>
                    <w:left w:val="single" w:color="000000" w:sz="4"/>
                    <w:bottom w:val="single" w:color="000000" w:sz="4"/>
                    <w:right w:val="single" w:color="000000" w:sz="4"/>
                  </w:tcBorders>
                  <w:vAlign w:val="top"/>
                </w:tcPr>
                <w:p>
                  <w:pPr>
                    <w:jc w:val="center"/>
                  </w:pPr>
                  <w:r>
                    <w:rPr>
                      <w:sz w:val="21"/>
                    </w:rPr>
                    <w:t>检测机构质控数据和报告检查</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3"/>
                  <w:tcBorders>
                    <w:top w:val="none" w:color="000000" w:sz="4"/>
                    <w:left w:val="single" w:color="000000" w:sz="4"/>
                    <w:bottom w:val="single" w:color="000000" w:sz="4"/>
                    <w:right w:val="single" w:color="000000" w:sz="4"/>
                  </w:tcBorders>
                  <w:vAlign w:val="top"/>
                </w:tcPr>
                <w:p>
                  <w:pPr>
                    <w:jc w:val="center"/>
                  </w:pPr>
                </w:p>
              </w:tc>
            </w:tr>
            <w:tr>
              <w:tc>
                <w:tcPr>
                  <w:tcW w:type="dxa" w:w="52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59"/>
                  <w:gridSpan w:val="2"/>
                  <w:tcBorders>
                    <w:top w:val="none" w:color="000000" w:sz="4"/>
                    <w:left w:val="single" w:color="000000" w:sz="4"/>
                    <w:bottom w:val="single" w:color="000000" w:sz="4"/>
                    <w:right w:val="single" w:color="000000" w:sz="4"/>
                  </w:tcBorders>
                  <w:vAlign w:val="top"/>
                </w:tcPr>
                <w:p>
                  <w:pPr>
                    <w:jc w:val="center"/>
                  </w:pPr>
                  <w:r>
                    <w:rPr>
                      <w:sz w:val="21"/>
                    </w:rPr>
                    <w:t>质控报告编制，质量核查、样品比对、标样考核等数据统计和资料整理</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9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63"/>
                  <w:tcBorders>
                    <w:top w:val="none" w:color="000000" w:sz="4"/>
                    <w:left w:val="single" w:color="000000" w:sz="4"/>
                    <w:bottom w:val="single" w:color="000000" w:sz="4"/>
                    <w:right w:val="single" w:color="000000" w:sz="4"/>
                  </w:tcBorders>
                  <w:vAlign w:val="top"/>
                </w:tcPr>
                <w:p>
                  <w:pPr>
                    <w:jc w:val="center"/>
                  </w:pPr>
                </w:p>
              </w:tc>
            </w:tr>
          </w:tbl>
          <w:p>
            <w:pPr>
              <w:ind w:firstLine="422"/>
              <w:jc w:val="both"/>
            </w:pPr>
            <w:r>
              <w:rPr>
                <w:b/>
                <w:sz w:val="21"/>
              </w:rPr>
              <w:t>（五）其他要求</w:t>
            </w:r>
          </w:p>
          <w:p>
            <w:pPr>
              <w:ind w:firstLine="444"/>
              <w:jc w:val="left"/>
            </w:pPr>
            <w:r>
              <w:rPr>
                <w:sz w:val="21"/>
              </w:rPr>
              <w:t>中标供应商未经采购人同意，不得对采购人提供的资料及文件擅自修改，复制或向第三人转让或用于本项目外的项目，中标供应商不得将本项目实施过程产生的数据及资料泄露给与本项目工作无关的人员和单位，不得用于其他项目或者事项。如发生以上情况，中标供应商需承担一切由此引起的后果并承担法律及经济责任。项目完成后，中标供应商须把采购人提供的所有资料、数据完整归还采购人，并不得留存任何复制品。中标供应商项目组人员均需与采购人签署保密协议。且保密义务不随着项目的结束而结束。</w:t>
            </w:r>
          </w:p>
          <w:p>
            <w:pPr>
              <w:ind w:firstLine="444"/>
              <w:jc w:val="left"/>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广东省佛山生态环境监测站</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兼投不兼中：本项目可兼投但不可兼中。本项目评审按照采购包顺序（采购包1 →采购包2）依次进行评审。投标人可兼投多个采购包但只能成为一个采购包的中标供应商。如投标人已经成为前面采购包的第一中标候选人，其投标文件不参与后续采购包的详细评审。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代理服务费收费标准：本项目的招标代理服务费收费标准以各采购包的采购预算金额为计算基数参照国家计委颁布的（计价格【2002】1980号）及国家发改委颁布的（发改办价格【2003】857号）收取。招标代理服务费由各采购包的中标供应商在领取《中标通知书》前一次性向采购代理机构交纳以下金额： 采购包1：￥36,299.00元（大写：人民币叁万陆仟贰佰玖拾玖元整）； 采购包2：￥4,314.00元（大写：人民币肆仟叁佰壹拾肆元整）。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采购包1：面向中小企业，以联合体形式预留，预留比例：40.0%。</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张智钊、郑壁伦</w:t>
      </w:r>
    </w:p>
    <w:p>
      <w:pPr>
        <w:ind w:firstLine="480"/>
      </w:pPr>
      <w:r>
        <w:rPr/>
        <w:t>电话：</w:t>
      </w:r>
      <w:r>
        <w:rPr/>
        <w:t>020-37656571、020-39977414</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佛山市典型区域地下水监测井周边污染源调查与精准管控项目（二期）)：综合评分法,是指投标文件满足招标文件全部实质性要求，且按照评审因素的量化指标评审得分最高的投标人为中标候选人的评标方法。（最低报价不是中标的唯一依据。）</w:t>
      </w:r>
    </w:p>
    <w:p/>
    <w:p>
      <w:r>
        <w:rPr/>
        <w:t>采购包2(佛山市典型区域地下水监测井周边污染源调查与精准管控项目（二期）质控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采购包1（佛山市典型区域地下水监测井周边污染源调查与精准管控项目（二期））：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采购包2（佛山市典型区域地下水监测井周边污染源调查与精准管控项目（二期）质控服务）：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采购包1（佛山市典型区域地下水监测井周边污染源调查与精准管控项目（二期））：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特定资格要求（联合体）</w:t>
            </w:r>
          </w:p>
        </w:tc>
        <w:tc>
          <w:tcPr>
            <w:tcW w:type="dxa" w:w="4238"/>
          </w:tcPr>
          <w:p>
            <w:r>
              <w:rPr/>
              <w:t>本采购包接受联合体投标。 如以联合体形式参与投标： 1）联合体最多由5家单位（已含牵头单位及成员单位）组成，联合体须在投标文件中提供《联合体共同投标协议书》，《联合体共同投标协议书》中应明确各方的权利、义务和投标金额的各自占比； 2）联合体各方签订《联合体共同投标协议书》后，不得再以自己名义单独投标或加入其他联合体在同一项目中进行投标，如有违反，其投标和与此有关的联合体的投标将被拒绝； 3）联合体如获得中标资格，联合体各方应当共同与采购人签订合同，为履行合同向采购人承担连带责任。联合体牵头方应被授权作为联合体各方的代表，向采购人承担责任和接受指令，并负责整个合同的全面履行。</w:t>
            </w:r>
          </w:p>
        </w:tc>
      </w:tr>
      <w:tr>
        <w:tc>
          <w:tcPr>
            <w:tcW w:type="dxa" w:w="890"/>
          </w:tcPr>
          <w:p>
            <w:r>
              <w:rPr/>
              <w:t>9</w:t>
            </w:r>
          </w:p>
        </w:tc>
        <w:tc>
          <w:tcPr>
            <w:tcW w:type="dxa" w:w="3178"/>
          </w:tcPr>
          <w:p>
            <w:r>
              <w:rPr/>
              <w:t>特定资格要求</w:t>
            </w:r>
          </w:p>
        </w:tc>
        <w:tc>
          <w:tcPr>
            <w:tcW w:type="dxa" w:w="4238"/>
          </w:tcPr>
          <w:p>
            <w:r>
              <w:rPr/>
              <w:t>投标人需提供盖章确认的廉洁自律承诺书（格式见附件）</w:t>
            </w:r>
          </w:p>
        </w:tc>
      </w:tr>
      <w:tr>
        <w:tc>
          <w:tcPr>
            <w:tcW w:type="dxa" w:w="890"/>
          </w:tcPr>
          <w:p>
            <w:r>
              <w:rPr/>
              <w:t>10</w:t>
            </w:r>
          </w:p>
        </w:tc>
        <w:tc>
          <w:tcPr>
            <w:tcW w:type="dxa" w:w="3178"/>
          </w:tcPr>
          <w:p>
            <w:r>
              <w:rPr/>
              <w:t>特定资格要求（CMA）</w:t>
            </w:r>
          </w:p>
        </w:tc>
        <w:tc>
          <w:tcPr>
            <w:tcW w:type="dxa" w:w="4238"/>
          </w:tcPr>
          <w:p>
            <w:r>
              <w:rPr/>
              <w:t>具备CMA资质，且资质证书附表涵盖地下水基本监测指标和土壤基本监测指标。①地下水检测资质应包括：pH值、总硬度（以CaCO3计）、溶解性总固体、硫酸盐、氯化物、铁、锰、铜、锌、铝、挥发性酚类（挥发酚）、阴离子表面活性剂、高锰酸盐指数（CODMn）、氨氮、硫化物、钠、亚硝酸盐、硝酸盐、氰化物、氟化物、碘化物、汞、砷、硒、镉、六价铬、铅、三氯甲烷、四氯化碳、苯、甲苯、Ca2+、 Mg2+、 K+、 碳酸根（CO32-）、重碳酸根（HCO3-）、溶解氧、氧化还原电位、浊度、电导率、镍、银、二氯甲烷、氯苯、二甲苯，共45项;②土壤检测资质应包含《土壤环境质量建设用地土壤污染风险管控标准（试行）》（GB 36600-2018）的基本指标45项（砷、镉、六价铬、铜、铅、汞、镍、四氯化碳、氯仿、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和pH值、铝，共47项。</w:t>
            </w:r>
          </w:p>
        </w:tc>
      </w:tr>
      <w:tr>
        <w:tc>
          <w:tcPr>
            <w:tcW w:type="dxa" w:w="890"/>
          </w:tcPr>
          <w:p>
            <w:r>
              <w:rPr/>
              <w:t>11</w:t>
            </w:r>
          </w:p>
        </w:tc>
        <w:tc>
          <w:tcPr>
            <w:tcW w:type="dxa" w:w="3178"/>
          </w:tcPr>
          <w:p>
            <w:r>
              <w:rPr/>
              <w:t>特定资格要求（已获取本项目采购文件）</w:t>
            </w:r>
          </w:p>
        </w:tc>
        <w:tc>
          <w:tcPr>
            <w:tcW w:type="dxa" w:w="4238"/>
          </w:tcPr>
          <w:p>
            <w:r>
              <w:rPr/>
              <w:t>已获取本项目采购文件。</w:t>
            </w:r>
          </w:p>
        </w:tc>
      </w:tr>
      <w:tr>
        <w:tc>
          <w:tcPr>
            <w:tcW w:type="dxa" w:w="890"/>
          </w:tcPr>
          <w:p>
            <w:r>
              <w:rPr/>
              <w:t>12</w:t>
            </w:r>
          </w:p>
        </w:tc>
        <w:tc>
          <w:tcPr>
            <w:tcW w:type="dxa" w:w="3178"/>
          </w:tcPr>
          <w:p>
            <w:r>
              <w:rPr/>
              <w:t>本采购包专门面向中小企业采购</w:t>
            </w:r>
          </w:p>
        </w:tc>
        <w:tc>
          <w:tcPr>
            <w:tcW w:type="dxa" w:w="4238"/>
          </w:tcPr>
          <w:p>
            <w:r>
              <w:rPr/>
              <w:t>本项目预留部分采购项目预算专门面向中小企业采购。对于预留份额，提供的服务由符合政策要求的中小企业承接。预留份额通过以下措施进行,投标人可选择以下其中一种方式参与： 1.投标人不属于中小企业的，必须与中小企业以联合体形式参加本项目，联合体中中小企业承担的合同份额占合同金额的比例达到40%以上（其中预留给小微企业的部分不低于合同金额的28%）,组成联合体的中小企业与联合体内其他企业之间不得存在直接控股、管理关系。【依据符合上述比例的联合体共同投标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2.投标人属于中型企业的，必须与小微企业以联合体形式参加本项目，联合体中小微企业承担的合同份额占合同金额的比例不低于28%,组成联合体的中小企业与联合体内其他企业之间不得存在直接控股、管理关系。【依据符合上述比例的联合体共同投标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3.投标人属于小微企业的，是否以联合体形式参加本项目不作强制要求。【依据全部服务的承接方的《中小企业声明函》或由省级以上监狱管理局、戒毒管理局(含新疆生产建设兵团)出具的承接方属于监狱企业的证明文件或承接方的《残疾人福利性单位声明函》】。如以联合体形式参加本项目，则只能与小微企业以联合体形式参加本项目。组成联合体的中小企业与联合体内其他企业之间不得存在直接控股、管理关系。【依据联合体共同投标协议书、联合体各方全部服务的承接方的《中小企业声明函》或由省级以上监狱管理局、戒毒管理局(含新疆生产建设兵团)出具的联合体各方的承接方属于监狱企业的证明文件或联合体各方的承接方的《残疾人福利性单位声明函》】。</w:t>
            </w:r>
          </w:p>
        </w:tc>
      </w:tr>
    </w:tbl>
    <w:p/>
    <w:p>
      <w:r>
        <w:rPr/>
        <w:t>采购包2（佛山市典型区域地下水监测井周边污染源调查与精准管控项目（二期）质控服务）：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投标人需提供盖章确认的廉洁自律承诺书（格式见附件）</w:t>
            </w:r>
          </w:p>
        </w:tc>
      </w:tr>
      <w:tr>
        <w:tc>
          <w:tcPr>
            <w:tcW w:type="dxa" w:w="890"/>
          </w:tcPr>
          <w:p>
            <w:r>
              <w:rPr/>
              <w:t>9</w:t>
            </w:r>
          </w:p>
        </w:tc>
        <w:tc>
          <w:tcPr>
            <w:tcW w:type="dxa" w:w="3178"/>
          </w:tcPr>
          <w:p>
            <w:r>
              <w:rPr/>
              <w:t>特定资格要求（CMA）</w:t>
            </w:r>
          </w:p>
        </w:tc>
        <w:tc>
          <w:tcPr>
            <w:tcW w:type="dxa" w:w="4238"/>
          </w:tcPr>
          <w:p>
            <w:r>
              <w:rPr/>
              <w:t>具备CMA资质，且资质证书附表涵盖地下水基本监测指标和土壤基本监测指标。①地下水检测资质应包括：pH值、总硬度（以CaCO3计）、溶解性总固体、硫酸盐、氯化物、铁、锰、铜、锌、铝、挥发性酚类（挥发酚）、阴离子表面活性剂、高锰酸盐指数（CODMn）、氨氮、硫化物、钠、亚硝酸盐、硝酸盐、氰化物、氟化物、碘化物、汞、砷、硒、镉、六价铬、铅、三氯甲烷、四氯化碳、苯、甲苯、Ca2+、 Mg2+、 K+、 碳酸根（CO32-）、重碳酸根（HCO3-）、溶解氧、氧化还原电位、浊度、电导率、镍、银、二氯甲烷、氯苯、二甲苯，共45项;②土壤检测资质应包含《土壤环境质量建设用地土壤污染风险管控标准（试行）》（GB 36600-2018）的基本指标45项（砷、镉、六价铬、铜、铅、汞、镍、四氯化碳、氯仿、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和pH值、铝，共47项。</w:t>
            </w:r>
          </w:p>
        </w:tc>
      </w:tr>
      <w:tr>
        <w:tc>
          <w:tcPr>
            <w:tcW w:type="dxa" w:w="890"/>
          </w:tcPr>
          <w:p>
            <w:r>
              <w:rPr/>
              <w:t>10</w:t>
            </w:r>
          </w:p>
        </w:tc>
        <w:tc>
          <w:tcPr>
            <w:tcW w:type="dxa" w:w="3178"/>
          </w:tcPr>
          <w:p>
            <w:r>
              <w:rPr/>
              <w:t>特定资格要求（已获取本项目采购文件）</w:t>
            </w:r>
          </w:p>
        </w:tc>
        <w:tc>
          <w:tcPr>
            <w:tcW w:type="dxa" w:w="4238"/>
          </w:tcPr>
          <w:p>
            <w:r>
              <w:rPr/>
              <w:t>已获取本项目采购文件。</w:t>
            </w:r>
          </w:p>
        </w:tc>
      </w:tr>
      <w:tr>
        <w:tc>
          <w:tcPr>
            <w:tcW w:type="dxa" w:w="890"/>
          </w:tcPr>
          <w:p>
            <w:r>
              <w:rPr/>
              <w:t>11</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采购包1（佛山市典型区域地下水监测井周边污染源调查与精准管控项目（二期））：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采购包2（佛山市典型区域地下水监测井周边污染源调查与精准管控项目（二期）质控服务）：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采购包1(佛山市典型区域地下水监测井周边污染源调查与精准管控项目（二期）):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商务部分43.0分</w:t>
            </w:r>
          </w:p>
          <w:p>
            <w:r>
              <w:rPr/>
              <w:t>技术部分37.0分</w:t>
            </w:r>
          </w:p>
          <w:p>
            <w:r>
              <w:rPr/>
              <w:t>报价得分20.0分</w:t>
            </w:r>
          </w:p>
        </w:tc>
      </w:tr>
      <w:tr>
        <w:tc>
          <w:tcPr>
            <w:tcW w:type="dxa" w:w="922"/>
            <w:gridSpan w:val="2"/>
            <w:vMerge w:val="restart"/>
          </w:tcPr>
          <w:p>
            <w:pPr>
              <w:jc w:val="center"/>
            </w:pPr>
            <w:r>
              <w:rPr/>
              <w:t>技术部分</w:t>
            </w:r>
          </w:p>
        </w:tc>
        <w:tc>
          <w:tcPr>
            <w:tcW w:type="dxa" w:w="2307"/>
          </w:tcPr>
          <w:p>
            <w:pPr>
              <w:jc w:val="left"/>
            </w:pPr>
            <w:r>
              <w:rPr/>
              <w:t>整体实施方案 (10.0分)</w:t>
            </w:r>
            <w:r>
              <w:rPr/>
              <w:t>，（等次分值选择：</w:t>
            </w:r>
            <w:r>
              <w:rPr/>
              <w:t>0.0;</w:t>
            </w:r>
            <w:r>
              <w:rPr/>
              <w:t>2.0;</w:t>
            </w:r>
            <w:r>
              <w:rPr/>
              <w:t>6.0;</w:t>
            </w:r>
            <w:r>
              <w:rPr/>
              <w:t>10.0;</w:t>
            </w:r>
            <w:r>
              <w:rPr/>
              <w:t>）</w:t>
            </w:r>
          </w:p>
        </w:tc>
        <w:tc>
          <w:tcPr>
            <w:tcW w:type="dxa" w:w="5076"/>
          </w:tcPr>
          <w:p>
            <w:pPr>
              <w:jc w:val="left"/>
            </w:pPr>
            <w:r>
              <w:rPr/>
              <w:t>根据投标人针对采购包1 “技术标准与要求”中的“服务要求”提供的整体组织实施服务方案，整体实施方案需贴合采购人实际需求，对方案的可行性、合理性、规范性等进行综合评审：  （1）工作方案完全贴合采购人实际需求，对项目现状调研充分、且可行性、合理性、规范性高，完全满足且优于采购需求的，得10分； （2）工作方案基本贴合采购人实际需求，对项目现状调研充分、且可行性、合理性、规范性一般，基本满足采购需求的，得6分；  （3）工作方案不太贴合采购人实际需求，方案的可行性、合理性、规范性较低，不完全满足采购需求的，得2分；  （4）其他情况，得0分。</w:t>
            </w:r>
          </w:p>
        </w:tc>
      </w:tr>
      <w:tr>
        <w:tc>
          <w:tcPr>
            <w:tcW w:type="dxa" w:w="922"/>
            <w:gridSpan w:val="2"/>
            <w:vMerge/>
          </w:tcPr>
          <w:p/>
        </w:tc>
        <w:tc>
          <w:tcPr>
            <w:tcW w:type="dxa" w:w="2307"/>
          </w:tcPr>
          <w:p>
            <w:pPr>
              <w:jc w:val="left"/>
            </w:pPr>
            <w:r>
              <w:rPr/>
              <w:t>技术服务方案 (10.0分)</w:t>
            </w:r>
            <w:r>
              <w:rPr/>
              <w:t>，（等次分值选择：</w:t>
            </w:r>
            <w:r>
              <w:rPr/>
              <w:t>0.0;</w:t>
            </w:r>
            <w:r>
              <w:rPr/>
              <w:t>2.0;</w:t>
            </w:r>
            <w:r>
              <w:rPr/>
              <w:t>6.0;</w:t>
            </w:r>
            <w:r>
              <w:rPr/>
              <w:t>10.0;</w:t>
            </w:r>
            <w:r>
              <w:rPr/>
              <w:t>）</w:t>
            </w:r>
          </w:p>
        </w:tc>
        <w:tc>
          <w:tcPr>
            <w:tcW w:type="dxa" w:w="5076"/>
          </w:tcPr>
          <w:p>
            <w:pPr>
              <w:jc w:val="left"/>
            </w:pPr>
            <w:r>
              <w:rPr/>
              <w:t>根据投标人针对 采购包1 “技术标准与要求”中的“技术要求”对响应内容的可行性、合理性、具体程度等进行综合评审：  （1）技术响应内容贴合项目实施需要，对实施过程细节响应充分、且可行性、合理性、规范性高，完全满足且优于采购需求的，得10分； （2）技术响应内容基本贴合项目实施需要，对实施过程细节响应充分、且可行性、合理性、规范性一般，基本满足采购需求的，得6分；  （3）技术响应内容不太贴合项目实施需要，各项细节调研的可行性、合理性、规范性较低，不完全满足采购需求的，得2分；  （4）其他情况，得0分。</w:t>
            </w:r>
          </w:p>
        </w:tc>
      </w:tr>
      <w:tr>
        <w:tc>
          <w:tcPr>
            <w:tcW w:type="dxa" w:w="922"/>
            <w:gridSpan w:val="2"/>
            <w:vMerge/>
          </w:tcPr>
          <w:p/>
        </w:tc>
        <w:tc>
          <w:tcPr>
            <w:tcW w:type="dxa" w:w="2307"/>
          </w:tcPr>
          <w:p>
            <w:pPr>
              <w:jc w:val="left"/>
            </w:pPr>
            <w:r>
              <w:rPr/>
              <w:t>质量控制方案  (6.0分)</w:t>
            </w:r>
            <w:r>
              <w:rPr/>
              <w:t>，（等次分值选择：</w:t>
            </w:r>
            <w:r>
              <w:rPr/>
              <w:t>0.0;</w:t>
            </w:r>
            <w:r>
              <w:rPr/>
              <w:t>2.0;</w:t>
            </w:r>
            <w:r>
              <w:rPr/>
              <w:t>4.0;</w:t>
            </w:r>
            <w:r>
              <w:rPr/>
              <w:t>6.0;</w:t>
            </w:r>
            <w:r>
              <w:rPr/>
              <w:t>）</w:t>
            </w:r>
          </w:p>
        </w:tc>
        <w:tc>
          <w:tcPr>
            <w:tcW w:type="dxa" w:w="5076"/>
          </w:tcPr>
          <w:p>
            <w:pPr>
              <w:jc w:val="left"/>
            </w:pPr>
            <w:r>
              <w:rPr/>
              <w:t>根据投标人针对采购包1 “技术标准与要求”中的“质控要求”对响应内容的可行性、合理性、具体程度等进行综合评审： (1)质控方案内容贴合项目实施需要，对质量情况调研充分、且可行性、合理性、规范性高，完全满足且优于采购需求的，得6分； (2)质控方案基本贴合项目实施需要，对质量情况调研充分、且可行性、 合理性、规范性一般，基本满足采购需求的，得4分；  (3)质控方案不太贴合项目实施需要，各项情况的可行性、合理性、规范性较低，不完全满足采购需求的，得2分；  (4)其他情况，得0分。</w:t>
            </w:r>
          </w:p>
        </w:tc>
      </w:tr>
      <w:tr>
        <w:tc>
          <w:tcPr>
            <w:tcW w:type="dxa" w:w="922"/>
            <w:gridSpan w:val="2"/>
            <w:vMerge/>
          </w:tcPr>
          <w:p/>
        </w:tc>
        <w:tc>
          <w:tcPr>
            <w:tcW w:type="dxa" w:w="2307"/>
          </w:tcPr>
          <w:p>
            <w:pPr>
              <w:jc w:val="left"/>
            </w:pPr>
            <w:r>
              <w:rPr/>
              <w:t>投标人服务保障 (11.0分)</w:t>
            </w:r>
          </w:p>
        </w:tc>
        <w:tc>
          <w:tcPr>
            <w:tcW w:type="dxa" w:w="5076"/>
          </w:tcPr>
          <w:p>
            <w:pPr>
              <w:jc w:val="left"/>
            </w:pPr>
            <w:r>
              <w:rPr/>
              <w:t>（1）地下水和土壤监测服务保障： 根据投标人配备的实验室分析设备情况进行评分： ①具备气相色谱仪、气相色谱质谱联用仪、原子吸收分光光度计各3台及以上，得5分； ②具备气相色谱仪、气相色谱质谱联用仪、原子吸收分光光度计各2台，得2.5分； ③气相色谱仪、气相色谱质谱联用仪、原子吸收分光光度计，任意一种少于2台，不得分。 本小项最高得5分。 （2）同位素监测服务保障： 拥有稳定同位素分析测试仪器，配备①稳定同位素质谱仪、②激光稳定碳同位素分析仪；③激光稳定氢氧同位素分析；④同位素质谱专用联用气相色谱仪；⑤测氡仪（阿尔法能谱仪）。配备5种得6分；配备其中4种得3分；配备其中3种得1分；具备2种或以下，不得分。本小项最高得6分。 注：（1）地下水和土壤监测服务保障需提供设备的购买发票或租赁合同复印件，以及仪器检定/校准证书的复印件。（2）同位素监测服务保障需须提供购买设备发票或租赁合同复印件、设备照片。不提供不得分。（3）投标人为联合体时，上述评审内容中未列明只针对主体计算得分的，联合体各方情况凡是符合相关得分条件的，均可计算得分。</w:t>
            </w:r>
          </w:p>
        </w:tc>
      </w:tr>
      <w:tr>
        <w:tc>
          <w:tcPr>
            <w:tcW w:type="dxa" w:w="922"/>
            <w:gridSpan w:val="2"/>
            <w:vMerge w:val="restart"/>
          </w:tcPr>
          <w:p>
            <w:pPr>
              <w:jc w:val="center"/>
            </w:pPr>
            <w:r>
              <w:rPr/>
              <w:t>商务部分</w:t>
            </w:r>
          </w:p>
        </w:tc>
        <w:tc>
          <w:tcPr>
            <w:tcW w:type="dxa" w:w="2307"/>
          </w:tcPr>
          <w:p>
            <w:pPr>
              <w:jc w:val="left"/>
            </w:pPr>
            <w:r>
              <w:rPr/>
              <w:t>投标人综合实力 (3.0分)</w:t>
            </w:r>
          </w:p>
        </w:tc>
        <w:tc>
          <w:tcPr>
            <w:tcW w:type="dxa" w:w="5076"/>
          </w:tcPr>
          <w:p>
            <w:pPr>
              <w:jc w:val="left"/>
            </w:pPr>
            <w:r>
              <w:rPr/>
              <w:t>（1）投标人获得以下证书，且证书在有效期内的，每个证书得1.5分，最高得3分。 质量管理体系认证证书、环境管理体系认证证书。 注：提供上述有效期内的认证证书复印件并加盖公章，评标时评标委员会将通过网站查询证书的状态并截图记录【网址以“国家认证认可监督管理委员会（http://www.cnca.gov.cn）”网站公布为准，证书状态须为“有效”】，如查询结果不一致，则不得分，投标人为联合体时，上述评审内容中未列明只针对主体计算得分的，联合体各方情况凡是符合相关得分条件的，均可计算得分。</w:t>
            </w:r>
          </w:p>
        </w:tc>
      </w:tr>
      <w:tr>
        <w:tc>
          <w:tcPr>
            <w:tcW w:type="dxa" w:w="922"/>
            <w:gridSpan w:val="2"/>
            <w:vMerge/>
          </w:tcPr>
          <w:p/>
        </w:tc>
        <w:tc>
          <w:tcPr>
            <w:tcW w:type="dxa" w:w="2307"/>
          </w:tcPr>
          <w:p>
            <w:pPr>
              <w:jc w:val="left"/>
            </w:pPr>
            <w:r>
              <w:rPr/>
              <w:t>人员资质（项目负责人） (7.0分)</w:t>
            </w:r>
          </w:p>
        </w:tc>
        <w:tc>
          <w:tcPr>
            <w:tcW w:type="dxa" w:w="5076"/>
          </w:tcPr>
          <w:p>
            <w:pPr>
              <w:jc w:val="left"/>
            </w:pPr>
            <w:r>
              <w:rPr/>
              <w:t>项目负责人仅能设置1人。 （1）项目负责人同时满足：①具有生态环境工程、生态环境管理与咨询、生态环境监测、生态环境科学、土壤环境保护、地下水科学、水工环地质、地球化学勘查等其中一个专业正高级职称，提供职称证书及2023年任意一个月在本单位缴纳得社保证明复印件作为证明；②拥有15年或以上生态环境保护工作经验，提供工作简历及对应的社保证明或提供承诺函。得4分，不提供不得分。  （2）项目负责人2019年1月1日至投标截止时间（日期以合同签订时间为准）主持过土壤、地下水环境的调查评估项目的，得3分，没有不得分。提供拟派项目负责人作为负责人或联系人或合同签订人所承担的合同关键页（含签订合同双方的单位名称、合同项目名称、项目金额与含签订合同双方的落款盖章、签订日期的关键页）复印件（如合同无法体现项目负责人的，须另附甲方出具的项目负责人证明文件）作为证明，否则不得分。 （注：以上2项累计加分，最多得7分，如投标人为联合体投标单位，项目负责人应由牵头单位委派，否则不予得分。）</w:t>
            </w:r>
          </w:p>
        </w:tc>
      </w:tr>
      <w:tr>
        <w:tc>
          <w:tcPr>
            <w:tcW w:type="dxa" w:w="922"/>
            <w:gridSpan w:val="2"/>
            <w:vMerge/>
          </w:tcPr>
          <w:p/>
        </w:tc>
        <w:tc>
          <w:tcPr>
            <w:tcW w:type="dxa" w:w="2307"/>
          </w:tcPr>
          <w:p>
            <w:pPr>
              <w:jc w:val="left"/>
            </w:pPr>
            <w:r>
              <w:rPr/>
              <w:t>人员资质 （项目团队成员） (13.0分)</w:t>
            </w:r>
          </w:p>
        </w:tc>
        <w:tc>
          <w:tcPr>
            <w:tcW w:type="dxa" w:w="5076"/>
          </w:tcPr>
          <w:p>
            <w:pPr>
              <w:jc w:val="left"/>
            </w:pPr>
            <w:r>
              <w:rPr/>
              <w:t>（1）职称要求： ①投标人拟派项目组人员（不含项目负责人），每提供一名具有生态环境工程、生态环境管理与咨询、生态环境监测、生态环境科学、土壤环境保护、地下水科学等其中一个专业正高级职称的得1分，最高得3分；每提供一名具有生态环境工程、生态环境管理与咨询、生态环境监测、生态环境科学、土壤环境保护、地下水科学等其中一个专业副高级职称的得0.5分，最高得4分。本小项合计最高得7分。  ②投标人拟派项目组人员（不含项目负责人），每提供一名具有水工环地质、地球化学勘查等其中一个专业正高级职称的得1分，最高得1分；每提供一名具有水工环地质、地球化学勘查等其中一个专业副高级职称的得0.5分，最高得2分。本小项合计最高得3分。 （2）人员数量要求： 投标人拟派项目组人员（不含项目负责人），人员数量大于60人（不含60人）得3分，51人-60人（含）得2分,46人-50人得1分,45人及以下不得分。 注：（1）项须提供职称证书扫描件，（1）和（2）项须提供投标截止日前6个月内任意一个月在本单位购买社保的证明文件复印件。投标人为联合体时，上述评审内容中未列明只针对主体计算得分的，联合体各方情况凡是符合相关得分条件的，均可计算得分。</w:t>
            </w:r>
          </w:p>
        </w:tc>
      </w:tr>
      <w:tr>
        <w:tc>
          <w:tcPr>
            <w:tcW w:type="dxa" w:w="922"/>
            <w:gridSpan w:val="2"/>
            <w:vMerge/>
          </w:tcPr>
          <w:p/>
        </w:tc>
        <w:tc>
          <w:tcPr>
            <w:tcW w:type="dxa" w:w="2307"/>
          </w:tcPr>
          <w:p>
            <w:pPr>
              <w:jc w:val="left"/>
            </w:pPr>
            <w:r>
              <w:rPr/>
              <w:t>业绩情况 (20.0分)</w:t>
            </w:r>
          </w:p>
        </w:tc>
        <w:tc>
          <w:tcPr>
            <w:tcW w:type="dxa" w:w="5076"/>
          </w:tcPr>
          <w:p>
            <w:pPr>
              <w:jc w:val="left"/>
            </w:pPr>
            <w:r>
              <w:rPr/>
              <w:t>（1）投标人2019年1月1日至投标截止时间（日期以合同签订时间为准）承担过地下水环境调查或评估项目的同类型业绩，每提供一个得1分，最高得4分。  （2）投标人2019年1月1日（日期以合同签订时间为准）承担过土壤污染状况调查相关项目的同类型业绩每提供一个得0.5分，最高得2分。 （3） 投标人2019年1月1日至投标截止时间（日期以合同签订时间为准），在中国境内完成的典型区域地下水井监测预警项目的同类型业绩，每提供一个项目得2分，最高得8分。 （4）投标人2019年1月1日至投标截止时间（日期以合同签订时间为准），承担过同位素检测、溯源、污染历史反演相关项目的同类型业绩，每提供一个得2分，最高得6分。 （注：投标人与以下“任务书或合同书签约主体”必须保持一致。投标人为联合体时，上述评审内容中未列明只针对主体计算得分的，联合体各方情况凡是符合相关得分条件的，均可计算得分。 （1）-（2）需提供①业绩清单、②任务书或合同书、③验收或完成证明材料复印件。未能提供证明材料或材料不完整的，不得分。同一任务书或合同书包括多个调查类别的，不重复计算得分。 （3）需提供①业绩清单、②任务书或合同书、③验收或完成证明材料复印件。未能提供证明材料或材料不完整的，不得分。 （4）需提供①业绩清单、②任务书或合同书、③验收或完成证明材料复印件，未能提供证明材料或材料不完整的，不得分。同一任务书或合同书不重复计算得分。）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采购包2(佛山市典型区域地下水监测井周边污染源调查与精准管控项目（二期）质控服务):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技术部分40.0分</w:t>
            </w:r>
          </w:p>
          <w:p>
            <w:r>
              <w:rPr/>
              <w:t>报价得分20.0分</w:t>
            </w:r>
          </w:p>
        </w:tc>
      </w:tr>
      <w:tr>
        <w:tc>
          <w:tcPr>
            <w:tcW w:type="dxa" w:w="922"/>
            <w:gridSpan w:val="2"/>
            <w:vMerge w:val="restart"/>
          </w:tcPr>
          <w:p>
            <w:pPr>
              <w:jc w:val="center"/>
            </w:pPr>
            <w:r>
              <w:rPr/>
              <w:t>技术部分</w:t>
            </w:r>
          </w:p>
        </w:tc>
        <w:tc>
          <w:tcPr>
            <w:tcW w:type="dxa" w:w="2307"/>
          </w:tcPr>
          <w:p>
            <w:pPr>
              <w:jc w:val="left"/>
            </w:pPr>
            <w:r>
              <w:rPr/>
              <w:t>整体实施方案 (15.0分)</w:t>
            </w:r>
            <w:r>
              <w:rPr/>
              <w:t>，（等次分值选择：</w:t>
            </w:r>
            <w:r>
              <w:rPr/>
              <w:t>0.0;</w:t>
            </w:r>
            <w:r>
              <w:rPr/>
              <w:t>5.0;</w:t>
            </w:r>
            <w:r>
              <w:rPr/>
              <w:t>10.0;</w:t>
            </w:r>
            <w:r>
              <w:rPr/>
              <w:t>15.0;</w:t>
            </w:r>
            <w:r>
              <w:rPr/>
              <w:t>）</w:t>
            </w:r>
          </w:p>
        </w:tc>
        <w:tc>
          <w:tcPr>
            <w:tcW w:type="dxa" w:w="5076"/>
          </w:tcPr>
          <w:p>
            <w:pPr>
              <w:jc w:val="left"/>
            </w:pPr>
            <w:r>
              <w:rPr/>
              <w:t>根据投标人针对采购包2“技术标准与要求”中的“服务需求”，提供的整体组织实施服务方案，实施方案需贴合采购人实际需求，对方案的可行性、合理性、规范性等进行综合评审：  （1）工作方案完全贴合采购人实际需求，对项目现状调研充分、且可行性、合理性、规范性高，完全满足且优于采购需求的，得15分； （2）工作方案基本贴合采购人实际需求，对项目现状调研充分、且可行性、 合理性、规范性较高，完全满足采购需求的，得10分；  （3）工作方案不太贴合采购人实际需求，方案的可行性、合理性、规范性较低，不完全满足采购需求的，得5分；  （4）其他情况，得0分。</w:t>
            </w:r>
          </w:p>
        </w:tc>
      </w:tr>
      <w:tr>
        <w:tc>
          <w:tcPr>
            <w:tcW w:type="dxa" w:w="922"/>
            <w:gridSpan w:val="2"/>
            <w:vMerge/>
          </w:tcPr>
          <w:p/>
        </w:tc>
        <w:tc>
          <w:tcPr>
            <w:tcW w:type="dxa" w:w="2307"/>
          </w:tcPr>
          <w:p>
            <w:pPr>
              <w:jc w:val="left"/>
            </w:pPr>
            <w:r>
              <w:rPr/>
              <w:t>技术服务方案 (10.0分)</w:t>
            </w:r>
            <w:r>
              <w:rPr/>
              <w:t>，（等次分值选择：</w:t>
            </w:r>
            <w:r>
              <w:rPr/>
              <w:t>0.0;</w:t>
            </w:r>
            <w:r>
              <w:rPr/>
              <w:t>3.0;</w:t>
            </w:r>
            <w:r>
              <w:rPr/>
              <w:t>7.0;</w:t>
            </w:r>
            <w:r>
              <w:rPr/>
              <w:t>10.0;</w:t>
            </w:r>
            <w:r>
              <w:rPr/>
              <w:t>）</w:t>
            </w:r>
          </w:p>
        </w:tc>
        <w:tc>
          <w:tcPr>
            <w:tcW w:type="dxa" w:w="5076"/>
          </w:tcPr>
          <w:p>
            <w:pPr>
              <w:jc w:val="left"/>
            </w:pPr>
            <w:r>
              <w:rPr/>
              <w:t>根据投标人针对采购包2 “技术标准与要求”中的“技术要求”对响应内容的可行性、合理性、具体程度等进行综合评审：  （1）技术响应内容贴合项目实施需要，对实施过程细节响应充分、且可行性、合理性、规范性高，完全满足且优于采购需求的，得10分； （2）技术响应内容基本贴合项目实施需要，对实施过程细节响应充分、且可行性、合理性、规范性较高，完全满足采购需求的，得7分；  （3）技术响应内容不太贴合项目实施需要，各项细节调研的可行性、合理性、规范性较低，不完全满足采购需求的，得3分；  （3）其他情况，得0分。</w:t>
            </w:r>
          </w:p>
        </w:tc>
      </w:tr>
      <w:tr>
        <w:tc>
          <w:tcPr>
            <w:tcW w:type="dxa" w:w="922"/>
            <w:gridSpan w:val="2"/>
            <w:vMerge/>
          </w:tcPr>
          <w:p/>
        </w:tc>
        <w:tc>
          <w:tcPr>
            <w:tcW w:type="dxa" w:w="2307"/>
          </w:tcPr>
          <w:p>
            <w:pPr>
              <w:jc w:val="left"/>
            </w:pPr>
            <w:r>
              <w:rPr/>
              <w:t>质量控制方案 (8.0分)</w:t>
            </w:r>
            <w:r>
              <w:rPr/>
              <w:t>，（等次分值选择：</w:t>
            </w:r>
            <w:r>
              <w:rPr/>
              <w:t>0.0;</w:t>
            </w:r>
            <w:r>
              <w:rPr/>
              <w:t>3.0;</w:t>
            </w:r>
            <w:r>
              <w:rPr/>
              <w:t>5.0;</w:t>
            </w:r>
            <w:r>
              <w:rPr/>
              <w:t>8.0;</w:t>
            </w:r>
            <w:r>
              <w:rPr/>
              <w:t>）</w:t>
            </w:r>
          </w:p>
        </w:tc>
        <w:tc>
          <w:tcPr>
            <w:tcW w:type="dxa" w:w="5076"/>
          </w:tcPr>
          <w:p>
            <w:pPr>
              <w:jc w:val="left"/>
            </w:pPr>
            <w:r>
              <w:rPr/>
              <w:t>根据投标人针对采购包2“技术标准与要求”中的“质控要求”对响应内容的可行性、合理性、具体程度等进行综合评审： （1）质控方案内容贴合项目实施需要，对质量情况调研充分、且可行性、合理性、规范性高，完全满足且优于采购需求的，得8分； （2）质控方案基本贴合项目实施需要，对质量情况调研充分、且可行性、 合理性、规范性较高，完全满足采购需求的，得5分；  （3）质控方案不太贴合项目实施需要，各项情况的可行性、合理性、规范性较低，不完全满足采购需求的，得3分；  （4）其他情况，得0分。</w:t>
            </w:r>
          </w:p>
        </w:tc>
      </w:tr>
      <w:tr>
        <w:tc>
          <w:tcPr>
            <w:tcW w:type="dxa" w:w="922"/>
            <w:gridSpan w:val="2"/>
            <w:vMerge/>
          </w:tcPr>
          <w:p/>
        </w:tc>
        <w:tc>
          <w:tcPr>
            <w:tcW w:type="dxa" w:w="2307"/>
          </w:tcPr>
          <w:p>
            <w:pPr>
              <w:jc w:val="left"/>
            </w:pPr>
            <w:r>
              <w:rPr/>
              <w:t>投标人服务保障 (7.0分)</w:t>
            </w:r>
          </w:p>
        </w:tc>
        <w:tc>
          <w:tcPr>
            <w:tcW w:type="dxa" w:w="5076"/>
          </w:tcPr>
          <w:p>
            <w:pPr>
              <w:jc w:val="left"/>
            </w:pPr>
            <w:r>
              <w:rPr/>
              <w:t>（1）检测设备配置：根据投标人配备的实验室分析设备情况进行评分： ①具备气相色谱仪、气相色谱质谱联用仪各3台及以上，得5分； ②具备气相色谱仪、气相色谱质谱联用仪各2台，得2.5分； ③气相色谱仪、气相色谱质谱联用仪，任意一种少于2台，不得分。 本小项最高得5分。 （2）能力验证：提供2019年1月1日至投标截止时间止参加实验室资质认定部门或中国合格评定国家认可委员会认可的机构组织的水质和土壤监测能力验证情况（同一项目每年按一次计分）进行评分：能力验证结果满意项目10个（含）以上的，必须包含水质和土壤两个类别，得2分；能力验证结果满意项目5个（含）-10个（不含）的，必须包含水质和土壤两个类别，得1分；能力验证结果满意项目5个以下或不提供的，不得分。 本小项最高得2分。 注：（1）提供以上设备的购买发票或租赁合同复印件，以及仪器检定/校准证书的复印件；（2）需提供能力验证组织方出具的能力验证结果通知等相关文件扫描件作为评审依据，无提供不得分。</w:t>
            </w:r>
          </w:p>
        </w:tc>
      </w:tr>
      <w:tr>
        <w:tc>
          <w:tcPr>
            <w:tcW w:type="dxa" w:w="922"/>
            <w:gridSpan w:val="2"/>
            <w:vMerge w:val="restart"/>
          </w:tcPr>
          <w:p>
            <w:pPr>
              <w:jc w:val="center"/>
            </w:pPr>
            <w:r>
              <w:rPr/>
              <w:t>商务部分</w:t>
            </w:r>
          </w:p>
        </w:tc>
        <w:tc>
          <w:tcPr>
            <w:tcW w:type="dxa" w:w="2307"/>
          </w:tcPr>
          <w:p>
            <w:pPr>
              <w:jc w:val="left"/>
            </w:pPr>
            <w:r>
              <w:rPr/>
              <w:t>投标人综合实力 (3.0分)</w:t>
            </w:r>
          </w:p>
        </w:tc>
        <w:tc>
          <w:tcPr>
            <w:tcW w:type="dxa" w:w="5076"/>
          </w:tcPr>
          <w:p>
            <w:pPr>
              <w:jc w:val="left"/>
            </w:pPr>
            <w:r>
              <w:rPr/>
              <w:t>投标人获得以下证书，且证书在有效期内的，每个证书得1.5分，最高得3分。 质量管理体系认证证书、环境管理体系认证证书。 注：提供上述有效期内的认证证书复印件并加盖公章，评标时评标委员会将通过网站查询证书的状态并截图记录【网址以“国家认证认可监督管理委员会（http://www.cnca.gov.cn）”网站公布为准，证书状态须为“有效”】，如查询结果不一致，则不得分。</w:t>
            </w:r>
          </w:p>
        </w:tc>
      </w:tr>
      <w:tr>
        <w:tc>
          <w:tcPr>
            <w:tcW w:type="dxa" w:w="922"/>
            <w:gridSpan w:val="2"/>
            <w:vMerge/>
          </w:tcPr>
          <w:p/>
        </w:tc>
        <w:tc>
          <w:tcPr>
            <w:tcW w:type="dxa" w:w="2307"/>
          </w:tcPr>
          <w:p>
            <w:pPr>
              <w:jc w:val="left"/>
            </w:pPr>
            <w:r>
              <w:rPr/>
              <w:t>人员资质（项目负责人） (10.0分)</w:t>
            </w:r>
          </w:p>
        </w:tc>
        <w:tc>
          <w:tcPr>
            <w:tcW w:type="dxa" w:w="5076"/>
          </w:tcPr>
          <w:p>
            <w:pPr>
              <w:jc w:val="left"/>
            </w:pPr>
            <w:r>
              <w:rPr/>
              <w:t>（1）投标人拟派项目负责人，同时满足：①具有生态环境工程、生态环境管理与咨询、生态环境监测、生态环境科学、土壤环境保护、地下水科学、水工环地质、地球化学勘查等其中一个专业副高级或以上职称，提供职称证书及2023年任意一个月在本单位缴纳得社保证明复印件作为证明；②拥有10年或以上生态环境保护工作经验，提供工作简历及对应的社保证明或提供承诺函。本项合计最高得2分，不提供不得分。 （2）投标人拟派项目负责人，2019年1月1日至投标截止时间，承担过土壤污染状况调查质控服务或地下水检测质控服务项目的，每一项得3分，其他情况不得分，本项合计最高得6分。 （3） 投标人拟派项目负责人，2019年1月1日至投标截止时间，承担过土壤污染状况调查或检测、土壤污染重点监管单位周边环境监测项目或地下水环境状况调查评估项目的，每一项得1分，其他情况不得分，本项合计最高得2分。 （注：（2）-（3）曾担任同类项目负责人的合同关键页复印件（包括签约时间、项目名称、项目负责人、项目内容和双方盖章页）；如上述资料不能体现项目负责人信息的，须提供合同甲方单位加盖公章的证明材料，否则不得分。）</w:t>
            </w:r>
          </w:p>
        </w:tc>
      </w:tr>
      <w:tr>
        <w:tc>
          <w:tcPr>
            <w:tcW w:type="dxa" w:w="922"/>
            <w:gridSpan w:val="2"/>
            <w:vMerge/>
          </w:tcPr>
          <w:p/>
        </w:tc>
        <w:tc>
          <w:tcPr>
            <w:tcW w:type="dxa" w:w="2307"/>
          </w:tcPr>
          <w:p>
            <w:pPr>
              <w:jc w:val="left"/>
            </w:pPr>
            <w:r>
              <w:rPr/>
              <w:t>人员资质（项目组成员） (10.0分)</w:t>
            </w:r>
          </w:p>
        </w:tc>
        <w:tc>
          <w:tcPr>
            <w:tcW w:type="dxa" w:w="5076"/>
          </w:tcPr>
          <w:p>
            <w:pPr>
              <w:jc w:val="left"/>
            </w:pPr>
            <w:r>
              <w:rPr/>
              <w:t>投标人拟派项目组人员（不含项目负责人），每提供1名具有生态环境工程、生态环境管理与咨询、生态环境监测、生态环境科学、土壤环境保护、地下水科学、水工环地质、地球化学勘查等其中一个专业副高级（或以上）职称的得2分，中级（或以上）职称的得1分，本小项最高得10分。 （注：须提供职称证书复印件及投标截止日前6个月内任意一个月在本单位购买社保的证明文件复印件。）</w:t>
            </w:r>
          </w:p>
        </w:tc>
      </w:tr>
      <w:tr>
        <w:tc>
          <w:tcPr>
            <w:tcW w:type="dxa" w:w="922"/>
            <w:gridSpan w:val="2"/>
            <w:vMerge/>
          </w:tcPr>
          <w:p/>
        </w:tc>
        <w:tc>
          <w:tcPr>
            <w:tcW w:type="dxa" w:w="2307"/>
          </w:tcPr>
          <w:p>
            <w:pPr>
              <w:jc w:val="left"/>
            </w:pPr>
            <w:r>
              <w:rPr/>
              <w:t>业绩情况 (17.0分)</w:t>
            </w:r>
          </w:p>
        </w:tc>
        <w:tc>
          <w:tcPr>
            <w:tcW w:type="dxa" w:w="5076"/>
          </w:tcPr>
          <w:p>
            <w:pPr>
              <w:jc w:val="left"/>
            </w:pPr>
            <w:r>
              <w:rPr/>
              <w:t>（1）投标人2019年1月1日至投标截止时间（日期以合同签订时间为准）承担过土壤污染状况调查质控服务或实验室比对检测项目的同类型业绩，每提供一个3分，最高得9分。  （2）投标人2019年1月1日至投标截止时间（日期以合同签订时间为准）承担过土壤污染状况调查或检测项目、地下水环境状况调查评估项目的同类型业绩，每提供一个得2分，最高得4分。  （3）投标人2019年1月1日至投标截止时间（日期以合同签订时间为准）承担过地下水、地表水、土壤监测质控服务或监理项目的同类型业绩，每提供一个0.5分，最高得4分。  （注：需提①供业绩清单、②任务书或合同书。所提供的复印件需加盖供应商公章，未能提供证明材料或材料不完整的，不得分。同一任务书或合同书不重复计算得分。）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sz w:val="21"/>
        </w:rPr>
        <w:t>（</w:t>
      </w:r>
      <w:r>
        <w:rPr>
          <w:sz w:val="21"/>
        </w:rPr>
        <w:t>1）</w:t>
      </w:r>
      <w:r>
        <w:rPr>
          <w:sz w:val="21"/>
        </w:rPr>
        <w:t>合同书格式</w:t>
      </w:r>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jc w:val="left"/>
      </w:pPr>
    </w:p>
    <w:p/>
    <w:p>
      <w:r>
        <w:rPr/>
        <w:t xml:space="preserve"> </w:t>
      </w:r>
    </w:p>
    <w:p>
      <w:pPr>
        <w:jc w:val="center"/>
      </w:pPr>
      <w:r>
        <w:rPr>
          <w:b/>
          <w:sz w:val="52"/>
        </w:rPr>
        <w:t>广东省佛山生态环境监测站</w:t>
      </w:r>
    </w:p>
    <w:p>
      <w:pPr>
        <w:jc w:val="center"/>
      </w:pPr>
    </w:p>
    <w:p>
      <w:pPr>
        <w:jc w:val="center"/>
      </w:pPr>
      <w:r>
        <w:rPr>
          <w:b/>
          <w:sz w:val="52"/>
        </w:rPr>
        <w:t>服务采购合同书</w:t>
      </w:r>
    </w:p>
    <w:p>
      <w:pPr>
        <w:jc w:val="both"/>
      </w:pPr>
    </w:p>
    <w:p>
      <w:pPr>
        <w:jc w:val="both"/>
      </w:pPr>
    </w:p>
    <w:p>
      <w:pPr>
        <w:jc w:val="both"/>
      </w:pPr>
    </w:p>
    <w:p>
      <w:pPr>
        <w:jc w:val="both"/>
      </w:pPr>
    </w:p>
    <w:p>
      <w:pPr>
        <w:ind w:firstLine="281"/>
        <w:jc w:val="left"/>
      </w:pPr>
    </w:p>
    <w:p>
      <w:pPr>
        <w:ind w:firstLine="281"/>
        <w:jc w:val="left"/>
      </w:pPr>
    </w:p>
    <w:p>
      <w:pPr>
        <w:jc w:val="both"/>
      </w:pPr>
    </w:p>
    <w:p>
      <w:pPr>
        <w:ind w:firstLine="281"/>
        <w:jc w:val="left"/>
      </w:pPr>
      <w:r>
        <w:rPr>
          <w:b/>
          <w:sz w:val="28"/>
        </w:rPr>
        <w:t>项目编号：</w:t>
      </w:r>
      <w:r>
        <w:rPr>
          <w:b/>
          <w:sz w:val="28"/>
        </w:rPr>
        <w:t xml:space="preserve">                                      </w:t>
      </w:r>
    </w:p>
    <w:p>
      <w:pPr>
        <w:ind w:firstLine="281"/>
        <w:jc w:val="left"/>
      </w:pPr>
      <w:r>
        <w:rPr>
          <w:b/>
          <w:sz w:val="28"/>
        </w:rPr>
        <w:t>项目名称：佛山市典型区域地下水监测井周边污染源调查与精准管控项目（二期）</w:t>
      </w:r>
    </w:p>
    <w:p>
      <w:pPr>
        <w:ind w:firstLine="281"/>
        <w:jc w:val="left"/>
      </w:pPr>
      <w:r>
        <w:rPr>
          <w:b/>
          <w:sz w:val="28"/>
        </w:rPr>
        <w:t>采购包</w:t>
      </w:r>
      <w:r>
        <w:rPr>
          <w:b/>
          <w:sz w:val="28"/>
        </w:rPr>
        <w:t>1佛山市典型区域地下水监测井周边污染源调查与精准管控项目（二期）</w:t>
      </w:r>
    </w:p>
    <w:p>
      <w:pPr>
        <w:jc w:val="left"/>
      </w:pPr>
    </w:p>
    <w:p/>
    <w:p>
      <w:r>
        <w:rPr/>
        <w:t xml:space="preserve"> </w:t>
      </w:r>
    </w:p>
    <w:p>
      <w:pPr>
        <w:ind w:firstLine="281"/>
        <w:jc w:val="left"/>
      </w:pPr>
    </w:p>
    <w:p>
      <w:pPr>
        <w:ind w:firstLine="420"/>
        <w:jc w:val="both"/>
      </w:pPr>
      <w:r>
        <w:rPr>
          <w:sz w:val="21"/>
        </w:rPr>
        <w:t>甲方：</w:t>
      </w:r>
      <w:r>
        <w:rPr>
          <w:sz w:val="21"/>
          <w:u w:val="single"/>
        </w:rPr>
        <w:t>广东省佛山生态环境监测站</w:t>
      </w:r>
      <w:r>
        <w:rPr>
          <w:sz w:val="21"/>
          <w:u w:val="single"/>
        </w:rPr>
        <w:t xml:space="preserve">  </w:t>
      </w:r>
    </w:p>
    <w:p>
      <w:pPr>
        <w:ind w:firstLine="420"/>
        <w:jc w:val="both"/>
      </w:pPr>
      <w:r>
        <w:rPr>
          <w:sz w:val="21"/>
        </w:rPr>
        <w:t>地址：</w:t>
      </w:r>
      <w:r>
        <w:rPr>
          <w:sz w:val="21"/>
          <w:u w:val="single"/>
        </w:rPr>
        <w:t>佛山市禅城区汾江南路</w:t>
      </w:r>
      <w:r>
        <w:rPr>
          <w:sz w:val="21"/>
          <w:u w:val="single"/>
        </w:rPr>
        <w:t xml:space="preserve">28号  </w:t>
      </w:r>
    </w:p>
    <w:p>
      <w:pPr>
        <w:ind w:firstLine="420"/>
        <w:jc w:val="both"/>
      </w:pPr>
      <w:r>
        <w:rPr>
          <w:sz w:val="21"/>
        </w:rPr>
        <w:t>联系人：</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rPr>
        <w:t>乙方</w:t>
      </w:r>
      <w:r>
        <w:rPr>
          <w:sz w:val="21"/>
          <w:u w:val="single"/>
        </w:rPr>
        <w:t>：</w:t>
      </w:r>
      <w:r>
        <w:rPr>
          <w:sz w:val="21"/>
          <w:u w:val="single"/>
        </w:rPr>
        <w:t xml:space="preserve">                        </w:t>
      </w:r>
    </w:p>
    <w:p>
      <w:pPr>
        <w:ind w:firstLine="420"/>
        <w:jc w:val="both"/>
      </w:pPr>
      <w:r>
        <w:rPr>
          <w:sz w:val="21"/>
        </w:rPr>
        <w:t>地址</w:t>
      </w:r>
      <w:r>
        <w:rPr>
          <w:sz w:val="21"/>
          <w:u w:val="single"/>
        </w:rPr>
        <w:t>：</w:t>
      </w:r>
      <w:r>
        <w:rPr>
          <w:sz w:val="21"/>
          <w:u w:val="single"/>
        </w:rPr>
        <w:t xml:space="preserve">                        </w:t>
      </w:r>
    </w:p>
    <w:p>
      <w:pPr>
        <w:ind w:firstLine="420"/>
        <w:jc w:val="both"/>
      </w:pPr>
      <w:r>
        <w:rPr>
          <w:sz w:val="21"/>
        </w:rPr>
        <w:t>联系人</w:t>
      </w:r>
      <w:r>
        <w:rPr>
          <w:sz w:val="21"/>
          <w:u w:val="single"/>
        </w:rPr>
        <w:t>：</w:t>
      </w:r>
      <w:r>
        <w:rPr>
          <w:sz w:val="21"/>
          <w:u w:val="single"/>
        </w:rPr>
        <w:t xml:space="preserve">                      </w:t>
      </w:r>
      <w:r>
        <w:rPr>
          <w:sz w:val="21"/>
        </w:rPr>
        <w:t xml:space="preserve">     </w:t>
      </w:r>
      <w:r>
        <w:rPr>
          <w:sz w:val="21"/>
        </w:rPr>
        <w:t>联系电话</w:t>
      </w:r>
      <w:r>
        <w:rPr>
          <w:sz w:val="21"/>
          <w:u w:val="single"/>
        </w:rPr>
        <w:t>：</w:t>
      </w:r>
      <w:r>
        <w:rPr>
          <w:sz w:val="21"/>
          <w:u w:val="single"/>
        </w:rPr>
        <w:t xml:space="preserve">               </w:t>
      </w:r>
    </w:p>
    <w:p>
      <w:pPr>
        <w:ind w:firstLine="422"/>
        <w:jc w:val="both"/>
      </w:pPr>
    </w:p>
    <w:p>
      <w:pPr>
        <w:ind w:firstLine="422"/>
        <w:jc w:val="both"/>
      </w:pPr>
    </w:p>
    <w:p>
      <w:pPr>
        <w:ind w:firstLine="420"/>
        <w:jc w:val="both"/>
      </w:pPr>
      <w:r>
        <w:rPr>
          <w:sz w:val="21"/>
        </w:rPr>
        <w:t>根据《中华人民共和国民法典》合同编及根据佛山市典型区域地下水监测井周边污染源调查与精准管控项目（二期）的采购要求，甲方向乙方采购下列服务，经双方协商一致，签订本合同，共同遵守如下条款：</w:t>
      </w:r>
    </w:p>
    <w:p>
      <w:pPr>
        <w:jc w:val="both"/>
      </w:pPr>
      <w:r>
        <w:rPr>
          <w:b/>
          <w:sz w:val="21"/>
        </w:rPr>
        <w:t>一、服务内容和范围</w:t>
      </w:r>
    </w:p>
    <w:p>
      <w:r>
        <w:rPr>
          <w:b/>
          <w:sz w:val="21"/>
        </w:rPr>
        <w:t>1、佛山市典型区域地下水环境现状补充调查</w:t>
      </w:r>
    </w:p>
    <w:p>
      <w:pPr>
        <w:ind w:firstLine="444"/>
        <w:jc w:val="left"/>
      </w:pPr>
      <w:r>
        <w:rPr>
          <w:sz w:val="21"/>
        </w:rPr>
        <w:t>根据本项目一期污染调查结果，对</w:t>
      </w:r>
      <w:r>
        <w:rPr>
          <w:sz w:val="21"/>
        </w:rPr>
        <w:t>5口调查监测井周边加密布设监测井开展补充调查，为污染溯源、风险评估和地下水监测预警及精准管控对策等工作提供基础信息和数据支撑。</w:t>
      </w:r>
    </w:p>
    <w:p>
      <w:r>
        <w:rPr>
          <w:b/>
          <w:sz w:val="21"/>
        </w:rPr>
        <w:t>（</w:t>
      </w:r>
      <w:r>
        <w:rPr>
          <w:b/>
          <w:sz w:val="21"/>
        </w:rPr>
        <w:t>1）</w:t>
      </w:r>
      <w:r>
        <w:rPr>
          <w:b/>
          <w:sz w:val="21"/>
        </w:rPr>
        <w:t>补充调查井建设</w:t>
      </w:r>
    </w:p>
    <w:p>
      <w:pPr>
        <w:ind w:firstLine="444"/>
      </w:pPr>
      <w:r>
        <w:rPr>
          <w:sz w:val="21"/>
        </w:rPr>
        <w:t>在拟开展调查的</w:t>
      </w:r>
      <w:r>
        <w:rPr>
          <w:sz w:val="21"/>
        </w:rPr>
        <w:t>5口监测井周边布设不少于2</w:t>
      </w:r>
      <w:r>
        <w:rPr>
          <w:sz w:val="21"/>
        </w:rPr>
        <w:t>1</w:t>
      </w:r>
      <w:r>
        <w:rPr>
          <w:sz w:val="21"/>
        </w:rPr>
        <w:t>口规范监测井，其中选择至少</w:t>
      </w:r>
      <w:r>
        <w:rPr>
          <w:sz w:val="21"/>
        </w:rPr>
        <w:t>1口建设成分层监测井（根据地质结构和地下水含水层情况，采用一孔多层的巢式、CMT式或其他井结构方式的监测井，分层不少于3层），</w:t>
      </w:r>
      <w:r>
        <w:rPr>
          <w:sz w:val="21"/>
        </w:rPr>
        <w:t>补充新建井监测层位应能为揭示调查监测井污染状况提供支撑。根据调查需要，拟建浅层和深层井，预计浅层井深度在</w:t>
      </w:r>
      <w:r>
        <w:rPr>
          <w:sz w:val="21"/>
        </w:rPr>
        <w:t>8-30m范围,深层监测井深度在30-50m范围，具体建井数量和钻探深度根据实际情况优化调整。新建监测井应参照主要的建井技术规范，建井基本要求包括但不限于土孔钻探使用冲击式钻机等非扰动钻探设备，监测井井径应满足洗井、取样、维护等工作要求，井管内径不小于110mm，井管应选用不影响地下水水质的材料，壁厚不小于6mm，井管需加工螺纹丝扣连接，禁止使用胶水连接；滤水管长度应根据检测目标含水层厚度设计；具体建井情况可根据现场实际水文地质状况进行调整，但需确保建井技术要求满足采购人的监测需求。</w:t>
      </w:r>
    </w:p>
    <w:p>
      <w:r>
        <w:rPr>
          <w:b/>
          <w:sz w:val="21"/>
        </w:rPr>
        <w:t>（</w:t>
      </w:r>
      <w:r>
        <w:rPr>
          <w:b/>
          <w:sz w:val="21"/>
        </w:rPr>
        <w:t>2）</w:t>
      </w:r>
      <w:r>
        <w:rPr>
          <w:b/>
          <w:sz w:val="21"/>
        </w:rPr>
        <w:t>补充调查井现状监测</w:t>
      </w:r>
    </w:p>
    <w:p>
      <w:pPr>
        <w:ind w:firstLine="444"/>
      </w:pPr>
      <w:r>
        <w:rPr>
          <w:sz w:val="21"/>
        </w:rPr>
        <w:t>对不少于</w:t>
      </w:r>
      <w:r>
        <w:rPr>
          <w:sz w:val="21"/>
        </w:rPr>
        <w:t>2</w:t>
      </w:r>
      <w:r>
        <w:rPr>
          <w:sz w:val="21"/>
        </w:rPr>
        <w:t>1</w:t>
      </w:r>
      <w:r>
        <w:rPr>
          <w:sz w:val="21"/>
        </w:rPr>
        <w:t>口周边补充调查监测井开展监测，其中地下水水质监测频率为一个水文年内不低于</w:t>
      </w:r>
      <w:r>
        <w:rPr>
          <w:sz w:val="21"/>
        </w:rPr>
        <w:t>3次，每次采样监测均加采10%的平行样。采样前洗井、样品采集、保存及运输、分析测试等过程按照相关技术规范和标准要求执行。</w:t>
      </w:r>
    </w:p>
    <w:p>
      <w:pPr>
        <w:ind w:firstLine="444"/>
      </w:pPr>
      <w:r>
        <w:rPr>
          <w:sz w:val="21"/>
        </w:rPr>
        <w:t>监测指标应包含《地下水质量标准》（</w:t>
      </w:r>
      <w:r>
        <w:rPr>
          <w:sz w:val="21"/>
        </w:rPr>
        <w:t>GB/T 14848-2017）中的常规指标（微生物指标和放射性指标除外）、八大离子、现场监测指标及前期调查确定的各点位的特征污染指标（镍、银、二氯甲烷、氯苯、二甲苯）。</w:t>
      </w:r>
      <w:r>
        <w:rPr>
          <w:b/>
          <w:sz w:val="21"/>
        </w:rPr>
        <w:t>其中水位、水温、色、浑浊度、肉眼可见物指标等指标可在现场采样时监测并记录，无需</w:t>
      </w:r>
      <w:r>
        <w:rPr>
          <w:b/>
          <w:sz w:val="21"/>
        </w:rPr>
        <w:t>CMA检测资质要求。</w:t>
      </w:r>
      <w:r>
        <w:rPr>
          <w:sz w:val="21"/>
        </w:rPr>
        <w:t>具体见表</w:t>
      </w:r>
      <w:r>
        <w:rPr>
          <w:sz w:val="21"/>
        </w:rPr>
        <w:t>1。</w:t>
      </w:r>
    </w:p>
    <w:p>
      <w:pPr>
        <w:ind w:firstLine="422"/>
        <w:jc w:val="center"/>
      </w:pPr>
      <w:r>
        <w:rPr>
          <w:b/>
          <w:sz w:val="21"/>
        </w:rPr>
        <w:t>表</w:t>
      </w:r>
      <w:r>
        <w:rPr>
          <w:b/>
          <w:sz w:val="21"/>
        </w:rPr>
        <w:t>1</w:t>
      </w:r>
      <w:r>
        <w:rPr>
          <w:b/>
          <w:sz w:val="21"/>
        </w:rPr>
        <w:t xml:space="preserve"> </w:t>
      </w:r>
      <w:r>
        <w:rPr>
          <w:b/>
          <w:sz w:val="21"/>
        </w:rPr>
        <w:t>地下水监测指标</w:t>
      </w:r>
    </w:p>
    <w:tbl>
      <w:tblPr>
        <w:tblW w:w="0" w:type="auto"/>
        <w:tblBorders>
          <w:top w:val="none" w:color="000000" w:sz="4"/>
          <w:left w:val="none" w:color="000000" w:sz="4"/>
          <w:bottom w:val="none" w:color="000000" w:sz="4"/>
          <w:right w:val="none" w:color="000000" w:sz="4"/>
          <w:insideH w:val="none"/>
          <w:insideV w:val="none"/>
        </w:tblBorders>
      </w:tblPr>
      <w:tblGrid>
        <w:gridCol w:w="1676"/>
        <w:gridCol w:w="5430"/>
        <w:gridCol w:w="1199"/>
      </w:tblGrid>
      <w:tr>
        <w:tc>
          <w:tcPr>
            <w:tcW w:type="dxa" w:w="1676"/>
            <w:tcBorders>
              <w:top w:val="single" w:color="000000" w:sz="4"/>
              <w:left w:val="single" w:color="000000" w:sz="4"/>
              <w:bottom w:val="single" w:color="000000" w:sz="4"/>
              <w:right w:val="single" w:color="000000" w:sz="4"/>
            </w:tcBorders>
            <w:vAlign w:val="top"/>
          </w:tcPr>
          <w:p>
            <w:pPr>
              <w:jc w:val="center"/>
            </w:pPr>
            <w:r>
              <w:rPr>
                <w:b/>
                <w:sz w:val="21"/>
              </w:rPr>
              <w:t>指标类型</w:t>
            </w:r>
          </w:p>
        </w:tc>
        <w:tc>
          <w:tcPr>
            <w:tcW w:type="dxa" w:w="5430"/>
            <w:tcBorders>
              <w:top w:val="single" w:color="000000" w:sz="4"/>
              <w:left w:val="single" w:color="000000" w:sz="4"/>
              <w:bottom w:val="single" w:color="000000" w:sz="4"/>
              <w:right w:val="single" w:color="000000" w:sz="4"/>
            </w:tcBorders>
            <w:vAlign w:val="top"/>
          </w:tcPr>
          <w:p>
            <w:pPr>
              <w:jc w:val="center"/>
            </w:pPr>
            <w:r>
              <w:rPr>
                <w:b/>
                <w:sz w:val="21"/>
              </w:rPr>
              <w:t>指标名称</w:t>
            </w:r>
          </w:p>
        </w:tc>
        <w:tc>
          <w:tcPr>
            <w:tcW w:type="dxa" w:w="1199"/>
            <w:tcBorders>
              <w:top w:val="single" w:color="000000" w:sz="4"/>
              <w:left w:val="single" w:color="000000" w:sz="4"/>
              <w:bottom w:val="single" w:color="000000" w:sz="4"/>
              <w:right w:val="single" w:color="000000" w:sz="4"/>
            </w:tcBorders>
            <w:vAlign w:val="top"/>
          </w:tcPr>
          <w:p>
            <w:pPr>
              <w:jc w:val="center"/>
            </w:pPr>
            <w:r>
              <w:rPr>
                <w:b/>
                <w:sz w:val="21"/>
              </w:rPr>
              <w:t>指标数量</w:t>
            </w:r>
          </w:p>
        </w:tc>
      </w:tr>
      <w:tr>
        <w:tc>
          <w:tcPr>
            <w:tcW w:type="dxa" w:w="1676"/>
            <w:tcBorders>
              <w:top w:val="none" w:color="000000" w:sz="4"/>
              <w:left w:val="single" w:color="000000" w:sz="4"/>
              <w:bottom w:val="single" w:color="000000" w:sz="4"/>
              <w:right w:val="single" w:color="000000" w:sz="4"/>
            </w:tcBorders>
            <w:vAlign w:val="top"/>
          </w:tcPr>
          <w:p>
            <w:pPr>
              <w:jc w:val="center"/>
            </w:pPr>
            <w:r>
              <w:rPr>
                <w:sz w:val="21"/>
              </w:rPr>
              <w:t>《地下水质量标准》（</w:t>
            </w:r>
            <w:r>
              <w:rPr>
                <w:sz w:val="21"/>
              </w:rPr>
              <w:t>GB/T 14848-2017）中的常规指标（微生物指标和放射性指标除外）、八大离子</w:t>
            </w:r>
          </w:p>
        </w:tc>
        <w:tc>
          <w:tcPr>
            <w:tcW w:type="dxa" w:w="5430"/>
            <w:tcBorders>
              <w:top w:val="none" w:color="000000" w:sz="4"/>
              <w:left w:val="single" w:color="000000" w:sz="4"/>
              <w:bottom w:val="single" w:color="000000" w:sz="4"/>
              <w:right w:val="single" w:color="000000" w:sz="4"/>
            </w:tcBorders>
            <w:vAlign w:val="top"/>
          </w:tcPr>
          <w:p>
            <w:pPr>
              <w:jc w:val="center"/>
            </w:pPr>
            <w:r>
              <w:rPr>
                <w:sz w:val="21"/>
              </w:rPr>
              <w:t>色、浑浊度、肉眼可见物、</w:t>
            </w:r>
            <w:r>
              <w:rPr>
                <w:sz w:val="21"/>
              </w:rPr>
              <w:t>pH值、总硬度（以CaCO</w:t>
            </w:r>
            <w:r>
              <w:rPr>
                <w:sz w:val="21"/>
                <w:vertAlign w:val="subscript"/>
              </w:rPr>
              <w:t>3</w:t>
            </w:r>
            <w:r>
              <w:rPr>
                <w:sz w:val="21"/>
              </w:rPr>
              <w:t>计）、溶解性总固体、硫酸盐、氯化物、铁、锰、铜、锌、铝、挥发性酚类（挥发酚）、阴离子表面活性剂、高锰酸酸指数（</w:t>
            </w:r>
            <w:r>
              <w:rPr>
                <w:sz w:val="21"/>
              </w:rPr>
              <w:t>COD</w:t>
            </w:r>
            <w:r>
              <w:rPr>
                <w:sz w:val="21"/>
                <w:vertAlign w:val="subscript"/>
              </w:rPr>
              <w:t>Mn</w:t>
            </w:r>
            <w:r>
              <w:rPr>
                <w:sz w:val="21"/>
              </w:rPr>
              <w:t>）、氨氮、硫化物、钠、亚硝酸盐、硝酸盐、氰化物、氟化物、碘化物、汞、砷、硒、镉、六价铬、铅、三氯甲烷、四氯化碳、苯、甲苯、</w:t>
            </w:r>
            <w:r>
              <w:rPr>
                <w:sz w:val="21"/>
              </w:rPr>
              <w:t>Ca</w:t>
            </w:r>
            <w:r>
              <w:rPr>
                <w:sz w:val="21"/>
                <w:vertAlign w:val="superscript"/>
              </w:rPr>
              <w:t>2+</w:t>
            </w:r>
            <w:r>
              <w:rPr>
                <w:sz w:val="21"/>
              </w:rPr>
              <w:t>、</w:t>
            </w:r>
            <w:r>
              <w:rPr>
                <w:sz w:val="21"/>
              </w:rPr>
              <w:t>Mg</w:t>
            </w:r>
            <w:r>
              <w:rPr>
                <w:sz w:val="21"/>
                <w:vertAlign w:val="superscript"/>
              </w:rPr>
              <w:t>2+</w:t>
            </w:r>
            <w:r>
              <w:rPr>
                <w:sz w:val="21"/>
              </w:rPr>
              <w:t>、</w:t>
            </w:r>
            <w:r>
              <w:rPr>
                <w:sz w:val="21"/>
              </w:rPr>
              <w:t>K</w:t>
            </w:r>
            <w:r>
              <w:rPr>
                <w:sz w:val="21"/>
                <w:vertAlign w:val="superscript"/>
              </w:rPr>
              <w:t>+</w:t>
            </w:r>
            <w:r>
              <w:rPr>
                <w:sz w:val="21"/>
              </w:rPr>
              <w:t>、碳酸根（</w:t>
            </w:r>
            <w:r>
              <w:rPr>
                <w:sz w:val="21"/>
              </w:rPr>
              <w:t>CO</w:t>
            </w:r>
            <w:r>
              <w:rPr>
                <w:sz w:val="21"/>
                <w:vertAlign w:val="subscript"/>
              </w:rPr>
              <w:t>3</w:t>
            </w:r>
            <w:r>
              <w:rPr>
                <w:sz w:val="21"/>
                <w:vertAlign w:val="superscript"/>
              </w:rPr>
              <w:t>2-</w:t>
            </w:r>
            <w:r>
              <w:rPr>
                <w:sz w:val="21"/>
              </w:rPr>
              <w:t>）、重碳酸根（</w:t>
            </w:r>
            <w:r>
              <w:rPr>
                <w:sz w:val="21"/>
              </w:rPr>
              <w:t>HCO</w:t>
            </w:r>
            <w:r>
              <w:rPr>
                <w:sz w:val="21"/>
                <w:vertAlign w:val="subscript"/>
              </w:rPr>
              <w:t>3</w:t>
            </w:r>
            <w:r>
              <w:rPr>
                <w:sz w:val="21"/>
                <w:vertAlign w:val="superscript"/>
              </w:rPr>
              <w:t>-</w:t>
            </w:r>
            <w:r>
              <w:rPr>
                <w:sz w:val="21"/>
              </w:rPr>
              <w:t>）</w:t>
            </w:r>
          </w:p>
        </w:tc>
        <w:tc>
          <w:tcPr>
            <w:tcW w:type="dxa" w:w="1199"/>
            <w:tcBorders>
              <w:top w:val="none" w:color="000000" w:sz="4"/>
              <w:left w:val="single" w:color="000000" w:sz="4"/>
              <w:bottom w:val="single" w:color="000000" w:sz="4"/>
              <w:right w:val="single" w:color="000000" w:sz="4"/>
            </w:tcBorders>
            <w:vAlign w:val="top"/>
          </w:tcPr>
          <w:p>
            <w:pPr>
              <w:jc w:val="center"/>
            </w:pPr>
            <w:r>
              <w:rPr>
                <w:sz w:val="21"/>
              </w:rPr>
              <w:t>39</w:t>
            </w:r>
          </w:p>
        </w:tc>
      </w:tr>
      <w:tr>
        <w:tc>
          <w:tcPr>
            <w:tcW w:type="dxa" w:w="1676"/>
            <w:tcBorders>
              <w:top w:val="none" w:color="000000" w:sz="4"/>
              <w:left w:val="single" w:color="000000" w:sz="4"/>
              <w:bottom w:val="single" w:color="000000" w:sz="4"/>
              <w:right w:val="single" w:color="000000" w:sz="4"/>
            </w:tcBorders>
            <w:vAlign w:val="top"/>
          </w:tcPr>
          <w:p>
            <w:pPr>
              <w:jc w:val="center"/>
            </w:pPr>
            <w:r>
              <w:rPr>
                <w:sz w:val="21"/>
              </w:rPr>
              <w:t>现场监测指标</w:t>
            </w:r>
          </w:p>
        </w:tc>
        <w:tc>
          <w:tcPr>
            <w:tcW w:type="dxa" w:w="5430"/>
            <w:tcBorders>
              <w:top w:val="none" w:color="000000" w:sz="4"/>
              <w:left w:val="single" w:color="000000" w:sz="4"/>
              <w:bottom w:val="single" w:color="000000" w:sz="4"/>
              <w:right w:val="single" w:color="000000" w:sz="4"/>
            </w:tcBorders>
            <w:vAlign w:val="top"/>
          </w:tcPr>
          <w:p>
            <w:pPr>
              <w:jc w:val="center"/>
            </w:pPr>
            <w:r>
              <w:rPr>
                <w:sz w:val="21"/>
              </w:rPr>
              <w:t>水位、水温、溶解氧、氧化还原电位、浊度、电导率</w:t>
            </w:r>
          </w:p>
        </w:tc>
        <w:tc>
          <w:tcPr>
            <w:tcW w:type="dxa" w:w="1199"/>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1676"/>
            <w:tcBorders>
              <w:top w:val="none" w:color="000000" w:sz="4"/>
              <w:left w:val="single" w:color="000000" w:sz="4"/>
              <w:bottom w:val="single" w:color="000000" w:sz="4"/>
              <w:right w:val="single" w:color="000000" w:sz="4"/>
            </w:tcBorders>
            <w:vAlign w:val="top"/>
          </w:tcPr>
          <w:p>
            <w:pPr>
              <w:jc w:val="center"/>
            </w:pPr>
            <w:r>
              <w:rPr>
                <w:sz w:val="21"/>
              </w:rPr>
              <w:t>特征污染指标</w:t>
            </w:r>
          </w:p>
        </w:tc>
        <w:tc>
          <w:tcPr>
            <w:tcW w:type="dxa" w:w="5430"/>
            <w:tcBorders>
              <w:top w:val="none" w:color="000000" w:sz="4"/>
              <w:left w:val="single" w:color="000000" w:sz="4"/>
              <w:bottom w:val="single" w:color="000000" w:sz="4"/>
              <w:right w:val="single" w:color="000000" w:sz="4"/>
            </w:tcBorders>
            <w:vAlign w:val="top"/>
          </w:tcPr>
          <w:p>
            <w:pPr>
              <w:jc w:val="center"/>
            </w:pPr>
            <w:r>
              <w:rPr>
                <w:sz w:val="21"/>
              </w:rPr>
              <w:t>镍、银、二氯甲烷、氯苯、二甲苯</w:t>
            </w:r>
          </w:p>
        </w:tc>
        <w:tc>
          <w:tcPr>
            <w:tcW w:type="dxa" w:w="1199"/>
            <w:tcBorders>
              <w:top w:val="none" w:color="000000" w:sz="4"/>
              <w:left w:val="single" w:color="000000" w:sz="4"/>
              <w:bottom w:val="single" w:color="000000" w:sz="4"/>
              <w:right w:val="single" w:color="000000" w:sz="4"/>
            </w:tcBorders>
            <w:vAlign w:val="top"/>
          </w:tcPr>
          <w:p>
            <w:pPr>
              <w:jc w:val="center"/>
            </w:pPr>
            <w:r>
              <w:rPr>
                <w:sz w:val="21"/>
              </w:rPr>
              <w:t>5</w:t>
            </w:r>
          </w:p>
        </w:tc>
      </w:tr>
    </w:tbl>
    <w:p>
      <w:pPr>
        <w:ind w:firstLine="444"/>
      </w:pPr>
      <w:r>
        <w:rPr>
          <w:sz w:val="21"/>
        </w:rPr>
        <w:t>对不少于</w:t>
      </w:r>
      <w:r>
        <w:rPr>
          <w:sz w:val="21"/>
        </w:rPr>
        <w:t>15</w:t>
      </w:r>
      <w:r>
        <w:rPr>
          <w:sz w:val="21"/>
        </w:rPr>
        <w:t>口周边补充调查监测井同步开展土壤分层监测。每个钻孔土壤监测不少于</w:t>
      </w:r>
      <w:r>
        <w:rPr>
          <w:sz w:val="21"/>
        </w:rPr>
        <w:t>3层，每次采样监测均加采10%的平行样。原则上每个土壤样品的采样点位至少在2个不同深度采集土壤样品，采样深度原则上应包括表层0cm-50cm、存在污染痕迹或现场快速检测识别出的污染相对较重的位置；若钻探至地下水位时，原则上应在水位线附近50cm范围内补充采集一个土壤样品，具体可根据实际调查情况优化调整。土壤样品采集、保存及运输、分析测试等过程按照相关技术规范和标准要求执行。</w:t>
      </w:r>
    </w:p>
    <w:p>
      <w:pPr>
        <w:ind w:firstLine="444"/>
      </w:pPr>
      <w:r>
        <w:rPr>
          <w:sz w:val="21"/>
        </w:rPr>
        <w:t>监测指标</w:t>
      </w:r>
      <w:r>
        <w:rPr>
          <w:sz w:val="21"/>
        </w:rPr>
        <w:t>应包含</w:t>
      </w:r>
      <w:r>
        <w:rPr>
          <w:sz w:val="21"/>
        </w:rPr>
        <w:t>《土壤环境质量建设用地土壤污染风险管控标准（试行）》中</w:t>
      </w:r>
      <w:r>
        <w:rPr>
          <w:sz w:val="21"/>
        </w:rPr>
        <w:t>“表</w:t>
      </w:r>
      <w:r>
        <w:rPr>
          <w:sz w:val="21"/>
        </w:rPr>
        <w:t>1建设用地土壤污染风险筛选值和管制值（基本项目）”45项指标和pH值</w:t>
      </w:r>
      <w:r>
        <w:rPr>
          <w:sz w:val="21"/>
        </w:rPr>
        <w:t>，以及</w:t>
      </w:r>
      <w:r>
        <w:rPr>
          <w:sz w:val="21"/>
        </w:rPr>
        <w:t>铝等前期风险指标</w:t>
      </w:r>
      <w:r>
        <w:rPr>
          <w:sz w:val="21"/>
        </w:rPr>
        <w:t>。</w:t>
      </w:r>
      <w:r>
        <w:rPr>
          <w:sz w:val="21"/>
        </w:rPr>
        <w:t>监测指标将根据实际调查情况进行适当补充。</w:t>
      </w:r>
      <w:r>
        <w:rPr>
          <w:sz w:val="21"/>
        </w:rPr>
        <w:t>具体见表</w:t>
      </w:r>
      <w:r>
        <w:rPr>
          <w:sz w:val="21"/>
        </w:rPr>
        <w:t>2</w:t>
      </w:r>
      <w:r>
        <w:rPr>
          <w:sz w:val="21"/>
        </w:rPr>
        <w:t>。</w:t>
      </w:r>
    </w:p>
    <w:p>
      <w:pPr>
        <w:ind w:firstLine="422"/>
        <w:jc w:val="center"/>
      </w:pPr>
      <w:r>
        <w:rPr>
          <w:b/>
          <w:sz w:val="21"/>
        </w:rPr>
        <w:t>表</w:t>
      </w:r>
      <w:r>
        <w:rPr>
          <w:b/>
          <w:sz w:val="21"/>
        </w:rPr>
        <w:t>2</w:t>
      </w:r>
      <w:r>
        <w:rPr>
          <w:b/>
          <w:sz w:val="21"/>
        </w:rPr>
        <w:t xml:space="preserve"> </w:t>
      </w:r>
      <w:r>
        <w:rPr>
          <w:b/>
          <w:sz w:val="21"/>
        </w:rPr>
        <w:t>土壤监测指标</w:t>
      </w:r>
    </w:p>
    <w:tbl>
      <w:tblPr>
        <w:tblW w:w="0" w:type="auto"/>
        <w:tblBorders>
          <w:top w:val="none" w:color="000000" w:sz="4"/>
          <w:left w:val="none" w:color="000000" w:sz="4"/>
          <w:bottom w:val="none" w:color="000000" w:sz="4"/>
          <w:right w:val="none" w:color="000000" w:sz="4"/>
          <w:insideH w:val="none"/>
          <w:insideV w:val="none"/>
        </w:tblBorders>
      </w:tblPr>
      <w:tblGrid>
        <w:gridCol w:w="1676"/>
        <w:gridCol w:w="5430"/>
        <w:gridCol w:w="1199"/>
      </w:tblGrid>
      <w:tr>
        <w:tc>
          <w:tcPr>
            <w:tcW w:type="dxa" w:w="1676"/>
            <w:tcBorders>
              <w:top w:val="single" w:color="000000" w:sz="4"/>
              <w:left w:val="single" w:color="000000" w:sz="4"/>
              <w:bottom w:val="single" w:color="000000" w:sz="4"/>
              <w:right w:val="single" w:color="000000" w:sz="4"/>
            </w:tcBorders>
            <w:vAlign w:val="top"/>
          </w:tcPr>
          <w:p>
            <w:pPr>
              <w:jc w:val="center"/>
            </w:pPr>
            <w:r>
              <w:rPr>
                <w:b/>
                <w:sz w:val="21"/>
              </w:rPr>
              <w:t>指标类型</w:t>
            </w:r>
          </w:p>
        </w:tc>
        <w:tc>
          <w:tcPr>
            <w:tcW w:type="dxa" w:w="5430"/>
            <w:tcBorders>
              <w:top w:val="single" w:color="000000" w:sz="4"/>
              <w:left w:val="single" w:color="000000" w:sz="4"/>
              <w:bottom w:val="single" w:color="000000" w:sz="4"/>
              <w:right w:val="single" w:color="000000" w:sz="4"/>
            </w:tcBorders>
            <w:vAlign w:val="top"/>
          </w:tcPr>
          <w:p>
            <w:pPr>
              <w:jc w:val="center"/>
            </w:pPr>
            <w:r>
              <w:rPr>
                <w:b/>
                <w:sz w:val="21"/>
              </w:rPr>
              <w:t>指标名称</w:t>
            </w:r>
          </w:p>
        </w:tc>
        <w:tc>
          <w:tcPr>
            <w:tcW w:type="dxa" w:w="1199"/>
            <w:tcBorders>
              <w:top w:val="single" w:color="000000" w:sz="4"/>
              <w:left w:val="single" w:color="000000" w:sz="4"/>
              <w:bottom w:val="single" w:color="000000" w:sz="4"/>
              <w:right w:val="single" w:color="000000" w:sz="4"/>
            </w:tcBorders>
            <w:vAlign w:val="top"/>
          </w:tcPr>
          <w:p>
            <w:pPr>
              <w:jc w:val="center"/>
            </w:pPr>
            <w:r>
              <w:rPr>
                <w:b/>
                <w:sz w:val="21"/>
              </w:rPr>
              <w:t>指标数量</w:t>
            </w:r>
          </w:p>
        </w:tc>
      </w:tr>
      <w:tr>
        <w:tc>
          <w:tcPr>
            <w:tcW w:type="dxa" w:w="1676"/>
            <w:tcBorders>
              <w:top w:val="none" w:color="000000" w:sz="4"/>
              <w:left w:val="single" w:color="000000" w:sz="4"/>
              <w:bottom w:val="single" w:color="000000" w:sz="4"/>
              <w:right w:val="single" w:color="000000" w:sz="4"/>
            </w:tcBorders>
            <w:vAlign w:val="top"/>
          </w:tcPr>
          <w:p>
            <w:pPr>
              <w:jc w:val="center"/>
            </w:pPr>
            <w:r>
              <w:rPr>
                <w:sz w:val="21"/>
              </w:rPr>
              <w:t>《土壤环境质量建设用地土壤污染风险管控标准（试行）》（</w:t>
            </w:r>
            <w:r>
              <w:rPr>
                <w:sz w:val="21"/>
              </w:rPr>
              <w:t>GB 36600-2018）的基本45项</w:t>
            </w:r>
          </w:p>
        </w:tc>
        <w:tc>
          <w:tcPr>
            <w:tcW w:type="dxa" w:w="5430"/>
            <w:tcBorders>
              <w:top w:val="none" w:color="000000" w:sz="4"/>
              <w:left w:val="single" w:color="000000" w:sz="4"/>
              <w:bottom w:val="single" w:color="000000" w:sz="4"/>
              <w:right w:val="single" w:color="000000" w:sz="4"/>
            </w:tcBorders>
            <w:vAlign w:val="top"/>
          </w:tcPr>
          <w:p>
            <w:pPr>
              <w:jc w:val="center"/>
            </w:pPr>
            <w:r>
              <w:rPr>
                <w:sz w:val="21"/>
              </w:rPr>
              <w:t>砷、镉、六价铬、铜、铅、汞、镍、四氯化碳、氯仿、氯甲烷、</w:t>
            </w:r>
            <w:r>
              <w:rPr>
                <w:sz w:val="21"/>
              </w:rPr>
              <w:t>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w:t>
            </w:r>
          </w:p>
        </w:tc>
        <w:tc>
          <w:tcPr>
            <w:tcW w:type="dxa" w:w="1199"/>
            <w:tcBorders>
              <w:top w:val="none" w:color="000000" w:sz="4"/>
              <w:left w:val="single" w:color="000000" w:sz="4"/>
              <w:bottom w:val="single" w:color="000000" w:sz="4"/>
              <w:right w:val="single" w:color="000000" w:sz="4"/>
            </w:tcBorders>
            <w:vAlign w:val="top"/>
          </w:tcPr>
          <w:p>
            <w:pPr>
              <w:jc w:val="center"/>
            </w:pPr>
            <w:r>
              <w:rPr>
                <w:sz w:val="21"/>
              </w:rPr>
              <w:t>45</w:t>
            </w:r>
          </w:p>
        </w:tc>
      </w:tr>
      <w:tr>
        <w:tc>
          <w:tcPr>
            <w:tcW w:type="dxa" w:w="1676"/>
            <w:tcBorders>
              <w:top w:val="none" w:color="000000" w:sz="4"/>
              <w:left w:val="single" w:color="000000" w:sz="4"/>
              <w:bottom w:val="single" w:color="000000" w:sz="4"/>
              <w:right w:val="single" w:color="000000" w:sz="4"/>
            </w:tcBorders>
            <w:vAlign w:val="top"/>
          </w:tcPr>
          <w:p>
            <w:pPr>
              <w:jc w:val="center"/>
            </w:pPr>
            <w:r>
              <w:rPr>
                <w:sz w:val="21"/>
              </w:rPr>
              <w:t>其他指标</w:t>
            </w:r>
          </w:p>
        </w:tc>
        <w:tc>
          <w:tcPr>
            <w:tcW w:type="dxa" w:w="5430"/>
            <w:tcBorders>
              <w:top w:val="none" w:color="000000" w:sz="4"/>
              <w:left w:val="single" w:color="000000" w:sz="4"/>
              <w:bottom w:val="single" w:color="000000" w:sz="4"/>
              <w:right w:val="single" w:color="000000" w:sz="4"/>
            </w:tcBorders>
            <w:vAlign w:val="top"/>
          </w:tcPr>
          <w:p>
            <w:pPr>
              <w:jc w:val="center"/>
            </w:pPr>
            <w:r>
              <w:rPr>
                <w:sz w:val="21"/>
              </w:rPr>
              <w:t>pH值、铝</w:t>
            </w:r>
          </w:p>
        </w:tc>
        <w:tc>
          <w:tcPr>
            <w:tcW w:type="dxa" w:w="1199"/>
            <w:tcBorders>
              <w:top w:val="none" w:color="000000" w:sz="4"/>
              <w:left w:val="single" w:color="000000" w:sz="4"/>
              <w:bottom w:val="single" w:color="000000" w:sz="4"/>
              <w:right w:val="single" w:color="000000" w:sz="4"/>
            </w:tcBorders>
            <w:vAlign w:val="top"/>
          </w:tcPr>
          <w:p>
            <w:pPr>
              <w:jc w:val="center"/>
            </w:pPr>
            <w:r>
              <w:rPr>
                <w:sz w:val="21"/>
              </w:rPr>
              <w:t>2</w:t>
            </w:r>
          </w:p>
        </w:tc>
      </w:tr>
    </w:tbl>
    <w:p>
      <w:r>
        <w:rPr>
          <w:b/>
          <w:sz w:val="21"/>
        </w:rPr>
        <w:t>（</w:t>
      </w:r>
      <w:r>
        <w:rPr>
          <w:b/>
          <w:sz w:val="21"/>
        </w:rPr>
        <w:t>3）</w:t>
      </w:r>
      <w:r>
        <w:rPr>
          <w:b/>
          <w:sz w:val="21"/>
        </w:rPr>
        <w:t>补充分层监测井监测</w:t>
      </w:r>
    </w:p>
    <w:p>
      <w:pPr>
        <w:ind w:firstLine="444"/>
      </w:pPr>
      <w:r>
        <w:rPr>
          <w:sz w:val="21"/>
        </w:rPr>
        <w:t>选取</w:t>
      </w:r>
      <w:r>
        <w:rPr>
          <w:sz w:val="21"/>
        </w:rPr>
        <w:t>4号调查井地下水下游方向（或采购人确定的4号调查井周边）1口新建井建设成分层井，根据地质结构和地下水含水层情况，采用一孔多层的巢式、CMT式或其他井结构方式的监测井，开展不少于3层的水质动态监测。</w:t>
      </w:r>
    </w:p>
    <w:p>
      <w:pPr>
        <w:ind w:firstLine="444"/>
      </w:pPr>
      <w:r>
        <w:rPr>
          <w:sz w:val="21"/>
        </w:rPr>
        <w:t>依据地下水分层情况对井内地下水进行加密分层采样监测分析，实现对各层次地下水水质的监测和水质监控，掌握不同地下水水层污染特性，探索和定位主要污染水层，确定影响水质的主要特征污染物。</w:t>
      </w:r>
    </w:p>
    <w:p>
      <w:pPr>
        <w:ind w:firstLine="444"/>
      </w:pPr>
      <w:r>
        <w:rPr>
          <w:sz w:val="21"/>
        </w:rPr>
        <w:t>监测指标为水位、水温、溶解性总固体、</w:t>
      </w:r>
      <w:r>
        <w:rPr>
          <w:sz w:val="21"/>
        </w:rPr>
        <w:t>pH值、溶解氧、电导率、浊度、氧化还原电位、镍、铜等水质指标，采样前应进行充分洗井，保证采集的是新鲜水样，监测频次不少于每周1次（客观条件限制除外），监测时长不少于6个月，应覆盖不同水期，必要时进行加密监测或延长监测时长。具体见表</w:t>
      </w:r>
      <w:r>
        <w:rPr>
          <w:sz w:val="21"/>
        </w:rPr>
        <w:t>3</w:t>
      </w:r>
      <w:r>
        <w:rPr>
          <w:sz w:val="21"/>
        </w:rPr>
        <w:t>。</w:t>
      </w:r>
    </w:p>
    <w:p>
      <w:pPr>
        <w:ind w:firstLine="422"/>
        <w:jc w:val="center"/>
      </w:pPr>
      <w:r>
        <w:rPr>
          <w:b/>
          <w:sz w:val="21"/>
        </w:rPr>
        <w:t>表</w:t>
      </w:r>
      <w:r>
        <w:rPr>
          <w:b/>
          <w:sz w:val="21"/>
        </w:rPr>
        <w:t>3</w:t>
      </w:r>
      <w:r>
        <w:rPr>
          <w:b/>
          <w:sz w:val="21"/>
        </w:rPr>
        <w:t xml:space="preserve"> </w:t>
      </w:r>
      <w:r>
        <w:rPr>
          <w:b/>
          <w:sz w:val="21"/>
        </w:rPr>
        <w:t>分层监测指标</w:t>
      </w:r>
    </w:p>
    <w:tbl>
      <w:tblPr>
        <w:tblW w:w="0" w:type="auto"/>
        <w:tblBorders>
          <w:top w:val="none" w:color="000000" w:sz="4"/>
          <w:left w:val="none" w:color="000000" w:sz="4"/>
          <w:bottom w:val="none" w:color="000000" w:sz="4"/>
          <w:right w:val="none" w:color="000000" w:sz="4"/>
          <w:insideH w:val="none"/>
          <w:insideV w:val="none"/>
        </w:tblBorders>
      </w:tblPr>
      <w:tblGrid>
        <w:gridCol w:w="1676"/>
        <w:gridCol w:w="5430"/>
        <w:gridCol w:w="1199"/>
      </w:tblGrid>
      <w:tr>
        <w:tc>
          <w:tcPr>
            <w:tcW w:type="dxa" w:w="1676"/>
            <w:tcBorders>
              <w:top w:val="single" w:color="000000" w:sz="4"/>
              <w:left w:val="single" w:color="000000" w:sz="4"/>
              <w:bottom w:val="single" w:color="000000" w:sz="4"/>
              <w:right w:val="single" w:color="000000" w:sz="4"/>
            </w:tcBorders>
            <w:vAlign w:val="top"/>
          </w:tcPr>
          <w:p>
            <w:pPr>
              <w:jc w:val="center"/>
            </w:pPr>
            <w:r>
              <w:rPr>
                <w:b/>
                <w:sz w:val="21"/>
              </w:rPr>
              <w:t>指标类型</w:t>
            </w:r>
          </w:p>
        </w:tc>
        <w:tc>
          <w:tcPr>
            <w:tcW w:type="dxa" w:w="5430"/>
            <w:tcBorders>
              <w:top w:val="single" w:color="000000" w:sz="4"/>
              <w:left w:val="single" w:color="000000" w:sz="4"/>
              <w:bottom w:val="single" w:color="000000" w:sz="4"/>
              <w:right w:val="single" w:color="000000" w:sz="4"/>
            </w:tcBorders>
            <w:vAlign w:val="top"/>
          </w:tcPr>
          <w:p>
            <w:pPr>
              <w:jc w:val="center"/>
            </w:pPr>
            <w:r>
              <w:rPr>
                <w:b/>
                <w:sz w:val="21"/>
              </w:rPr>
              <w:t>指标名称</w:t>
            </w:r>
          </w:p>
        </w:tc>
        <w:tc>
          <w:tcPr>
            <w:tcW w:type="dxa" w:w="1199"/>
            <w:tcBorders>
              <w:top w:val="single" w:color="000000" w:sz="4"/>
              <w:left w:val="single" w:color="000000" w:sz="4"/>
              <w:bottom w:val="single" w:color="000000" w:sz="4"/>
              <w:right w:val="single" w:color="000000" w:sz="4"/>
            </w:tcBorders>
            <w:vAlign w:val="top"/>
          </w:tcPr>
          <w:p>
            <w:pPr>
              <w:jc w:val="center"/>
            </w:pPr>
            <w:r>
              <w:rPr>
                <w:b/>
                <w:sz w:val="21"/>
              </w:rPr>
              <w:t>指标数量</w:t>
            </w:r>
          </w:p>
        </w:tc>
      </w:tr>
      <w:tr>
        <w:tc>
          <w:tcPr>
            <w:tcW w:type="dxa" w:w="1676"/>
            <w:tcBorders>
              <w:top w:val="none" w:color="000000" w:sz="4"/>
              <w:left w:val="single" w:color="000000" w:sz="4"/>
              <w:bottom w:val="single" w:color="000000" w:sz="4"/>
              <w:right w:val="single" w:color="000000" w:sz="4"/>
            </w:tcBorders>
            <w:vAlign w:val="top"/>
          </w:tcPr>
          <w:p>
            <w:pPr>
              <w:jc w:val="center"/>
            </w:pPr>
            <w:r>
              <w:rPr>
                <w:sz w:val="21"/>
              </w:rPr>
              <w:t>监测指标</w:t>
            </w:r>
          </w:p>
        </w:tc>
        <w:tc>
          <w:tcPr>
            <w:tcW w:type="dxa" w:w="5430"/>
            <w:tcBorders>
              <w:top w:val="none" w:color="000000" w:sz="4"/>
              <w:left w:val="single" w:color="000000" w:sz="4"/>
              <w:bottom w:val="single" w:color="000000" w:sz="4"/>
              <w:right w:val="single" w:color="000000" w:sz="4"/>
            </w:tcBorders>
            <w:vAlign w:val="top"/>
          </w:tcPr>
          <w:p>
            <w:pPr>
              <w:jc w:val="center"/>
            </w:pPr>
            <w:r>
              <w:rPr>
                <w:sz w:val="21"/>
              </w:rPr>
              <w:t>水位、水温、溶解性总固体、</w:t>
            </w:r>
            <w:r>
              <w:rPr>
                <w:sz w:val="21"/>
              </w:rPr>
              <w:t>pH值、溶解氧、电导率、浊度、氧化还原电位、镍、铜</w:t>
            </w:r>
          </w:p>
        </w:tc>
        <w:tc>
          <w:tcPr>
            <w:tcW w:type="dxa" w:w="1199"/>
            <w:tcBorders>
              <w:top w:val="none" w:color="000000" w:sz="4"/>
              <w:left w:val="single" w:color="000000" w:sz="4"/>
              <w:bottom w:val="single" w:color="000000" w:sz="4"/>
              <w:right w:val="single" w:color="000000" w:sz="4"/>
            </w:tcBorders>
            <w:vAlign w:val="top"/>
          </w:tcPr>
          <w:p>
            <w:pPr>
              <w:jc w:val="center"/>
            </w:pPr>
            <w:r>
              <w:rPr>
                <w:sz w:val="21"/>
              </w:rPr>
              <w:t>10</w:t>
            </w:r>
          </w:p>
        </w:tc>
      </w:tr>
    </w:tbl>
    <w:p>
      <w:r>
        <w:rPr>
          <w:b/>
          <w:sz w:val="21"/>
        </w:rPr>
        <w:t>2.佛山市典型区域地下水同位素溯源模型构建</w:t>
      </w:r>
    </w:p>
    <w:p>
      <w:pPr>
        <w:ind w:firstLine="420"/>
      </w:pPr>
      <w:r>
        <w:rPr>
          <w:sz w:val="21"/>
        </w:rPr>
        <w:t>在已有溯源资料及工作的基础上，进一步结合综合多种同位素的补充监测（</w:t>
      </w:r>
      <w:r>
        <w:rPr>
          <w:sz w:val="21"/>
        </w:rPr>
        <w:t>8种及以上同位素）结果，构建同位素溯源模型并进行模型参数优化和模型验证，提出可供界面化的建模流程并协助完成溯源成果信息化展示工作。将多种手段溯源工作进行交叉验证，确定污染源同位素组成特征，开展污染成因分析，发展经济、有效的同位素溯源方法，提出切实可行、可供验证的溯源思路。具体工作内容详见表4。</w:t>
      </w:r>
    </w:p>
    <w:p>
      <w:pPr>
        <w:ind w:firstLine="422"/>
        <w:jc w:val="center"/>
      </w:pPr>
      <w:r>
        <w:rPr>
          <w:b/>
          <w:sz w:val="21"/>
        </w:rPr>
        <w:t>表</w:t>
      </w:r>
      <w:r>
        <w:rPr>
          <w:b/>
          <w:sz w:val="21"/>
        </w:rPr>
        <w:t>4</w:t>
      </w:r>
      <w:r>
        <w:rPr>
          <w:b/>
          <w:sz w:val="21"/>
        </w:rPr>
        <w:t xml:space="preserve">  </w:t>
      </w:r>
      <w:r>
        <w:rPr>
          <w:b/>
          <w:sz w:val="21"/>
        </w:rPr>
        <w:t>同位素监测点位及分析指标</w:t>
      </w:r>
    </w:p>
    <w:tbl>
      <w:tblPr>
        <w:tblW w:w="0" w:type="auto"/>
        <w:tblBorders>
          <w:top w:val="none" w:color="000000" w:sz="4"/>
          <w:left w:val="none" w:color="000000" w:sz="4"/>
          <w:bottom w:val="none" w:color="000000" w:sz="4"/>
          <w:right w:val="none" w:color="000000" w:sz="4"/>
          <w:insideH w:val="none"/>
          <w:insideV w:val="none"/>
        </w:tblBorders>
      </w:tblPr>
      <w:tblGrid>
        <w:gridCol w:w="1160"/>
        <w:gridCol w:w="1554"/>
        <w:gridCol w:w="1251"/>
        <w:gridCol w:w="1299"/>
        <w:gridCol w:w="3042"/>
      </w:tblGrid>
      <w:tr>
        <w:tc>
          <w:tcPr>
            <w:tcW w:type="dxa" w:w="1160"/>
            <w:tcBorders>
              <w:top w:val="single" w:color="000000" w:sz="4"/>
              <w:left w:val="single" w:color="000000" w:sz="4"/>
              <w:bottom w:val="single" w:color="000000" w:sz="4"/>
              <w:right w:val="single" w:color="000000" w:sz="4"/>
            </w:tcBorders>
            <w:vAlign w:val="top"/>
          </w:tcPr>
          <w:p>
            <w:r>
              <w:rPr>
                <w:b/>
                <w:sz w:val="21"/>
              </w:rPr>
              <w:t>监测点位</w:t>
            </w:r>
          </w:p>
        </w:tc>
        <w:tc>
          <w:tcPr>
            <w:tcW w:type="dxa" w:w="1554"/>
            <w:tcBorders>
              <w:top w:val="single" w:color="000000" w:sz="4"/>
              <w:left w:val="single" w:color="000000" w:sz="4"/>
              <w:bottom w:val="single" w:color="000000" w:sz="4"/>
              <w:right w:val="single" w:color="000000" w:sz="4"/>
            </w:tcBorders>
            <w:vAlign w:val="top"/>
          </w:tcPr>
          <w:p>
            <w:r>
              <w:rPr>
                <w:b/>
                <w:sz w:val="21"/>
              </w:rPr>
              <w:t>布点数量</w:t>
            </w:r>
          </w:p>
        </w:tc>
        <w:tc>
          <w:tcPr>
            <w:tcW w:type="dxa" w:w="1251"/>
            <w:tcBorders>
              <w:top w:val="single" w:color="000000" w:sz="4"/>
              <w:left w:val="single" w:color="000000" w:sz="4"/>
              <w:bottom w:val="single" w:color="000000" w:sz="4"/>
              <w:right w:val="single" w:color="000000" w:sz="4"/>
            </w:tcBorders>
            <w:vAlign w:val="top"/>
          </w:tcPr>
          <w:p>
            <w:r>
              <w:rPr>
                <w:b/>
                <w:sz w:val="21"/>
              </w:rPr>
              <w:t>监测频次</w:t>
            </w:r>
          </w:p>
        </w:tc>
        <w:tc>
          <w:tcPr>
            <w:tcW w:type="dxa" w:w="1299"/>
            <w:tcBorders>
              <w:top w:val="single" w:color="000000" w:sz="4"/>
              <w:left w:val="single" w:color="000000" w:sz="4"/>
              <w:bottom w:val="single" w:color="000000" w:sz="4"/>
              <w:right w:val="single" w:color="000000" w:sz="4"/>
            </w:tcBorders>
            <w:vAlign w:val="top"/>
          </w:tcPr>
          <w:p>
            <w:r>
              <w:rPr>
                <w:b/>
                <w:sz w:val="21"/>
              </w:rPr>
              <w:t>监测深度</w:t>
            </w:r>
          </w:p>
        </w:tc>
        <w:tc>
          <w:tcPr>
            <w:tcW w:type="dxa" w:w="3042"/>
            <w:tcBorders>
              <w:top w:val="single" w:color="000000" w:sz="4"/>
              <w:left w:val="single" w:color="000000" w:sz="4"/>
              <w:bottom w:val="single" w:color="000000" w:sz="4"/>
              <w:right w:val="single" w:color="000000" w:sz="4"/>
            </w:tcBorders>
            <w:vAlign w:val="top"/>
          </w:tcPr>
          <w:p>
            <w:r>
              <w:rPr>
                <w:b/>
                <w:sz w:val="21"/>
              </w:rPr>
              <w:t>同位素监测指标</w:t>
            </w:r>
          </w:p>
        </w:tc>
      </w:tr>
      <w:tr>
        <w:tc>
          <w:tcPr>
            <w:tcW w:type="dxa" w:w="1160"/>
            <w:tcBorders>
              <w:top w:val="none" w:color="000000" w:sz="4"/>
              <w:left w:val="single" w:color="000000" w:sz="4"/>
              <w:bottom w:val="single" w:color="000000" w:sz="4"/>
              <w:right w:val="single" w:color="000000" w:sz="4"/>
            </w:tcBorders>
            <w:vAlign w:val="top"/>
          </w:tcPr>
          <w:p>
            <w:r>
              <w:rPr>
                <w:sz w:val="21"/>
              </w:rPr>
              <w:t>1</w:t>
            </w:r>
          </w:p>
        </w:tc>
        <w:tc>
          <w:tcPr>
            <w:tcW w:type="dxa" w:w="1554"/>
            <w:tcBorders>
              <w:top w:val="none" w:color="000000" w:sz="4"/>
              <w:left w:val="single" w:color="000000" w:sz="4"/>
              <w:bottom w:val="single" w:color="000000" w:sz="4"/>
              <w:right w:val="single" w:color="000000" w:sz="4"/>
            </w:tcBorders>
            <w:vAlign w:val="top"/>
          </w:tcPr>
          <w:p>
            <w:r>
              <w:rPr>
                <w:sz w:val="21"/>
              </w:rPr>
              <w:t>5</w:t>
            </w:r>
            <w:r>
              <w:rPr>
                <w:sz w:val="21"/>
              </w:rPr>
              <w:t>口</w:t>
            </w:r>
          </w:p>
        </w:tc>
        <w:tc>
          <w:tcPr>
            <w:tcW w:type="dxa" w:w="1251"/>
            <w:tcBorders>
              <w:top w:val="none" w:color="000000" w:sz="4"/>
              <w:left w:val="single" w:color="000000" w:sz="4"/>
              <w:bottom w:val="single" w:color="000000" w:sz="4"/>
              <w:right w:val="single" w:color="000000" w:sz="4"/>
            </w:tcBorders>
            <w:vAlign w:val="top"/>
          </w:tcPr>
          <w:p>
            <w:r>
              <w:rPr>
                <w:sz w:val="21"/>
              </w:rPr>
              <w:t>3</w:t>
            </w:r>
            <w:r>
              <w:rPr>
                <w:sz w:val="21"/>
              </w:rPr>
              <w:t>期</w:t>
            </w:r>
          </w:p>
        </w:tc>
        <w:tc>
          <w:tcPr>
            <w:tcW w:type="dxa" w:w="1299"/>
            <w:tcBorders>
              <w:top w:val="none" w:color="000000" w:sz="4"/>
              <w:left w:val="single" w:color="000000" w:sz="4"/>
              <w:bottom w:val="single" w:color="000000" w:sz="4"/>
              <w:right w:val="single" w:color="000000" w:sz="4"/>
            </w:tcBorders>
            <w:vAlign w:val="top"/>
          </w:tcPr>
          <w:p>
            <w:r>
              <w:rPr>
                <w:sz w:val="21"/>
              </w:rPr>
              <w:t>每口井按深度分</w:t>
            </w:r>
            <w:r>
              <w:rPr>
                <w:sz w:val="21"/>
              </w:rPr>
              <w:t>2</w:t>
            </w:r>
            <w:r>
              <w:rPr>
                <w:sz w:val="21"/>
              </w:rPr>
              <w:t>层开展定深取样</w:t>
            </w:r>
          </w:p>
        </w:tc>
        <w:tc>
          <w:tcPr>
            <w:tcW w:type="dxa" w:w="3042"/>
            <w:tcBorders>
              <w:top w:val="none" w:color="000000" w:sz="4"/>
              <w:left w:val="single" w:color="000000" w:sz="4"/>
              <w:bottom w:val="single" w:color="000000" w:sz="4"/>
              <w:right w:val="single" w:color="000000" w:sz="4"/>
            </w:tcBorders>
            <w:vAlign w:val="top"/>
          </w:tcPr>
          <w:p>
            <w:r>
              <w:rPr>
                <w:sz w:val="21"/>
              </w:rPr>
              <w:t>氢氧稳定同位素、氨氮同位素、溶解无机碳浓度及碳同位素、溶解有机碳浓度及碳同位素、</w:t>
            </w:r>
            <w:r>
              <w:rPr>
                <w:sz w:val="21"/>
              </w:rPr>
              <w:t>CO</w:t>
            </w:r>
            <w:r>
              <w:rPr>
                <w:sz w:val="21"/>
                <w:vertAlign w:val="subscript"/>
              </w:rPr>
              <w:t>2</w:t>
            </w:r>
            <w:r>
              <w:rPr>
                <w:sz w:val="21"/>
              </w:rPr>
              <w:t>和甲烷含量、甲烷碳同位素</w:t>
            </w:r>
          </w:p>
        </w:tc>
      </w:tr>
      <w:tr>
        <w:tc>
          <w:tcPr>
            <w:tcW w:type="dxa" w:w="1160"/>
            <w:tcBorders>
              <w:top w:val="none" w:color="000000" w:sz="4"/>
              <w:left w:val="single" w:color="000000" w:sz="4"/>
              <w:bottom w:val="single" w:color="000000" w:sz="4"/>
              <w:right w:val="single" w:color="000000" w:sz="4"/>
            </w:tcBorders>
            <w:vAlign w:val="top"/>
          </w:tcPr>
          <w:p>
            <w:r>
              <w:rPr>
                <w:sz w:val="21"/>
              </w:rPr>
              <w:t>2</w:t>
            </w:r>
          </w:p>
        </w:tc>
        <w:tc>
          <w:tcPr>
            <w:tcW w:type="dxa" w:w="1554"/>
            <w:tcBorders>
              <w:top w:val="none" w:color="000000" w:sz="4"/>
              <w:left w:val="single" w:color="000000" w:sz="4"/>
              <w:bottom w:val="single" w:color="000000" w:sz="4"/>
              <w:right w:val="single" w:color="000000" w:sz="4"/>
            </w:tcBorders>
            <w:vAlign w:val="top"/>
          </w:tcPr>
          <w:p/>
          <w:p>
            <w:r>
              <w:rPr>
                <w:sz w:val="21"/>
              </w:rPr>
              <w:t>5</w:t>
            </w:r>
            <w:r>
              <w:rPr>
                <w:sz w:val="21"/>
              </w:rPr>
              <w:t>口</w:t>
            </w:r>
          </w:p>
        </w:tc>
        <w:tc>
          <w:tcPr>
            <w:tcW w:type="dxa" w:w="1251"/>
            <w:tcBorders>
              <w:top w:val="none" w:color="000000" w:sz="4"/>
              <w:left w:val="single" w:color="000000" w:sz="4"/>
              <w:bottom w:val="single" w:color="000000" w:sz="4"/>
              <w:right w:val="single" w:color="000000" w:sz="4"/>
            </w:tcBorders>
            <w:vAlign w:val="top"/>
          </w:tcPr>
          <w:p>
            <w:r>
              <w:rPr>
                <w:sz w:val="21"/>
              </w:rPr>
              <w:t>3</w:t>
            </w:r>
            <w:r>
              <w:rPr>
                <w:sz w:val="21"/>
              </w:rPr>
              <w:t>期</w:t>
            </w:r>
          </w:p>
        </w:tc>
        <w:tc>
          <w:tcPr>
            <w:tcW w:type="dxa" w:w="1299"/>
            <w:tcBorders>
              <w:top w:val="none" w:color="000000" w:sz="4"/>
              <w:left w:val="single" w:color="000000" w:sz="4"/>
              <w:bottom w:val="single" w:color="000000" w:sz="4"/>
              <w:right w:val="single" w:color="000000" w:sz="4"/>
            </w:tcBorders>
            <w:vAlign w:val="top"/>
          </w:tcPr>
          <w:p>
            <w:r>
              <w:rPr>
                <w:sz w:val="21"/>
              </w:rPr>
              <w:t>每口井按深度分</w:t>
            </w:r>
            <w:r>
              <w:rPr>
                <w:sz w:val="21"/>
              </w:rPr>
              <w:t>2</w:t>
            </w:r>
            <w:r>
              <w:rPr>
                <w:sz w:val="21"/>
              </w:rPr>
              <w:t>层开展定深取样</w:t>
            </w:r>
          </w:p>
        </w:tc>
        <w:tc>
          <w:tcPr>
            <w:tcW w:type="dxa" w:w="3042"/>
            <w:tcBorders>
              <w:top w:val="none" w:color="000000" w:sz="4"/>
              <w:left w:val="single" w:color="000000" w:sz="4"/>
              <w:bottom w:val="single" w:color="000000" w:sz="4"/>
              <w:right w:val="single" w:color="000000" w:sz="4"/>
            </w:tcBorders>
            <w:vAlign w:val="top"/>
          </w:tcPr>
          <w:p>
            <w:r>
              <w:rPr>
                <w:sz w:val="21"/>
              </w:rPr>
              <w:t>氢氧稳定同位素、氨氮同位素、硫酸根硫同位素</w:t>
            </w:r>
          </w:p>
        </w:tc>
      </w:tr>
      <w:tr>
        <w:tc>
          <w:tcPr>
            <w:tcW w:type="dxa" w:w="1160"/>
            <w:tcBorders>
              <w:top w:val="none" w:color="000000" w:sz="4"/>
              <w:left w:val="single" w:color="000000" w:sz="4"/>
              <w:bottom w:val="single" w:color="000000" w:sz="4"/>
              <w:right w:val="single" w:color="000000" w:sz="4"/>
            </w:tcBorders>
            <w:vAlign w:val="top"/>
          </w:tcPr>
          <w:p>
            <w:r>
              <w:rPr>
                <w:sz w:val="21"/>
              </w:rPr>
              <w:t>3</w:t>
            </w:r>
          </w:p>
        </w:tc>
        <w:tc>
          <w:tcPr>
            <w:tcW w:type="dxa" w:w="1554"/>
            <w:tcBorders>
              <w:top w:val="none" w:color="000000" w:sz="4"/>
              <w:left w:val="single" w:color="000000" w:sz="4"/>
              <w:bottom w:val="single" w:color="000000" w:sz="4"/>
              <w:right w:val="single" w:color="000000" w:sz="4"/>
            </w:tcBorders>
            <w:vAlign w:val="top"/>
          </w:tcPr>
          <w:p>
            <w:r>
              <w:rPr>
                <w:sz w:val="21"/>
              </w:rPr>
              <w:t>9</w:t>
            </w:r>
            <w:r>
              <w:rPr>
                <w:sz w:val="21"/>
              </w:rPr>
              <w:t>口常规监测井，</w:t>
            </w:r>
            <w:r>
              <w:rPr>
                <w:sz w:val="21"/>
              </w:rPr>
              <w:t>1</w:t>
            </w:r>
            <w:r>
              <w:rPr>
                <w:sz w:val="21"/>
              </w:rPr>
              <w:t>口自动监测井，合计</w:t>
            </w:r>
            <w:r>
              <w:rPr>
                <w:sz w:val="21"/>
              </w:rPr>
              <w:t>1</w:t>
            </w:r>
            <w:r>
              <w:rPr>
                <w:sz w:val="21"/>
              </w:rPr>
              <w:t>0</w:t>
            </w:r>
            <w:r>
              <w:rPr>
                <w:sz w:val="21"/>
              </w:rPr>
              <w:t>口井</w:t>
            </w:r>
          </w:p>
        </w:tc>
        <w:tc>
          <w:tcPr>
            <w:tcW w:type="dxa" w:w="1251"/>
            <w:tcBorders>
              <w:top w:val="none" w:color="000000" w:sz="4"/>
              <w:left w:val="single" w:color="000000" w:sz="4"/>
              <w:bottom w:val="single" w:color="000000" w:sz="4"/>
              <w:right w:val="single" w:color="000000" w:sz="4"/>
            </w:tcBorders>
            <w:vAlign w:val="top"/>
          </w:tcPr>
          <w:p>
            <w:r>
              <w:rPr>
                <w:sz w:val="21"/>
              </w:rPr>
              <w:t>常规监测井</w:t>
            </w:r>
            <w:r>
              <w:rPr>
                <w:sz w:val="21"/>
              </w:rPr>
              <w:t>3</w:t>
            </w:r>
            <w:r>
              <w:rPr>
                <w:sz w:val="21"/>
              </w:rPr>
              <w:t>期；自动监测井</w:t>
            </w:r>
            <w:r>
              <w:rPr>
                <w:sz w:val="21"/>
              </w:rPr>
              <w:t>25</w:t>
            </w:r>
            <w:r>
              <w:rPr>
                <w:sz w:val="21"/>
              </w:rPr>
              <w:t>期</w:t>
            </w:r>
          </w:p>
        </w:tc>
        <w:tc>
          <w:tcPr>
            <w:tcW w:type="dxa" w:w="1299"/>
            <w:tcBorders>
              <w:top w:val="none" w:color="000000" w:sz="4"/>
              <w:left w:val="single" w:color="000000" w:sz="4"/>
              <w:bottom w:val="single" w:color="000000" w:sz="4"/>
              <w:right w:val="single" w:color="000000" w:sz="4"/>
            </w:tcBorders>
            <w:vAlign w:val="top"/>
          </w:tcPr>
          <w:p>
            <w:r>
              <w:rPr>
                <w:sz w:val="21"/>
              </w:rPr>
              <w:t>选取</w:t>
            </w:r>
            <w:r>
              <w:rPr>
                <w:sz w:val="21"/>
              </w:rPr>
              <w:t>5</w:t>
            </w:r>
            <w:r>
              <w:rPr>
                <w:sz w:val="21"/>
              </w:rPr>
              <w:t>口井按深度分</w:t>
            </w:r>
            <w:r>
              <w:rPr>
                <w:sz w:val="21"/>
              </w:rPr>
              <w:t>2</w:t>
            </w:r>
            <w:r>
              <w:rPr>
                <w:sz w:val="21"/>
              </w:rPr>
              <w:t>层开展定深取样，剩余</w:t>
            </w:r>
            <w:r>
              <w:rPr>
                <w:sz w:val="21"/>
              </w:rPr>
              <w:t>4</w:t>
            </w:r>
            <w:r>
              <w:rPr>
                <w:sz w:val="21"/>
              </w:rPr>
              <w:t>口井不分层；自动监测井分</w:t>
            </w:r>
            <w:r>
              <w:rPr>
                <w:sz w:val="21"/>
              </w:rPr>
              <w:t>3</w:t>
            </w:r>
            <w:r>
              <w:rPr>
                <w:sz w:val="21"/>
              </w:rPr>
              <w:t>层开展定深监测</w:t>
            </w:r>
          </w:p>
        </w:tc>
        <w:tc>
          <w:tcPr>
            <w:tcW w:type="dxa" w:w="3042"/>
            <w:tcBorders>
              <w:top w:val="none" w:color="000000" w:sz="4"/>
              <w:left w:val="single" w:color="000000" w:sz="4"/>
              <w:bottom w:val="single" w:color="000000" w:sz="4"/>
              <w:right w:val="single" w:color="000000" w:sz="4"/>
            </w:tcBorders>
            <w:vAlign w:val="top"/>
          </w:tcPr>
          <w:p>
            <w:r>
              <w:rPr>
                <w:sz w:val="21"/>
              </w:rPr>
              <w:t>氢氧稳定同位素、氨氮同位素</w:t>
            </w:r>
          </w:p>
        </w:tc>
      </w:tr>
      <w:tr>
        <w:tc>
          <w:tcPr>
            <w:tcW w:type="dxa" w:w="1160"/>
            <w:tcBorders>
              <w:top w:val="none" w:color="000000" w:sz="4"/>
              <w:left w:val="single" w:color="000000" w:sz="4"/>
              <w:bottom w:val="single" w:color="000000" w:sz="4"/>
              <w:right w:val="single" w:color="000000" w:sz="4"/>
            </w:tcBorders>
            <w:vAlign w:val="top"/>
          </w:tcPr>
          <w:p>
            <w:r>
              <w:rPr>
                <w:sz w:val="21"/>
              </w:rPr>
              <w:t>4</w:t>
            </w:r>
          </w:p>
        </w:tc>
        <w:tc>
          <w:tcPr>
            <w:tcW w:type="dxa" w:w="1554"/>
            <w:tcBorders>
              <w:top w:val="none" w:color="000000" w:sz="4"/>
              <w:left w:val="single" w:color="000000" w:sz="4"/>
              <w:bottom w:val="single" w:color="000000" w:sz="4"/>
              <w:right w:val="single" w:color="000000" w:sz="4"/>
            </w:tcBorders>
            <w:vAlign w:val="top"/>
          </w:tcPr>
          <w:p>
            <w:r>
              <w:rPr>
                <w:sz w:val="21"/>
              </w:rPr>
              <w:t>45</w:t>
            </w:r>
            <w:r>
              <w:rPr>
                <w:sz w:val="21"/>
              </w:rPr>
              <w:t>口常规监测井，</w:t>
            </w:r>
            <w:r>
              <w:rPr>
                <w:sz w:val="21"/>
              </w:rPr>
              <w:t>1</w:t>
            </w:r>
            <w:r>
              <w:rPr>
                <w:sz w:val="21"/>
              </w:rPr>
              <w:t>口自动监测井，合计</w:t>
            </w:r>
            <w:r>
              <w:rPr>
                <w:sz w:val="21"/>
              </w:rPr>
              <w:t>4</w:t>
            </w:r>
            <w:r>
              <w:rPr>
                <w:sz w:val="21"/>
              </w:rPr>
              <w:t>6</w:t>
            </w:r>
            <w:r>
              <w:rPr>
                <w:sz w:val="21"/>
              </w:rPr>
              <w:t>口井</w:t>
            </w:r>
          </w:p>
        </w:tc>
        <w:tc>
          <w:tcPr>
            <w:tcW w:type="dxa" w:w="1251"/>
            <w:tcBorders>
              <w:top w:val="none" w:color="000000" w:sz="4"/>
              <w:left w:val="single" w:color="000000" w:sz="4"/>
              <w:bottom w:val="single" w:color="000000" w:sz="4"/>
              <w:right w:val="single" w:color="000000" w:sz="4"/>
            </w:tcBorders>
            <w:vAlign w:val="top"/>
          </w:tcPr>
          <w:p>
            <w:r>
              <w:rPr>
                <w:sz w:val="21"/>
              </w:rPr>
              <w:t>氢氧稳定同位素和氡同位素</w:t>
            </w:r>
            <w:r>
              <w:rPr>
                <w:sz w:val="21"/>
              </w:rPr>
              <w:t>3</w:t>
            </w:r>
            <w:r>
              <w:rPr>
                <w:sz w:val="21"/>
              </w:rPr>
              <w:t>期</w:t>
            </w:r>
          </w:p>
          <w:p>
            <w:r>
              <w:rPr>
                <w:sz w:val="21"/>
              </w:rPr>
              <w:t>镍同位素同位素</w:t>
            </w:r>
            <w:r>
              <w:rPr>
                <w:sz w:val="21"/>
              </w:rPr>
              <w:t>1</w:t>
            </w:r>
            <w:r>
              <w:rPr>
                <w:sz w:val="21"/>
              </w:rPr>
              <w:t>期；</w:t>
            </w:r>
          </w:p>
          <w:p>
            <w:r>
              <w:rPr>
                <w:sz w:val="21"/>
              </w:rPr>
              <w:t>自动监测井</w:t>
            </w:r>
            <w:r>
              <w:rPr>
                <w:sz w:val="21"/>
              </w:rPr>
              <w:t>25</w:t>
            </w:r>
            <w:r>
              <w:rPr>
                <w:sz w:val="21"/>
              </w:rPr>
              <w:t>期</w:t>
            </w:r>
          </w:p>
        </w:tc>
        <w:tc>
          <w:tcPr>
            <w:tcW w:type="dxa" w:w="1299"/>
            <w:tcBorders>
              <w:top w:val="none" w:color="000000" w:sz="4"/>
              <w:left w:val="single" w:color="000000" w:sz="4"/>
              <w:bottom w:val="single" w:color="000000" w:sz="4"/>
              <w:right w:val="single" w:color="000000" w:sz="4"/>
            </w:tcBorders>
            <w:vAlign w:val="top"/>
          </w:tcPr>
          <w:p>
            <w:r>
              <w:rPr>
                <w:sz w:val="21"/>
              </w:rPr>
              <w:t>4</w:t>
            </w:r>
            <w:r>
              <w:rPr>
                <w:sz w:val="21"/>
              </w:rPr>
              <w:t>5</w:t>
            </w:r>
            <w:r>
              <w:rPr>
                <w:sz w:val="21"/>
              </w:rPr>
              <w:t>口常规监测井中选取选取</w:t>
            </w:r>
            <w:r>
              <w:rPr>
                <w:sz w:val="21"/>
              </w:rPr>
              <w:t>5</w:t>
            </w:r>
            <w:r>
              <w:rPr>
                <w:sz w:val="21"/>
              </w:rPr>
              <w:t>口井分</w:t>
            </w:r>
            <w:r>
              <w:rPr>
                <w:sz w:val="21"/>
              </w:rPr>
              <w:t>2</w:t>
            </w:r>
            <w:r>
              <w:rPr>
                <w:sz w:val="21"/>
              </w:rPr>
              <w:t>个深度开展定深取样；剩余</w:t>
            </w:r>
            <w:r>
              <w:rPr>
                <w:sz w:val="21"/>
              </w:rPr>
              <w:t>40</w:t>
            </w:r>
            <w:r>
              <w:rPr>
                <w:sz w:val="21"/>
              </w:rPr>
              <w:t>口井不分层；自动监测井分</w:t>
            </w:r>
            <w:r>
              <w:rPr>
                <w:sz w:val="21"/>
              </w:rPr>
              <w:t>3</w:t>
            </w:r>
            <w:r>
              <w:rPr>
                <w:sz w:val="21"/>
              </w:rPr>
              <w:t>层开展定深监测</w:t>
            </w:r>
          </w:p>
        </w:tc>
        <w:tc>
          <w:tcPr>
            <w:tcW w:type="dxa" w:w="3042"/>
            <w:tcBorders>
              <w:top w:val="none" w:color="000000" w:sz="4"/>
              <w:left w:val="single" w:color="000000" w:sz="4"/>
              <w:bottom w:val="single" w:color="000000" w:sz="4"/>
              <w:right w:val="single" w:color="000000" w:sz="4"/>
            </w:tcBorders>
            <w:vAlign w:val="top"/>
          </w:tcPr>
          <w:p>
            <w:r>
              <w:rPr>
                <w:sz w:val="21"/>
              </w:rPr>
              <w:t>氢氧稳定同位素、氡同位素、镍同位素（镍同位素只分析</w:t>
            </w:r>
            <w:r>
              <w:rPr>
                <w:sz w:val="21"/>
              </w:rPr>
              <w:t>5</w:t>
            </w:r>
            <w:r>
              <w:rPr>
                <w:sz w:val="21"/>
              </w:rPr>
              <w:t>口分层监测井）</w:t>
            </w:r>
          </w:p>
        </w:tc>
      </w:tr>
      <w:tr>
        <w:tc>
          <w:tcPr>
            <w:tcW w:type="dxa" w:w="1160"/>
            <w:tcBorders>
              <w:top w:val="none" w:color="000000" w:sz="4"/>
              <w:left w:val="single" w:color="000000" w:sz="4"/>
              <w:bottom w:val="single" w:color="000000" w:sz="4"/>
              <w:right w:val="single" w:color="000000" w:sz="4"/>
            </w:tcBorders>
            <w:vAlign w:val="top"/>
          </w:tcPr>
          <w:p>
            <w:r>
              <w:rPr>
                <w:sz w:val="21"/>
              </w:rPr>
              <w:t>5</w:t>
            </w:r>
          </w:p>
        </w:tc>
        <w:tc>
          <w:tcPr>
            <w:tcW w:type="dxa" w:w="1554"/>
            <w:tcBorders>
              <w:top w:val="none" w:color="000000" w:sz="4"/>
              <w:left w:val="single" w:color="000000" w:sz="4"/>
              <w:bottom w:val="single" w:color="000000" w:sz="4"/>
              <w:right w:val="single" w:color="000000" w:sz="4"/>
            </w:tcBorders>
            <w:vAlign w:val="top"/>
          </w:tcPr>
          <w:p>
            <w:r>
              <w:rPr>
                <w:sz w:val="21"/>
              </w:rPr>
              <w:t>5</w:t>
            </w:r>
            <w:r>
              <w:rPr>
                <w:sz w:val="21"/>
              </w:rPr>
              <w:t>口</w:t>
            </w:r>
          </w:p>
        </w:tc>
        <w:tc>
          <w:tcPr>
            <w:tcW w:type="dxa" w:w="1251"/>
            <w:tcBorders>
              <w:top w:val="none" w:color="000000" w:sz="4"/>
              <w:left w:val="single" w:color="000000" w:sz="4"/>
              <w:bottom w:val="single" w:color="000000" w:sz="4"/>
              <w:right w:val="single" w:color="000000" w:sz="4"/>
            </w:tcBorders>
            <w:vAlign w:val="top"/>
          </w:tcPr>
          <w:p>
            <w:r>
              <w:rPr>
                <w:sz w:val="21"/>
              </w:rPr>
              <w:t>3</w:t>
            </w:r>
            <w:r>
              <w:rPr>
                <w:sz w:val="21"/>
              </w:rPr>
              <w:t>期</w:t>
            </w:r>
          </w:p>
        </w:tc>
        <w:tc>
          <w:tcPr>
            <w:tcW w:type="dxa" w:w="1299"/>
            <w:tcBorders>
              <w:top w:val="none" w:color="000000" w:sz="4"/>
              <w:left w:val="single" w:color="000000" w:sz="4"/>
              <w:bottom w:val="single" w:color="000000" w:sz="4"/>
              <w:right w:val="single" w:color="000000" w:sz="4"/>
            </w:tcBorders>
            <w:vAlign w:val="top"/>
          </w:tcPr>
          <w:p>
            <w:r>
              <w:rPr>
                <w:sz w:val="21"/>
              </w:rPr>
              <w:t>5</w:t>
            </w:r>
            <w:r>
              <w:rPr>
                <w:sz w:val="21"/>
              </w:rPr>
              <w:t>口井按深度分</w:t>
            </w:r>
            <w:r>
              <w:rPr>
                <w:sz w:val="21"/>
              </w:rPr>
              <w:t>2</w:t>
            </w:r>
            <w:r>
              <w:rPr>
                <w:sz w:val="21"/>
              </w:rPr>
              <w:t>层开展定深取样</w:t>
            </w:r>
          </w:p>
        </w:tc>
        <w:tc>
          <w:tcPr>
            <w:tcW w:type="dxa" w:w="3042"/>
            <w:tcBorders>
              <w:top w:val="none" w:color="000000" w:sz="4"/>
              <w:left w:val="single" w:color="000000" w:sz="4"/>
              <w:bottom w:val="single" w:color="000000" w:sz="4"/>
              <w:right w:val="single" w:color="000000" w:sz="4"/>
            </w:tcBorders>
            <w:vAlign w:val="top"/>
          </w:tcPr>
          <w:p>
            <w:r>
              <w:rPr>
                <w:sz w:val="21"/>
              </w:rPr>
              <w:t>氢氧稳定同位素、溶解无机碳浓度及碳同位素、溶解有机碳浓度及碳同位素、</w:t>
            </w:r>
            <w:r>
              <w:rPr>
                <w:sz w:val="21"/>
              </w:rPr>
              <w:t>CO</w:t>
            </w:r>
            <w:r>
              <w:rPr>
                <w:sz w:val="21"/>
                <w:vertAlign w:val="subscript"/>
              </w:rPr>
              <w:t>2</w:t>
            </w:r>
            <w:r>
              <w:rPr>
                <w:sz w:val="21"/>
              </w:rPr>
              <w:t>和甲烷含量、甲烷碳同位素</w:t>
            </w:r>
          </w:p>
        </w:tc>
      </w:tr>
      <w:tr>
        <w:tc>
          <w:tcPr>
            <w:tcW w:type="dxa" w:w="1160"/>
            <w:tcBorders>
              <w:top w:val="none" w:color="000000" w:sz="4"/>
              <w:left w:val="single" w:color="000000" w:sz="4"/>
              <w:bottom w:val="single" w:color="000000" w:sz="4"/>
              <w:right w:val="single" w:color="000000" w:sz="4"/>
            </w:tcBorders>
            <w:vAlign w:val="top"/>
          </w:tcPr>
          <w:p>
            <w:r>
              <w:rPr>
                <w:sz w:val="21"/>
              </w:rPr>
              <w:t>污染源监测</w:t>
            </w:r>
          </w:p>
        </w:tc>
        <w:tc>
          <w:tcPr>
            <w:tcW w:type="dxa" w:w="1554"/>
            <w:tcBorders>
              <w:top w:val="none" w:color="000000" w:sz="4"/>
              <w:left w:val="single" w:color="000000" w:sz="4"/>
              <w:bottom w:val="single" w:color="000000" w:sz="4"/>
              <w:right w:val="single" w:color="000000" w:sz="4"/>
            </w:tcBorders>
            <w:vAlign w:val="top"/>
          </w:tcPr>
          <w:p>
            <w:r>
              <w:rPr>
                <w:sz w:val="21"/>
              </w:rPr>
              <w:t>11</w:t>
            </w:r>
            <w:r>
              <w:rPr>
                <w:sz w:val="21"/>
              </w:rPr>
              <w:t>个</w:t>
            </w:r>
          </w:p>
        </w:tc>
        <w:tc>
          <w:tcPr>
            <w:tcW w:type="dxa" w:w="1251"/>
            <w:tcBorders>
              <w:top w:val="none" w:color="000000" w:sz="4"/>
              <w:left w:val="single" w:color="000000" w:sz="4"/>
              <w:bottom w:val="single" w:color="000000" w:sz="4"/>
              <w:right w:val="single" w:color="000000" w:sz="4"/>
            </w:tcBorders>
            <w:vAlign w:val="top"/>
          </w:tcPr>
          <w:p>
            <w:r>
              <w:rPr>
                <w:sz w:val="21"/>
              </w:rPr>
              <w:t>污染企业</w:t>
            </w:r>
            <w:r>
              <w:rPr>
                <w:sz w:val="21"/>
              </w:rPr>
              <w:t>2</w:t>
            </w:r>
            <w:r>
              <w:rPr>
                <w:sz w:val="21"/>
              </w:rPr>
              <w:t>期，渣土厂</w:t>
            </w:r>
            <w:r>
              <w:rPr>
                <w:sz w:val="21"/>
              </w:rPr>
              <w:t>1</w:t>
            </w:r>
            <w:r>
              <w:rPr>
                <w:sz w:val="21"/>
              </w:rPr>
              <w:t>期</w:t>
            </w:r>
          </w:p>
        </w:tc>
        <w:tc>
          <w:tcPr>
            <w:tcW w:type="dxa" w:w="1299"/>
            <w:tcBorders>
              <w:top w:val="none" w:color="000000" w:sz="4"/>
              <w:left w:val="single" w:color="000000" w:sz="4"/>
              <w:bottom w:val="single" w:color="000000" w:sz="4"/>
              <w:right w:val="single" w:color="000000" w:sz="4"/>
            </w:tcBorders>
            <w:vAlign w:val="top"/>
          </w:tcPr>
          <w:p>
            <w:r>
              <w:rPr>
                <w:sz w:val="21"/>
              </w:rPr>
              <w:t>每个企业采</w:t>
            </w:r>
            <w:r>
              <w:rPr>
                <w:sz w:val="21"/>
              </w:rPr>
              <w:t>1份水样；</w:t>
            </w:r>
          </w:p>
          <w:p>
            <w:r>
              <w:rPr>
                <w:sz w:val="21"/>
              </w:rPr>
              <w:t>渣土厂采</w:t>
            </w:r>
            <w:r>
              <w:rPr>
                <w:sz w:val="21"/>
              </w:rPr>
              <w:t>3</w:t>
            </w:r>
            <w:r>
              <w:rPr>
                <w:sz w:val="21"/>
              </w:rPr>
              <w:t>个平行样</w:t>
            </w:r>
          </w:p>
        </w:tc>
        <w:tc>
          <w:tcPr>
            <w:tcW w:type="dxa" w:w="3042"/>
            <w:tcBorders>
              <w:top w:val="none" w:color="000000" w:sz="4"/>
              <w:left w:val="single" w:color="000000" w:sz="4"/>
              <w:bottom w:val="single" w:color="000000" w:sz="4"/>
              <w:right w:val="single" w:color="000000" w:sz="4"/>
            </w:tcBorders>
            <w:vAlign w:val="top"/>
          </w:tcPr>
          <w:p>
            <w:r>
              <w:rPr>
                <w:sz w:val="21"/>
              </w:rPr>
              <w:t>镍重金属同位素</w:t>
            </w:r>
          </w:p>
        </w:tc>
      </w:tr>
    </w:tbl>
    <w:p>
      <w:r>
        <w:rPr>
          <w:b/>
          <w:sz w:val="21"/>
        </w:rPr>
        <w:t>（</w:t>
      </w:r>
      <w:r>
        <w:rPr>
          <w:b/>
          <w:sz w:val="21"/>
        </w:rPr>
        <w:t>1）</w:t>
      </w:r>
      <w:r>
        <w:rPr>
          <w:b/>
          <w:sz w:val="21"/>
        </w:rPr>
        <w:t>溯源模型构建及参数优化、验证</w:t>
      </w:r>
    </w:p>
    <w:p>
      <w:pPr>
        <w:ind w:firstLine="444"/>
      </w:pPr>
      <w:r>
        <w:rPr>
          <w:sz w:val="21"/>
        </w:rPr>
        <w:t>在已有同位素溯源模型的基础上，通过二期补充监测，获得重点污染源典型污染物同位素组成谱，融合同位素溯源和其他溯源结果，构建包含基础资料、原始数据交互、溯源分析及数据融合和信息统计内容等组成的同位素溯源模型，优化模型相关参数的选择并对模型进行验证，将经参数校准的模型设计模型展示流程，协助完成溯源成果信息化展示工作。</w:t>
      </w:r>
    </w:p>
    <w:p>
      <w:pPr>
        <w:ind w:firstLine="444"/>
      </w:pPr>
      <w:r>
        <w:rPr>
          <w:sz w:val="21"/>
        </w:rPr>
        <w:t>项目要求：</w:t>
      </w:r>
      <w:r>
        <w:rPr>
          <w:sz w:val="21"/>
        </w:rPr>
        <w:t>①围绕污染来源解析结果及特征污染物，开展8种及以上同位素的分析检测能力。②承担同位素检测的实验室需自有实验室，配备多同位素分析设备，可以完成多同位素采样及分析，能独立完成项目所需的所有类型同位素的监测项目。③具备多同位素示踪及定量溯源数据解译能力。</w:t>
      </w:r>
    </w:p>
    <w:p>
      <w:r>
        <w:rPr>
          <w:b/>
          <w:sz w:val="21"/>
        </w:rPr>
        <w:t>3.</w:t>
      </w:r>
      <w:r>
        <w:rPr>
          <w:b/>
          <w:sz w:val="21"/>
        </w:rPr>
        <w:t>佛山市典型区域地下水监测预警</w:t>
      </w:r>
    </w:p>
    <w:p>
      <w:pPr>
        <w:ind w:firstLine="444"/>
        <w:jc w:val="both"/>
      </w:pPr>
      <w:r>
        <w:rPr>
          <w:sz w:val="21"/>
        </w:rPr>
        <w:t>针对佛山市两个污染风险监控点位（</w:t>
      </w:r>
      <w:r>
        <w:rPr>
          <w:sz w:val="21"/>
        </w:rPr>
        <w:t>3号和4号调查井）开展污染区域风险评估，对其可能造成的环境影响进行科学评估，开展地下水监测预警工作。依照预警工作的常规流程，对该区域开展典型污染监控区域风险评估及指标筛选、特征污染物运移模拟及预测、地下水污染监测预警体系构建、地下水污染预警模块验证与优化等部分工作，并最终编制形成《佛山市典型区域地下水污染监测预警报告》1份。</w:t>
      </w:r>
    </w:p>
    <w:p>
      <w:pPr>
        <w:ind w:firstLine="422"/>
      </w:pPr>
      <w:r>
        <w:rPr>
          <w:b/>
          <w:sz w:val="21"/>
        </w:rPr>
        <w:t>（</w:t>
      </w:r>
      <w:r>
        <w:rPr>
          <w:b/>
          <w:sz w:val="21"/>
        </w:rPr>
        <w:t>1）区域污染风险评估及指标筛选</w:t>
      </w:r>
    </w:p>
    <w:p>
      <w:pPr>
        <w:ind w:firstLine="420"/>
      </w:pPr>
      <w:r>
        <w:rPr>
          <w:sz w:val="21"/>
        </w:rPr>
        <w:t>针对佛山市两个污染风险监控点位（</w:t>
      </w:r>
      <w:r>
        <w:rPr>
          <w:sz w:val="21"/>
        </w:rPr>
        <w:t>3号和4号调查井）开展污染区域风险评估，对其可能造成的环境影响进行科学评估。评价周边污染源对污染风险监控点位地下水体和人体健康风险进行评估。</w:t>
      </w:r>
    </w:p>
    <w:p>
      <w:pPr>
        <w:ind w:firstLine="422"/>
      </w:pPr>
      <w:r>
        <w:rPr>
          <w:b/>
          <w:sz w:val="21"/>
        </w:rPr>
        <w:t>（</w:t>
      </w:r>
      <w:r>
        <w:rPr>
          <w:b/>
          <w:sz w:val="21"/>
        </w:rPr>
        <w:t>2）特征污染物运移模拟及预测</w:t>
      </w:r>
    </w:p>
    <w:p>
      <w:pPr>
        <w:ind w:firstLine="422"/>
      </w:pPr>
      <w:r>
        <w:rPr>
          <w:b/>
          <w:sz w:val="21"/>
        </w:rPr>
        <w:t>①预警区域水文地质概念模型构建</w:t>
      </w:r>
    </w:p>
    <w:p>
      <w:pPr>
        <w:ind w:firstLine="420"/>
      </w:pPr>
      <w:r>
        <w:rPr>
          <w:sz w:val="21"/>
        </w:rPr>
        <w:t>充分收集研究区以往各类地质、水文地质、地形地貌、气象、水文、钻孔及水资源开发利用等资料，进行系统分析与研究；对研究区水文地质条件进行合理概化，使概化模型达到即反映水文地质条件的实际情况，又能用于后续地下水数值模拟开展计算。</w:t>
      </w:r>
    </w:p>
    <w:p>
      <w:pPr>
        <w:ind w:firstLine="422"/>
      </w:pPr>
      <w:r>
        <w:rPr>
          <w:b/>
          <w:sz w:val="21"/>
        </w:rPr>
        <w:t>②污染运移模型参数及数据的获取</w:t>
      </w:r>
    </w:p>
    <w:p>
      <w:pPr>
        <w:ind w:firstLine="420"/>
        <w:jc w:val="both"/>
      </w:pPr>
      <w:r>
        <w:rPr>
          <w:sz w:val="21"/>
        </w:rPr>
        <w:t>收集区域地质及水文地质图、钻孔柱状图、代表性剖面地质图以及地下水动态观测资料等，获取水文地质参数及特征污染物迁移转化过程模拟参数。</w:t>
      </w:r>
    </w:p>
    <w:p>
      <w:pPr>
        <w:ind w:firstLine="422"/>
      </w:pPr>
      <w:r>
        <w:rPr>
          <w:b/>
          <w:sz w:val="21"/>
        </w:rPr>
        <w:t>③地下水水流及溶质运移数值模型</w:t>
      </w:r>
    </w:p>
    <w:p>
      <w:pPr>
        <w:ind w:firstLine="422"/>
        <w:jc w:val="both"/>
      </w:pPr>
      <w:r>
        <w:rPr>
          <w:b/>
          <w:sz w:val="21"/>
        </w:rPr>
        <w:t>建立地下水动力学及溶质运移的数学模型</w:t>
      </w:r>
      <w:r>
        <w:rPr>
          <w:b/>
          <w:sz w:val="21"/>
        </w:rPr>
        <w:t>，</w:t>
      </w:r>
      <w:r>
        <w:rPr>
          <w:sz w:val="21"/>
        </w:rPr>
        <w:t>应用现有数值模拟软件开展地下水水流及溶质运移数值模拟模型构建。基于相关构建的数值模拟模型，采用实测数据进行参数率定并开展后续的预警工作。利用地下水动态数据对建立的地下水污染物运移数值模型开展参数识别及验证，优化数值模型模拟结果。通过构建不同污染物排放情景，并结合降水等气候因子变化情况，开展情景模拟，揭示不同情境下污染物运移过程。为后续地下水监测点位精准管控对策制定提供科学依据。在此基础上建立地下水溯源模型，来反演、推测污染物来源路径和范围。</w:t>
      </w:r>
    </w:p>
    <w:p>
      <w:pPr>
        <w:ind w:firstLine="422"/>
      </w:pPr>
      <w:r>
        <w:rPr>
          <w:b/>
          <w:sz w:val="21"/>
        </w:rPr>
        <w:t>（</w:t>
      </w:r>
      <w:r>
        <w:rPr>
          <w:b/>
          <w:sz w:val="21"/>
        </w:rPr>
        <w:t>3）地下水污染监测预警体系构建</w:t>
      </w:r>
    </w:p>
    <w:p>
      <w:pPr>
        <w:ind w:firstLine="420"/>
      </w:pPr>
      <w:r>
        <w:rPr>
          <w:sz w:val="21"/>
        </w:rPr>
        <w:t>地下水污染风险预警的核心是预警等级和阈值的确定，以及基于预警等级和阈值的预警体系构建。基于相关标准法、临界值法、综合评判法等在内的多种方法，构建包括现状预警、实时预警、突发预警在内的全过程地下水污染监测预警体系。</w:t>
      </w:r>
    </w:p>
    <w:p>
      <w:pPr>
        <w:ind w:firstLine="420"/>
      </w:pPr>
      <w:r>
        <w:rPr/>
        <w:t xml:space="preserve">  </w:t>
      </w:r>
    </w:p>
    <w:p>
      <w:pPr>
        <w:ind w:firstLine="420"/>
      </w:pPr>
      <w:r>
        <w:rPr>
          <w:sz w:val="21"/>
        </w:rPr>
        <w:t>基于项目一期建设掌握的现有地下水污染数据收集及监测结果，补充项目二期开展的相关监测数据，结合佛山市地下水重点区划定等相关成果，开展针对典型污染监控区域的现状预警工作，初步摸清所在区域的背景预警级别。在监测系统构建的基础上，基于分层监测井、自动监测井等高频次、长时序监测数据开展区域实时预警工作。针对区域内的突发污染泄露，结合已建立的地下水数值模拟模型，设定污染源泄露的种类及强度，开展基于泄露污染物的突发预警工作。构建的预警体系结合预警阈值和预警等级，指导预警模块的建立和平台可视化过程。</w:t>
      </w:r>
    </w:p>
    <w:p>
      <w:pPr>
        <w:ind w:firstLine="422"/>
      </w:pPr>
      <w:r>
        <w:rPr>
          <w:b/>
          <w:sz w:val="21"/>
        </w:rPr>
        <w:t>（</w:t>
      </w:r>
      <w:r>
        <w:rPr>
          <w:b/>
          <w:sz w:val="21"/>
        </w:rPr>
        <w:t>4）地下水污染预警模块验证与优化</w:t>
      </w:r>
    </w:p>
    <w:p>
      <w:pPr>
        <w:ind w:firstLine="420"/>
      </w:pPr>
      <w:r>
        <w:rPr>
          <w:sz w:val="21"/>
        </w:rPr>
        <w:t>对所搭建的污染监测预警模块导入</w:t>
      </w:r>
      <w:r>
        <w:rPr>
          <w:sz w:val="21"/>
        </w:rPr>
        <w:t>“佛山市土壤信息环境管理平台”进行试运行与优化，针对预警误差进行系统分析与研判，补充现场水质监测与分析，对软件模拟误差进行优化调整，系统分析佛山市4号重金属超标点位污染成因及周边重点污染源，并对该点位持续动态监测及水质在线预警，为佛山市污染风险监控点位系统开展在线监测与水质预警工作提供样板，有效提升佛山市地下水污染防治监管能力。</w:t>
      </w:r>
    </w:p>
    <w:p>
      <w:pPr>
        <w:ind w:firstLine="422"/>
      </w:pPr>
      <w:r>
        <w:rPr>
          <w:b/>
          <w:sz w:val="21"/>
        </w:rPr>
        <w:t>（</w:t>
      </w:r>
      <w:r>
        <w:rPr>
          <w:b/>
          <w:sz w:val="21"/>
        </w:rPr>
        <w:t>5）佛山市典型区域地下水污染监测预警报告编制</w:t>
      </w:r>
    </w:p>
    <w:p>
      <w:pPr>
        <w:ind w:firstLine="420"/>
      </w:pPr>
      <w:r>
        <w:rPr>
          <w:sz w:val="21"/>
        </w:rPr>
        <w:t>根据补充采样调查结果、地下水监测预警模块建设、数据同化处理能力建设，结合一期和二期自动监测站及人工监测结果，开展数据的统计分析，编制佛山市典型区域地下水污染监测预警报告。</w:t>
      </w:r>
    </w:p>
    <w:p>
      <w:r>
        <w:rPr>
          <w:b/>
          <w:sz w:val="21"/>
        </w:rPr>
        <w:t>4.佛山市典型区域地下水动态监测与污染溯源报告编制</w:t>
      </w:r>
    </w:p>
    <w:p>
      <w:pPr>
        <w:ind w:firstLine="444"/>
        <w:jc w:val="both"/>
      </w:pPr>
      <w:r>
        <w:rPr>
          <w:sz w:val="21"/>
        </w:rPr>
        <w:t>根据地下水质现状监测、地下水动态监测、污染风险点位地下水分层监测、点位周边新建规范井同步开展土壤监测、同位素溯源分析与验证结果进行分析，编制佛山市典型区域地下水动态监测与污染溯源报告</w:t>
      </w:r>
      <w:r>
        <w:rPr>
          <w:sz w:val="21"/>
        </w:rPr>
        <w:t>1份。</w:t>
      </w:r>
    </w:p>
    <w:p>
      <w:r>
        <w:rPr>
          <w:b/>
          <w:sz w:val="21"/>
        </w:rPr>
        <w:t>5.佛山市典型区域地下水监测井精准管控对策</w:t>
      </w:r>
    </w:p>
    <w:p>
      <w:pPr>
        <w:ind w:firstLine="420"/>
        <w:jc w:val="both"/>
      </w:pPr>
      <w:r>
        <w:rPr>
          <w:sz w:val="21"/>
        </w:rPr>
        <w:t>在一期项目已经开展相关精准管控对策研究的基础上，基于二期项目开展的补充调查、同位素溯源模型、监测预警工作等相关内容，进一步优化补充相关点位的精准管控对策。在已有成果的基础上，丰富和细化准管控对策内容，使其更具实操性和普适性，形成充分考虑污染溯源、预警、污染风险管控和修复或治理工程前的管控对策</w:t>
      </w:r>
      <w:r>
        <w:rPr>
          <w:sz w:val="21"/>
        </w:rPr>
        <w:t>3份。</w:t>
      </w:r>
    </w:p>
    <w:p>
      <w:pPr>
        <w:jc w:val="both"/>
      </w:pPr>
    </w:p>
    <w:p>
      <w:pPr>
        <w:jc w:val="both"/>
      </w:pPr>
      <w:r>
        <w:rPr>
          <w:b/>
          <w:sz w:val="21"/>
        </w:rPr>
        <w:t>二、服务期限（项目完成期限）、进度要求、服务成果及服务地点</w:t>
      </w:r>
    </w:p>
    <w:p>
      <w:pPr>
        <w:ind w:firstLine="420"/>
      </w:pPr>
      <w:r>
        <w:rPr>
          <w:sz w:val="21"/>
        </w:rPr>
        <w:t>1、委托服务期限，</w:t>
      </w:r>
      <w:r>
        <w:rPr>
          <w:sz w:val="21"/>
        </w:rPr>
        <w:t>自合同签订之日起，至</w:t>
      </w:r>
      <w:r>
        <w:rPr>
          <w:sz w:val="21"/>
        </w:rPr>
        <w:t>_</w:t>
      </w:r>
      <w:r>
        <w:rPr>
          <w:sz w:val="21"/>
          <w:u w:val="single"/>
        </w:rPr>
        <w:t>20</w:t>
      </w:r>
      <w:r>
        <w:rPr>
          <w:sz w:val="21"/>
          <w:u w:val="single"/>
        </w:rPr>
        <w:t>24</w:t>
      </w:r>
      <w:r>
        <w:rPr>
          <w:sz w:val="21"/>
          <w:u w:val="single"/>
        </w:rPr>
        <w:t>_</w:t>
      </w:r>
      <w:r>
        <w:rPr>
          <w:sz w:val="21"/>
        </w:rPr>
        <w:t>_年__</w:t>
      </w:r>
      <w:r>
        <w:rPr>
          <w:sz w:val="21"/>
          <w:u w:val="single"/>
        </w:rPr>
        <w:t>12</w:t>
      </w:r>
      <w:r>
        <w:rPr>
          <w:sz w:val="21"/>
        </w:rPr>
        <w:t>_月</w:t>
      </w:r>
      <w:r>
        <w:rPr>
          <w:sz w:val="21"/>
          <w:u w:val="single"/>
        </w:rPr>
        <w:t xml:space="preserve"> </w:t>
      </w:r>
      <w:r>
        <w:rPr>
          <w:sz w:val="21"/>
          <w:u w:val="single"/>
        </w:rPr>
        <w:t>31</w:t>
      </w:r>
      <w:r>
        <w:rPr>
          <w:sz w:val="21"/>
        </w:rPr>
        <w:t>日</w:t>
      </w:r>
      <w:r>
        <w:rPr>
          <w:sz w:val="21"/>
        </w:rPr>
        <w:t>止。</w:t>
      </w:r>
      <w:r>
        <w:rPr>
          <w:sz w:val="21"/>
        </w:rPr>
        <w:t>合同签订日一周内完成交接，如交接迟延，服务到期日顺延。</w:t>
      </w:r>
    </w:p>
    <w:p>
      <w:pPr>
        <w:ind w:firstLine="420"/>
      </w:pPr>
      <w:r>
        <w:rPr>
          <w:sz w:val="21"/>
        </w:rPr>
        <w:t>2、服务进度</w:t>
      </w:r>
    </w:p>
    <w:p>
      <w:pPr>
        <w:ind w:firstLine="420"/>
        <w:jc w:val="both"/>
      </w:pPr>
      <w:r>
        <w:rPr>
          <w:sz w:val="21"/>
        </w:rPr>
        <w:t>（</w:t>
      </w:r>
      <w:r>
        <w:rPr>
          <w:sz w:val="21"/>
        </w:rPr>
        <w:t>1）合同签订之日起</w:t>
      </w:r>
      <w:r>
        <w:rPr>
          <w:sz w:val="21"/>
        </w:rPr>
        <w:t>2</w:t>
      </w:r>
      <w:r>
        <w:rPr>
          <w:sz w:val="21"/>
        </w:rPr>
        <w:t>个月内：完成项目工作实施方案、</w:t>
      </w:r>
      <w:r>
        <w:rPr>
          <w:sz w:val="21"/>
        </w:rPr>
        <w:t>21口补充调查井（含1 口分层监测井）的布点及建设方案、地下水及土壤采样检测方案的编制并通过专家评审。</w:t>
      </w:r>
    </w:p>
    <w:p>
      <w:pPr>
        <w:ind w:firstLine="420"/>
        <w:jc w:val="both"/>
      </w:pPr>
      <w:r>
        <w:rPr>
          <w:sz w:val="21"/>
        </w:rPr>
        <w:t>（</w:t>
      </w:r>
      <w:r>
        <w:rPr>
          <w:sz w:val="21"/>
        </w:rPr>
        <w:t>2）合同签订之日起8个月内：完成补充调查井的建设工作，完成所有点位不少于1期的地下水水质监测工作、全部的土壤样品检测工作，开始补充分层监测井的监测工作；开展同位素补充调查监测工作，初步构建同位素溯源模型；完成区域污染风险评估及指标筛选、特征污染物运移模拟及预测，初步构建地下水污染监测预警体系，初步形成地下水监测预警模块。</w:t>
      </w:r>
    </w:p>
    <w:p>
      <w:pPr>
        <w:ind w:firstLine="420"/>
        <w:jc w:val="both"/>
      </w:pPr>
      <w:r>
        <w:rPr>
          <w:sz w:val="21"/>
        </w:rPr>
        <w:t>（</w:t>
      </w:r>
      <w:r>
        <w:rPr>
          <w:sz w:val="21"/>
        </w:rPr>
        <w:t>3）202</w:t>
      </w:r>
      <w:r>
        <w:rPr>
          <w:sz w:val="21"/>
        </w:rPr>
        <w:t>4</w:t>
      </w:r>
      <w:r>
        <w:rPr>
          <w:sz w:val="21"/>
        </w:rPr>
        <w:t>年</w:t>
      </w:r>
      <w:r>
        <w:rPr>
          <w:sz w:val="21"/>
        </w:rPr>
        <w:t>12月31日前：资料整理和数据汇总分析。完成项目要求的全部内容，编制完成相关报告，准备验收材料并完成项目验收。</w:t>
      </w:r>
    </w:p>
    <w:p>
      <w:pPr>
        <w:ind w:firstLine="420"/>
      </w:pPr>
      <w:r>
        <w:rPr>
          <w:sz w:val="21"/>
        </w:rPr>
        <w:t>3、乙方应提交如下服务成果</w:t>
      </w:r>
    </w:p>
    <w:p>
      <w:pPr>
        <w:ind w:firstLine="444"/>
        <w:jc w:val="left"/>
      </w:pPr>
      <w:r>
        <w:rPr>
          <w:sz w:val="21"/>
        </w:rPr>
        <w:t>（</w:t>
      </w:r>
      <w:r>
        <w:rPr>
          <w:sz w:val="21"/>
        </w:rPr>
        <w:t>1）在佛山市 5口典型区域地下水调查井周边新建规范地下水环境监测井≥21口，提交完整建井资料（含土孔钻探记录、监测井成井记录、成井洗井记录等原始记录及土壤岩芯照片等建井过程相关照片视频）；</w:t>
      </w:r>
    </w:p>
    <w:p>
      <w:pPr>
        <w:ind w:firstLine="444"/>
        <w:jc w:val="left"/>
      </w:pPr>
      <w:r>
        <w:rPr>
          <w:sz w:val="21"/>
        </w:rPr>
        <w:t>（</w:t>
      </w:r>
      <w:r>
        <w:rPr>
          <w:sz w:val="21"/>
        </w:rPr>
        <w:t>2）完成地下水手工检测样品≥70个，提交加盖CMA的检测报告（同位素监测检测报告除外）和检测结果汇总表以及结果分析报告和质控报告；</w:t>
      </w:r>
    </w:p>
    <w:p>
      <w:pPr>
        <w:ind w:firstLine="444"/>
        <w:jc w:val="left"/>
      </w:pPr>
      <w:r>
        <w:rPr>
          <w:sz w:val="21"/>
        </w:rPr>
        <w:t>（</w:t>
      </w:r>
      <w:r>
        <w:rPr>
          <w:sz w:val="21"/>
        </w:rPr>
        <w:t>3）完成典型区域地下水调查井（重点关注3号、4号调查井）周边15口监测井土壤检测样品不少于50个，提交加盖CMA的检测报告（同位素监测检测报告除外）、检测结果汇总表及结果分析报告、质控报告；</w:t>
      </w:r>
    </w:p>
    <w:p>
      <w:pPr>
        <w:ind w:firstLine="444"/>
        <w:jc w:val="left"/>
      </w:pPr>
      <w:r>
        <w:rPr>
          <w:sz w:val="21"/>
        </w:rPr>
        <w:t>（</w:t>
      </w:r>
      <w:r>
        <w:rPr>
          <w:sz w:val="21"/>
        </w:rPr>
        <w:t>4）建成经参数校准的同位素溯源模型1个；提交同位素溯源模型构建及解析报告1份；提交同位素检测方法开发与验证报告1份；提交同位素溯源监测与验证的检测结果汇总表及结果分析报告、质控报告；</w:t>
      </w:r>
    </w:p>
    <w:p>
      <w:pPr>
        <w:ind w:firstLine="444"/>
        <w:jc w:val="left"/>
      </w:pPr>
      <w:r>
        <w:rPr>
          <w:sz w:val="21"/>
        </w:rPr>
        <w:t>（</w:t>
      </w:r>
      <w:r>
        <w:rPr>
          <w:sz w:val="21"/>
        </w:rPr>
        <w:t>5）建成基于实际水文地质条件建立的地下水水流及溶质运移数值模型1个、地下水污染溯源模型1个；提供预警区域内包括预警阈值、警情分级、警情应对等要素在内的的预警流程方法1套；提交地下水污染监测预警模型构建及解析报告1份；</w:t>
      </w:r>
    </w:p>
    <w:p>
      <w:pPr>
        <w:ind w:firstLine="444"/>
        <w:jc w:val="left"/>
      </w:pPr>
      <w:r>
        <w:rPr>
          <w:sz w:val="21"/>
        </w:rPr>
        <w:t>（</w:t>
      </w:r>
      <w:r>
        <w:rPr>
          <w:sz w:val="21"/>
        </w:rPr>
        <w:t>6）提交佛山市典型区域地下水动态监测与污染溯源报告1份；</w:t>
      </w:r>
    </w:p>
    <w:p>
      <w:pPr>
        <w:ind w:firstLine="444"/>
        <w:jc w:val="left"/>
      </w:pPr>
      <w:r>
        <w:rPr>
          <w:sz w:val="21"/>
        </w:rPr>
        <w:t>（</w:t>
      </w:r>
      <w:r>
        <w:rPr>
          <w:sz w:val="21"/>
        </w:rPr>
        <w:t>7）提交佛山市典型区域地下水监测点位精准管控对策报告3份；</w:t>
      </w:r>
    </w:p>
    <w:p>
      <w:pPr>
        <w:ind w:firstLine="444"/>
        <w:jc w:val="left"/>
      </w:pPr>
      <w:r>
        <w:rPr>
          <w:sz w:val="21"/>
        </w:rPr>
        <w:t>（</w:t>
      </w:r>
      <w:r>
        <w:rPr>
          <w:sz w:val="21"/>
        </w:rPr>
        <w:t>8）提交佛山市典型区域地下水污染监测预警报告1份；</w:t>
      </w:r>
    </w:p>
    <w:p>
      <w:pPr>
        <w:ind w:firstLine="444"/>
        <w:jc w:val="left"/>
      </w:pPr>
      <w:r>
        <w:rPr>
          <w:sz w:val="21"/>
        </w:rPr>
        <w:t>（</w:t>
      </w:r>
      <w:r>
        <w:rPr>
          <w:sz w:val="21"/>
        </w:rPr>
        <w:t>9）项目技术报告和项目工作总结报告各1份。</w:t>
      </w:r>
    </w:p>
    <w:p>
      <w:pPr>
        <w:ind w:firstLine="444"/>
        <w:jc w:val="left"/>
      </w:pPr>
      <w:r>
        <w:rPr>
          <w:sz w:val="21"/>
        </w:rPr>
        <w:t>（</w:t>
      </w:r>
      <w:r>
        <w:rPr>
          <w:sz w:val="21"/>
        </w:rPr>
        <w:t>10）项目图册（纸质版）及原图（电子版）各1份。</w:t>
      </w:r>
    </w:p>
    <w:p>
      <w:pPr>
        <w:ind w:firstLine="444"/>
        <w:jc w:val="left"/>
      </w:pPr>
      <w:r>
        <w:rPr>
          <w:sz w:val="21"/>
        </w:rPr>
        <w:t>注：以上成果需提供电子文档和纸质文档，其中（</w:t>
      </w:r>
      <w:r>
        <w:rPr>
          <w:sz w:val="21"/>
        </w:rPr>
        <w:t>4）至（9）各</w:t>
      </w:r>
      <w:r>
        <w:rPr>
          <w:sz w:val="21"/>
        </w:rPr>
        <w:t>10</w:t>
      </w:r>
      <w:r>
        <w:rPr>
          <w:sz w:val="21"/>
        </w:rPr>
        <w:t>份，其余资料和报告各</w:t>
      </w:r>
      <w:r>
        <w:rPr>
          <w:sz w:val="21"/>
        </w:rPr>
        <w:t>3</w:t>
      </w:r>
      <w:r>
        <w:rPr>
          <w:sz w:val="21"/>
        </w:rPr>
        <w:t>份。</w:t>
      </w:r>
    </w:p>
    <w:p>
      <w:pPr>
        <w:ind w:firstLine="420"/>
      </w:pPr>
      <w:r>
        <w:rPr>
          <w:sz w:val="21"/>
        </w:rPr>
        <w:t>4、</w:t>
      </w:r>
      <w:r>
        <w:rPr>
          <w:sz w:val="21"/>
        </w:rPr>
        <w:t>实物工作量</w:t>
      </w:r>
    </w:p>
    <w:p>
      <w:pPr>
        <w:jc w:val="center"/>
      </w:pPr>
      <w:r>
        <w:rPr>
          <w:sz w:val="21"/>
        </w:rPr>
        <w:t>表</w:t>
      </w:r>
      <w:r>
        <w:rPr>
          <w:sz w:val="21"/>
        </w:rPr>
        <w:t>5</w:t>
      </w:r>
      <w:r>
        <w:rPr/>
        <w:t xml:space="preserve">  </w:t>
      </w:r>
      <w:r>
        <w:rPr>
          <w:sz w:val="21"/>
        </w:rPr>
        <w:t>实物工作量</w:t>
      </w:r>
    </w:p>
    <w:tbl>
      <w:tblPr>
        <w:tblW w:w="0" w:type="auto"/>
        <w:tblBorders>
          <w:top w:val="none" w:color="000000" w:sz="4"/>
          <w:left w:val="none" w:color="000000" w:sz="4"/>
          <w:bottom w:val="none" w:color="000000" w:sz="4"/>
          <w:right w:val="none" w:color="000000" w:sz="4"/>
          <w:insideH w:val="none"/>
          <w:insideV w:val="none"/>
        </w:tblBorders>
      </w:tblPr>
      <w:tblGrid>
        <w:gridCol w:w="603"/>
        <w:gridCol w:w="4072"/>
        <w:gridCol w:w="1088"/>
        <w:gridCol w:w="2543"/>
      </w:tblGrid>
      <w:tr>
        <w:tc>
          <w:tcPr>
            <w:tcW w:type="dxa" w:w="60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072"/>
            <w:tcBorders>
              <w:top w:val="single" w:color="000000" w:sz="4"/>
              <w:left w:val="single" w:color="000000" w:sz="4"/>
              <w:bottom w:val="single" w:color="000000" w:sz="4"/>
              <w:right w:val="single" w:color="000000" w:sz="4"/>
            </w:tcBorders>
            <w:vAlign w:val="top"/>
          </w:tcPr>
          <w:p>
            <w:pPr>
              <w:jc w:val="center"/>
            </w:pPr>
            <w:r>
              <w:rPr>
                <w:b/>
                <w:sz w:val="21"/>
              </w:rPr>
              <w:t>工作项目</w:t>
            </w:r>
          </w:p>
        </w:tc>
        <w:tc>
          <w:tcPr>
            <w:tcW w:type="dxa" w:w="1088"/>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2543"/>
            <w:tcBorders>
              <w:top w:val="single" w:color="000000" w:sz="4"/>
              <w:left w:val="single" w:color="000000" w:sz="4"/>
              <w:bottom w:val="single" w:color="000000" w:sz="4"/>
              <w:right w:val="single" w:color="000000" w:sz="4"/>
            </w:tcBorders>
            <w:vAlign w:val="top"/>
          </w:tcPr>
          <w:p>
            <w:pPr>
              <w:jc w:val="center"/>
            </w:pPr>
            <w:r>
              <w:rPr>
                <w:b/>
                <w:sz w:val="21"/>
              </w:rPr>
              <w:t>工作量</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地下水监测井建井</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口</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不少于</w:t>
            </w:r>
            <w:r>
              <w:rPr>
                <w:sz w:val="21"/>
              </w:rPr>
              <w:t>21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抽水试验</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口</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不少于</w:t>
            </w:r>
            <w:r>
              <w:rPr>
                <w:sz w:val="21"/>
              </w:rPr>
              <w:t>21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地下水样品采集及检测</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不少于</w:t>
            </w:r>
            <w:r>
              <w:rPr>
                <w:sz w:val="21"/>
              </w:rPr>
              <w:t>70</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土壤样品采集及检测</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不少于</w:t>
            </w:r>
            <w:r>
              <w:rPr>
                <w:sz w:val="21"/>
              </w:rPr>
              <w:t>50</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同位素溯源模型</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同位素溯源模型构建及解析报告</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同位素溯源监测与验证的检测结果汇总表及结果分析报告、质控报告</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同位素检测方法开发与验证报告</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地下水水流及溶质运移数值模型</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地下水污染溯源模型</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预警流程方法</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地下水污染监测预警模型构建及解析报告</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佛山市典型区域地下水动态监测与污染溯源报告</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佛山市典型区域地下水监测点位精准管控对策报告</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60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072"/>
            <w:tcBorders>
              <w:top w:val="none" w:color="000000" w:sz="4"/>
              <w:left w:val="single" w:color="000000" w:sz="4"/>
              <w:bottom w:val="single" w:color="000000" w:sz="4"/>
              <w:right w:val="single" w:color="000000" w:sz="4"/>
            </w:tcBorders>
            <w:vAlign w:val="top"/>
          </w:tcPr>
          <w:p>
            <w:pPr>
              <w:jc w:val="center"/>
            </w:pPr>
            <w:r>
              <w:rPr>
                <w:sz w:val="21"/>
              </w:rPr>
              <w:t>佛山市典型区域地下水污染监测预警报告</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1</w:t>
            </w:r>
          </w:p>
        </w:tc>
      </w:tr>
    </w:tbl>
    <w:p>
      <w:pPr>
        <w:ind w:firstLine="422"/>
      </w:pPr>
      <w:r>
        <w:rPr>
          <w:b/>
          <w:sz w:val="21"/>
        </w:rPr>
        <w:t>5、服务地点：</w:t>
      </w:r>
      <w:r>
        <w:rPr>
          <w:sz w:val="21"/>
        </w:rPr>
        <w:t>由甲方指定。</w:t>
      </w:r>
    </w:p>
    <w:p>
      <w:pPr>
        <w:jc w:val="both"/>
      </w:pPr>
      <w:r>
        <w:rPr>
          <w:b/>
          <w:sz w:val="21"/>
        </w:rPr>
        <w:t>三、合同金额</w:t>
      </w:r>
    </w:p>
    <w:p>
      <w:pPr>
        <w:ind w:firstLine="420"/>
        <w:jc w:val="both"/>
      </w:pPr>
      <w:r>
        <w:rPr>
          <w:sz w:val="21"/>
        </w:rPr>
        <w:t xml:space="preserve"> </w:t>
      </w:r>
      <w:r>
        <w:rPr>
          <w:sz w:val="21"/>
        </w:rPr>
        <w:t>本合同金额（服务费用）为（大写）：</w:t>
      </w:r>
      <w:r>
        <w:rPr>
          <w:sz w:val="21"/>
          <w:u w:val="single"/>
        </w:rPr>
        <w:t xml:space="preserve">         </w:t>
      </w:r>
      <w:r>
        <w:rPr>
          <w:sz w:val="21"/>
        </w:rPr>
        <w:t>元（￥</w:t>
      </w:r>
      <w:r>
        <w:rPr>
          <w:sz w:val="21"/>
          <w:u w:val="single"/>
        </w:rPr>
        <w:t xml:space="preserve">        </w:t>
      </w:r>
      <w:r>
        <w:rPr>
          <w:sz w:val="21"/>
        </w:rPr>
        <w:t>元）人民币</w:t>
      </w:r>
      <w:r>
        <w:rPr>
          <w:sz w:val="21"/>
        </w:rPr>
        <w:t>（已含税费）</w:t>
      </w:r>
      <w:r>
        <w:rPr>
          <w:sz w:val="21"/>
        </w:rPr>
        <w:t>。该服务费用已包含乙方为实施本合同约定的服务项目所需支出的所有费用，包括但不限于人工费、材料费、差旅费、检测费、专家咨询费、会议费以及各种税费等，</w:t>
      </w:r>
      <w:r>
        <w:rPr>
          <w:sz w:val="21"/>
        </w:rPr>
        <w:t>除招标文件规定由甲方另行支付外</w:t>
      </w:r>
      <w:r>
        <w:rPr>
          <w:sz w:val="21"/>
        </w:rPr>
        <w:t>，乙方不得要求甲方支付除上述服务费用之外的任何额外的费用。</w:t>
      </w:r>
    </w:p>
    <w:p>
      <w:pPr>
        <w:jc w:val="both"/>
      </w:pPr>
      <w:r>
        <w:rPr>
          <w:b/>
          <w:sz w:val="21"/>
        </w:rPr>
        <w:t>四、付款方式</w:t>
      </w:r>
    </w:p>
    <w:p>
      <w:pPr>
        <w:ind w:firstLine="420"/>
        <w:jc w:val="both"/>
      </w:pPr>
      <w:r>
        <w:rPr>
          <w:sz w:val="21"/>
        </w:rPr>
        <w:t>甲方按下列程序，根据工作进度分期支付服务费：</w:t>
      </w:r>
    </w:p>
    <w:p>
      <w:pPr>
        <w:ind w:firstLine="420"/>
        <w:jc w:val="left"/>
      </w:pPr>
      <w:r>
        <w:rPr>
          <w:sz w:val="21"/>
        </w:rPr>
        <w:t>1、签订合同后30个工作日内，甲方收到乙方开具的服务发票之日起</w:t>
      </w:r>
      <w:r>
        <w:rPr>
          <w:sz w:val="21"/>
          <w:u w:val="single"/>
        </w:rPr>
        <w:t xml:space="preserve"> </w:t>
      </w:r>
      <w:r>
        <w:rPr>
          <w:sz w:val="21"/>
          <w:u w:val="single"/>
        </w:rPr>
        <w:t>5</w:t>
      </w:r>
      <w:r>
        <w:rPr>
          <w:sz w:val="21"/>
        </w:rPr>
        <w:t>个工作日内，按广东省财政资金管理规定的程序向乙方支付合同总价的</w:t>
      </w:r>
      <w:r>
        <w:rPr>
          <w:sz w:val="21"/>
        </w:rPr>
        <w:t>50%，即人民币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ind w:firstLine="420"/>
        <w:jc w:val="both"/>
      </w:pPr>
      <w:r>
        <w:rPr>
          <w:sz w:val="21"/>
        </w:rPr>
        <w:t>（</w:t>
      </w:r>
      <w:r>
        <w:rPr>
          <w:sz w:val="21"/>
        </w:rPr>
        <w:t>1）项目合同；</w:t>
      </w:r>
    </w:p>
    <w:p>
      <w:pPr>
        <w:ind w:firstLine="420"/>
        <w:jc w:val="both"/>
      </w:pPr>
      <w:r>
        <w:rPr>
          <w:sz w:val="21"/>
        </w:rPr>
        <w:t>（</w:t>
      </w:r>
      <w:r>
        <w:rPr>
          <w:sz w:val="21"/>
        </w:rPr>
        <w:t>2）乙方开具的正式发票；</w:t>
      </w:r>
    </w:p>
    <w:p>
      <w:pPr>
        <w:ind w:firstLine="420"/>
        <w:jc w:val="both"/>
      </w:pPr>
      <w:r>
        <w:rPr>
          <w:sz w:val="21"/>
        </w:rPr>
        <w:t>（</w:t>
      </w:r>
      <w:r>
        <w:rPr>
          <w:sz w:val="21"/>
        </w:rPr>
        <w:t>3）本项目中标通知书。</w:t>
      </w:r>
    </w:p>
    <w:p>
      <w:pPr>
        <w:ind w:firstLine="420"/>
        <w:jc w:val="left"/>
      </w:pPr>
      <w:r>
        <w:rPr>
          <w:sz w:val="21"/>
        </w:rPr>
        <w:t>2、乙方完成21口地下水监测井（含1个分层监测井）建设、15口监测井的土壤分层检测、21口监测井至少1次的水质检测、11家污染源的同位素检测、至少30口地下水监测井的同位素检测；完成污染监控区域风险评估，完成同位素溯源模型和地下水监测预警模型及体系构建并投入应用，通过专家评审并经甲方确认，甲方收到乙方开具的服务发票之日起 5 个工作日内，按广东省财政资金管理规定的程序向乙方支付合同总价的40%，即人民币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ind w:firstLine="420"/>
        <w:jc w:val="both"/>
      </w:pPr>
      <w:r>
        <w:rPr>
          <w:sz w:val="21"/>
        </w:rPr>
        <w:t>（</w:t>
      </w:r>
      <w:r>
        <w:rPr>
          <w:sz w:val="21"/>
        </w:rPr>
        <w:t>1）项目合同；</w:t>
      </w:r>
    </w:p>
    <w:p>
      <w:pPr>
        <w:ind w:firstLine="420"/>
        <w:jc w:val="both"/>
      </w:pPr>
      <w:r>
        <w:rPr>
          <w:sz w:val="21"/>
        </w:rPr>
        <w:t>（</w:t>
      </w:r>
      <w:r>
        <w:rPr>
          <w:sz w:val="21"/>
        </w:rPr>
        <w:t>2）乙方开具的正式发票；</w:t>
      </w:r>
    </w:p>
    <w:p>
      <w:pPr>
        <w:ind w:firstLine="420"/>
        <w:jc w:val="both"/>
      </w:pPr>
      <w:r>
        <w:rPr>
          <w:sz w:val="21"/>
        </w:rPr>
        <w:t>（</w:t>
      </w:r>
      <w:r>
        <w:rPr>
          <w:sz w:val="21"/>
        </w:rPr>
        <w:t>3）本项目中标通知书；</w:t>
      </w:r>
    </w:p>
    <w:p>
      <w:pPr>
        <w:ind w:firstLine="420"/>
        <w:jc w:val="both"/>
      </w:pPr>
      <w:r>
        <w:rPr>
          <w:sz w:val="21"/>
        </w:rPr>
        <w:t>（</w:t>
      </w:r>
      <w:r>
        <w:rPr>
          <w:sz w:val="21"/>
        </w:rPr>
        <w:t>4）项目中期验收意见；</w:t>
      </w:r>
    </w:p>
    <w:p>
      <w:pPr>
        <w:ind w:firstLine="420"/>
        <w:jc w:val="both"/>
      </w:pPr>
      <w:r>
        <w:rPr>
          <w:sz w:val="21"/>
        </w:rPr>
        <w:t>（</w:t>
      </w:r>
      <w:r>
        <w:rPr>
          <w:sz w:val="21"/>
        </w:rPr>
        <w:t>5）工作完成情况确认书（甲方签字确认）</w:t>
      </w:r>
    </w:p>
    <w:p>
      <w:pPr>
        <w:ind w:firstLine="420"/>
        <w:jc w:val="left"/>
      </w:pPr>
      <w:r>
        <w:rPr>
          <w:sz w:val="21"/>
        </w:rPr>
        <w:t>3、乙方完成甲方要求的全部项目工作，通过甲方组织的专家验收，并按专家意见完成修改经甲方确认后，甲方收到乙方开具的服务发票之日起</w:t>
      </w:r>
      <w:r>
        <w:rPr>
          <w:sz w:val="21"/>
          <w:u w:val="single"/>
        </w:rPr>
        <w:t xml:space="preserve"> </w:t>
      </w:r>
      <w:r>
        <w:rPr>
          <w:sz w:val="21"/>
          <w:u w:val="single"/>
        </w:rPr>
        <w:t>5</w:t>
      </w:r>
      <w:r>
        <w:rPr>
          <w:sz w:val="21"/>
        </w:rPr>
        <w:t>个工作日内，按广东省财政资金管理规定的程序向乙方支付合同总金额的</w:t>
      </w:r>
      <w:r>
        <w:rPr>
          <w:sz w:val="21"/>
        </w:rPr>
        <w:t>10%，即人民币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ind w:firstLine="420"/>
        <w:jc w:val="both"/>
      </w:pPr>
      <w:r>
        <w:rPr>
          <w:sz w:val="21"/>
        </w:rPr>
        <w:t>（</w:t>
      </w:r>
      <w:r>
        <w:rPr>
          <w:sz w:val="21"/>
        </w:rPr>
        <w:t>1）项目合同；</w:t>
      </w:r>
    </w:p>
    <w:p>
      <w:pPr>
        <w:ind w:firstLine="420"/>
        <w:jc w:val="both"/>
      </w:pPr>
      <w:r>
        <w:rPr>
          <w:sz w:val="21"/>
        </w:rPr>
        <w:t>（</w:t>
      </w:r>
      <w:r>
        <w:rPr>
          <w:sz w:val="21"/>
        </w:rPr>
        <w:t>2）乙方开具的正式发票；</w:t>
      </w:r>
    </w:p>
    <w:p>
      <w:pPr>
        <w:ind w:firstLine="420"/>
        <w:jc w:val="both"/>
      </w:pPr>
      <w:r>
        <w:rPr>
          <w:sz w:val="21"/>
        </w:rPr>
        <w:t>（</w:t>
      </w:r>
      <w:r>
        <w:rPr>
          <w:sz w:val="21"/>
        </w:rPr>
        <w:t>3）本项目中标通知书；</w:t>
      </w:r>
    </w:p>
    <w:p>
      <w:pPr>
        <w:ind w:firstLine="420"/>
        <w:jc w:val="both"/>
      </w:pPr>
      <w:r>
        <w:rPr>
          <w:sz w:val="21"/>
        </w:rPr>
        <w:t>（</w:t>
      </w:r>
      <w:r>
        <w:rPr>
          <w:sz w:val="21"/>
        </w:rPr>
        <w:t>4）项目验收意见；</w:t>
      </w:r>
    </w:p>
    <w:p>
      <w:pPr>
        <w:jc w:val="both"/>
      </w:pPr>
      <w:r>
        <w:rPr>
          <w:sz w:val="21"/>
        </w:rPr>
        <w:t>（</w:t>
      </w:r>
      <w:r>
        <w:rPr>
          <w:sz w:val="21"/>
        </w:rPr>
        <w:t>5）所需提交的项目成果。</w:t>
      </w:r>
    </w:p>
    <w:p>
      <w:pPr>
        <w:ind w:firstLine="420"/>
        <w:jc w:val="left"/>
      </w:pPr>
      <w:r>
        <w:rPr>
          <w:sz w:val="21"/>
        </w:rPr>
        <w:t>4、甲方有权直接从合同款内扣除违约金、赔偿金、考核不合格应扣减的服务费等。</w:t>
      </w:r>
    </w:p>
    <w:p>
      <w:pPr>
        <w:ind w:firstLine="420"/>
        <w:jc w:val="left"/>
      </w:pPr>
      <w:r>
        <w:rPr>
          <w:sz w:val="21"/>
        </w:rPr>
        <w:t>5、</w:t>
      </w:r>
      <w:r>
        <w:rPr>
          <w:sz w:val="21"/>
        </w:rPr>
        <w:t>乙方有义务向甲方提供申请财政付款所需文件材料。除了证明当期约定项目服务内容已完成的材料之外，乙方还必须向甲方提供税务局制定的相应的款项发票作为请款凭据。如财政部门对申请材料有其他要求的，乙方也应配合及时提供。如乙方未按本合同约定及时提供请款所需材料和发票的，甲方有权延缓申请支付，直至收到乙方提供的材料和发票时止，而不视为甲方违约。</w:t>
      </w:r>
    </w:p>
    <w:p>
      <w:pPr>
        <w:ind w:firstLine="420"/>
        <w:jc w:val="both"/>
      </w:pPr>
      <w:r>
        <w:rPr>
          <w:sz w:val="21"/>
        </w:rPr>
        <w:t>6、关于付款的特别约定：</w:t>
      </w:r>
    </w:p>
    <w:p>
      <w:pPr>
        <w:ind w:firstLine="420"/>
        <w:jc w:val="both"/>
      </w:pPr>
      <w:r>
        <w:rPr>
          <w:sz w:val="21"/>
        </w:rPr>
        <w:t>由于甲方使用的是财政性资金，甲方向财政部门申请支付即视为履行了付款义务，乙方不得因财政部门审核需要时间、拨款迟延等原因要求甲方承担迟延付款的责任，更不得因此怠于履行合同义务。</w:t>
      </w:r>
    </w:p>
    <w:p>
      <w:pPr>
        <w:jc w:val="both"/>
      </w:pPr>
      <w:r>
        <w:rPr>
          <w:b/>
          <w:sz w:val="21"/>
        </w:rPr>
        <w:t>五、甲乙双方的权利和义务</w:t>
      </w:r>
    </w:p>
    <w:p>
      <w:pPr>
        <w:ind w:firstLine="420"/>
        <w:jc w:val="both"/>
      </w:pPr>
      <w:r>
        <w:rPr>
          <w:sz w:val="21"/>
        </w:rPr>
        <w:t>1、甲方的权利和义务</w:t>
      </w:r>
    </w:p>
    <w:p>
      <w:pPr>
        <w:ind w:firstLine="420"/>
        <w:jc w:val="both"/>
      </w:pPr>
      <w:r>
        <w:rPr>
          <w:sz w:val="21"/>
        </w:rPr>
        <w:t>1）甲方有权要求乙方按照甲方规定的工作范围、工作内容、进度、时限、程序、技术规范和技术标准，保质保量完成《采购需求》中的各项任务。</w:t>
      </w:r>
    </w:p>
    <w:p>
      <w:pPr>
        <w:ind w:firstLine="420"/>
        <w:jc w:val="both"/>
      </w:pPr>
      <w:r>
        <w:rPr>
          <w:sz w:val="21"/>
        </w:rPr>
        <w:t>2）甲方有权监督本合同的履行进度，就乙方提交的工作成果（包括阶段性服务成果和最终服务成果等）提出修改意见和建议，或就项目相关问题要求乙方按甲方指定的形式（包括会议面谈、书面函件、邮件或电话等形式）作出解释、说明及答复。</w:t>
      </w:r>
    </w:p>
    <w:p>
      <w:pPr>
        <w:ind w:firstLine="420"/>
        <w:jc w:val="both"/>
      </w:pPr>
      <w:r>
        <w:rPr>
          <w:sz w:val="21"/>
        </w:rPr>
        <w:t>3）甲方有权要求乙方以会议面谈、书面函件、电话等甲方指定的方式如实陈述及说明项目工作的进展情况，并有权要求乙方提供相应的说明函件及其阶段性的工作进展材料。</w:t>
      </w:r>
    </w:p>
    <w:p>
      <w:pPr>
        <w:ind w:firstLine="420"/>
        <w:jc w:val="both"/>
      </w:pPr>
      <w:r>
        <w:rPr>
          <w:sz w:val="21"/>
        </w:rPr>
        <w:t>4）乙方因履行合同，要求甲方提供必要的背景材料和协助时，甲方应当提供及给予合理协助。</w:t>
      </w:r>
    </w:p>
    <w:p>
      <w:pPr>
        <w:ind w:firstLine="420"/>
        <w:jc w:val="both"/>
      </w:pPr>
      <w:r>
        <w:rPr>
          <w:sz w:val="21"/>
        </w:rPr>
        <w:t>5)甲方应当按照合同约定向财政部门提出付款申请，款项批准后及时向乙方支付。</w:t>
      </w:r>
    </w:p>
    <w:p>
      <w:pPr>
        <w:ind w:firstLine="420"/>
        <w:jc w:val="both"/>
      </w:pPr>
      <w:r>
        <w:rPr>
          <w:sz w:val="21"/>
        </w:rPr>
        <w:t>6）如因法律或政策发生变化，导致本合同的履行成为不必要时，甲方有权终止合同。但甲方应当根据乙方已经完成的工作量支付服务费。</w:t>
      </w:r>
    </w:p>
    <w:p>
      <w:pPr>
        <w:ind w:firstLine="420"/>
        <w:jc w:val="both"/>
      </w:pPr>
      <w:r>
        <w:rPr>
          <w:sz w:val="21"/>
        </w:rPr>
        <w:t>2、乙方的权利和义务</w:t>
      </w:r>
    </w:p>
    <w:p>
      <w:pPr>
        <w:ind w:firstLine="420"/>
        <w:jc w:val="both"/>
      </w:pPr>
      <w:r>
        <w:rPr>
          <w:sz w:val="21"/>
        </w:rPr>
        <w:t>1）乙方应当按照本合同的约定提供优质服务，保证其提交的服务成果符合采购文件的要求，以及投标（或响应）文件的承诺，并且符合行业技术规范和技术标准的要求。</w:t>
      </w:r>
    </w:p>
    <w:p>
      <w:pPr>
        <w:ind w:firstLine="420"/>
        <w:jc w:val="both"/>
      </w:pPr>
      <w:r>
        <w:rPr>
          <w:sz w:val="21"/>
        </w:rPr>
        <w:t>2）乙方在履行合同的过程中，需要甲方提供协助的，应当及时提出。</w:t>
      </w:r>
    </w:p>
    <w:p>
      <w:pPr>
        <w:ind w:firstLine="420"/>
        <w:jc w:val="both"/>
      </w:pPr>
      <w:r>
        <w:rPr>
          <w:sz w:val="21"/>
        </w:rPr>
        <w:t>3）乙方应当就委托事项进行全面、细致的调查和分析，提出先进、科学、可行的对策和建议。</w:t>
      </w:r>
    </w:p>
    <w:p>
      <w:pPr>
        <w:ind w:firstLine="420"/>
        <w:jc w:val="both"/>
      </w:pPr>
      <w:r>
        <w:rPr>
          <w:sz w:val="21"/>
        </w:rPr>
        <w:t>4）乙方应根据甲方的意见和建议修正或完善服务内容，就甲方提出的疑问及时作出解释、说明和答复。</w:t>
      </w:r>
    </w:p>
    <w:p>
      <w:pPr>
        <w:ind w:firstLine="420"/>
        <w:jc w:val="both"/>
      </w:pPr>
      <w:r>
        <w:rPr>
          <w:sz w:val="21"/>
        </w:rPr>
        <w:t>5）乙方应当按照甲方要求如实陈述项目工作的进展情况，并应提供相应的说明材料。</w:t>
      </w:r>
    </w:p>
    <w:p>
      <w:pPr>
        <w:ind w:firstLine="420"/>
        <w:jc w:val="both"/>
      </w:pPr>
      <w:r>
        <w:rPr>
          <w:sz w:val="21"/>
        </w:rPr>
        <w:t>6）乙方应按照合同约定承担保密义务。</w:t>
      </w:r>
    </w:p>
    <w:p>
      <w:pPr>
        <w:ind w:firstLine="420"/>
        <w:jc w:val="both"/>
      </w:pPr>
      <w:r>
        <w:rPr>
          <w:sz w:val="21"/>
        </w:rPr>
        <w:t>7）乙方保证其履行本合同约定义务的行为及其所提交的技术服务成果不会侵害甲方或任何第三方的知识产权和其他权益，否则乙方应当承担全部法律责任，并赔偿甲方因此产生的全部损失（包括但不限于：甲方的经济损失；甲方因此支付的赔偿金、补偿金、罚金；甲方因维权、制止或减少损失所支付的律师费、诉讼费、调查取证费等费用）。</w:t>
      </w:r>
    </w:p>
    <w:p>
      <w:pPr>
        <w:ind w:firstLine="420"/>
        <w:jc w:val="both"/>
      </w:pPr>
      <w:r>
        <w:rPr>
          <w:sz w:val="21"/>
        </w:rPr>
        <w:t>8）在本合同履行期间及终止之后，乙方均有义务按甲方的要求，就本项目服务成果向甲方以及其他机关（包括政府及政府部门、审计机关、监察机关）作出解释、说明及答复。</w:t>
      </w:r>
    </w:p>
    <w:p>
      <w:pPr>
        <w:ind w:firstLine="420"/>
        <w:jc w:val="both"/>
      </w:pPr>
      <w:r>
        <w:rPr>
          <w:sz w:val="21"/>
        </w:rPr>
        <w:t>9）乙方有权按照本合同约定获取服务报酬。</w:t>
      </w:r>
    </w:p>
    <w:p>
      <w:pPr>
        <w:ind w:firstLine="420"/>
        <w:jc w:val="both"/>
      </w:pPr>
      <w:r>
        <w:rPr>
          <w:sz w:val="21"/>
        </w:rPr>
        <w:t>10）乙方对项目实施过程中的安全生产负责。</w:t>
      </w:r>
    </w:p>
    <w:p>
      <w:pPr>
        <w:ind w:firstLine="420"/>
        <w:jc w:val="both"/>
      </w:pPr>
      <w:r>
        <w:rPr>
          <w:sz w:val="21"/>
        </w:rPr>
        <w:t>11）乙方指定</w:t>
      </w:r>
      <w:r>
        <w:rPr>
          <w:sz w:val="21"/>
          <w:u w:val="single"/>
        </w:rPr>
        <w:t xml:space="preserve">          </w:t>
      </w:r>
      <w:r>
        <w:rPr>
          <w:sz w:val="21"/>
        </w:rPr>
        <w:t>为乙方项目联系人（负责人）。项目联系人（负责人）应满足采购文件及本合同规定的资质要求，并能胜任项目联系人（负责人）的工作。其负责内容包括：跟进项目进度，协调解决合同履行过程中出现的问题，及时进行联络和沟通，确保各项服务内容及成果按时按质按量提交；及时向甲方汇报项目进展情况，就甲方提出的疑问作出解释、说明和答复；传递、移交、签收文件材料。乙方变更项目联系人的，应当征得甲方同意。甲方认为乙方指定的项目联系人（负责人）不能胜任工作的，可以要求乙方更换。</w:t>
      </w:r>
    </w:p>
    <w:p>
      <w:pPr>
        <w:ind w:firstLine="420"/>
        <w:jc w:val="both"/>
      </w:pPr>
      <w:r>
        <w:rPr>
          <w:sz w:val="21"/>
        </w:rPr>
        <w:t>12）乙方应当在本项目经甲方验收后一年内提供技术咨询服务，解答甲方在使用乙方提交的项目成果时遇到的技术问题，并提供必要的辅导。</w:t>
      </w:r>
    </w:p>
    <w:p>
      <w:pPr>
        <w:ind w:firstLine="420"/>
        <w:jc w:val="both"/>
      </w:pPr>
    </w:p>
    <w:p>
      <w:pPr>
        <w:jc w:val="both"/>
      </w:pPr>
      <w:r>
        <w:rPr>
          <w:b/>
          <w:sz w:val="21"/>
        </w:rPr>
        <w:t>六、人员管理</w:t>
      </w:r>
    </w:p>
    <w:p>
      <w:pPr>
        <w:jc w:val="both"/>
      </w:pPr>
      <w:r>
        <w:rPr>
          <w:sz w:val="21"/>
        </w:rPr>
        <w:t>1.乙方须按其投标文件中承诺提供的项目组人员必须按要求投入到本项目中，在合同期内不得擅自更换。乙方如因工作安排或其他原因，需要更换项目组主要负责人员时，应事前向甲方书面提出书面申请，未经甲方同意，不得更换人员。</w:t>
      </w:r>
    </w:p>
    <w:p>
      <w:pPr>
        <w:jc w:val="both"/>
      </w:pPr>
      <w:r>
        <w:rPr>
          <w:sz w:val="21"/>
        </w:rPr>
        <w:t>2.如乙方未经甲方书面同意擅自更换项目组主要负责人员，除须按甲方的要求对人员作出调整外，还须交纳伍万元违约金。累计达2次后，甲方有权终止合同，由此引致的经济损失，乙方须全额赔偿，甲方保留追究乙方相关责任的权利。</w:t>
      </w:r>
    </w:p>
    <w:p>
      <w:pPr>
        <w:jc w:val="both"/>
      </w:pPr>
      <w:r>
        <w:rPr>
          <w:sz w:val="21"/>
        </w:rPr>
        <w:t>3.甲方有权以书面形式要求乙方更换不能按规定履行合同的人员。</w:t>
      </w:r>
    </w:p>
    <w:p>
      <w:pPr>
        <w:jc w:val="both"/>
      </w:pPr>
      <w:r>
        <w:rPr>
          <w:sz w:val="21"/>
        </w:rPr>
        <w:t>4.即使是甲方要求或同意更换的人员，其代替人员的资质仍应得到甲方的认可，且其资历和经验均不低于被更换人员。由此而产生的费用由乙方承担。</w:t>
      </w:r>
    </w:p>
    <w:p>
      <w:pPr>
        <w:jc w:val="both"/>
      </w:pPr>
      <w:r>
        <w:rPr>
          <w:sz w:val="21"/>
        </w:rPr>
        <w:t>5.乙方对其雇员的人身安全负全部责任。</w:t>
      </w:r>
    </w:p>
    <w:p>
      <w:pPr>
        <w:jc w:val="both"/>
      </w:pPr>
      <w:r>
        <w:rPr>
          <w:b/>
          <w:sz w:val="21"/>
        </w:rPr>
        <w:t>七、质量要求与技术标准</w:t>
      </w:r>
    </w:p>
    <w:p>
      <w:pPr>
        <w:ind w:firstLine="420"/>
        <w:jc w:val="both"/>
      </w:pPr>
      <w:r>
        <w:rPr>
          <w:sz w:val="21"/>
        </w:rPr>
        <w:t>1、基本要求</w:t>
      </w:r>
    </w:p>
    <w:p>
      <w:pPr>
        <w:ind w:firstLine="420"/>
        <w:jc w:val="both"/>
      </w:pPr>
      <w:r>
        <w:rPr>
          <w:sz w:val="21"/>
        </w:rPr>
        <w:t>（</w:t>
      </w:r>
      <w:r>
        <w:rPr>
          <w:sz w:val="21"/>
        </w:rPr>
        <w:t>1）新建规范地下水监测井布点和建设必须符合《地下水环境状况调查评价工作指南》（试行）（环办土壤函〔2019〕770号）、《地下水监测井建设规范》（DZ/T 0270-2014）等相关规范</w:t>
      </w:r>
      <w:r>
        <w:rPr>
          <w:sz w:val="22"/>
        </w:rPr>
        <w:t>、《地下水环境监测技术规范》（</w:t>
      </w:r>
      <w:r>
        <w:rPr>
          <w:sz w:val="22"/>
        </w:rPr>
        <w:t>HJ 164-2020）等相关规范，并结合当地的水文地质条件确保钻井深度可揭露到含水层，满足采购人的监测需求</w:t>
      </w:r>
      <w:r>
        <w:rPr>
          <w:sz w:val="21"/>
        </w:rPr>
        <w:t>；</w:t>
      </w:r>
    </w:p>
    <w:p>
      <w:pPr>
        <w:ind w:firstLine="420"/>
        <w:jc w:val="both"/>
      </w:pPr>
      <w:r>
        <w:rPr>
          <w:sz w:val="21"/>
        </w:rPr>
        <w:t>（</w:t>
      </w:r>
      <w:r>
        <w:rPr>
          <w:sz w:val="21"/>
        </w:rPr>
        <w:t>2）水质、土壤手工采样、现场监测、实验室分析必须符合《地下水环境监测技术规范》（HJ 164-2020）、《地块土壤和地下水中挥发性有机物采样技术导则》（HJ 1019-2019）等相关规范，承担检测工作的机构必须具备所检测项目的CMA资质；</w:t>
      </w:r>
    </w:p>
    <w:p>
      <w:pPr>
        <w:ind w:firstLine="420"/>
        <w:jc w:val="both"/>
      </w:pPr>
      <w:r>
        <w:rPr>
          <w:sz w:val="21"/>
        </w:rPr>
        <w:t>（</w:t>
      </w:r>
      <w:r>
        <w:rPr>
          <w:sz w:val="21"/>
        </w:rPr>
        <w:t>3）佛山市典型区域地下水动态监测与污染溯源报告、</w:t>
      </w:r>
      <w:r>
        <w:rPr>
          <w:sz w:val="21"/>
        </w:rPr>
        <w:t>佛山市典型区域地下水监测点位精准管控对策报告</w:t>
      </w:r>
      <w:r>
        <w:rPr>
          <w:sz w:val="21"/>
        </w:rPr>
        <w:t>、</w:t>
      </w:r>
      <w:r>
        <w:rPr>
          <w:sz w:val="21"/>
        </w:rPr>
        <w:t>佛山市典型区域地下水污染监测预警报告</w:t>
      </w:r>
      <w:r>
        <w:rPr>
          <w:sz w:val="21"/>
        </w:rPr>
        <w:t>必须内容完整、详实、图表准确清晰。</w:t>
      </w:r>
    </w:p>
    <w:p>
      <w:pPr>
        <w:ind w:firstLine="420"/>
        <w:jc w:val="both"/>
      </w:pPr>
      <w:r>
        <w:rPr>
          <w:sz w:val="21"/>
        </w:rPr>
        <w:t>2、服务人员要求</w:t>
      </w:r>
    </w:p>
    <w:p>
      <w:pPr>
        <w:ind w:firstLine="420"/>
        <w:jc w:val="both"/>
      </w:pPr>
      <w:r>
        <w:rPr>
          <w:sz w:val="21"/>
        </w:rPr>
        <w:t>（</w:t>
      </w:r>
      <w:r>
        <w:rPr>
          <w:sz w:val="21"/>
        </w:rPr>
        <w:t>1）</w:t>
      </w:r>
      <w:r>
        <w:rPr>
          <w:sz w:val="21"/>
        </w:rPr>
        <w:t>为使项目按质、按量、按时及有序实施，服务期内</w:t>
      </w:r>
      <w:r>
        <w:rPr>
          <w:sz w:val="21"/>
        </w:rPr>
        <w:t>乙方指定</w:t>
      </w:r>
      <w:r>
        <w:rPr>
          <w:sz w:val="21"/>
          <w:u w:val="single"/>
        </w:rPr>
        <w:t xml:space="preserve">     </w:t>
      </w:r>
      <w:r>
        <w:rPr>
          <w:sz w:val="21"/>
          <w:u w:val="single"/>
        </w:rPr>
        <w:t>（身份证号：</w:t>
      </w:r>
      <w:r>
        <w:rPr>
          <w:sz w:val="21"/>
          <w:u w:val="single"/>
        </w:rPr>
        <w:t xml:space="preserve">    </w:t>
      </w:r>
      <w:r>
        <w:rPr>
          <w:sz w:val="21"/>
          <w:u w:val="single"/>
        </w:rPr>
        <w:t>）</w:t>
      </w:r>
      <w:r>
        <w:rPr>
          <w:sz w:val="21"/>
        </w:rPr>
        <w:t>为项目负责人（项目负责人具有生态环境工程、生态环境管理与咨询、生态环境监测、生态环境科学、土壤环境保护、地下水科学、水工环地质、地球化学勘查等其中一个专业副高级职称以上），设置不少于</w:t>
      </w:r>
      <w:r>
        <w:rPr>
          <w:sz w:val="21"/>
        </w:rPr>
        <w:t>45人的服务团队（含项目负责人），其中如为联合体的，主体方团队成员需不得少于11人且除了项目负责人外需要配备至少1名副高级职称以上的联络人负责与采购单位对接项目日常事务，统筹联合体各参与单位工作，名单见表8。及时响应甲方的服务要求，在经双方确认的约定工作量范围内提供服务。如乙方需更换项目团队成员，需征得甲方同意，并以书面形式通知甲方，更换的团队成员需具备本项目要求能力。乙方应安排1名驻场人员跟进本项目的工作，驻场时间不少于6个月（需同时满足如下条件：①环境科学、环境工程、水文与水资源工程、地下水科学与工程、地球化学与勘查等其中一个专业本科或以上学历；②具有2年及以上环境或地质工作经历）。</w:t>
      </w:r>
      <w:r>
        <w:rPr>
          <w:sz w:val="21"/>
        </w:rPr>
        <w:t>乙方不得随意更换项目负责人、联络人、驻场人员，如项目</w:t>
      </w:r>
      <w:r>
        <w:rPr>
          <w:sz w:val="21"/>
        </w:rPr>
        <w:t>负责人、联络人、驻场人员需要更换，乙方需书面向甲方申请，获得甲方同意后，方可更换。</w:t>
      </w:r>
    </w:p>
    <w:p>
      <w:pPr>
        <w:jc w:val="center"/>
      </w:pPr>
      <w:r>
        <w:rPr>
          <w:sz w:val="21"/>
        </w:rPr>
        <w:t>表</w:t>
      </w:r>
      <w:r>
        <w:rPr>
          <w:sz w:val="21"/>
        </w:rPr>
        <w:t>6  乙方服务团队人员名单</w:t>
      </w:r>
    </w:p>
    <w:tbl>
      <w:tblPr>
        <w:tblW w:w="0" w:type="auto"/>
        <w:tblBorders>
          <w:top w:val="none" w:color="000000" w:sz="4"/>
          <w:left w:val="none" w:color="000000" w:sz="4"/>
          <w:bottom w:val="none" w:color="000000" w:sz="4"/>
          <w:right w:val="none" w:color="000000" w:sz="4"/>
          <w:insideH w:val="none"/>
          <w:insideV w:val="none"/>
        </w:tblBorders>
      </w:tblPr>
      <w:tblGrid>
        <w:gridCol w:w="988"/>
        <w:gridCol w:w="922"/>
        <w:gridCol w:w="1372"/>
        <w:gridCol w:w="1777"/>
        <w:gridCol w:w="2063"/>
        <w:gridCol w:w="1183"/>
      </w:tblGrid>
      <w:tr>
        <w:tc>
          <w:tcPr>
            <w:tcW w:type="dxa" w:w="988"/>
            <w:tcBorders>
              <w:top w:val="double" w:color="000000" w:sz="4"/>
              <w:left w:val="double" w:color="000000" w:sz="4"/>
              <w:bottom w:val="dotted" w:color="000000" w:sz="4"/>
              <w:right w:val="dotted" w:color="000000" w:sz="4"/>
            </w:tcBorders>
            <w:shd w:fill="F1F1F1"/>
            <w:vAlign w:val="top"/>
          </w:tcPr>
          <w:p>
            <w:pPr>
              <w:jc w:val="center"/>
            </w:pPr>
            <w:r>
              <w:rPr>
                <w:sz w:val="21"/>
              </w:rPr>
              <w:t>序号</w:t>
            </w:r>
          </w:p>
        </w:tc>
        <w:tc>
          <w:tcPr>
            <w:tcW w:type="dxa" w:w="922"/>
            <w:tcBorders>
              <w:top w:val="double" w:color="000000" w:sz="4"/>
              <w:left w:val="dotted" w:color="000000" w:sz="4"/>
              <w:bottom w:val="dotted" w:color="000000" w:sz="4"/>
              <w:right w:val="dotted" w:color="000000" w:sz="4"/>
            </w:tcBorders>
            <w:shd w:fill="F1F1F1"/>
            <w:vAlign w:val="top"/>
          </w:tcPr>
          <w:p>
            <w:pPr>
              <w:jc w:val="center"/>
            </w:pPr>
            <w:r>
              <w:rPr>
                <w:sz w:val="21"/>
              </w:rPr>
              <w:t>姓名</w:t>
            </w:r>
          </w:p>
        </w:tc>
        <w:tc>
          <w:tcPr>
            <w:tcW w:type="dxa" w:w="1372"/>
            <w:tcBorders>
              <w:top w:val="double" w:color="000000" w:sz="4"/>
              <w:left w:val="dotted" w:color="000000" w:sz="4"/>
              <w:bottom w:val="dotted" w:color="000000" w:sz="4"/>
              <w:right w:val="dotted" w:color="000000" w:sz="4"/>
            </w:tcBorders>
            <w:shd w:fill="F1F1F1"/>
            <w:vAlign w:val="top"/>
          </w:tcPr>
          <w:p>
            <w:pPr>
              <w:jc w:val="center"/>
            </w:pPr>
            <w:r>
              <w:rPr>
                <w:sz w:val="21"/>
              </w:rPr>
              <w:t>身份证号码</w:t>
            </w:r>
          </w:p>
        </w:tc>
        <w:tc>
          <w:tcPr>
            <w:tcW w:type="dxa" w:w="1777"/>
            <w:tcBorders>
              <w:top w:val="double" w:color="000000" w:sz="4"/>
              <w:left w:val="dotted" w:color="000000" w:sz="4"/>
              <w:bottom w:val="dotted" w:color="000000" w:sz="4"/>
              <w:right w:val="dotted" w:color="000000" w:sz="4"/>
            </w:tcBorders>
            <w:shd w:fill="F1F1F1"/>
            <w:vAlign w:val="top"/>
          </w:tcPr>
          <w:p>
            <w:pPr>
              <w:jc w:val="center"/>
            </w:pPr>
            <w:r>
              <w:rPr>
                <w:sz w:val="21"/>
              </w:rPr>
              <w:t>所在单位</w:t>
            </w:r>
            <w:r>
              <w:rPr>
                <w:sz w:val="21"/>
              </w:rPr>
              <w:t>/公司</w:t>
            </w:r>
          </w:p>
        </w:tc>
        <w:tc>
          <w:tcPr>
            <w:tcW w:type="dxa" w:w="2063"/>
            <w:tcBorders>
              <w:top w:val="double" w:color="000000" w:sz="4"/>
              <w:left w:val="dotted" w:color="000000" w:sz="4"/>
              <w:bottom w:val="dotted" w:color="000000" w:sz="4"/>
              <w:right w:val="dotted" w:color="000000" w:sz="4"/>
            </w:tcBorders>
            <w:shd w:fill="F1F1F1"/>
            <w:vAlign w:val="top"/>
          </w:tcPr>
          <w:p>
            <w:pPr>
              <w:jc w:val="center"/>
            </w:pPr>
            <w:r>
              <w:rPr>
                <w:sz w:val="21"/>
              </w:rPr>
              <w:t>负责本项目的工作内容</w:t>
            </w:r>
          </w:p>
        </w:tc>
        <w:tc>
          <w:tcPr>
            <w:tcW w:type="dxa" w:w="1183"/>
            <w:tcBorders>
              <w:top w:val="double" w:color="000000" w:sz="4"/>
              <w:left w:val="dotted" w:color="000000" w:sz="4"/>
              <w:bottom w:val="dotted" w:color="000000" w:sz="4"/>
              <w:right w:val="double" w:color="000000" w:sz="4"/>
            </w:tcBorders>
            <w:shd w:fill="F1F1F1"/>
            <w:vAlign w:val="top"/>
          </w:tcPr>
          <w:p>
            <w:pPr>
              <w:jc w:val="center"/>
            </w:pPr>
            <w:r>
              <w:rPr>
                <w:sz w:val="21"/>
              </w:rPr>
              <w:t>备注</w:t>
            </w: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1</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r>
              <w:rPr>
                <w:sz w:val="21"/>
              </w:rPr>
              <w:t>项目负责人</w:t>
            </w: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2</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r>
              <w:rPr>
                <w:sz w:val="21"/>
              </w:rPr>
              <w:t>联络人员</w:t>
            </w: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3</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r>
              <w:rPr>
                <w:sz w:val="21"/>
              </w:rPr>
              <w:t>驻场人员</w:t>
            </w: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4</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5</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6</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7</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8</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9</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w:t>
            </w:r>
          </w:p>
        </w:tc>
        <w:tc>
          <w:tcPr>
            <w:tcW w:type="dxa" w:w="922"/>
            <w:tcBorders>
              <w:top w:val="dotted" w:color="000000" w:sz="4"/>
              <w:left w:val="dotted" w:color="000000" w:sz="4"/>
              <w:bottom w:val="dotted" w:color="000000" w:sz="4"/>
              <w:right w:val="dotted" w:color="000000" w:sz="4"/>
            </w:tcBorders>
            <w:vAlign w:val="top"/>
          </w:tcPr>
          <w:p>
            <w:pPr>
              <w:jc w:val="center"/>
            </w:pPr>
          </w:p>
        </w:tc>
        <w:tc>
          <w:tcPr>
            <w:tcW w:type="dxa" w:w="1372"/>
            <w:tcBorders>
              <w:top w:val="dotted" w:color="000000" w:sz="4"/>
              <w:left w:val="dotted" w:color="000000" w:sz="4"/>
              <w:bottom w:val="dotted" w:color="000000" w:sz="4"/>
              <w:right w:val="dotted" w:color="000000" w:sz="4"/>
            </w:tcBorders>
            <w:vAlign w:val="top"/>
          </w:tcPr>
          <w:p>
            <w:pPr>
              <w:jc w:val="center"/>
            </w:pPr>
          </w:p>
        </w:tc>
        <w:tc>
          <w:tcPr>
            <w:tcW w:type="dxa" w:w="1777"/>
            <w:tcBorders>
              <w:top w:val="dotted" w:color="000000" w:sz="4"/>
              <w:left w:val="dotted" w:color="000000" w:sz="4"/>
              <w:bottom w:val="dotted" w:color="000000" w:sz="4"/>
              <w:right w:val="dotted" w:color="000000" w:sz="4"/>
            </w:tcBorders>
            <w:vAlign w:val="top"/>
          </w:tcPr>
          <w:p>
            <w:pPr>
              <w:jc w:val="center"/>
            </w:pPr>
          </w:p>
        </w:tc>
        <w:tc>
          <w:tcPr>
            <w:tcW w:type="dxa" w:w="2063"/>
            <w:tcBorders>
              <w:top w:val="dotted" w:color="000000" w:sz="4"/>
              <w:left w:val="dotted" w:color="000000" w:sz="4"/>
              <w:bottom w:val="dotted" w:color="000000" w:sz="4"/>
              <w:right w:val="dotted" w:color="000000" w:sz="4"/>
            </w:tcBorders>
            <w:vAlign w:val="top"/>
          </w:tcPr>
          <w:p>
            <w:pPr>
              <w:jc w:val="center"/>
            </w:pPr>
          </w:p>
        </w:tc>
        <w:tc>
          <w:tcPr>
            <w:tcW w:type="dxa" w:w="1183"/>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uble" w:color="000000" w:sz="4"/>
              <w:right w:val="dotted" w:color="000000" w:sz="4"/>
            </w:tcBorders>
            <w:vAlign w:val="top"/>
          </w:tcPr>
          <w:p>
            <w:pPr>
              <w:jc w:val="center"/>
            </w:pPr>
            <w:r>
              <w:rPr>
                <w:sz w:val="21"/>
              </w:rPr>
              <w:t>45或以上</w:t>
            </w:r>
          </w:p>
        </w:tc>
        <w:tc>
          <w:tcPr>
            <w:tcW w:type="dxa" w:w="922"/>
            <w:tcBorders>
              <w:top w:val="dotted" w:color="000000" w:sz="4"/>
              <w:left w:val="dotted" w:color="000000" w:sz="4"/>
              <w:bottom w:val="double" w:color="000000" w:sz="4"/>
              <w:right w:val="dotted" w:color="000000" w:sz="4"/>
            </w:tcBorders>
            <w:vAlign w:val="top"/>
          </w:tcPr>
          <w:p>
            <w:pPr>
              <w:jc w:val="center"/>
            </w:pPr>
          </w:p>
        </w:tc>
        <w:tc>
          <w:tcPr>
            <w:tcW w:type="dxa" w:w="1372"/>
            <w:tcBorders>
              <w:top w:val="dotted" w:color="000000" w:sz="4"/>
              <w:left w:val="dotted" w:color="000000" w:sz="4"/>
              <w:bottom w:val="double" w:color="000000" w:sz="4"/>
              <w:right w:val="dotted" w:color="000000" w:sz="4"/>
            </w:tcBorders>
            <w:vAlign w:val="top"/>
          </w:tcPr>
          <w:p>
            <w:pPr>
              <w:jc w:val="center"/>
            </w:pPr>
          </w:p>
        </w:tc>
        <w:tc>
          <w:tcPr>
            <w:tcW w:type="dxa" w:w="1777"/>
            <w:tcBorders>
              <w:top w:val="dotted" w:color="000000" w:sz="4"/>
              <w:left w:val="dotted" w:color="000000" w:sz="4"/>
              <w:bottom w:val="double" w:color="000000" w:sz="4"/>
              <w:right w:val="dotted" w:color="000000" w:sz="4"/>
            </w:tcBorders>
            <w:vAlign w:val="top"/>
          </w:tcPr>
          <w:p>
            <w:pPr>
              <w:jc w:val="center"/>
            </w:pPr>
          </w:p>
        </w:tc>
        <w:tc>
          <w:tcPr>
            <w:tcW w:type="dxa" w:w="2063"/>
            <w:tcBorders>
              <w:top w:val="dotted" w:color="000000" w:sz="4"/>
              <w:left w:val="dotted" w:color="000000" w:sz="4"/>
              <w:bottom w:val="double" w:color="000000" w:sz="4"/>
              <w:right w:val="dotted" w:color="000000" w:sz="4"/>
            </w:tcBorders>
            <w:vAlign w:val="top"/>
          </w:tcPr>
          <w:p>
            <w:pPr>
              <w:jc w:val="center"/>
            </w:pPr>
          </w:p>
        </w:tc>
        <w:tc>
          <w:tcPr>
            <w:tcW w:type="dxa" w:w="1183"/>
            <w:tcBorders>
              <w:top w:val="dotted" w:color="000000" w:sz="4"/>
              <w:left w:val="dotted" w:color="000000" w:sz="4"/>
              <w:bottom w:val="double" w:color="000000" w:sz="4"/>
              <w:right w:val="double" w:color="000000" w:sz="4"/>
            </w:tcBorders>
            <w:vAlign w:val="top"/>
          </w:tcPr>
          <w:p>
            <w:pPr>
              <w:jc w:val="center"/>
            </w:pPr>
          </w:p>
        </w:tc>
      </w:tr>
    </w:tbl>
    <w:p>
      <w:pPr>
        <w:ind w:firstLine="420"/>
        <w:jc w:val="both"/>
      </w:pPr>
      <w:r>
        <w:rPr>
          <w:sz w:val="21"/>
        </w:rPr>
        <w:t>（</w:t>
      </w:r>
      <w:r>
        <w:rPr>
          <w:sz w:val="21"/>
        </w:rPr>
        <w:t>2）乙方</w:t>
      </w:r>
      <w:r>
        <w:rPr>
          <w:sz w:val="21"/>
        </w:rPr>
        <w:t>必须按照有关规定，对本项目所有工作服务人员缴纳各种社会保险和购买人身意外保险。如服务期内</w:t>
      </w:r>
      <w:r>
        <w:rPr>
          <w:sz w:val="21"/>
        </w:rPr>
        <w:t>乙方</w:t>
      </w:r>
      <w:r>
        <w:rPr>
          <w:sz w:val="21"/>
        </w:rPr>
        <w:t>与员工发生劳动纠纷，由</w:t>
      </w:r>
      <w:r>
        <w:rPr>
          <w:sz w:val="21"/>
        </w:rPr>
        <w:t>乙方</w:t>
      </w:r>
      <w:r>
        <w:rPr>
          <w:sz w:val="21"/>
        </w:rPr>
        <w:t>自行承担全部责任。</w:t>
      </w:r>
      <w:r>
        <w:rPr>
          <w:sz w:val="21"/>
        </w:rPr>
        <w:t>乙方</w:t>
      </w:r>
      <w:r>
        <w:rPr>
          <w:sz w:val="21"/>
        </w:rPr>
        <w:t>的服务人员直接或间接的工作失误导致发生的事故（包括工伤医疗事故），一切责任由</w:t>
      </w:r>
      <w:r>
        <w:rPr>
          <w:sz w:val="21"/>
        </w:rPr>
        <w:t>乙方</w:t>
      </w:r>
      <w:r>
        <w:rPr>
          <w:sz w:val="21"/>
        </w:rPr>
        <w:t>负责（承诺函</w:t>
      </w:r>
      <w:r>
        <w:rPr>
          <w:sz w:val="21"/>
        </w:rPr>
        <w:t>后附，格式自拟</w:t>
      </w:r>
      <w:r>
        <w:rPr>
          <w:sz w:val="21"/>
        </w:rPr>
        <w:t>）。</w:t>
      </w:r>
    </w:p>
    <w:p>
      <w:pPr>
        <w:ind w:firstLine="420"/>
        <w:jc w:val="both"/>
      </w:pPr>
      <w:r>
        <w:rPr>
          <w:sz w:val="21"/>
        </w:rPr>
        <w:t>3、项目管理要求</w:t>
      </w:r>
    </w:p>
    <w:p>
      <w:pPr>
        <w:ind w:firstLine="420"/>
        <w:jc w:val="both"/>
      </w:pPr>
      <w:r>
        <w:rPr>
          <w:sz w:val="21"/>
        </w:rPr>
        <w:t>乙方需根据进度要求制定项目推进计划表（细化至每月），乙方每月最后</w:t>
      </w:r>
      <w:r>
        <w:rPr>
          <w:sz w:val="21"/>
        </w:rPr>
        <w:t>1个工作日需向甲方提交1份项目推进情况报告，内容需包括当月工作开展情况、存在问题分析、下一步工作计划。并由项目联络员负责组织汇报会议，项目负责人负责汇报。甲方和本项目采购包2中标供应商对项目推进情况报告进行审查。乙方需根据审查情况及时进行整改、调整，以保障项目有效实施。</w:t>
      </w:r>
    </w:p>
    <w:p>
      <w:pPr>
        <w:jc w:val="both"/>
      </w:pPr>
      <w:r>
        <w:rPr>
          <w:b/>
          <w:sz w:val="21"/>
        </w:rPr>
        <w:t>八、监督与考核</w:t>
      </w:r>
    </w:p>
    <w:p>
      <w:pPr>
        <w:ind w:firstLine="420"/>
        <w:jc w:val="both"/>
      </w:pPr>
      <w:r>
        <w:rPr>
          <w:sz w:val="21"/>
        </w:rPr>
        <w:t>甲方对乙方各阶段的工作质量进行控制。乙方应根据地下水及土壤环境状况调查评价工作指南等相关规范对项目工作质量进行全过程控制，同时需配合本项目采购包</w:t>
      </w:r>
      <w:r>
        <w:rPr>
          <w:sz w:val="21"/>
        </w:rPr>
        <w:t>2（佛山市典型区域地下水监测井周边污染源调查与精准管控项目（二期）质控服务）的质量控制相关工作，包括但不限于：</w:t>
      </w:r>
    </w:p>
    <w:p>
      <w:pPr>
        <w:ind w:firstLine="420"/>
        <w:jc w:val="left"/>
      </w:pPr>
      <w:r>
        <w:rPr>
          <w:sz w:val="21"/>
        </w:rPr>
        <w:t>（</w:t>
      </w:r>
      <w:r>
        <w:rPr>
          <w:sz w:val="21"/>
        </w:rPr>
        <w:t>1）制订项目质量保证与质量控制实施方案，建立全流程质量控制、质控数据审核、应急处置、问题信息反馈和处理处置等机制，并予以落实。</w:t>
      </w:r>
    </w:p>
    <w:p>
      <w:pPr>
        <w:ind w:firstLine="420"/>
        <w:jc w:val="left"/>
      </w:pPr>
      <w:r>
        <w:rPr>
          <w:sz w:val="21"/>
        </w:rPr>
        <w:t>（</w:t>
      </w:r>
      <w:r>
        <w:rPr>
          <w:sz w:val="21"/>
        </w:rPr>
        <w:t>2）乙方在开展分析工作前，做好样品检测分析方法适用性确认工作，并将确认结果提交采购包2质控服务单位审核。</w:t>
      </w:r>
    </w:p>
    <w:p>
      <w:pPr>
        <w:ind w:firstLine="420"/>
        <w:jc w:val="left"/>
      </w:pPr>
      <w:r>
        <w:rPr>
          <w:sz w:val="21"/>
        </w:rPr>
        <w:t>（</w:t>
      </w:r>
      <w:r>
        <w:rPr>
          <w:sz w:val="21"/>
        </w:rPr>
        <w:t>3）按照本项目采购包2质控服务单位要求配合开展各项质量核查工作，针对存在的问题开展自查自纠工作，及时完成相关问题的整改并编写整改报告。发现严重质量问题时，任务承担单位应立即进行整改，并承担与严重问题关联的法律责任。</w:t>
      </w:r>
    </w:p>
    <w:p>
      <w:pPr>
        <w:ind w:firstLine="420"/>
        <w:jc w:val="left"/>
      </w:pPr>
      <w:r>
        <w:rPr>
          <w:sz w:val="21"/>
        </w:rPr>
        <w:t>（</w:t>
      </w:r>
      <w:r>
        <w:rPr>
          <w:sz w:val="21"/>
        </w:rPr>
        <w:t>4）在任务或合同完成时向甲方提交工作质量自评估报告，确保项目调查信息及检测数据真实、准确和全面。</w:t>
      </w:r>
    </w:p>
    <w:p>
      <w:pPr>
        <w:jc w:val="both"/>
      </w:pPr>
      <w:r>
        <w:rPr>
          <w:b/>
          <w:sz w:val="21"/>
        </w:rPr>
        <w:t>九、服务成果要求</w:t>
      </w:r>
    </w:p>
    <w:p>
      <w:pPr>
        <w:ind w:firstLine="420"/>
        <w:jc w:val="both"/>
      </w:pPr>
      <w:r>
        <w:rPr>
          <w:sz w:val="21"/>
        </w:rPr>
        <w:t>参照本合同</w:t>
      </w:r>
      <w:r>
        <w:rPr>
          <w:sz w:val="21"/>
        </w:rPr>
        <w:t>“二、服务期限”中“3、乙方应提交如下服务成果”和“4、实物工作量”执行。</w:t>
      </w:r>
    </w:p>
    <w:p>
      <w:pPr>
        <w:jc w:val="both"/>
      </w:pPr>
      <w:r>
        <w:rPr>
          <w:b/>
          <w:sz w:val="21"/>
        </w:rPr>
        <w:t>十、服务成果验收</w:t>
      </w:r>
    </w:p>
    <w:p>
      <w:pPr>
        <w:ind w:firstLine="420"/>
        <w:jc w:val="both"/>
      </w:pPr>
      <w:r>
        <w:rPr>
          <w:sz w:val="21"/>
        </w:rPr>
        <w:t>1、本项目按合同的约定、采购文件的要求、投标（响应）文件的承诺（响应）内容，由甲方组织专家进行验收。</w:t>
      </w:r>
    </w:p>
    <w:p>
      <w:pPr>
        <w:ind w:firstLine="420"/>
        <w:jc w:val="both"/>
      </w:pPr>
      <w:r>
        <w:rPr>
          <w:sz w:val="21"/>
        </w:rPr>
        <w:t>2、验收合格后，乙方负责将全部有关技术文件、资料、安装、测试、验收报告等文档汇集成册交付甲方。</w:t>
      </w:r>
    </w:p>
    <w:p>
      <w:pPr>
        <w:ind w:firstLine="420"/>
        <w:jc w:val="both"/>
      </w:pPr>
      <w:r>
        <w:rPr>
          <w:sz w:val="21"/>
        </w:rPr>
        <w:t>3、验收标准包括：</w:t>
      </w:r>
    </w:p>
    <w:p>
      <w:pPr>
        <w:ind w:firstLine="420"/>
        <w:jc w:val="both"/>
      </w:pPr>
      <w:r>
        <w:rPr>
          <w:sz w:val="21"/>
        </w:rPr>
        <w:t>（</w:t>
      </w:r>
      <w:r>
        <w:rPr>
          <w:sz w:val="21"/>
        </w:rPr>
        <w:t>1）符合与本项目内容及成果相关的法规、政策规定及标准要求。</w:t>
      </w:r>
    </w:p>
    <w:p>
      <w:pPr>
        <w:ind w:firstLine="420"/>
        <w:jc w:val="both"/>
      </w:pPr>
      <w:r>
        <w:rPr>
          <w:sz w:val="21"/>
        </w:rPr>
        <w:t>（</w:t>
      </w:r>
      <w:r>
        <w:rPr>
          <w:sz w:val="21"/>
        </w:rPr>
        <w:t>2）合同约定、采购文件的采购需求内容和投标文件响应的内容乙方已全部完成。</w:t>
      </w:r>
    </w:p>
    <w:p>
      <w:pPr>
        <w:ind w:firstLine="420"/>
        <w:jc w:val="both"/>
      </w:pPr>
      <w:r>
        <w:rPr>
          <w:sz w:val="21"/>
        </w:rPr>
        <w:t>（</w:t>
      </w:r>
      <w:r>
        <w:rPr>
          <w:sz w:val="21"/>
        </w:rPr>
        <w:t>3）</w:t>
      </w:r>
      <w:r>
        <w:rPr>
          <w:sz w:val="21"/>
        </w:rPr>
        <w:t>项目</w:t>
      </w:r>
      <w:r>
        <w:rPr>
          <w:sz w:val="21"/>
        </w:rPr>
        <w:t>服务内容和</w:t>
      </w:r>
      <w:r>
        <w:rPr>
          <w:sz w:val="21"/>
        </w:rPr>
        <w:t>成果</w:t>
      </w:r>
      <w:r>
        <w:rPr>
          <w:sz w:val="21"/>
        </w:rPr>
        <w:t>通过甲方组织的</w:t>
      </w:r>
      <w:r>
        <w:rPr>
          <w:sz w:val="21"/>
        </w:rPr>
        <w:t>验收</w:t>
      </w:r>
    </w:p>
    <w:p>
      <w:pPr>
        <w:ind w:firstLine="420"/>
        <w:jc w:val="both"/>
      </w:pPr>
      <w:r>
        <w:rPr>
          <w:sz w:val="21"/>
        </w:rPr>
        <w:t>（</w:t>
      </w:r>
      <w:r>
        <w:rPr>
          <w:sz w:val="21"/>
        </w:rPr>
        <w:t>4）甲方委托本服务项目的工作目标及合同目的能够实现。</w:t>
      </w:r>
    </w:p>
    <w:p>
      <w:pPr>
        <w:ind w:firstLine="420"/>
        <w:jc w:val="both"/>
      </w:pPr>
      <w:r>
        <w:rPr>
          <w:sz w:val="21"/>
        </w:rPr>
        <w:t>（</w:t>
      </w:r>
      <w:r>
        <w:rPr>
          <w:sz w:val="21"/>
        </w:rPr>
        <w:t>5）如因项目政策的不确定性或特殊情况，导致本项目各环节出现变动或者基于本项目衍生其他工作任务、提交的成果有其他要求，乙方供应商须无条件配合完成甲方的工作，乙方必须在规定时间内按项目服务要求完成全部服务任务并确保通过甲方对项目的验收为止。若项目履行期间有关规定或政策发生变更，有最新国家标准、行业标准、地方标准的则按最新规定执行和验收。</w:t>
      </w:r>
    </w:p>
    <w:p>
      <w:pPr>
        <w:jc w:val="both"/>
      </w:pPr>
      <w:r>
        <w:rPr>
          <w:b/>
          <w:sz w:val="21"/>
        </w:rPr>
        <w:t>十一、合同的转让和分包</w:t>
      </w:r>
    </w:p>
    <w:p>
      <w:pPr>
        <w:ind w:firstLine="420"/>
        <w:jc w:val="left"/>
      </w:pPr>
      <w:r>
        <w:rPr>
          <w:sz w:val="21"/>
        </w:rPr>
        <w:t>乙方不得部分转让或全部转让或分包其应履行的合同义务。否则，甲方有权单方面解除合同，并要求乙方承担合同总金额</w:t>
      </w:r>
      <w:r>
        <w:rPr>
          <w:sz w:val="21"/>
        </w:rPr>
        <w:t>20%的违约金。</w:t>
      </w:r>
    </w:p>
    <w:p>
      <w:pPr>
        <w:jc w:val="both"/>
      </w:pPr>
      <w:r>
        <w:rPr>
          <w:b/>
          <w:sz w:val="21"/>
        </w:rPr>
        <w:t>十二、知识产权归属</w:t>
      </w:r>
    </w:p>
    <w:p>
      <w:pPr>
        <w:ind w:firstLine="420"/>
        <w:jc w:val="both"/>
      </w:pPr>
      <w:r>
        <w:rPr>
          <w:sz w:val="21"/>
        </w:rPr>
        <w:t>1、本采购项目成果的知识产权（包括但不限于文件材料、技术、方法等一切可纳入知识产权范畴的权利）属于甲方所有。</w:t>
      </w:r>
    </w:p>
    <w:p>
      <w:pPr>
        <w:ind w:firstLine="420"/>
        <w:jc w:val="both"/>
      </w:pPr>
      <w:r>
        <w:rPr>
          <w:sz w:val="21"/>
        </w:rPr>
        <w:t>2、甲方有权利用本采购项目成果进行新的科学研究，研究成果归甲方所有。</w:t>
      </w:r>
    </w:p>
    <w:p>
      <w:pPr>
        <w:ind w:firstLine="420"/>
        <w:jc w:val="both"/>
      </w:pPr>
      <w:r>
        <w:rPr>
          <w:sz w:val="21"/>
        </w:rPr>
        <w:t>3、经甲方书面许可，乙方可利用本采购项目成果进行新的科学研究，研究成果归双方所有。</w:t>
      </w:r>
    </w:p>
    <w:p>
      <w:pPr>
        <w:jc w:val="both"/>
      </w:pPr>
      <w:r>
        <w:rPr>
          <w:b/>
          <w:sz w:val="21"/>
        </w:rPr>
        <w:t>十三、保密</w:t>
      </w:r>
    </w:p>
    <w:p>
      <w:pPr>
        <w:ind w:firstLine="420"/>
        <w:jc w:val="both"/>
      </w:pPr>
      <w:r>
        <w:rPr>
          <w:sz w:val="21"/>
        </w:rPr>
        <w:t>1、保密义务：未经甲方许可，乙方及乙方参与本项目的人员均不得对外披露、泄露本项目执行过程中甲方提供的信息、因合同履行而知悉的企业信息或环境信息、本项目执行过程中形成的过程信息、数据、以及最终的成果信息。乙方应采取有效措施，保证其参与本项目的人员遵守本约定，并对乙方人员违反本约定所造成的后果承担连带责任。</w:t>
      </w:r>
    </w:p>
    <w:p>
      <w:pPr>
        <w:ind w:firstLine="420"/>
        <w:jc w:val="both"/>
      </w:pPr>
      <w:r>
        <w:rPr>
          <w:sz w:val="21"/>
        </w:rPr>
        <w:t>2、泄密责任：乙方违反本条规定的，甲方有权视乙方合同履行情况及违约情形，要求乙方支付本合同总价5%的违约金；返还甲方已经支付的费用；赔偿甲方损失（包括但不限于：甲方的经济损失；甲方因此支付的赔偿金、补偿金、罚金；甲方因维权、减少或制止损失所支付的律师费、诉讼费、调查取证费等费用）。</w:t>
      </w:r>
    </w:p>
    <w:p>
      <w:pPr>
        <w:ind w:firstLine="420"/>
        <w:jc w:val="both"/>
      </w:pPr>
      <w:r>
        <w:rPr>
          <w:sz w:val="21"/>
        </w:rPr>
        <w:t>3、保密内容：技术信息和经济信息。包括乙方在本项目实施过程中从甲方获取的有关本项目的技术文件、相关资料、技术诀窍、技术秘密、商业秘密，以及已由甲方明确列为保密信息的其他信息。</w:t>
      </w:r>
    </w:p>
    <w:p>
      <w:pPr>
        <w:ind w:firstLine="420"/>
        <w:jc w:val="both"/>
      </w:pPr>
      <w:r>
        <w:rPr>
          <w:sz w:val="21"/>
        </w:rPr>
        <w:t>4、保密责任者范围：乙方及乙方参与本项目的所有人员。</w:t>
      </w:r>
    </w:p>
    <w:p>
      <w:pPr>
        <w:ind w:firstLine="420"/>
        <w:jc w:val="both"/>
      </w:pPr>
      <w:r>
        <w:rPr>
          <w:sz w:val="21"/>
        </w:rPr>
        <w:t>5、保密期限：相关数据及资料的保密不随着合同的终止而结束。未经甲方事前书面同意，不得用于与本项目工作无关的其他项目或事项。</w:t>
      </w:r>
    </w:p>
    <w:p>
      <w:pPr>
        <w:jc w:val="both"/>
      </w:pPr>
      <w:r>
        <w:rPr>
          <w:b/>
          <w:sz w:val="21"/>
        </w:rPr>
        <w:t>十四、违约责任</w:t>
      </w:r>
    </w:p>
    <w:p>
      <w:pPr>
        <w:ind w:firstLine="420"/>
        <w:jc w:val="both"/>
      </w:pPr>
      <w:r>
        <w:rPr>
          <w:sz w:val="21"/>
        </w:rPr>
        <w:t>1、乙方提供的服务内容或成果（无论是阶段性服务成果还是最终服务成果）不符合本合同规定的，甲方有权拒收并要求乙方限期整改。乙方须按次向甲方支付本合同总价5%的违约金，并继续履行合同义务，向甲方交付符合本合同约定的服务成果。如乙方未在甲方要求的时限内整改完毕或整改后提供的服务成果仍不符合本合同约定的，甲方有权单方面解除合同，余款不再支付，已经支付的款项乙方应当在收到解除通知之日起三日内予以退还，且甲方有权要求乙方按本合同总价的20%支付违约金。</w:t>
      </w:r>
    </w:p>
    <w:p>
      <w:pPr>
        <w:ind w:firstLine="420"/>
        <w:jc w:val="both"/>
      </w:pPr>
      <w:r>
        <w:rPr>
          <w:sz w:val="21"/>
        </w:rPr>
        <w:t>2、乙方未能按本合同规定的时间提供服务或服务成果（无论是阶段性服务成果还是最终服务成果）的，从逾期之日起，每日应按本合同总价万分之四的数额向甲方支付违约金；逾期半个月以上的，甲方有权终止合同，余款不再支付，已经支付的相应款项乙方应当在收到解除通</w:t>
      </w:r>
      <w:r>
        <w:rPr>
          <w:sz w:val="21"/>
        </w:rPr>
        <w:t>知之日起三日内予以退还，且甲方有权要求乙方按本合同总价的</w:t>
      </w:r>
      <w:r>
        <w:rPr>
          <w:sz w:val="21"/>
        </w:rPr>
        <w:t>20%支付违约金。</w:t>
      </w:r>
    </w:p>
    <w:p>
      <w:pPr>
        <w:ind w:firstLine="420"/>
        <w:jc w:val="both"/>
      </w:pPr>
      <w:r>
        <w:rPr>
          <w:sz w:val="21"/>
        </w:rPr>
        <w:t>3、</w:t>
      </w:r>
      <w:r>
        <w:rPr>
          <w:sz w:val="21"/>
        </w:rPr>
        <w:t>乙方未能按照约定</w:t>
      </w:r>
      <w:r>
        <w:rPr>
          <w:sz w:val="21"/>
        </w:rPr>
        <w:t>向甲方提交履约保证金</w:t>
      </w:r>
      <w:r>
        <w:rPr>
          <w:sz w:val="21"/>
        </w:rPr>
        <w:t>/银行履约保函的，乙方未按照合同约定提供服务的，从逾期之日起每日按本合同总价万分之四的数额向甲方支付违约金。</w:t>
      </w:r>
    </w:p>
    <w:p>
      <w:pPr>
        <w:ind w:firstLine="420"/>
        <w:jc w:val="both"/>
      </w:pPr>
      <w:r>
        <w:rPr>
          <w:sz w:val="21"/>
        </w:rPr>
        <w:t>4、乙方如中途更换项目负责人，需征得甲方书面同意，未经同意每更换一人，乙方按合同总金额1%向甲方支付违约金。</w:t>
      </w:r>
    </w:p>
    <w:p>
      <w:pPr>
        <w:ind w:firstLine="420"/>
        <w:jc w:val="both"/>
      </w:pPr>
      <w:r>
        <w:rPr>
          <w:sz w:val="21"/>
        </w:rPr>
        <w:t>5、</w:t>
      </w:r>
      <w:r>
        <w:rPr>
          <w:sz w:val="21"/>
        </w:rPr>
        <w:t>甲方无正当理由拒收接受服务成果，甲方应向乙方支付本合同总价</w:t>
      </w:r>
      <w:r>
        <w:rPr>
          <w:sz w:val="21"/>
        </w:rPr>
        <w:t>5%的违约金。甲方逾期付款的，从逾期之日起，每日应按应付而未付款项的万分之四向乙方支付违约金。</w:t>
      </w:r>
    </w:p>
    <w:p>
      <w:pPr>
        <w:ind w:firstLine="420"/>
        <w:jc w:val="both"/>
      </w:pPr>
      <w:r>
        <w:rPr>
          <w:sz w:val="21"/>
        </w:rPr>
        <w:t>6、因甲方原因导致变更、中止或者终止合同的，甲方应当按照乙方实际已完成的工作量结算合同款。</w:t>
      </w:r>
    </w:p>
    <w:p>
      <w:pPr>
        <w:ind w:firstLine="420"/>
        <w:jc w:val="both"/>
      </w:pPr>
      <w:r>
        <w:rPr>
          <w:sz w:val="21"/>
        </w:rPr>
        <w:t>7、乙方未经甲方事前书面同意，不得擅自使用、传播或向第三人</w:t>
      </w:r>
      <w:r>
        <w:rPr>
          <w:sz w:val="21"/>
        </w:rPr>
        <w:t>提供本项目成果（包括阶段性服务成果和最终服务成果），否则乙方因此获得的利益应当全部归甲方所有，并且乙方还应向甲方支付本合同总价的</w:t>
      </w:r>
      <w:r>
        <w:rPr>
          <w:sz w:val="21"/>
        </w:rPr>
        <w:t>20%的违约金、赔偿甲方因此产生的损失（包括但不限于：甲方的经济损失；甲方因此支付的赔偿金、补偿金、罚金；甲方因维权、制止或减少损失所支付的律师费、诉讼费、调查取证费等费用）。</w:t>
      </w:r>
    </w:p>
    <w:p>
      <w:pPr>
        <w:ind w:firstLine="420"/>
        <w:jc w:val="both"/>
      </w:pPr>
      <w:r>
        <w:rPr>
          <w:sz w:val="21"/>
        </w:rPr>
        <w:t>8、</w:t>
      </w:r>
      <w:r>
        <w:rPr>
          <w:sz w:val="21"/>
        </w:rPr>
        <w:t>乙方存在上述</w:t>
      </w:r>
      <w:r>
        <w:rPr>
          <w:sz w:val="21"/>
        </w:rPr>
        <w:t>1、2款规定以外的其它违约行为时，甲方除可要求乙方依法承担违约责任、赔偿甲方因此产生的损失（包括但不限于：甲方的经济损失；甲方因此支付的赔偿金、补偿金、罚金；）之外，还可选择参照本条第1款的规定要求乙方承担违约责任。</w:t>
      </w:r>
    </w:p>
    <w:p>
      <w:pPr>
        <w:ind w:firstLine="480"/>
      </w:pPr>
      <w:r>
        <w:rPr>
          <w:sz w:val="24"/>
        </w:rPr>
        <w:t>9</w:t>
      </w:r>
      <w:r>
        <w:rPr>
          <w:sz w:val="21"/>
        </w:rPr>
        <w:t>、违约方应承担守约方解决纠纷的全部费用，包括但不限于诉讼费、仲裁费、律师费、评估费、财产保全费、差旅费、调查费等。</w:t>
      </w:r>
    </w:p>
    <w:p>
      <w:pPr>
        <w:jc w:val="both"/>
      </w:pPr>
      <w:r>
        <w:rPr>
          <w:b/>
          <w:sz w:val="21"/>
        </w:rPr>
        <w:t>十五</w:t>
      </w:r>
      <w:r>
        <w:rPr>
          <w:b/>
          <w:sz w:val="21"/>
        </w:rPr>
        <w:t>、</w:t>
      </w:r>
      <w:r>
        <w:rPr>
          <w:b/>
          <w:sz w:val="21"/>
        </w:rPr>
        <w:t>争议的解决</w:t>
      </w:r>
    </w:p>
    <w:p>
      <w:pPr>
        <w:ind w:firstLine="420"/>
        <w:jc w:val="both"/>
      </w:pPr>
      <w:r>
        <w:rPr>
          <w:sz w:val="21"/>
        </w:rPr>
        <w:t>合同执行过程中发生的任何争议，如双方不能通过友好协商解决，任何一方均可向甲方所在地人民法院起诉。</w:t>
      </w:r>
    </w:p>
    <w:p>
      <w:pPr>
        <w:jc w:val="both"/>
      </w:pPr>
      <w:r>
        <w:rPr>
          <w:b/>
          <w:sz w:val="21"/>
        </w:rPr>
        <w:t>十六、不可抗力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1日内向对方通报，以减轻可能给对方造成的损失。在取得不可抗力证明或双方达成谅解确认后，可以延期履行合同或变更合同，并根据情况部分或全部免除违约责任。</w:t>
      </w:r>
    </w:p>
    <w:p>
      <w:pPr>
        <w:jc w:val="both"/>
      </w:pPr>
      <w:r>
        <w:rPr>
          <w:b/>
          <w:sz w:val="21"/>
        </w:rPr>
        <w:t>十七、税费</w:t>
      </w:r>
    </w:p>
    <w:p>
      <w:pPr>
        <w:ind w:firstLine="420"/>
        <w:jc w:val="both"/>
      </w:pPr>
      <w:r>
        <w:rPr>
          <w:sz w:val="21"/>
        </w:rPr>
        <w:t>在中国境内外发生的与本合同执行有关的一切税费均由乙方承担。</w:t>
      </w:r>
    </w:p>
    <w:p>
      <w:pPr>
        <w:jc w:val="both"/>
      </w:pPr>
      <w:r>
        <w:rPr>
          <w:b/>
          <w:sz w:val="21"/>
        </w:rPr>
        <w:t>十八、其它</w:t>
      </w:r>
    </w:p>
    <w:p>
      <w:pPr>
        <w:ind w:firstLine="420"/>
        <w:jc w:val="both"/>
      </w:pPr>
      <w:r>
        <w:rPr>
          <w:sz w:val="21"/>
        </w:rPr>
        <w:t>1、本合同附件、本项目采购文件、投标（响应）文件、中标（成交）通知书、供应商的承诺函均为本合同的有效组成部分。</w:t>
      </w:r>
    </w:p>
    <w:p>
      <w:pPr>
        <w:ind w:firstLine="420"/>
        <w:jc w:val="both"/>
      </w:pPr>
      <w:r>
        <w:rPr>
          <w:sz w:val="21"/>
        </w:rPr>
        <w:t>2、在本合同执行过程中，双方签署确认的文件（包括会议纪要、补充协议、往来信函）均为本合同的有效组成部分。</w:t>
      </w:r>
    </w:p>
    <w:p>
      <w:pPr>
        <w:jc w:val="both"/>
      </w:pPr>
      <w:r>
        <w:rPr>
          <w:sz w:val="21"/>
        </w:rPr>
        <w:t>3、当组成本合同的文件内容相互矛盾时，其优先解释顺序如下：</w:t>
      </w:r>
    </w:p>
    <w:p>
      <w:pPr>
        <w:ind w:firstLine="420"/>
        <w:jc w:val="both"/>
      </w:pPr>
      <w:r>
        <w:rPr>
          <w:sz w:val="21"/>
        </w:rPr>
        <w:t>1）履行本合同的相关补充协议（含洽商记录、会议纪要等修正文件）；</w:t>
      </w:r>
    </w:p>
    <w:p>
      <w:pPr>
        <w:ind w:firstLine="420"/>
        <w:jc w:val="both"/>
      </w:pPr>
      <w:r>
        <w:rPr>
          <w:sz w:val="21"/>
        </w:rPr>
        <w:t>2）本合同；</w:t>
      </w:r>
    </w:p>
    <w:p>
      <w:pPr>
        <w:ind w:firstLine="420"/>
        <w:jc w:val="both"/>
      </w:pPr>
      <w:r>
        <w:rPr>
          <w:sz w:val="21"/>
        </w:rPr>
        <w:t>3）本项目的采购文件（包括补充、修改、澄清的文件、答疑纪要等）；</w:t>
      </w:r>
    </w:p>
    <w:p>
      <w:pPr>
        <w:ind w:firstLine="420"/>
        <w:jc w:val="both"/>
      </w:pPr>
      <w:r>
        <w:rPr>
          <w:sz w:val="21"/>
        </w:rPr>
        <w:t>4）投标（响应）文件及其附件（含采购期间的澄清文件和补充资料）；</w:t>
      </w:r>
    </w:p>
    <w:p>
      <w:pPr>
        <w:ind w:firstLine="420"/>
        <w:jc w:val="both"/>
      </w:pPr>
      <w:r>
        <w:rPr>
          <w:sz w:val="21"/>
        </w:rPr>
        <w:t>5）中标（成交）通知书。</w:t>
      </w:r>
    </w:p>
    <w:p>
      <w:pPr>
        <w:ind w:firstLine="420"/>
        <w:jc w:val="left"/>
      </w:pPr>
      <w:r>
        <w:rPr>
          <w:sz w:val="21"/>
        </w:rPr>
        <w:t>上述各项合同文件中属于同一类别的，以最新签署的为准。</w:t>
      </w:r>
    </w:p>
    <w:p>
      <w:pPr>
        <w:ind w:firstLine="420"/>
        <w:jc w:val="both"/>
      </w:pPr>
      <w:r>
        <w:rPr>
          <w:sz w:val="21"/>
        </w:rPr>
        <w:t>4、一方地址、电话、电子邮箱有变更的，应在变更当日书面通知对方，否则应承担相应责任。</w:t>
      </w:r>
    </w:p>
    <w:p>
      <w:pPr>
        <w:ind w:firstLine="420"/>
        <w:jc w:val="both"/>
      </w:pPr>
      <w:r>
        <w:rPr>
          <w:sz w:val="21"/>
        </w:rPr>
        <w:t>5、一方因合同履行相关的事宜需向对方发出函件的，对方的登记地址以及在本合同中约定的联系地址均为有效收件地址。如一方按对方登记地址或约定联系地址寄出函件而未能送达的（包括但不限于拒收、无人签收），视为函件已送达。</w:t>
      </w:r>
    </w:p>
    <w:p>
      <w:pPr>
        <w:jc w:val="both"/>
      </w:pPr>
      <w:r>
        <w:rPr>
          <w:b/>
          <w:sz w:val="21"/>
        </w:rPr>
        <w:t>十九、合同生效</w:t>
      </w:r>
    </w:p>
    <w:p>
      <w:pPr>
        <w:jc w:val="both"/>
      </w:pPr>
      <w:r>
        <w:rPr>
          <w:sz w:val="21"/>
        </w:rPr>
        <w:t>1、本合同在甲乙双方法定代表人或其授权代表签字、单位盖章后生效。</w:t>
      </w:r>
    </w:p>
    <w:p>
      <w:pPr>
        <w:jc w:val="both"/>
      </w:pPr>
      <w:r>
        <w:rPr>
          <w:sz w:val="21"/>
        </w:rPr>
        <w:t>2、合同一式</w:t>
      </w:r>
      <w:r>
        <w:rPr>
          <w:sz w:val="21"/>
          <w:u w:val="single"/>
        </w:rPr>
        <w:t xml:space="preserve">     </w:t>
      </w:r>
      <w:r>
        <w:rPr>
          <w:sz w:val="21"/>
        </w:rPr>
        <w:t>份。甲方执</w:t>
      </w:r>
      <w:r>
        <w:rPr>
          <w:sz w:val="21"/>
          <w:u w:val="single"/>
        </w:rPr>
        <w:t xml:space="preserve">     </w:t>
      </w:r>
      <w:r>
        <w:rPr>
          <w:sz w:val="21"/>
        </w:rPr>
        <w:t xml:space="preserve"> </w:t>
      </w:r>
      <w:r>
        <w:rPr>
          <w:sz w:val="21"/>
        </w:rPr>
        <w:t>份，乙方执</w:t>
      </w:r>
      <w:r>
        <w:rPr>
          <w:sz w:val="21"/>
          <w:u w:val="single"/>
        </w:rPr>
        <w:t xml:space="preserve">     </w:t>
      </w:r>
      <w:r>
        <w:rPr>
          <w:sz w:val="21"/>
        </w:rPr>
        <w:t>份，具同等效力。</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39"/>
        <w:gridCol w:w="4066"/>
      </w:tblGrid>
      <w:tr>
        <w:tc>
          <w:tcPr>
            <w:tcW w:type="dxa" w:w="4239"/>
            <w:tcBorders>
              <w:top w:val="none" w:color="000000" w:sz="4"/>
              <w:left w:val="none" w:color="000000" w:sz="4"/>
              <w:bottom w:val="none" w:color="000000" w:sz="4"/>
              <w:right w:val="dashed" w:color="000000" w:sz="4"/>
            </w:tcBorders>
            <w:vAlign w:val="top"/>
          </w:tcPr>
          <w:p>
            <w:pPr>
              <w:jc w:val="both"/>
            </w:pPr>
            <w:r>
              <w:rPr>
                <w:b/>
                <w:sz w:val="21"/>
              </w:rPr>
              <w:t>甲方（盖章）：</w:t>
            </w:r>
          </w:p>
        </w:tc>
        <w:tc>
          <w:tcPr>
            <w:tcW w:type="dxa" w:w="4066"/>
            <w:tcBorders>
              <w:top w:val="none" w:color="000000" w:sz="4"/>
              <w:left w:val="none" w:color="000000" w:sz="4"/>
              <w:bottom w:val="none" w:color="000000" w:sz="4"/>
              <w:right w:val="none" w:color="000000" w:sz="4"/>
            </w:tcBorders>
            <w:vAlign w:val="top"/>
          </w:tcPr>
          <w:p>
            <w:pPr>
              <w:jc w:val="both"/>
            </w:pPr>
            <w:r>
              <w:rPr>
                <w:b/>
                <w:sz w:val="21"/>
              </w:rPr>
              <w:t>乙方（盖章）：</w:t>
            </w:r>
          </w:p>
        </w:tc>
      </w:tr>
      <w:tr>
        <w:tc>
          <w:tcPr>
            <w:tcW w:type="dxa" w:w="4239"/>
            <w:tcBorders>
              <w:top w:val="none" w:color="000000" w:sz="4"/>
              <w:left w:val="none" w:color="000000" w:sz="4"/>
              <w:bottom w:val="none" w:color="000000" w:sz="4"/>
              <w:right w:val="dashed" w:color="000000" w:sz="4"/>
            </w:tcBorders>
            <w:vAlign w:val="top"/>
          </w:tcPr>
          <w:p>
            <w:pPr>
              <w:jc w:val="both"/>
            </w:pPr>
            <w:r>
              <w:rPr>
                <w:sz w:val="21"/>
              </w:rPr>
              <w:t>广东省佛山生态环境监测站</w:t>
            </w:r>
          </w:p>
          <w:p>
            <w:pPr>
              <w:jc w:val="left"/>
            </w:pPr>
            <w:r>
              <w:rPr>
                <w:sz w:val="21"/>
              </w:rPr>
              <w:t>法人（或授权）代表：</w:t>
            </w:r>
          </w:p>
          <w:p>
            <w:pPr>
              <w:jc w:val="left"/>
            </w:pPr>
            <w:r>
              <w:rPr>
                <w:sz w:val="21"/>
              </w:rPr>
              <w:t>经</w:t>
            </w:r>
            <w:r>
              <w:rPr>
                <w:sz w:val="21"/>
              </w:rPr>
              <w:t xml:space="preserve"> 办 人：  </w:t>
            </w:r>
          </w:p>
        </w:tc>
        <w:tc>
          <w:tcPr>
            <w:tcW w:type="dxa" w:w="4066"/>
            <w:tcBorders>
              <w:top w:val="none" w:color="000000" w:sz="4"/>
              <w:left w:val="none" w:color="000000" w:sz="4"/>
              <w:bottom w:val="none" w:color="000000" w:sz="4"/>
              <w:right w:val="none" w:color="000000" w:sz="4"/>
            </w:tcBorders>
            <w:vAlign w:val="top"/>
          </w:tcPr>
          <w:p>
            <w:pPr>
              <w:jc w:val="left"/>
            </w:pPr>
            <w:r>
              <w:rPr>
                <w:sz w:val="21"/>
              </w:rPr>
              <w:t>（单位名称）</w:t>
            </w:r>
          </w:p>
          <w:p>
            <w:pPr>
              <w:jc w:val="left"/>
            </w:pPr>
            <w:r>
              <w:rPr>
                <w:sz w:val="21"/>
              </w:rPr>
              <w:t>法人（或授权）代表：</w:t>
            </w:r>
          </w:p>
          <w:p>
            <w:pPr>
              <w:jc w:val="both"/>
            </w:pPr>
            <w:r>
              <w:rPr>
                <w:sz w:val="21"/>
              </w:rPr>
              <w:t>经</w:t>
            </w:r>
            <w:r>
              <w:rPr>
                <w:sz w:val="21"/>
              </w:rPr>
              <w:t xml:space="preserve"> 办 人： </w:t>
            </w:r>
          </w:p>
        </w:tc>
      </w:tr>
      <w:tr>
        <w:tc>
          <w:tcPr>
            <w:tcW w:type="dxa" w:w="4239"/>
            <w:tcBorders>
              <w:top w:val="none" w:color="000000" w:sz="4"/>
              <w:left w:val="none" w:color="000000" w:sz="4"/>
              <w:bottom w:val="none" w:color="000000" w:sz="4"/>
              <w:right w:val="dashed" w:color="000000" w:sz="4"/>
            </w:tcBorders>
            <w:vAlign w:val="top"/>
          </w:tcPr>
          <w:p>
            <w:pPr>
              <w:jc w:val="both"/>
            </w:pPr>
            <w:r>
              <w:rPr>
                <w:sz w:val="21"/>
              </w:rPr>
              <w:t>签定地点：佛山市</w:t>
            </w:r>
          </w:p>
        </w:tc>
        <w:tc>
          <w:tcPr>
            <w:tcW w:type="dxa" w:w="4066"/>
            <w:tcBorders>
              <w:top w:val="none" w:color="000000" w:sz="4"/>
              <w:left w:val="none" w:color="000000" w:sz="4"/>
              <w:bottom w:val="none" w:color="000000" w:sz="4"/>
              <w:right w:val="none" w:color="000000" w:sz="4"/>
            </w:tcBorders>
            <w:vAlign w:val="top"/>
          </w:tcPr>
          <w:p>
            <w:pPr>
              <w:jc w:val="both"/>
            </w:pPr>
          </w:p>
        </w:tc>
      </w:tr>
      <w:tr>
        <w:tc>
          <w:tcPr>
            <w:tcW w:type="dxa" w:w="4239"/>
            <w:tcBorders>
              <w:top w:val="none" w:color="000000" w:sz="4"/>
              <w:left w:val="none" w:color="000000" w:sz="4"/>
              <w:bottom w:val="none" w:color="000000" w:sz="4"/>
              <w:right w:val="dashed" w:color="000000" w:sz="4"/>
            </w:tcBorders>
            <w:vAlign w:val="top"/>
          </w:tcPr>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66"/>
            <w:tcBorders>
              <w:top w:val="none" w:color="000000" w:sz="4"/>
              <w:left w:val="none" w:color="000000" w:sz="4"/>
              <w:bottom w:val="none" w:color="000000" w:sz="4"/>
              <w:right w:val="none" w:color="000000" w:sz="4"/>
            </w:tcBorders>
            <w:vAlign w:val="top"/>
          </w:tcPr>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r>
              <w:rPr>
                <w:sz w:val="21"/>
              </w:rPr>
              <w:t>开户名称：</w:t>
            </w: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r>
              <w:rPr>
                <w:sz w:val="21"/>
              </w:rPr>
              <w:t>开</w:t>
            </w:r>
            <w:r>
              <w:rPr>
                <w:sz w:val="21"/>
              </w:rPr>
              <w:t>户</w:t>
            </w:r>
            <w:r>
              <w:rPr>
                <w:sz w:val="21"/>
              </w:rPr>
              <w:t>行：</w:t>
            </w: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r>
              <w:rPr>
                <w:sz w:val="21"/>
              </w:rPr>
              <w:t>银行帐号：</w:t>
            </w: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p>
        </w:tc>
      </w:tr>
    </w:tbl>
    <w:p>
      <w:pPr>
        <w:jc w:val="left"/>
      </w:pPr>
    </w:p>
    <w:p/>
    <w:p>
      <w:r>
        <w:rPr/>
        <w:t xml:space="preserve"> </w:t>
      </w:r>
    </w:p>
    <w:p>
      <w:pPr>
        <w:jc w:val="center"/>
      </w:pPr>
      <w:r>
        <w:rPr>
          <w:b/>
          <w:sz w:val="52"/>
        </w:rPr>
        <w:t>广东省佛山生态环境监测站</w:t>
      </w:r>
    </w:p>
    <w:p>
      <w:pPr>
        <w:jc w:val="center"/>
      </w:pPr>
    </w:p>
    <w:p>
      <w:pPr>
        <w:jc w:val="center"/>
      </w:pPr>
      <w:r>
        <w:rPr>
          <w:b/>
          <w:sz w:val="52"/>
        </w:rPr>
        <w:t>服务采购合同书</w:t>
      </w:r>
    </w:p>
    <w:p>
      <w:pPr>
        <w:jc w:val="both"/>
      </w:pPr>
    </w:p>
    <w:p>
      <w:pPr>
        <w:jc w:val="both"/>
      </w:pPr>
    </w:p>
    <w:p>
      <w:pPr>
        <w:jc w:val="both"/>
      </w:pPr>
    </w:p>
    <w:p>
      <w:pPr>
        <w:jc w:val="both"/>
      </w:pPr>
    </w:p>
    <w:p>
      <w:pPr>
        <w:jc w:val="both"/>
      </w:pPr>
    </w:p>
    <w:p>
      <w:pPr>
        <w:jc w:val="both"/>
      </w:pPr>
    </w:p>
    <w:p>
      <w:pPr>
        <w:ind w:firstLine="281"/>
        <w:jc w:val="left"/>
      </w:pPr>
    </w:p>
    <w:p>
      <w:pPr>
        <w:ind w:firstLine="281"/>
        <w:jc w:val="left"/>
      </w:pPr>
    </w:p>
    <w:p>
      <w:pPr>
        <w:ind w:firstLine="281"/>
        <w:jc w:val="left"/>
      </w:pPr>
      <w:r>
        <w:rPr>
          <w:b/>
          <w:sz w:val="28"/>
        </w:rPr>
        <w:t>项目编号：</w:t>
      </w:r>
      <w:r>
        <w:rPr>
          <w:b/>
          <w:sz w:val="28"/>
        </w:rPr>
        <w:t xml:space="preserve">                                      </w:t>
      </w:r>
    </w:p>
    <w:p>
      <w:pPr>
        <w:ind w:firstLine="281"/>
        <w:jc w:val="left"/>
      </w:pPr>
      <w:r>
        <w:rPr>
          <w:b/>
          <w:sz w:val="28"/>
        </w:rPr>
        <w:t>项目名称：佛山市典型区域地下水监测井周边污染源调查与精准管控项目（二期）</w:t>
      </w:r>
      <w:r>
        <w:rPr>
          <w:b/>
          <w:sz w:val="28"/>
        </w:rPr>
        <w:t xml:space="preserve"> </w:t>
      </w:r>
    </w:p>
    <w:p>
      <w:pPr>
        <w:ind w:firstLine="281"/>
        <w:jc w:val="left"/>
      </w:pPr>
      <w:r>
        <w:rPr>
          <w:b/>
          <w:sz w:val="28"/>
        </w:rPr>
        <w:t>采购包</w:t>
      </w:r>
      <w:r>
        <w:rPr>
          <w:b/>
          <w:sz w:val="28"/>
        </w:rPr>
        <w:t>2：佛山市典型区域地下水监测井周边污染源调查与精准管控项目（二期）质控服务</w:t>
      </w:r>
    </w:p>
    <w:p>
      <w:pPr>
        <w:jc w:val="left"/>
      </w:pPr>
    </w:p>
    <w:p/>
    <w:p>
      <w:r>
        <w:rPr/>
        <w:t xml:space="preserve"> </w:t>
      </w:r>
    </w:p>
    <w:p>
      <w:pPr>
        <w:ind w:firstLine="420"/>
        <w:jc w:val="both"/>
      </w:pPr>
      <w:r>
        <w:rPr>
          <w:sz w:val="21"/>
        </w:rPr>
        <w:t>甲方：</w:t>
      </w:r>
      <w:r>
        <w:rPr>
          <w:sz w:val="21"/>
          <w:u w:val="single"/>
        </w:rPr>
        <w:t>广东省佛山生态环境监测站</w:t>
      </w:r>
      <w:r>
        <w:rPr>
          <w:sz w:val="21"/>
          <w:u w:val="single"/>
        </w:rPr>
        <w:t xml:space="preserve">  </w:t>
      </w:r>
    </w:p>
    <w:p>
      <w:pPr>
        <w:ind w:firstLine="420"/>
        <w:jc w:val="both"/>
      </w:pPr>
      <w:r>
        <w:rPr>
          <w:sz w:val="21"/>
        </w:rPr>
        <w:t>地址：</w:t>
      </w:r>
      <w:r>
        <w:rPr>
          <w:sz w:val="21"/>
          <w:u w:val="single"/>
        </w:rPr>
        <w:t>佛山市禅城区汾江南路</w:t>
      </w:r>
      <w:r>
        <w:rPr>
          <w:sz w:val="21"/>
          <w:u w:val="single"/>
        </w:rPr>
        <w:t xml:space="preserve">28号  </w:t>
      </w:r>
    </w:p>
    <w:p>
      <w:pPr>
        <w:ind w:firstLine="420"/>
        <w:jc w:val="both"/>
      </w:pPr>
      <w:r>
        <w:rPr>
          <w:sz w:val="21"/>
        </w:rPr>
        <w:t>联系人：</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rPr>
        <w:t>乙方</w:t>
      </w:r>
      <w:r>
        <w:rPr>
          <w:sz w:val="21"/>
          <w:u w:val="single"/>
        </w:rPr>
        <w:t>：</w:t>
      </w:r>
      <w:r>
        <w:rPr>
          <w:sz w:val="21"/>
          <w:u w:val="single"/>
        </w:rPr>
        <w:t xml:space="preserve">                        </w:t>
      </w:r>
    </w:p>
    <w:p>
      <w:pPr>
        <w:ind w:firstLine="420"/>
        <w:jc w:val="both"/>
      </w:pPr>
      <w:r>
        <w:rPr>
          <w:sz w:val="21"/>
        </w:rPr>
        <w:t>地址</w:t>
      </w:r>
      <w:r>
        <w:rPr>
          <w:sz w:val="21"/>
          <w:u w:val="single"/>
        </w:rPr>
        <w:t>：</w:t>
      </w:r>
      <w:r>
        <w:rPr>
          <w:sz w:val="21"/>
          <w:u w:val="single"/>
        </w:rPr>
        <w:t xml:space="preserve">                        </w:t>
      </w:r>
    </w:p>
    <w:p>
      <w:pPr>
        <w:ind w:firstLine="420"/>
        <w:jc w:val="both"/>
      </w:pPr>
      <w:r>
        <w:rPr>
          <w:sz w:val="21"/>
        </w:rPr>
        <w:t>联系人</w:t>
      </w:r>
      <w:r>
        <w:rPr>
          <w:sz w:val="21"/>
          <w:u w:val="single"/>
        </w:rPr>
        <w:t>：</w:t>
      </w:r>
      <w:r>
        <w:rPr>
          <w:sz w:val="21"/>
          <w:u w:val="single"/>
        </w:rPr>
        <w:t xml:space="preserve">                      </w:t>
      </w:r>
      <w:r>
        <w:rPr>
          <w:sz w:val="21"/>
        </w:rPr>
        <w:t xml:space="preserve">     </w:t>
      </w:r>
      <w:r>
        <w:rPr>
          <w:sz w:val="21"/>
        </w:rPr>
        <w:t>联系电话</w:t>
      </w:r>
      <w:r>
        <w:rPr>
          <w:sz w:val="21"/>
          <w:u w:val="single"/>
        </w:rPr>
        <w:t>：</w:t>
      </w:r>
      <w:r>
        <w:rPr>
          <w:sz w:val="21"/>
          <w:u w:val="single"/>
        </w:rPr>
        <w:t xml:space="preserve">               </w:t>
      </w:r>
    </w:p>
    <w:p>
      <w:pPr>
        <w:ind w:firstLine="422"/>
        <w:jc w:val="both"/>
      </w:pPr>
    </w:p>
    <w:p>
      <w:pPr>
        <w:ind w:firstLine="422"/>
        <w:jc w:val="both"/>
      </w:pPr>
    </w:p>
    <w:p>
      <w:pPr>
        <w:ind w:firstLine="420"/>
        <w:jc w:val="both"/>
      </w:pPr>
      <w:r>
        <w:rPr>
          <w:sz w:val="21"/>
        </w:rPr>
        <w:t>根据《中华人民共和国民法典》合同编及根据佛山市典型区域地下水监测井周边污染源调查与精准管控项目的采购要求，甲方向乙方采购下列服务，经双方协商一致，签订本合同，共同遵守如下条款：</w:t>
      </w:r>
    </w:p>
    <w:p>
      <w:pPr>
        <w:ind w:firstLine="843"/>
        <w:jc w:val="both"/>
      </w:pPr>
      <w:r>
        <w:rPr>
          <w:b/>
          <w:sz w:val="21"/>
        </w:rPr>
        <w:t>一、</w:t>
      </w:r>
      <w:r>
        <w:rPr>
          <w:b/>
          <w:sz w:val="21"/>
        </w:rPr>
        <w:t>服务内容和范围</w:t>
      </w:r>
    </w:p>
    <w:p>
      <w:pPr>
        <w:ind w:firstLine="444"/>
      </w:pPr>
      <w:r>
        <w:rPr>
          <w:sz w:val="21"/>
        </w:rPr>
        <w:t>接受</w:t>
      </w:r>
      <w:r>
        <w:rPr>
          <w:sz w:val="21"/>
        </w:rPr>
        <w:t>甲方</w:t>
      </w:r>
      <w:r>
        <w:rPr>
          <w:sz w:val="21"/>
        </w:rPr>
        <w:t>的任务安排、技术指导和监督，</w:t>
      </w:r>
      <w:r>
        <w:rPr>
          <w:sz w:val="21"/>
        </w:rPr>
        <w:t>负责</w:t>
      </w:r>
      <w:r>
        <w:rPr>
          <w:sz w:val="21"/>
        </w:rPr>
        <w:t>采购包</w:t>
      </w:r>
      <w:r>
        <w:rPr>
          <w:sz w:val="21"/>
        </w:rPr>
        <w:t>1的质量保证与质量控制实施方案的具体实施，对检测机构分析方法确认工作实施审核，</w:t>
      </w:r>
      <w:r>
        <w:rPr>
          <w:sz w:val="21"/>
        </w:rPr>
        <w:t>开展</w:t>
      </w:r>
      <w:r>
        <w:rPr>
          <w:sz w:val="21"/>
        </w:rPr>
        <w:t>分析测试质控结果的审核及上报，对新建补充调查点位布设和建设、样品采集保存和流转、样品分析测试、数据上报与审核、成果报告编制等各环节工作进行全过程的质量保证与质量控制，确保项目调查及检测的数据真实、准确和全面。</w:t>
      </w:r>
    </w:p>
    <w:p>
      <w:pPr>
        <w:ind w:firstLine="444"/>
      </w:pPr>
      <w:r>
        <w:rPr>
          <w:sz w:val="21"/>
        </w:rPr>
        <w:t>具体承担的工作有：</w:t>
      </w:r>
    </w:p>
    <w:p>
      <w:pPr>
        <w:ind w:firstLine="444"/>
        <w:jc w:val="left"/>
      </w:pPr>
      <w:r>
        <w:rPr>
          <w:sz w:val="21"/>
        </w:rPr>
        <w:t>（</w:t>
      </w:r>
      <w:r>
        <w:rPr>
          <w:sz w:val="21"/>
        </w:rPr>
        <w:t>1）检查规范地下水监测井建设质量，≥</w:t>
      </w:r>
      <w:r>
        <w:rPr>
          <w:sz w:val="21"/>
        </w:rPr>
        <w:t>2</w:t>
      </w:r>
      <w:r>
        <w:rPr>
          <w:sz w:val="21"/>
        </w:rPr>
        <w:t>次，每次检查</w:t>
      </w:r>
      <w:r>
        <w:rPr>
          <w:sz w:val="21"/>
        </w:rPr>
        <w:t>1天，每次邀请≥3名专家，合计开展</w:t>
      </w:r>
      <w:r>
        <w:rPr>
          <w:sz w:val="21"/>
        </w:rPr>
        <w:t>6</w:t>
      </w:r>
      <w:r>
        <w:rPr>
          <w:sz w:val="21"/>
        </w:rPr>
        <w:t>人次检查工作。</w:t>
      </w:r>
      <w:r>
        <w:rPr>
          <w:sz w:val="21"/>
        </w:rPr>
        <w:t>对建井不符合质控标准的情况，根据不符合事项的严重程度，督促</w:t>
      </w:r>
      <w:r>
        <w:rPr>
          <w:sz w:val="21"/>
        </w:rPr>
        <w:t>采购包</w:t>
      </w:r>
      <w:r>
        <w:rPr>
          <w:sz w:val="21"/>
        </w:rPr>
        <w:t>1各相关承担单位采取适当的纠正和预防措施，及时查明原因，及时整改，必要时重新建井。</w:t>
      </w:r>
    </w:p>
    <w:p>
      <w:pPr>
        <w:ind w:firstLine="444"/>
        <w:jc w:val="left"/>
      </w:pPr>
      <w:r>
        <w:rPr>
          <w:sz w:val="21"/>
        </w:rPr>
        <w:t>（</w:t>
      </w:r>
      <w:r>
        <w:rPr>
          <w:sz w:val="21"/>
        </w:rPr>
        <w:t>2）覆盖三个水期，每个水期随机抽查≥1口规范地下水监测井地下水样品采样质量，检查内容包括但不限于布点方案、采样记录、采样点位、样品标识、现场空白、样品保存和流转等情况，每口井现场检查1天，每次邀请≥2名外部专家，合计开展6人次抽查工作。</w:t>
      </w:r>
      <w:r>
        <w:rPr>
          <w:sz w:val="21"/>
        </w:rPr>
        <w:t>对地下水采样不符合质控标准的情况，根据不符合事项的严重程度，督促</w:t>
      </w:r>
      <w:r>
        <w:rPr>
          <w:sz w:val="21"/>
        </w:rPr>
        <w:t>采购包</w:t>
      </w:r>
      <w:r>
        <w:rPr>
          <w:sz w:val="21"/>
        </w:rPr>
        <w:t>1各相关承担单位采取适当的纠正和预防措施，及时查明原因，及时整改，必要时重新开展不符合点位样品的采样检测工作。</w:t>
      </w:r>
    </w:p>
    <w:p>
      <w:pPr>
        <w:ind w:firstLine="444"/>
        <w:jc w:val="left"/>
      </w:pPr>
      <w:r>
        <w:rPr>
          <w:sz w:val="21"/>
        </w:rPr>
        <w:t>（</w:t>
      </w:r>
      <w:r>
        <w:rPr>
          <w:sz w:val="21"/>
        </w:rPr>
        <w:t>3）随机抽查≥1个点位土壤采样质量，检查内容包括但不限于布点方案、采样记录、采样点位、样品标识、现场空白、样品保存和流转等情况，现场检查1天，每次邀请≥2名外部专家，合计开展2人次检查工作。</w:t>
      </w:r>
      <w:r>
        <w:rPr>
          <w:sz w:val="21"/>
        </w:rPr>
        <w:t>对土壤采样不符合质控标准的情况，根据不符合事项的严重程度，督促</w:t>
      </w:r>
      <w:r>
        <w:rPr>
          <w:sz w:val="21"/>
        </w:rPr>
        <w:t>采购包</w:t>
      </w:r>
      <w:r>
        <w:rPr>
          <w:sz w:val="21"/>
        </w:rPr>
        <w:t>1各相关承担单位采取适当的纠正和预防措施，及时查明原因，及时整改，必要时重新开展不符合点位样品的采样检测工作。</w:t>
      </w:r>
    </w:p>
    <w:p>
      <w:pPr>
        <w:ind w:firstLine="444"/>
        <w:jc w:val="left"/>
      </w:pPr>
      <w:r>
        <w:rPr>
          <w:sz w:val="21"/>
        </w:rPr>
        <w:t>（</w:t>
      </w:r>
      <w:r>
        <w:rPr>
          <w:sz w:val="21"/>
        </w:rPr>
        <w:t>4）对承担土壤和地下水样品分析测试任务的机构开展质量监督检查，检查内容包括但不限于分析方法选择与确认、实验室内部质量控制、样品制备、样品流转、样品保存、环境条件、人员配备、操作规范性、室内空白、标准曲线、精密度、准确度、仪器设备、分析测试数据记录与审核、数据报告和是否开展风险分级审核纠偏，预计2次，每次1天，邀请≥3名外部专家，合计开展6人次检查工作。</w:t>
      </w:r>
      <w:r>
        <w:rPr>
          <w:sz w:val="21"/>
        </w:rPr>
        <w:t>对</w:t>
      </w:r>
      <w:r>
        <w:rPr>
          <w:sz w:val="21"/>
        </w:rPr>
        <w:t>质量监督检查</w:t>
      </w:r>
      <w:r>
        <w:rPr>
          <w:sz w:val="21"/>
        </w:rPr>
        <w:t>中出现不符合质控标准的情况，根据不符合事项的严重程度，督促</w:t>
      </w:r>
      <w:r>
        <w:rPr>
          <w:sz w:val="21"/>
        </w:rPr>
        <w:t>采购包</w:t>
      </w:r>
      <w:r>
        <w:rPr>
          <w:sz w:val="21"/>
        </w:rPr>
        <w:t>1各相关承担单位采取适当的纠正和预防措施，及时查明原因，及时整改，必要时采取重新采样、重新测试。</w:t>
      </w:r>
    </w:p>
    <w:p>
      <w:pPr>
        <w:ind w:firstLine="444"/>
        <w:jc w:val="left"/>
      </w:pPr>
      <w:r>
        <w:rPr>
          <w:sz w:val="21"/>
        </w:rPr>
        <w:t>（</w:t>
      </w:r>
      <w:r>
        <w:rPr>
          <w:sz w:val="21"/>
        </w:rPr>
        <w:t>5）作为比对实验室，每个水期抽取4个比对样品，覆盖三个水期，合计开展12个样品的比对检测。</w:t>
      </w:r>
      <w:r>
        <w:rPr>
          <w:sz w:val="21"/>
        </w:rPr>
        <w:t>比对测试合格率要求应达到</w:t>
      </w:r>
      <w:r>
        <w:rPr>
          <w:sz w:val="21"/>
        </w:rPr>
        <w:t>≥</w:t>
      </w:r>
      <w:r>
        <w:rPr>
          <w:sz w:val="21"/>
        </w:rPr>
        <w:t>95%。当合格率</w:t>
      </w:r>
      <w:r>
        <w:rPr>
          <w:sz w:val="21"/>
        </w:rPr>
        <w:t>＜</w:t>
      </w:r>
      <w:r>
        <w:rPr>
          <w:sz w:val="21"/>
        </w:rPr>
        <w:t>95%时，应查明原因，对不合格结果重新分析测试，必要时对该批次样品重新采样或重新分析。</w:t>
      </w:r>
    </w:p>
    <w:p>
      <w:pPr>
        <w:ind w:firstLine="444"/>
        <w:jc w:val="left"/>
      </w:pPr>
      <w:r>
        <w:rPr>
          <w:sz w:val="21"/>
        </w:rPr>
        <w:t>（</w:t>
      </w:r>
      <w:r>
        <w:rPr>
          <w:sz w:val="21"/>
        </w:rPr>
        <w:t>6）作为比对实验室，按土壤样品数量（不含现场平行样）5%比例抽取样品开展比对检测，合计组织开展3个样品比对检测。</w:t>
      </w:r>
      <w:r>
        <w:rPr>
          <w:sz w:val="21"/>
        </w:rPr>
        <w:t>比对测试合格率要求应达到</w:t>
      </w:r>
      <w:r>
        <w:rPr>
          <w:sz w:val="21"/>
        </w:rPr>
        <w:t>≥</w:t>
      </w:r>
      <w:r>
        <w:rPr>
          <w:sz w:val="21"/>
        </w:rPr>
        <w:t>95%。当合格率</w:t>
      </w:r>
      <w:r>
        <w:rPr>
          <w:sz w:val="21"/>
        </w:rPr>
        <w:t>＜</w:t>
      </w:r>
      <w:r>
        <w:rPr>
          <w:sz w:val="21"/>
        </w:rPr>
        <w:t>95%时，应查明原因，对不合格结果重新分析测试，必要时对该批次样品重新采样或重新分析。</w:t>
      </w:r>
    </w:p>
    <w:p>
      <w:pPr>
        <w:ind w:firstLine="444"/>
        <w:jc w:val="left"/>
      </w:pPr>
      <w:r>
        <w:rPr>
          <w:sz w:val="21"/>
        </w:rPr>
        <w:t>（</w:t>
      </w:r>
      <w:r>
        <w:rPr>
          <w:sz w:val="21"/>
        </w:rPr>
        <w:t>7）配置相关有证标准物质，对检测单位进行盲样考核工作。</w:t>
      </w:r>
    </w:p>
    <w:p>
      <w:pPr>
        <w:ind w:firstLine="444"/>
        <w:jc w:val="left"/>
      </w:pPr>
      <w:r>
        <w:rPr>
          <w:sz w:val="21"/>
        </w:rPr>
        <w:t>①</w:t>
      </w:r>
      <w:r>
        <w:rPr>
          <w:sz w:val="21"/>
        </w:rPr>
        <w:t>按每个水期加插</w:t>
      </w:r>
      <w:r>
        <w:rPr>
          <w:sz w:val="21"/>
        </w:rPr>
        <w:t>4次地下水水质监测质控样（针对市场可购买到标准样品的检测项目），覆盖三个水期，总计12个质控样。</w:t>
      </w:r>
      <w:r>
        <w:rPr>
          <w:sz w:val="21"/>
        </w:rPr>
        <w:t>对有证标准物质样品分析测试合格率要求应达到</w:t>
      </w:r>
      <w:r>
        <w:rPr>
          <w:sz w:val="21"/>
        </w:rPr>
        <w:t>100%。当出现不合格结果时，应查明其原因，采取适当的纠正和预防措施，并对该标准物质样品及与之关联的样品重新进行分析测试。</w:t>
      </w:r>
    </w:p>
    <w:p>
      <w:pPr>
        <w:ind w:firstLine="444"/>
        <w:jc w:val="left"/>
      </w:pPr>
      <w:r>
        <w:rPr>
          <w:sz w:val="21"/>
        </w:rPr>
        <w:t>②</w:t>
      </w:r>
      <w:r>
        <w:rPr>
          <w:sz w:val="21"/>
        </w:rPr>
        <w:t>对</w:t>
      </w:r>
      <w:r>
        <w:rPr>
          <w:sz w:val="21"/>
        </w:rPr>
        <w:t>2个地下水水质动态监测井自动监测设备每月进行一次标样核查（针对市场可购买到标准样品的检测项目），预计9次，总计18个质控样。</w:t>
      </w:r>
    </w:p>
    <w:p>
      <w:pPr>
        <w:ind w:firstLine="444"/>
        <w:jc w:val="left"/>
      </w:pPr>
      <w:r>
        <w:rPr>
          <w:sz w:val="21"/>
        </w:rPr>
        <w:t>③</w:t>
      </w:r>
      <w:r>
        <w:rPr>
          <w:sz w:val="21"/>
        </w:rPr>
        <w:t>对</w:t>
      </w:r>
      <w:r>
        <w:rPr>
          <w:sz w:val="21"/>
        </w:rPr>
        <w:t>镍稳定</w:t>
      </w:r>
      <w:r>
        <w:rPr>
          <w:sz w:val="21"/>
        </w:rPr>
        <w:t>同位素、氢氧稳定同位素</w:t>
      </w:r>
      <w:r>
        <w:rPr>
          <w:sz w:val="21"/>
        </w:rPr>
        <w:t>、放射性</w:t>
      </w:r>
      <w:r>
        <w:rPr>
          <w:sz w:val="21"/>
        </w:rPr>
        <w:t>同位素</w:t>
      </w:r>
      <w:r>
        <w:rPr>
          <w:sz w:val="21"/>
        </w:rPr>
        <w:t>氡</w:t>
      </w:r>
      <w:r>
        <w:rPr>
          <w:sz w:val="21"/>
        </w:rPr>
        <w:t>等检测各加插</w:t>
      </w:r>
      <w:r>
        <w:rPr>
          <w:sz w:val="21"/>
        </w:rPr>
        <w:t>3个质控样进行考核。</w:t>
      </w:r>
    </w:p>
    <w:p>
      <w:pPr>
        <w:ind w:firstLine="444"/>
        <w:jc w:val="left"/>
      </w:pPr>
      <w:r>
        <w:rPr>
          <w:sz w:val="21"/>
        </w:rPr>
        <w:t>④</w:t>
      </w:r>
      <w:r>
        <w:rPr>
          <w:sz w:val="21"/>
        </w:rPr>
        <w:t>按每</w:t>
      </w:r>
      <w:r>
        <w:rPr>
          <w:sz w:val="21"/>
        </w:rPr>
        <w:t>19个土壤样品加插一个质控样，重金属、挥发性有机物、半挥发性有机物分类，每类别约3个质控样。</w:t>
      </w:r>
      <w:r>
        <w:rPr>
          <w:sz w:val="21"/>
        </w:rPr>
        <w:t>对有证标准物质样品分析测试合格率要求应达到</w:t>
      </w:r>
      <w:r>
        <w:rPr>
          <w:sz w:val="21"/>
        </w:rPr>
        <w:t>100%。当出现不合格结果时，应查明其原因，采取适当的纠正和预防措施，并对该标准物质样品及与之关联的样品重新进行分析测试。</w:t>
      </w:r>
    </w:p>
    <w:p>
      <w:pPr>
        <w:ind w:firstLine="444"/>
        <w:jc w:val="left"/>
      </w:pPr>
      <w:r>
        <w:rPr>
          <w:sz w:val="21"/>
        </w:rPr>
        <w:t>（</w:t>
      </w:r>
      <w:r>
        <w:rPr>
          <w:sz w:val="21"/>
        </w:rPr>
        <w:t>8）参与检测单位质控数据和报告检查，检查内容包括但不限于分析方法适用性确认、实验室内部质量控制、样品制备、样品流转、样品保存、环境条件、人员配备、操作规范性、室内空白、标准/校准曲线、精密度、准确度、仪器设备、分析测试数据记录与审核、数据报告，填报相关质控表格。</w:t>
      </w:r>
    </w:p>
    <w:p>
      <w:pPr>
        <w:ind w:firstLine="444"/>
        <w:jc w:val="left"/>
      </w:pPr>
      <w:r>
        <w:rPr>
          <w:sz w:val="21"/>
        </w:rPr>
        <w:t>（</w:t>
      </w:r>
      <w:r>
        <w:rPr>
          <w:sz w:val="21"/>
        </w:rPr>
        <w:t>9）完成每项质量核查工作后一周提供该次质控工作报告1份，发现质控问题应及时报告甲方，对发现的问题及时进行溯源排查，编制质量核查报告提供给甲方作为开展相关工作的依据。</w:t>
      </w:r>
    </w:p>
    <w:p>
      <w:pPr>
        <w:ind w:firstLine="444"/>
        <w:jc w:val="left"/>
      </w:pPr>
      <w:r>
        <w:rPr>
          <w:sz w:val="21"/>
        </w:rPr>
        <w:t>（</w:t>
      </w:r>
      <w:r>
        <w:rPr>
          <w:sz w:val="21"/>
        </w:rPr>
        <w:t>10）根据相关质控要求，完成相关报告、总结、计划方案等资料的编写。</w:t>
      </w:r>
    </w:p>
    <w:p>
      <w:pPr>
        <w:ind w:firstLine="444"/>
        <w:jc w:val="left"/>
      </w:pPr>
      <w:r>
        <w:rPr>
          <w:sz w:val="21"/>
        </w:rPr>
        <w:t>（</w:t>
      </w:r>
      <w:r>
        <w:rPr>
          <w:sz w:val="21"/>
        </w:rPr>
        <w:t>11）安排≥1名人员专职负责跟进相关工作（需同时满足如下条件：①环境科学、环境工程、水文与水资源工程、地下水科学与工程、地球化学与勘查、分析化学等其中一个专业本科或以上学历；②具有2年及以上环境或地质工作经历）协助做好全过程质控和管理，组织、协调、联系各方及检查资料及表格准备、质控报告编制、组织会议及编写会议纪要、开展质控数据审核等工作。在工作开展期间，每周第一个工作日将项目进展情况和质控服务单位完成的质控工作报送给甲方，每月报送质控报告给甲方。</w:t>
      </w:r>
    </w:p>
    <w:p>
      <w:pPr>
        <w:ind w:firstLine="444"/>
        <w:jc w:val="left"/>
      </w:pPr>
      <w:r>
        <w:rPr>
          <w:sz w:val="21"/>
        </w:rPr>
        <w:t>（</w:t>
      </w:r>
      <w:r>
        <w:rPr>
          <w:sz w:val="21"/>
        </w:rPr>
        <w:t>12）具体考核及比对的检测项目：</w:t>
      </w:r>
    </w:p>
    <w:p>
      <w:pPr>
        <w:ind w:firstLine="444"/>
        <w:jc w:val="left"/>
      </w:pPr>
      <w:r>
        <w:rPr>
          <w:sz w:val="21"/>
        </w:rPr>
        <w:t>①地下水基本监测指标原则上应包含《地下水质量标准》（GB/T 14848-2017）中的常规指标（微生物指标和放射性指标除外）、八大离子及前期调查确定的特征污染指标，主要包括pH值、总硬度（以CaCO</w:t>
      </w:r>
      <w:r>
        <w:rPr>
          <w:sz w:val="21"/>
          <w:vertAlign w:val="subscript"/>
        </w:rPr>
        <w:t>3</w:t>
      </w:r>
      <w:r>
        <w:rPr>
          <w:sz w:val="21"/>
        </w:rPr>
        <w:t>计）、溶解性总固体、硫酸盐、氯化物、铁、锰、铜、锌、铝、</w:t>
      </w:r>
      <w:r>
        <w:rPr>
          <w:sz w:val="21"/>
        </w:rPr>
        <w:t>挥发性酚类（挥发酚）</w:t>
      </w:r>
      <w:r>
        <w:rPr>
          <w:sz w:val="21"/>
        </w:rPr>
        <w:t>、阴离子表面活性剂、</w:t>
      </w:r>
      <w:r>
        <w:rPr>
          <w:sz w:val="21"/>
        </w:rPr>
        <w:t>高锰酸盐指数</w:t>
      </w:r>
      <w:r>
        <w:rPr>
          <w:sz w:val="21"/>
        </w:rPr>
        <w:t>（</w:t>
      </w:r>
      <w:r>
        <w:rPr>
          <w:sz w:val="21"/>
        </w:rPr>
        <w:t>COD</w:t>
      </w:r>
      <w:r>
        <w:rPr>
          <w:sz w:val="21"/>
          <w:vertAlign w:val="subscript"/>
        </w:rPr>
        <w:t>Mn</w:t>
      </w:r>
      <w:r>
        <w:rPr>
          <w:sz w:val="21"/>
        </w:rPr>
        <w:t>）、氨氮、硫化物、钠、亚硝酸盐、硝酸盐、氰化物、氟化物、碘化物、汞、砷、硒、镉、</w:t>
      </w:r>
      <w:r>
        <w:rPr>
          <w:sz w:val="21"/>
        </w:rPr>
        <w:t>六价铬</w:t>
      </w:r>
      <w:r>
        <w:rPr>
          <w:sz w:val="21"/>
        </w:rPr>
        <w:t>、铅、三氯甲烷、四氯化碳、苯、甲苯、</w:t>
      </w:r>
      <w:r>
        <w:rPr>
          <w:sz w:val="21"/>
        </w:rPr>
        <w:t>Ca</w:t>
      </w:r>
      <w:r>
        <w:rPr>
          <w:sz w:val="21"/>
          <w:vertAlign w:val="superscript"/>
        </w:rPr>
        <w:t>2+</w:t>
      </w:r>
      <w:r>
        <w:rPr>
          <w:sz w:val="21"/>
        </w:rPr>
        <w:t>、</w:t>
      </w:r>
      <w:r>
        <w:rPr>
          <w:sz w:val="21"/>
        </w:rPr>
        <w:t>Mg</w:t>
      </w:r>
      <w:r>
        <w:rPr>
          <w:sz w:val="21"/>
          <w:vertAlign w:val="superscript"/>
        </w:rPr>
        <w:t>2+</w:t>
      </w:r>
      <w:r>
        <w:rPr>
          <w:sz w:val="21"/>
        </w:rPr>
        <w:t>、</w:t>
      </w:r>
      <w:r>
        <w:rPr>
          <w:sz w:val="21"/>
        </w:rPr>
        <w:t>K</w:t>
      </w:r>
      <w:r>
        <w:rPr>
          <w:sz w:val="21"/>
          <w:vertAlign w:val="superscript"/>
        </w:rPr>
        <w:t>+</w:t>
      </w:r>
      <w:r>
        <w:rPr>
          <w:sz w:val="21"/>
        </w:rPr>
        <w:t>、</w:t>
      </w:r>
      <w:r>
        <w:rPr>
          <w:sz w:val="21"/>
        </w:rPr>
        <w:t>碳酸根（</w:t>
      </w:r>
      <w:r>
        <w:rPr>
          <w:sz w:val="21"/>
        </w:rPr>
        <w:t>CO</w:t>
      </w:r>
      <w:r>
        <w:rPr>
          <w:sz w:val="21"/>
          <w:vertAlign w:val="subscript"/>
        </w:rPr>
        <w:t>3</w:t>
      </w:r>
      <w:r>
        <w:rPr>
          <w:sz w:val="21"/>
          <w:vertAlign w:val="superscript"/>
        </w:rPr>
        <w:t>2-</w:t>
      </w:r>
      <w:r>
        <w:rPr>
          <w:sz w:val="21"/>
        </w:rPr>
        <w:t>）、重碳酸根（</w:t>
      </w:r>
      <w:r>
        <w:rPr>
          <w:sz w:val="21"/>
        </w:rPr>
        <w:t>HCO</w:t>
      </w:r>
      <w:r>
        <w:rPr>
          <w:sz w:val="21"/>
          <w:vertAlign w:val="subscript"/>
        </w:rPr>
        <w:t>3</w:t>
      </w:r>
      <w:r>
        <w:rPr>
          <w:sz w:val="21"/>
          <w:vertAlign w:val="superscript"/>
        </w:rPr>
        <w:t>-</w:t>
      </w:r>
      <w:r>
        <w:rPr>
          <w:sz w:val="21"/>
        </w:rPr>
        <w:t>）、</w:t>
      </w:r>
      <w:r>
        <w:rPr>
          <w:sz w:val="21"/>
        </w:rPr>
        <w:t>镍、银、二氯甲烷、氯苯、二甲苯及前期调查确定的特征污染指标等。</w:t>
      </w:r>
    </w:p>
    <w:p>
      <w:pPr>
        <w:ind w:firstLine="444"/>
        <w:jc w:val="left"/>
      </w:pPr>
      <w:r>
        <w:rPr>
          <w:sz w:val="21"/>
        </w:rPr>
        <w:t>②土壤基本监测指标原则上应包含《土壤环境质量建设用地土壤污染风险管控标准（试行）》（GB 36600-2018）的基本45项（砷、镉、</w:t>
      </w:r>
      <w:r>
        <w:rPr>
          <w:sz w:val="21"/>
        </w:rPr>
        <w:t>六价铬</w:t>
      </w:r>
      <w:r>
        <w:rPr>
          <w:sz w:val="21"/>
        </w:rPr>
        <w:t>、铜、铅、汞、镍、四氯化碳、氯仿、氯甲烷、</w:t>
      </w:r>
      <w:r>
        <w:rPr>
          <w:sz w:val="21"/>
        </w:rPr>
        <w:t>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w:t>
      </w:r>
      <w:r>
        <w:rPr>
          <w:sz w:val="21"/>
        </w:rPr>
        <w:t>、</w:t>
      </w:r>
      <w:r>
        <w:rPr>
          <w:sz w:val="21"/>
        </w:rPr>
        <w:t>pH值和前期调查确定的特征污染</w:t>
      </w:r>
      <w:r>
        <w:rPr>
          <w:sz w:val="21"/>
        </w:rPr>
        <w:t>铝等</w:t>
      </w:r>
      <w:r>
        <w:rPr>
          <w:sz w:val="21"/>
        </w:rPr>
        <w:t>指标。</w:t>
      </w:r>
    </w:p>
    <w:p>
      <w:pPr>
        <w:ind w:firstLine="444"/>
        <w:jc w:val="left"/>
      </w:pPr>
      <w:r>
        <w:rPr>
          <w:sz w:val="21"/>
        </w:rPr>
        <w:t>③自动监测指标为：水位、水温、溶解性总固体、pH值、溶解氧、电导率、浊度、氧化还原电位、镍、铜等水质指标。</w:t>
      </w:r>
    </w:p>
    <w:p>
      <w:pPr>
        <w:ind w:firstLine="444"/>
      </w:pPr>
      <w:r>
        <w:rPr>
          <w:sz w:val="21"/>
        </w:rPr>
        <w:t>④同位素溯源监测指标为：</w:t>
      </w:r>
      <w:r>
        <w:rPr>
          <w:sz w:val="21"/>
        </w:rPr>
        <w:t>氢氧稳定同位素、氨氮同位素、溶解无机碳（</w:t>
      </w:r>
      <w:r>
        <w:rPr>
          <w:sz w:val="21"/>
        </w:rPr>
        <w:t>DIC）浓度及碳同位素、溶解有机碳（TOC）浓度及碳同位素、CO</w:t>
      </w:r>
      <w:r>
        <w:rPr>
          <w:sz w:val="21"/>
          <w:vertAlign w:val="subscript"/>
        </w:rPr>
        <w:t>2</w:t>
      </w:r>
      <w:r>
        <w:rPr>
          <w:sz w:val="21"/>
        </w:rPr>
        <w:t>和甲烷含量、甲烷碳同位素、硫酸根硫同位素</w:t>
      </w:r>
      <w:r>
        <w:rPr>
          <w:sz w:val="21"/>
        </w:rPr>
        <w:t>等。</w:t>
      </w:r>
    </w:p>
    <w:p>
      <w:pPr>
        <w:ind w:firstLine="444"/>
      </w:pPr>
    </w:p>
    <w:p>
      <w:pPr>
        <w:jc w:val="both"/>
      </w:pPr>
      <w:r>
        <w:rPr>
          <w:b/>
          <w:sz w:val="21"/>
        </w:rPr>
        <w:t>二、服务期限（项目完成期限）、进度要求、服务成果及服务地点</w:t>
      </w:r>
    </w:p>
    <w:p>
      <w:pPr>
        <w:ind w:firstLine="420"/>
      </w:pPr>
      <w:r>
        <w:rPr>
          <w:sz w:val="21"/>
        </w:rPr>
        <w:t>1、委托服务期限，</w:t>
      </w:r>
      <w:r>
        <w:rPr>
          <w:sz w:val="21"/>
        </w:rPr>
        <w:t>自合同签订之日起，至采购包</w:t>
      </w:r>
      <w:r>
        <w:rPr>
          <w:sz w:val="21"/>
        </w:rPr>
        <w:t>1通过验收止。合同签订日一周内完成交接，如交接迟延，服务到期日顺延。</w:t>
      </w:r>
    </w:p>
    <w:p>
      <w:pPr>
        <w:ind w:firstLine="420"/>
      </w:pPr>
      <w:r>
        <w:rPr>
          <w:sz w:val="21"/>
        </w:rPr>
        <w:t>2、服务进度</w:t>
      </w:r>
    </w:p>
    <w:p>
      <w:pPr>
        <w:ind w:firstLine="420"/>
        <w:jc w:val="both"/>
      </w:pPr>
      <w:r>
        <w:rPr>
          <w:sz w:val="21"/>
        </w:rPr>
        <w:t>按照采购包</w:t>
      </w:r>
      <w:r>
        <w:rPr>
          <w:sz w:val="21"/>
        </w:rPr>
        <w:t>1的项目进度要求，同步开展质控服务工作：</w:t>
      </w:r>
    </w:p>
    <w:p>
      <w:pPr>
        <w:ind w:firstLine="420"/>
        <w:jc w:val="both"/>
      </w:pPr>
      <w:r>
        <w:rPr>
          <w:sz w:val="21"/>
        </w:rPr>
        <w:t>（</w:t>
      </w:r>
      <w:r>
        <w:rPr>
          <w:sz w:val="21"/>
        </w:rPr>
        <w:t>1）合同签订之日起2个月内：完成质控服务工作实施方案的编制并通过专家评审，完成包1</w:t>
      </w:r>
      <w:r>
        <w:rPr>
          <w:sz w:val="21"/>
        </w:rPr>
        <w:t>检测机构分析方法确认工作</w:t>
      </w:r>
      <w:r>
        <w:rPr>
          <w:sz w:val="21"/>
        </w:rPr>
        <w:t>。</w:t>
      </w:r>
    </w:p>
    <w:p>
      <w:pPr>
        <w:ind w:firstLine="420"/>
        <w:jc w:val="both"/>
      </w:pPr>
      <w:r>
        <w:rPr>
          <w:sz w:val="21"/>
        </w:rPr>
        <w:t>（</w:t>
      </w:r>
      <w:r>
        <w:rPr>
          <w:sz w:val="21"/>
        </w:rPr>
        <w:t>2）合同签订之日起8个月内：完成补充调查井的建设质量核查、地下水水质和土壤现场采样、样品分析、同位素溯源监测等工作的质量检查和盲样考核及比对监测工作。</w:t>
      </w:r>
    </w:p>
    <w:p>
      <w:pPr>
        <w:ind w:firstLine="420"/>
        <w:jc w:val="both"/>
      </w:pPr>
      <w:r>
        <w:rPr>
          <w:sz w:val="21"/>
        </w:rPr>
        <w:t>（</w:t>
      </w:r>
      <w:r>
        <w:rPr>
          <w:sz w:val="21"/>
        </w:rPr>
        <w:t>3）2024年12月31日前：项目质控资料整理和数据汇总分析，编制项目质控工作成果报告等</w:t>
      </w:r>
      <w:r>
        <w:rPr>
          <w:sz w:val="21"/>
        </w:rPr>
        <w:t>。</w:t>
      </w:r>
    </w:p>
    <w:p>
      <w:pPr>
        <w:ind w:firstLine="420"/>
      </w:pPr>
      <w:r>
        <w:rPr>
          <w:sz w:val="21"/>
        </w:rPr>
        <w:t>3、</w:t>
      </w:r>
      <w:r>
        <w:rPr>
          <w:sz w:val="21"/>
        </w:rPr>
        <w:t>乙方应提交如下服务成果：</w:t>
      </w:r>
    </w:p>
    <w:p>
      <w:pPr>
        <w:ind w:firstLine="420"/>
        <w:jc w:val="both"/>
      </w:pPr>
      <w:r>
        <w:rPr>
          <w:sz w:val="21"/>
        </w:rPr>
        <w:t>（</w:t>
      </w:r>
      <w:r>
        <w:rPr>
          <w:sz w:val="21"/>
        </w:rPr>
        <w:t>1）完成单次质量核查工作后一周内提供该次质控工作报告1份。</w:t>
      </w:r>
    </w:p>
    <w:p>
      <w:pPr>
        <w:ind w:firstLine="420"/>
        <w:jc w:val="both"/>
      </w:pPr>
      <w:r>
        <w:rPr>
          <w:sz w:val="21"/>
        </w:rPr>
        <w:t>（</w:t>
      </w:r>
      <w:r>
        <w:rPr>
          <w:sz w:val="21"/>
        </w:rPr>
        <w:t>2）每月编制质控报告1 份。</w:t>
      </w:r>
    </w:p>
    <w:p>
      <w:pPr>
        <w:ind w:firstLine="420"/>
        <w:jc w:val="both"/>
      </w:pPr>
      <w:r>
        <w:rPr>
          <w:sz w:val="21"/>
        </w:rPr>
        <w:t>（</w:t>
      </w:r>
      <w:r>
        <w:rPr>
          <w:sz w:val="21"/>
        </w:rPr>
        <w:t>3）加盖CMA的比对检测报告1份。</w:t>
      </w:r>
    </w:p>
    <w:p>
      <w:pPr>
        <w:ind w:firstLine="420"/>
        <w:jc w:val="both"/>
      </w:pPr>
      <w:r>
        <w:rPr>
          <w:sz w:val="21"/>
        </w:rPr>
        <w:t>（</w:t>
      </w:r>
      <w:r>
        <w:rPr>
          <w:sz w:val="21"/>
        </w:rPr>
        <w:t>4）项目技术报告和项目工作总结报告各1份。</w:t>
      </w:r>
    </w:p>
    <w:p>
      <w:pPr>
        <w:ind w:firstLine="420"/>
        <w:jc w:val="both"/>
      </w:pPr>
      <w:r>
        <w:rPr>
          <w:sz w:val="21"/>
        </w:rPr>
        <w:t>以上成果需提供电子文档及纸质文档</w:t>
      </w:r>
      <w:r>
        <w:rPr>
          <w:sz w:val="21"/>
        </w:rPr>
        <w:t>3份。</w:t>
      </w:r>
    </w:p>
    <w:p>
      <w:pPr>
        <w:ind w:firstLine="420"/>
      </w:pPr>
      <w:r>
        <w:rPr>
          <w:sz w:val="21"/>
        </w:rPr>
        <w:t>4.实物工作量</w:t>
      </w:r>
    </w:p>
    <w:p>
      <w:pPr>
        <w:ind w:firstLine="422"/>
        <w:jc w:val="center"/>
      </w:pPr>
      <w:r>
        <w:rPr>
          <w:b/>
          <w:sz w:val="21"/>
        </w:rPr>
        <w:t>表</w:t>
      </w:r>
      <w:r>
        <w:rPr>
          <w:b/>
          <w:sz w:val="21"/>
        </w:rPr>
        <w:t>1</w:t>
      </w:r>
      <w:r>
        <w:rPr>
          <w:b/>
          <w:sz w:val="21"/>
        </w:rPr>
        <w:t xml:space="preserve">  </w:t>
      </w:r>
      <w:r>
        <w:rPr>
          <w:b/>
          <w:sz w:val="21"/>
        </w:rPr>
        <w:t>实物工作量</w:t>
      </w:r>
    </w:p>
    <w:tbl>
      <w:tblPr>
        <w:tblW w:w="0" w:type="auto"/>
        <w:tblBorders>
          <w:top w:val="none" w:color="000000" w:sz="4"/>
          <w:left w:val="none" w:color="000000" w:sz="4"/>
          <w:bottom w:val="none" w:color="000000" w:sz="4"/>
          <w:right w:val="none" w:color="000000" w:sz="4"/>
          <w:insideH w:val="none"/>
          <w:insideV w:val="none"/>
        </w:tblBorders>
      </w:tblPr>
      <w:tblGrid>
        <w:gridCol w:w="772"/>
        <w:gridCol w:w="882"/>
        <w:gridCol w:w="2766"/>
        <w:gridCol w:w="1160"/>
        <w:gridCol w:w="1445"/>
        <w:gridCol w:w="1281"/>
      </w:tblGrid>
      <w:tr>
        <w:tc>
          <w:tcPr>
            <w:tcW w:type="dxa" w:w="77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648"/>
            <w:gridSpan w:val="2"/>
            <w:tcBorders>
              <w:top w:val="single" w:color="000000" w:sz="4"/>
              <w:left w:val="single" w:color="000000" w:sz="4"/>
              <w:bottom w:val="single" w:color="000000" w:sz="4"/>
              <w:right w:val="single" w:color="000000" w:sz="4"/>
            </w:tcBorders>
            <w:vAlign w:val="top"/>
          </w:tcPr>
          <w:p>
            <w:pPr>
              <w:jc w:val="center"/>
            </w:pPr>
            <w:r>
              <w:rPr>
                <w:b/>
                <w:sz w:val="21"/>
              </w:rPr>
              <w:t>工作项目</w:t>
            </w:r>
          </w:p>
        </w:tc>
        <w:tc>
          <w:tcPr>
            <w:tcW w:type="dxa" w:w="1160"/>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445"/>
            <w:tcBorders>
              <w:top w:val="single" w:color="000000" w:sz="4"/>
              <w:left w:val="single" w:color="000000" w:sz="4"/>
              <w:bottom w:val="single" w:color="000000" w:sz="4"/>
              <w:right w:val="single" w:color="000000" w:sz="4"/>
            </w:tcBorders>
            <w:vAlign w:val="top"/>
          </w:tcPr>
          <w:p>
            <w:pPr>
              <w:jc w:val="center"/>
            </w:pPr>
            <w:r>
              <w:rPr>
                <w:b/>
                <w:sz w:val="21"/>
              </w:rPr>
              <w:t>工作量</w:t>
            </w:r>
          </w:p>
        </w:tc>
        <w:tc>
          <w:tcPr>
            <w:tcW w:type="dxa" w:w="1281"/>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648"/>
            <w:gridSpan w:val="2"/>
            <w:tcBorders>
              <w:top w:val="none" w:color="000000" w:sz="4"/>
              <w:left w:val="single" w:color="000000" w:sz="4"/>
              <w:bottom w:val="single" w:color="000000" w:sz="4"/>
              <w:right w:val="single" w:color="000000" w:sz="4"/>
            </w:tcBorders>
            <w:vAlign w:val="top"/>
          </w:tcPr>
          <w:p>
            <w:pPr>
              <w:jc w:val="center"/>
            </w:pPr>
            <w:r>
              <w:rPr>
                <w:sz w:val="21"/>
              </w:rPr>
              <w:t>建井质量核查</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81"/>
            <w:tcBorders>
              <w:top w:val="none" w:color="000000" w:sz="4"/>
              <w:left w:val="single" w:color="000000" w:sz="4"/>
              <w:bottom w:val="single" w:color="000000" w:sz="4"/>
              <w:right w:val="single" w:color="000000" w:sz="4"/>
            </w:tcBorders>
            <w:vAlign w:val="top"/>
          </w:tcPr>
          <w:p>
            <w:pPr>
              <w:jc w:val="center"/>
            </w:pP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648"/>
            <w:gridSpan w:val="2"/>
            <w:tcBorders>
              <w:top w:val="none" w:color="000000" w:sz="4"/>
              <w:left w:val="single" w:color="000000" w:sz="4"/>
              <w:bottom w:val="single" w:color="000000" w:sz="4"/>
              <w:right w:val="single" w:color="000000" w:sz="4"/>
            </w:tcBorders>
            <w:vAlign w:val="top"/>
          </w:tcPr>
          <w:p>
            <w:pPr>
              <w:jc w:val="center"/>
            </w:pPr>
            <w:r>
              <w:rPr>
                <w:sz w:val="21"/>
              </w:rPr>
              <w:t>地下水采样质量核查</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81"/>
            <w:tcBorders>
              <w:top w:val="none" w:color="000000" w:sz="4"/>
              <w:left w:val="single" w:color="000000" w:sz="4"/>
              <w:bottom w:val="single" w:color="000000" w:sz="4"/>
              <w:right w:val="single" w:color="000000" w:sz="4"/>
            </w:tcBorders>
            <w:vAlign w:val="top"/>
          </w:tcPr>
          <w:p>
            <w:pPr>
              <w:jc w:val="center"/>
            </w:pP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648"/>
            <w:gridSpan w:val="2"/>
            <w:tcBorders>
              <w:top w:val="none" w:color="000000" w:sz="4"/>
              <w:left w:val="single" w:color="000000" w:sz="4"/>
              <w:bottom w:val="single" w:color="000000" w:sz="4"/>
              <w:right w:val="single" w:color="000000" w:sz="4"/>
            </w:tcBorders>
            <w:vAlign w:val="top"/>
          </w:tcPr>
          <w:p>
            <w:pPr>
              <w:jc w:val="center"/>
            </w:pPr>
            <w:r>
              <w:rPr>
                <w:sz w:val="21"/>
              </w:rPr>
              <w:t>土壤采样质量核查</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81"/>
            <w:tcBorders>
              <w:top w:val="none" w:color="000000" w:sz="4"/>
              <w:left w:val="single" w:color="000000" w:sz="4"/>
              <w:bottom w:val="single" w:color="000000" w:sz="4"/>
              <w:right w:val="single" w:color="000000" w:sz="4"/>
            </w:tcBorders>
            <w:vAlign w:val="top"/>
          </w:tcPr>
          <w:p>
            <w:pPr>
              <w:jc w:val="center"/>
            </w:pP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648"/>
            <w:gridSpan w:val="2"/>
            <w:tcBorders>
              <w:top w:val="none" w:color="000000" w:sz="4"/>
              <w:left w:val="single" w:color="000000" w:sz="4"/>
              <w:bottom w:val="single" w:color="000000" w:sz="4"/>
              <w:right w:val="single" w:color="000000" w:sz="4"/>
            </w:tcBorders>
            <w:vAlign w:val="top"/>
          </w:tcPr>
          <w:p>
            <w:pPr>
              <w:jc w:val="center"/>
            </w:pPr>
            <w:r>
              <w:rPr>
                <w:sz w:val="21"/>
              </w:rPr>
              <w:t>地下水和土壤室内测试质量核查</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81"/>
            <w:tcBorders>
              <w:top w:val="none" w:color="000000" w:sz="4"/>
              <w:left w:val="single" w:color="000000" w:sz="4"/>
              <w:bottom w:val="single" w:color="000000" w:sz="4"/>
              <w:right w:val="single" w:color="000000" w:sz="4"/>
            </w:tcBorders>
            <w:vAlign w:val="top"/>
          </w:tcPr>
          <w:p>
            <w:pPr>
              <w:jc w:val="center"/>
            </w:pP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48"/>
            <w:gridSpan w:val="2"/>
            <w:tcBorders>
              <w:top w:val="none" w:color="000000" w:sz="4"/>
              <w:left w:val="single" w:color="000000" w:sz="4"/>
              <w:bottom w:val="single" w:color="000000" w:sz="4"/>
              <w:right w:val="single" w:color="000000" w:sz="4"/>
            </w:tcBorders>
            <w:vAlign w:val="top"/>
          </w:tcPr>
          <w:p>
            <w:pPr>
              <w:jc w:val="center"/>
            </w:pPr>
            <w:r>
              <w:rPr>
                <w:sz w:val="21"/>
              </w:rPr>
              <w:t>地下水样品比对监测</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81"/>
            <w:tcBorders>
              <w:top w:val="none" w:color="000000" w:sz="4"/>
              <w:left w:val="single" w:color="000000" w:sz="4"/>
              <w:bottom w:val="single" w:color="000000" w:sz="4"/>
              <w:right w:val="single" w:color="000000" w:sz="4"/>
            </w:tcBorders>
            <w:vAlign w:val="top"/>
          </w:tcPr>
          <w:p>
            <w:pPr>
              <w:jc w:val="center"/>
            </w:pP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648"/>
            <w:gridSpan w:val="2"/>
            <w:tcBorders>
              <w:top w:val="none" w:color="000000" w:sz="4"/>
              <w:left w:val="single" w:color="000000" w:sz="4"/>
              <w:bottom w:val="single" w:color="000000" w:sz="4"/>
              <w:right w:val="single" w:color="000000" w:sz="4"/>
            </w:tcBorders>
            <w:vAlign w:val="top"/>
          </w:tcPr>
          <w:p>
            <w:pPr>
              <w:jc w:val="center"/>
            </w:pPr>
            <w:r>
              <w:rPr>
                <w:sz w:val="21"/>
              </w:rPr>
              <w:t>土壤样品比对监测</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81"/>
            <w:tcBorders>
              <w:top w:val="none" w:color="000000" w:sz="4"/>
              <w:left w:val="single" w:color="000000" w:sz="4"/>
              <w:bottom w:val="single" w:color="000000" w:sz="4"/>
              <w:right w:val="single" w:color="000000" w:sz="4"/>
            </w:tcBorders>
            <w:vAlign w:val="top"/>
          </w:tcPr>
          <w:p>
            <w:pPr>
              <w:jc w:val="center"/>
            </w:pPr>
          </w:p>
        </w:tc>
      </w:tr>
      <w:tr>
        <w:tc>
          <w:tcPr>
            <w:tcW w:type="dxa" w:w="772"/>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82"/>
            <w:vMerge w:val="restart"/>
            <w:tcBorders>
              <w:top w:val="none" w:color="000000" w:sz="4"/>
              <w:left w:val="single" w:color="000000" w:sz="4"/>
              <w:bottom w:val="single" w:color="000000" w:sz="4"/>
              <w:right w:val="single" w:color="000000" w:sz="4"/>
            </w:tcBorders>
            <w:vAlign w:val="top"/>
          </w:tcPr>
          <w:p>
            <w:pPr>
              <w:jc w:val="center"/>
            </w:pPr>
            <w:r>
              <w:rPr>
                <w:sz w:val="21"/>
              </w:rPr>
              <w:t>标样</w:t>
            </w:r>
          </w:p>
          <w:p>
            <w:pPr>
              <w:jc w:val="center"/>
            </w:pPr>
            <w:r>
              <w:rPr>
                <w:sz w:val="21"/>
              </w:rPr>
              <w:t>考核</w:t>
            </w:r>
          </w:p>
        </w:tc>
        <w:tc>
          <w:tcPr>
            <w:tcW w:type="dxa" w:w="2766"/>
            <w:tcBorders>
              <w:top w:val="none" w:color="000000" w:sz="4"/>
              <w:left w:val="single" w:color="000000" w:sz="4"/>
              <w:bottom w:val="single" w:color="000000" w:sz="4"/>
              <w:right w:val="single" w:color="000000" w:sz="4"/>
            </w:tcBorders>
            <w:vAlign w:val="top"/>
          </w:tcPr>
          <w:p>
            <w:pPr>
              <w:jc w:val="center"/>
            </w:pPr>
            <w:r>
              <w:rPr>
                <w:sz w:val="21"/>
              </w:rPr>
              <w:t>地下水手工检测</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81"/>
            <w:tcBorders>
              <w:top w:val="single" w:color="000000" w:sz="4"/>
              <w:left w:val="single" w:color="000000" w:sz="4"/>
              <w:bottom w:val="single" w:color="000000" w:sz="4"/>
              <w:right w:val="single" w:color="000000" w:sz="4"/>
            </w:tcBorders>
            <w:vAlign w:val="top"/>
          </w:tcPr>
          <w:p>
            <w:pPr>
              <w:jc w:val="center"/>
            </w:pPr>
            <w:r>
              <w:rPr>
                <w:sz w:val="21"/>
              </w:rPr>
              <w:t>4次</w:t>
            </w:r>
          </w:p>
        </w:tc>
      </w:tr>
      <w:tr>
        <w:tc>
          <w:tcPr>
            <w:tcW w:type="dxa" w:w="772"/>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2766"/>
            <w:tcBorders>
              <w:top w:val="none" w:color="000000" w:sz="4"/>
              <w:left w:val="single" w:color="000000" w:sz="4"/>
              <w:bottom w:val="single" w:color="000000" w:sz="4"/>
              <w:right w:val="single" w:color="000000" w:sz="4"/>
            </w:tcBorders>
            <w:vAlign w:val="top"/>
          </w:tcPr>
          <w:p>
            <w:pPr>
              <w:jc w:val="center"/>
            </w:pPr>
            <w:r>
              <w:rPr>
                <w:sz w:val="21"/>
              </w:rPr>
              <w:t>地下水自动监测设备</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81"/>
            <w:tcBorders>
              <w:top w:val="none" w:color="000000" w:sz="4"/>
              <w:left w:val="single" w:color="000000" w:sz="4"/>
              <w:bottom w:val="single" w:color="000000" w:sz="4"/>
              <w:right w:val="single" w:color="000000" w:sz="4"/>
            </w:tcBorders>
            <w:vAlign w:val="top"/>
          </w:tcPr>
          <w:p>
            <w:pPr>
              <w:jc w:val="center"/>
            </w:pPr>
            <w:r>
              <w:rPr>
                <w:sz w:val="21"/>
              </w:rPr>
              <w:t>9次</w:t>
            </w:r>
          </w:p>
        </w:tc>
      </w:tr>
      <w:tr>
        <w:tc>
          <w:tcPr>
            <w:tcW w:type="dxa" w:w="772"/>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2766"/>
            <w:tcBorders>
              <w:top w:val="none" w:color="000000" w:sz="4"/>
              <w:left w:val="single" w:color="000000" w:sz="4"/>
              <w:bottom w:val="single" w:color="000000" w:sz="4"/>
              <w:right w:val="single" w:color="000000" w:sz="4"/>
            </w:tcBorders>
            <w:vAlign w:val="top"/>
          </w:tcPr>
          <w:p>
            <w:pPr>
              <w:jc w:val="center"/>
            </w:pPr>
            <w:r>
              <w:rPr>
                <w:sz w:val="21"/>
              </w:rPr>
              <w:t>同位素检测</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81"/>
            <w:tcBorders>
              <w:top w:val="none" w:color="000000" w:sz="4"/>
              <w:left w:val="single" w:color="000000" w:sz="4"/>
              <w:bottom w:val="single" w:color="000000" w:sz="4"/>
              <w:right w:val="single" w:color="000000" w:sz="4"/>
            </w:tcBorders>
            <w:vAlign w:val="top"/>
          </w:tcPr>
          <w:p>
            <w:pPr>
              <w:jc w:val="center"/>
            </w:pPr>
            <w:r>
              <w:rPr>
                <w:sz w:val="21"/>
              </w:rPr>
              <w:t>3类</w:t>
            </w:r>
          </w:p>
        </w:tc>
      </w:tr>
      <w:tr>
        <w:tc>
          <w:tcPr>
            <w:tcW w:type="dxa" w:w="772"/>
            <w:vMerge/>
            <w:tcBorders>
              <w:top w:val="none" w:color="000000" w:sz="4"/>
              <w:left w:val="single" w:color="000000" w:sz="4"/>
              <w:bottom w:val="single" w:color="000000" w:sz="4"/>
              <w:right w:val="single" w:color="000000" w:sz="4"/>
            </w:tcBorders>
          </w:tcPr>
          <w:p/>
        </w:tc>
        <w:tc>
          <w:tcPr>
            <w:tcW w:type="dxa" w:w="882"/>
            <w:vMerge/>
            <w:tcBorders>
              <w:top w:val="none" w:color="000000" w:sz="4"/>
              <w:left w:val="single" w:color="000000" w:sz="4"/>
              <w:bottom w:val="single" w:color="000000" w:sz="4"/>
              <w:right w:val="single" w:color="000000" w:sz="4"/>
            </w:tcBorders>
          </w:tcPr>
          <w:p/>
        </w:tc>
        <w:tc>
          <w:tcPr>
            <w:tcW w:type="dxa" w:w="2766"/>
            <w:tcBorders>
              <w:top w:val="none" w:color="000000" w:sz="4"/>
              <w:left w:val="single" w:color="000000" w:sz="4"/>
              <w:bottom w:val="single" w:color="000000" w:sz="4"/>
              <w:right w:val="single" w:color="000000" w:sz="4"/>
            </w:tcBorders>
            <w:vAlign w:val="top"/>
          </w:tcPr>
          <w:p>
            <w:pPr>
              <w:jc w:val="center"/>
            </w:pPr>
            <w:r>
              <w:rPr>
                <w:sz w:val="21"/>
              </w:rPr>
              <w:t>土壤手工检测</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样品</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81"/>
            <w:tcBorders>
              <w:top w:val="none" w:color="000000" w:sz="4"/>
              <w:left w:val="single" w:color="000000" w:sz="4"/>
              <w:bottom w:val="single" w:color="000000" w:sz="4"/>
              <w:right w:val="single" w:color="000000" w:sz="4"/>
            </w:tcBorders>
            <w:vAlign w:val="top"/>
          </w:tcPr>
          <w:p>
            <w:pPr>
              <w:jc w:val="center"/>
            </w:pPr>
            <w:r>
              <w:rPr>
                <w:sz w:val="21"/>
              </w:rPr>
              <w:t>3类</w:t>
            </w: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648"/>
            <w:gridSpan w:val="2"/>
            <w:tcBorders>
              <w:top w:val="none" w:color="000000" w:sz="4"/>
              <w:left w:val="single" w:color="000000" w:sz="4"/>
              <w:bottom w:val="single" w:color="000000" w:sz="4"/>
              <w:right w:val="single" w:color="000000" w:sz="4"/>
            </w:tcBorders>
            <w:vAlign w:val="top"/>
          </w:tcPr>
          <w:p>
            <w:pPr>
              <w:jc w:val="center"/>
            </w:pPr>
            <w:r>
              <w:rPr>
                <w:sz w:val="21"/>
              </w:rPr>
              <w:t>检测机构质控数据和报告检查</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次</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81"/>
            <w:tcBorders>
              <w:top w:val="none" w:color="000000" w:sz="4"/>
              <w:left w:val="single" w:color="000000" w:sz="4"/>
              <w:bottom w:val="single" w:color="000000" w:sz="4"/>
              <w:right w:val="single" w:color="000000" w:sz="4"/>
            </w:tcBorders>
            <w:vAlign w:val="top"/>
          </w:tcPr>
          <w:p>
            <w:pPr>
              <w:jc w:val="center"/>
            </w:pP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48"/>
            <w:gridSpan w:val="2"/>
            <w:tcBorders>
              <w:top w:val="none" w:color="000000" w:sz="4"/>
              <w:left w:val="single" w:color="000000" w:sz="4"/>
              <w:bottom w:val="single" w:color="000000" w:sz="4"/>
              <w:right w:val="single" w:color="000000" w:sz="4"/>
            </w:tcBorders>
            <w:vAlign w:val="top"/>
          </w:tcPr>
          <w:p>
            <w:pPr>
              <w:jc w:val="center"/>
            </w:pPr>
            <w:r>
              <w:rPr>
                <w:sz w:val="21"/>
              </w:rPr>
              <w:t>质控报告编制，质量核查、样品比对、标样考核等数据统计和资料整理</w:t>
            </w:r>
          </w:p>
        </w:tc>
        <w:tc>
          <w:tcPr>
            <w:tcW w:type="dxa" w:w="1160"/>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1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81"/>
            <w:tcBorders>
              <w:top w:val="none" w:color="000000" w:sz="4"/>
              <w:left w:val="single" w:color="000000" w:sz="4"/>
              <w:bottom w:val="single" w:color="000000" w:sz="4"/>
              <w:right w:val="single" w:color="000000" w:sz="4"/>
            </w:tcBorders>
            <w:vAlign w:val="top"/>
          </w:tcPr>
          <w:p>
            <w:pPr>
              <w:jc w:val="center"/>
            </w:pPr>
          </w:p>
        </w:tc>
      </w:tr>
    </w:tbl>
    <w:p>
      <w:pPr>
        <w:ind w:firstLine="420"/>
      </w:pPr>
      <w:r>
        <w:rPr>
          <w:sz w:val="21"/>
        </w:rPr>
        <w:t>5</w:t>
      </w:r>
      <w:r>
        <w:rPr>
          <w:sz w:val="21"/>
        </w:rPr>
        <w:t>、服务地点：由甲方指定</w:t>
      </w:r>
      <w:r>
        <w:rPr>
          <w:sz w:val="21"/>
        </w:rPr>
        <w:t xml:space="preserve">  </w:t>
      </w:r>
    </w:p>
    <w:p>
      <w:pPr>
        <w:jc w:val="both"/>
      </w:pPr>
      <w:r>
        <w:rPr>
          <w:b/>
          <w:sz w:val="21"/>
        </w:rPr>
        <w:t>三、合同金额</w:t>
      </w:r>
    </w:p>
    <w:p>
      <w:pPr>
        <w:jc w:val="both"/>
      </w:pPr>
      <w:r>
        <w:rPr>
          <w:sz w:val="21"/>
        </w:rPr>
        <w:t xml:space="preserve">    </w:t>
      </w:r>
      <w:r>
        <w:rPr>
          <w:sz w:val="21"/>
        </w:rPr>
        <w:t>本合同金额（服务费用）为（大写）：</w:t>
      </w:r>
      <w:r>
        <w:rPr>
          <w:sz w:val="21"/>
          <w:u w:val="single"/>
        </w:rPr>
        <w:t xml:space="preserve">         </w:t>
      </w:r>
      <w:r>
        <w:rPr>
          <w:sz w:val="21"/>
        </w:rPr>
        <w:t>元（￥</w:t>
      </w:r>
      <w:r>
        <w:rPr>
          <w:sz w:val="21"/>
          <w:u w:val="single"/>
        </w:rPr>
        <w:t xml:space="preserve">        </w:t>
      </w:r>
      <w:r>
        <w:rPr>
          <w:sz w:val="21"/>
        </w:rPr>
        <w:t>元）人民币</w:t>
      </w:r>
      <w:r>
        <w:rPr>
          <w:sz w:val="21"/>
        </w:rPr>
        <w:t>（已含税费）</w:t>
      </w:r>
      <w:r>
        <w:rPr>
          <w:sz w:val="21"/>
        </w:rPr>
        <w:t>。该服务费用已包含乙方为实施本合同约定的服务项目所需支出的所有费用，包括但不限于人工费、材料费、差旅费、检测费、专家咨询费、专家评审费、会议费以及各种税费等，</w:t>
      </w:r>
      <w:r>
        <w:rPr>
          <w:sz w:val="21"/>
        </w:rPr>
        <w:t>除招标文件规定由甲方另行支付外</w:t>
      </w:r>
      <w:r>
        <w:rPr>
          <w:sz w:val="21"/>
        </w:rPr>
        <w:t>，乙方不得要求甲方支付除上述服务费用之外的任何额外的费用。</w:t>
      </w:r>
    </w:p>
    <w:p>
      <w:pPr>
        <w:jc w:val="both"/>
      </w:pPr>
      <w:r>
        <w:rPr>
          <w:b/>
          <w:sz w:val="21"/>
        </w:rPr>
        <w:t>四、付款方式</w:t>
      </w:r>
    </w:p>
    <w:p>
      <w:pPr>
        <w:ind w:firstLine="420"/>
        <w:jc w:val="left"/>
      </w:pPr>
      <w:r>
        <w:rPr>
          <w:sz w:val="21"/>
        </w:rPr>
        <w:t>1、首付款：签订合同后30个工作日内，甲方收到乙方开具的服务发票之日起</w:t>
      </w:r>
      <w:r>
        <w:rPr>
          <w:sz w:val="21"/>
          <w:u w:val="single"/>
        </w:rPr>
        <w:t xml:space="preserve"> </w:t>
      </w:r>
      <w:r>
        <w:rPr>
          <w:sz w:val="21"/>
          <w:u w:val="single"/>
        </w:rPr>
        <w:t>5</w:t>
      </w:r>
      <w:r>
        <w:rPr>
          <w:sz w:val="21"/>
        </w:rPr>
        <w:t>个工作日内，按广东省财政资金管理规定的程序向乙方支付合同总价的</w:t>
      </w:r>
      <w:r>
        <w:rPr>
          <w:sz w:val="21"/>
        </w:rPr>
        <w:t>50%，即人民币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ind w:firstLine="420"/>
        <w:jc w:val="both"/>
      </w:pPr>
      <w:r>
        <w:rPr>
          <w:sz w:val="21"/>
        </w:rPr>
        <w:t>（</w:t>
      </w:r>
      <w:r>
        <w:rPr>
          <w:sz w:val="21"/>
        </w:rPr>
        <w:t>1）项目合同；</w:t>
      </w:r>
    </w:p>
    <w:p>
      <w:pPr>
        <w:ind w:firstLine="420"/>
        <w:jc w:val="both"/>
      </w:pPr>
      <w:r>
        <w:rPr>
          <w:sz w:val="21"/>
        </w:rPr>
        <w:t>（</w:t>
      </w:r>
      <w:r>
        <w:rPr>
          <w:sz w:val="21"/>
        </w:rPr>
        <w:t>2）乙方开具的正式发票；</w:t>
      </w:r>
    </w:p>
    <w:p>
      <w:pPr>
        <w:ind w:firstLine="420"/>
        <w:jc w:val="both"/>
      </w:pPr>
      <w:r>
        <w:rPr>
          <w:sz w:val="21"/>
        </w:rPr>
        <w:t>（</w:t>
      </w:r>
      <w:r>
        <w:rPr>
          <w:sz w:val="21"/>
        </w:rPr>
        <w:t>3）本项目中标通知书。</w:t>
      </w:r>
    </w:p>
    <w:p>
      <w:pPr>
        <w:ind w:firstLine="420"/>
        <w:jc w:val="both"/>
      </w:pPr>
      <w:r>
        <w:rPr>
          <w:sz w:val="21"/>
        </w:rPr>
        <w:t>2、乙方完成采购包1的同步质量检查、标样考核、土壤和水质样品比对工作，经甲方确认，甲方收到乙方开具的服务发票之日起</w:t>
      </w:r>
      <w:r>
        <w:rPr>
          <w:sz w:val="21"/>
          <w:u w:val="single"/>
        </w:rPr>
        <w:t xml:space="preserve"> </w:t>
      </w:r>
      <w:r>
        <w:rPr>
          <w:sz w:val="21"/>
          <w:u w:val="single"/>
        </w:rPr>
        <w:t>5</w:t>
      </w:r>
      <w:r>
        <w:rPr>
          <w:sz w:val="21"/>
        </w:rPr>
        <w:t>个工作日内，按广东省财政资金管理规定的程序向乙方支付合同总价的</w:t>
      </w:r>
      <w:r>
        <w:rPr>
          <w:sz w:val="21"/>
        </w:rPr>
        <w:t>40%，即人民币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ind w:firstLine="420"/>
        <w:jc w:val="both"/>
      </w:pPr>
      <w:r>
        <w:rPr>
          <w:sz w:val="21"/>
        </w:rPr>
        <w:t>（</w:t>
      </w:r>
      <w:r>
        <w:rPr>
          <w:sz w:val="21"/>
        </w:rPr>
        <w:t>1）项目合同；</w:t>
      </w:r>
    </w:p>
    <w:p>
      <w:pPr>
        <w:ind w:firstLine="420"/>
        <w:jc w:val="both"/>
      </w:pPr>
      <w:r>
        <w:rPr>
          <w:sz w:val="21"/>
        </w:rPr>
        <w:t>（</w:t>
      </w:r>
      <w:r>
        <w:rPr>
          <w:sz w:val="21"/>
        </w:rPr>
        <w:t>2）乙方开具的正式发票；</w:t>
      </w:r>
    </w:p>
    <w:p>
      <w:pPr>
        <w:ind w:firstLine="420"/>
        <w:jc w:val="both"/>
      </w:pPr>
      <w:r>
        <w:rPr>
          <w:sz w:val="21"/>
        </w:rPr>
        <w:t>（</w:t>
      </w:r>
      <w:r>
        <w:rPr>
          <w:sz w:val="21"/>
        </w:rPr>
        <w:t>3）本项目中标通知书。</w:t>
      </w:r>
    </w:p>
    <w:p>
      <w:pPr>
        <w:ind w:firstLine="420"/>
        <w:jc w:val="both"/>
      </w:pPr>
      <w:r>
        <w:rPr>
          <w:sz w:val="21"/>
        </w:rPr>
        <w:t>（</w:t>
      </w:r>
      <w:r>
        <w:rPr>
          <w:sz w:val="21"/>
        </w:rPr>
        <w:t>4）入场服务确认书</w:t>
      </w:r>
    </w:p>
    <w:p>
      <w:pPr>
        <w:ind w:firstLine="420"/>
        <w:jc w:val="both"/>
      </w:pPr>
      <w:r>
        <w:rPr>
          <w:sz w:val="21"/>
        </w:rPr>
        <w:t>（</w:t>
      </w:r>
      <w:r>
        <w:rPr>
          <w:sz w:val="21"/>
        </w:rPr>
        <w:t>5）工作完成情况确认书（甲方签字确认）</w:t>
      </w:r>
    </w:p>
    <w:p>
      <w:pPr>
        <w:ind w:firstLine="420"/>
        <w:jc w:val="left"/>
      </w:pPr>
      <w:r>
        <w:rPr>
          <w:sz w:val="21"/>
        </w:rPr>
        <w:t>3、乙方完成项目质控服务全部工作内容，经甲方验收通过，甲方收到乙方开具的服务发票之日起</w:t>
      </w:r>
      <w:r>
        <w:rPr>
          <w:sz w:val="21"/>
          <w:u w:val="single"/>
        </w:rPr>
        <w:t xml:space="preserve"> </w:t>
      </w:r>
      <w:r>
        <w:rPr>
          <w:sz w:val="21"/>
          <w:u w:val="single"/>
        </w:rPr>
        <w:t>5</w:t>
      </w:r>
      <w:r>
        <w:rPr>
          <w:sz w:val="21"/>
        </w:rPr>
        <w:t>个工作日内，按广东省财政资金管理规定的程序向乙方支付合同总金额的</w:t>
      </w:r>
      <w:r>
        <w:rPr>
          <w:sz w:val="21"/>
        </w:rPr>
        <w:t>10%，即人民币</w:t>
      </w:r>
      <w:r>
        <w:rPr>
          <w:sz w:val="21"/>
          <w:u w:val="single"/>
        </w:rPr>
        <w:t xml:space="preserve">        </w:t>
      </w:r>
      <w:r>
        <w:rPr>
          <w:sz w:val="21"/>
        </w:rPr>
        <w:t>元整（￥</w:t>
      </w:r>
      <w:r>
        <w:rPr>
          <w:sz w:val="21"/>
          <w:u w:val="single"/>
        </w:rPr>
        <w:t xml:space="preserve">          </w:t>
      </w:r>
      <w:r>
        <w:rPr>
          <w:sz w:val="21"/>
        </w:rPr>
        <w:t>元）。乙方凭以下有效的文件向甲方提出支付申请：</w:t>
      </w:r>
    </w:p>
    <w:p>
      <w:pPr>
        <w:ind w:firstLine="420"/>
        <w:jc w:val="both"/>
      </w:pPr>
      <w:r>
        <w:rPr>
          <w:sz w:val="21"/>
        </w:rPr>
        <w:t>（</w:t>
      </w:r>
      <w:r>
        <w:rPr>
          <w:sz w:val="21"/>
        </w:rPr>
        <w:t>1）项目合同；</w:t>
      </w:r>
    </w:p>
    <w:p>
      <w:pPr>
        <w:ind w:firstLine="420"/>
        <w:jc w:val="both"/>
      </w:pPr>
      <w:r>
        <w:rPr>
          <w:sz w:val="21"/>
        </w:rPr>
        <w:t>（</w:t>
      </w:r>
      <w:r>
        <w:rPr>
          <w:sz w:val="21"/>
        </w:rPr>
        <w:t>2）乙方开具的正式发票；</w:t>
      </w:r>
    </w:p>
    <w:p>
      <w:pPr>
        <w:ind w:firstLine="420"/>
        <w:jc w:val="both"/>
      </w:pPr>
      <w:r>
        <w:rPr>
          <w:sz w:val="21"/>
        </w:rPr>
        <w:t>（</w:t>
      </w:r>
      <w:r>
        <w:rPr>
          <w:sz w:val="21"/>
        </w:rPr>
        <w:t>3）本项目中标通知书；</w:t>
      </w:r>
    </w:p>
    <w:p>
      <w:pPr>
        <w:ind w:firstLine="420"/>
        <w:jc w:val="both"/>
      </w:pPr>
      <w:r>
        <w:rPr>
          <w:sz w:val="21"/>
        </w:rPr>
        <w:t>（</w:t>
      </w:r>
      <w:r>
        <w:rPr>
          <w:sz w:val="21"/>
        </w:rPr>
        <w:t>4）项目验收意见。</w:t>
      </w:r>
    </w:p>
    <w:p>
      <w:pPr>
        <w:ind w:firstLine="420"/>
        <w:jc w:val="left"/>
      </w:pPr>
      <w:r>
        <w:rPr>
          <w:sz w:val="21"/>
        </w:rPr>
        <w:t>4、甲方有权直接从合同款内扣除违约金、赔偿金、考核不合格应扣减的服务费等。</w:t>
      </w:r>
    </w:p>
    <w:p>
      <w:pPr>
        <w:ind w:firstLine="420"/>
        <w:jc w:val="left"/>
      </w:pPr>
      <w:r>
        <w:rPr>
          <w:sz w:val="21"/>
        </w:rPr>
        <w:t>5、</w:t>
      </w:r>
      <w:r>
        <w:rPr>
          <w:sz w:val="21"/>
        </w:rPr>
        <w:t>乙方有义务向甲方提供申请财政付款所需文件材料。除了证明当期约定项目服务内容已完成的材料之外，乙方还必须向甲方提供税务局制定的相应的款项发票作为请款凭据。如财政部门对申请材料有其他要求的，乙方也应配合及时提供。如乙方未按本合同约定及时提供请款所需材料和发票的，甲方有权延缓申请支付，直至收到乙方提供的材料和发票时止，而不视为甲方违约。</w:t>
      </w:r>
    </w:p>
    <w:p>
      <w:pPr>
        <w:ind w:firstLine="420"/>
        <w:jc w:val="left"/>
      </w:pPr>
      <w:r>
        <w:rPr>
          <w:sz w:val="21"/>
        </w:rPr>
        <w:t>6、关于付款的特别约定：</w:t>
      </w:r>
    </w:p>
    <w:p>
      <w:pPr>
        <w:ind w:firstLine="420"/>
        <w:jc w:val="left"/>
      </w:pPr>
      <w:r>
        <w:rPr>
          <w:sz w:val="21"/>
        </w:rPr>
        <w:t>由于甲方使用的是财政性资金，甲方向财政部门申请支付即视为履行了付款义务，乙方不得因财政部门审核需要时间、拨款迟延等原因要求甲方承担迟延付款的责任，更不得因此怠于履行合同义务。</w:t>
      </w:r>
    </w:p>
    <w:p>
      <w:pPr>
        <w:jc w:val="both"/>
      </w:pPr>
      <w:r>
        <w:rPr>
          <w:b/>
          <w:sz w:val="21"/>
        </w:rPr>
        <w:t>五、甲乙双方的权利和义务</w:t>
      </w:r>
    </w:p>
    <w:p>
      <w:pPr>
        <w:ind w:firstLine="420"/>
        <w:jc w:val="both"/>
      </w:pPr>
      <w:r>
        <w:rPr>
          <w:sz w:val="21"/>
        </w:rPr>
        <w:t>1、甲方的权利和义务</w:t>
      </w:r>
    </w:p>
    <w:p>
      <w:pPr>
        <w:ind w:firstLine="420"/>
        <w:jc w:val="both"/>
      </w:pPr>
      <w:r>
        <w:rPr>
          <w:sz w:val="21"/>
        </w:rPr>
        <w:t>1）甲方有权要求乙方按照甲方规定的工作范围、工作内容、进度、时限、程序、技术规范和技术标准，保质保量完成《采购需求》中的各项任务。</w:t>
      </w:r>
    </w:p>
    <w:p>
      <w:pPr>
        <w:ind w:firstLine="420"/>
        <w:jc w:val="both"/>
      </w:pPr>
      <w:r>
        <w:rPr>
          <w:sz w:val="21"/>
        </w:rPr>
        <w:t>2）甲方有权监督本合同的履行进度，就乙方提交的工作成果（包括阶段性服务成果和最终服务成果等）提出修改意见和建议，或就项目相关问题要求乙方按甲方指定的形式（包括会议面谈、书面函件、邮件或电话等形式）作出解释、说明及答复。</w:t>
      </w:r>
    </w:p>
    <w:p>
      <w:pPr>
        <w:ind w:firstLine="420"/>
        <w:jc w:val="both"/>
      </w:pPr>
      <w:r>
        <w:rPr>
          <w:sz w:val="21"/>
        </w:rPr>
        <w:t>3）甲方有权要求乙方以会议面谈、书面函件、电话等甲方指定的方式如实陈述及说明项目工作的进展情况，并有权要求乙方提供相应的说明函件及其阶段性的工作进展材料。</w:t>
      </w:r>
    </w:p>
    <w:p>
      <w:pPr>
        <w:ind w:firstLine="420"/>
        <w:jc w:val="both"/>
      </w:pPr>
      <w:r>
        <w:rPr>
          <w:sz w:val="21"/>
        </w:rPr>
        <w:t>4）乙方因履行合同，要求甲方提供必要的背景材料和协助时，甲方应当提供及给予合理协助。</w:t>
      </w:r>
    </w:p>
    <w:p>
      <w:pPr>
        <w:ind w:firstLine="420"/>
        <w:jc w:val="both"/>
      </w:pPr>
      <w:r>
        <w:rPr>
          <w:sz w:val="21"/>
        </w:rPr>
        <w:t>5)甲方应当按照合同约定向财政部门提出付款申请，款项批准后及时向乙方支付。</w:t>
      </w:r>
    </w:p>
    <w:p>
      <w:pPr>
        <w:ind w:firstLine="420"/>
        <w:jc w:val="both"/>
      </w:pPr>
      <w:r>
        <w:rPr>
          <w:sz w:val="21"/>
        </w:rPr>
        <w:t>6）如因法律或政策发生变化，导致本合同的履行成为不必要时，甲方有权终止合同。但甲方应当根据乙方已经完成的工作量支付服务费。</w:t>
      </w:r>
    </w:p>
    <w:p>
      <w:pPr>
        <w:ind w:firstLine="420"/>
        <w:jc w:val="both"/>
      </w:pPr>
      <w:r>
        <w:rPr>
          <w:sz w:val="21"/>
        </w:rPr>
        <w:t>2、乙方的权利和义务</w:t>
      </w:r>
    </w:p>
    <w:p>
      <w:pPr>
        <w:ind w:firstLine="420"/>
        <w:jc w:val="both"/>
      </w:pPr>
      <w:r>
        <w:rPr>
          <w:sz w:val="21"/>
        </w:rPr>
        <w:t>1）乙方应当按照本合同的约定提供优质服务，保证其提交的服务成果符合采购文件的要求，以及投标（或响应）文件的承诺，并且符合行业技术规范和技术标准的要求。</w:t>
      </w:r>
    </w:p>
    <w:p>
      <w:pPr>
        <w:ind w:firstLine="420"/>
        <w:jc w:val="both"/>
      </w:pPr>
      <w:r>
        <w:rPr>
          <w:sz w:val="21"/>
        </w:rPr>
        <w:t>2）乙方在履行合同的过程中，需要甲方提供协助的，应当及时提出。</w:t>
      </w:r>
    </w:p>
    <w:p>
      <w:pPr>
        <w:ind w:firstLine="420"/>
        <w:jc w:val="both"/>
      </w:pPr>
      <w:r>
        <w:rPr>
          <w:sz w:val="21"/>
        </w:rPr>
        <w:t>3）乙方应当就委托事项进行全面、细致的调查和分析，提出先进、科学、可行的对策和建议。</w:t>
      </w:r>
    </w:p>
    <w:p>
      <w:pPr>
        <w:ind w:firstLine="420"/>
        <w:jc w:val="both"/>
      </w:pPr>
      <w:r>
        <w:rPr>
          <w:sz w:val="21"/>
        </w:rPr>
        <w:t>4）乙方应根据甲方的意见和建议修正或完善服务内容，就甲方提出的疑问及时作出解释、说明和答复。</w:t>
      </w:r>
    </w:p>
    <w:p>
      <w:pPr>
        <w:ind w:firstLine="420"/>
        <w:jc w:val="both"/>
      </w:pPr>
      <w:r>
        <w:rPr>
          <w:sz w:val="21"/>
        </w:rPr>
        <w:t>5）乙方应当按照甲方要求如实陈述项目工作的进展情况，并应提供相应的说明材料。</w:t>
      </w:r>
    </w:p>
    <w:p>
      <w:pPr>
        <w:ind w:firstLine="420"/>
        <w:jc w:val="both"/>
      </w:pPr>
      <w:r>
        <w:rPr>
          <w:sz w:val="21"/>
        </w:rPr>
        <w:t>6）乙方应按照合同约定承担保密义务。</w:t>
      </w:r>
    </w:p>
    <w:p>
      <w:pPr>
        <w:ind w:firstLine="420"/>
        <w:jc w:val="both"/>
      </w:pPr>
      <w:r>
        <w:rPr>
          <w:sz w:val="21"/>
        </w:rPr>
        <w:t>7）乙方保证其履行本合同约定义务的行为及其所提交的技术服务成果不会侵害甲方或任何第三方的知识产权和其他权益，否则乙方应当承担全部法律责任，并赔偿甲方因此产生的全部损失（包括但不限于：甲方的经济损失；甲方因此支付的赔偿金、补偿金、罚金；甲方因维权、制止或减少损失所支付的律师费、诉讼费、调查取证费等费用）。</w:t>
      </w:r>
    </w:p>
    <w:p>
      <w:pPr>
        <w:ind w:firstLine="420"/>
        <w:jc w:val="both"/>
      </w:pPr>
      <w:r>
        <w:rPr>
          <w:sz w:val="21"/>
        </w:rPr>
        <w:t>8）在本合同履行期间及终止之后，乙方均有义务按甲方的要求，就本项目服务成果向甲方以及其他机关（包括政府及政府部门、审计机关、监察机关）作出解释、说明及答复。</w:t>
      </w:r>
    </w:p>
    <w:p>
      <w:pPr>
        <w:ind w:firstLine="420"/>
        <w:jc w:val="both"/>
      </w:pPr>
      <w:r>
        <w:rPr>
          <w:sz w:val="21"/>
        </w:rPr>
        <w:t>9）乙方有权按照本合同约定获取服务报酬。</w:t>
      </w:r>
    </w:p>
    <w:p>
      <w:pPr>
        <w:ind w:firstLine="420"/>
        <w:jc w:val="both"/>
      </w:pPr>
      <w:r>
        <w:rPr>
          <w:sz w:val="21"/>
        </w:rPr>
        <w:t>10）乙方指定</w:t>
      </w:r>
      <w:r>
        <w:rPr>
          <w:sz w:val="21"/>
          <w:u w:val="single"/>
        </w:rPr>
        <w:t xml:space="preserve">          </w:t>
      </w:r>
      <w:r>
        <w:rPr>
          <w:sz w:val="21"/>
        </w:rPr>
        <w:t>为乙方项目联系人（负责人）。项目联系人（负责人）应满足采购文件及本合同规定的资质要求，并能胜任项目联系人（负责人）的工作。其负责内容包括：跟进项目进度，协调解决合同履行过程中出现的问题，及时进行联络和沟通，确保各项服务内容及成果按时按质按量提交；及时向甲方汇报项目进展情况，就甲方提出的疑问作出解释、说明和答复；传递、移交、签收文件材料。乙方变更项目联系人的，应当征得甲方同意。甲方认为乙方指定的项目联系人（负责人）不能胜任工作的，可以要求乙方更换。</w:t>
      </w:r>
    </w:p>
    <w:p>
      <w:pPr>
        <w:ind w:firstLine="420"/>
        <w:jc w:val="both"/>
      </w:pPr>
      <w:r>
        <w:rPr>
          <w:sz w:val="21"/>
        </w:rPr>
        <w:t>11）乙方应当在本项目经甲方验收后一年内提供技术咨询服务，解答甲方在使用乙方提交的项目成果时遇到的技术问题，并提供必要的辅导。</w:t>
      </w:r>
    </w:p>
    <w:p>
      <w:pPr>
        <w:jc w:val="both"/>
      </w:pPr>
      <w:r>
        <w:rPr>
          <w:b/>
          <w:sz w:val="21"/>
        </w:rPr>
        <w:t>六、人员管理</w:t>
      </w:r>
    </w:p>
    <w:p>
      <w:pPr>
        <w:jc w:val="both"/>
      </w:pPr>
      <w:r>
        <w:rPr>
          <w:sz w:val="21"/>
        </w:rPr>
        <w:t>1.乙方须按其投标文件中承诺提供的项目组人员必须按要求投入到本项目中，在合同期内不得擅自更换。乙方如因工作安排或其他原因，需要更换项目组主要负责人员时，应事前向甲方书面提出书面申请，未经甲方同意，不得更换人员。</w:t>
      </w:r>
    </w:p>
    <w:p>
      <w:pPr>
        <w:jc w:val="both"/>
      </w:pPr>
      <w:r>
        <w:rPr>
          <w:sz w:val="21"/>
        </w:rPr>
        <w:t>2.如乙方未经甲方书面同意擅自更换项目组主要负责人员，除须按甲方的要求对人员作出调整外，还须交纳伍万元违约金。累计达2次后，甲方有权终止合同，由此引致的经济损失，乙方须全额赔偿，甲方保留追究乙方相关责任的权利。</w:t>
      </w:r>
    </w:p>
    <w:p>
      <w:pPr>
        <w:jc w:val="both"/>
      </w:pPr>
      <w:r>
        <w:rPr>
          <w:sz w:val="21"/>
        </w:rPr>
        <w:t>3.甲方有权以书面形式要求乙方更换不能按规定履行合同的人员。</w:t>
      </w:r>
    </w:p>
    <w:p>
      <w:pPr>
        <w:jc w:val="both"/>
      </w:pPr>
      <w:r>
        <w:rPr>
          <w:sz w:val="21"/>
        </w:rPr>
        <w:t>4.即使是甲方要求或同意更换的人员，其代替人员的资质仍应得到甲方的认可，且其资历和经验均不低于被更换人员。由此而产生的费用由乙方承担。</w:t>
      </w:r>
    </w:p>
    <w:p>
      <w:pPr>
        <w:jc w:val="both"/>
      </w:pPr>
      <w:r>
        <w:rPr>
          <w:sz w:val="21"/>
        </w:rPr>
        <w:t>5.乙方对其雇员的人身安全负全部责任。</w:t>
      </w:r>
    </w:p>
    <w:p>
      <w:pPr>
        <w:jc w:val="both"/>
      </w:pPr>
      <w:r>
        <w:rPr>
          <w:b/>
          <w:sz w:val="21"/>
        </w:rPr>
        <w:t>七、质量要求与技术标准</w:t>
      </w:r>
    </w:p>
    <w:p>
      <w:pPr>
        <w:ind w:firstLine="422"/>
        <w:jc w:val="left"/>
      </w:pPr>
      <w:r>
        <w:rPr>
          <w:b/>
          <w:sz w:val="21"/>
        </w:rPr>
        <w:t>1.提交成果质量要求</w:t>
      </w:r>
    </w:p>
    <w:p>
      <w:pPr>
        <w:ind w:firstLine="420"/>
        <w:jc w:val="both"/>
      </w:pPr>
      <w:r>
        <w:rPr>
          <w:sz w:val="21"/>
        </w:rPr>
        <w:t>（</w:t>
      </w:r>
      <w:r>
        <w:rPr>
          <w:sz w:val="21"/>
        </w:rPr>
        <w:t>1）开展的质控服务应及时、规范，符合相关规范和本采购包组的要求。</w:t>
      </w:r>
    </w:p>
    <w:p>
      <w:pPr>
        <w:ind w:firstLine="420"/>
        <w:jc w:val="both"/>
      </w:pPr>
      <w:r>
        <w:rPr>
          <w:sz w:val="21"/>
        </w:rPr>
        <w:t>（</w:t>
      </w:r>
      <w:r>
        <w:rPr>
          <w:sz w:val="21"/>
        </w:rPr>
        <w:t>2）提供的质控报告</w:t>
      </w:r>
      <w:r>
        <w:rPr>
          <w:sz w:val="21"/>
        </w:rPr>
        <w:t>必须内容完整详实、细致、准确，图表准确、清晰，符合相关规范。</w:t>
      </w:r>
    </w:p>
    <w:p>
      <w:pPr>
        <w:ind w:firstLine="420"/>
        <w:jc w:val="left"/>
      </w:pPr>
      <w:r>
        <w:rPr>
          <w:sz w:val="21"/>
        </w:rPr>
        <w:t>（</w:t>
      </w:r>
      <w:r>
        <w:rPr>
          <w:sz w:val="21"/>
        </w:rPr>
        <w:t>3）驻场人员的资历和提供的服务质量符合要求。</w:t>
      </w:r>
    </w:p>
    <w:p>
      <w:pPr>
        <w:ind w:firstLine="422"/>
        <w:jc w:val="left"/>
      </w:pPr>
      <w:r>
        <w:rPr>
          <w:b/>
          <w:sz w:val="21"/>
        </w:rPr>
        <w:t>2.质量控制要求</w:t>
      </w:r>
    </w:p>
    <w:p>
      <w:pPr>
        <w:ind w:firstLine="420"/>
        <w:jc w:val="both"/>
      </w:pPr>
      <w:r>
        <w:rPr>
          <w:sz w:val="21"/>
        </w:rPr>
        <w:t>制定内部质量控制实施方案，对各阶段的工作质量进行控制，保证质控服务工作完整、全面、及时、有效。</w:t>
      </w:r>
    </w:p>
    <w:p>
      <w:pPr>
        <w:ind w:firstLine="422"/>
        <w:jc w:val="left"/>
      </w:pPr>
      <w:r>
        <w:rPr>
          <w:b/>
          <w:sz w:val="21"/>
        </w:rPr>
        <w:t>3.人员要求</w:t>
      </w:r>
    </w:p>
    <w:p>
      <w:pPr>
        <w:ind w:firstLine="420"/>
        <w:jc w:val="both"/>
      </w:pPr>
      <w:r>
        <w:rPr>
          <w:sz w:val="21"/>
        </w:rPr>
        <w:t>（</w:t>
      </w:r>
      <w:r>
        <w:rPr>
          <w:sz w:val="21"/>
        </w:rPr>
        <w:t>1）项目负责人具有生态环境工程、生态环境管理与咨询、生态环境监测、生态环境科学、土壤环境保护、地下水科学、水工环地质、地球化学勘查等其中一个专业中级及以上职称。</w:t>
      </w:r>
    </w:p>
    <w:p>
      <w:pPr>
        <w:ind w:firstLine="420"/>
        <w:jc w:val="both"/>
      </w:pPr>
      <w:r>
        <w:rPr>
          <w:sz w:val="21"/>
        </w:rPr>
        <w:t>（</w:t>
      </w:r>
      <w:r>
        <w:rPr>
          <w:sz w:val="21"/>
        </w:rPr>
        <w:t>2）乙方应指派固定的团队为本项目提供专业服务，服务团队成员正式签订劳动合同并连续购买社保的技术人员不得少于25人（含项目负责人），其中1人</w:t>
      </w:r>
      <w:r>
        <w:rPr>
          <w:sz w:val="21"/>
        </w:rPr>
        <w:t>专职负责跟进相关工作</w:t>
      </w:r>
      <w:r>
        <w:rPr>
          <w:sz w:val="21"/>
        </w:rPr>
        <w:t>（人员要求见本合同</w:t>
      </w:r>
      <w:r>
        <w:rPr>
          <w:sz w:val="21"/>
        </w:rPr>
        <w:t>“一、服务内容和范围”中相关要求）。</w:t>
      </w:r>
      <w:r>
        <w:rPr>
          <w:sz w:val="21"/>
        </w:rPr>
        <w:t>乙方不得随意更换项目负责人、专职负责人员，如项目</w:t>
      </w:r>
      <w:r>
        <w:rPr>
          <w:sz w:val="21"/>
        </w:rPr>
        <w:t>负责人、专职负责人员需要更换，乙方需书面向甲方申请，获得甲方同意后，方可更换。</w:t>
      </w:r>
    </w:p>
    <w:p>
      <w:pPr>
        <w:ind w:firstLine="422"/>
        <w:jc w:val="center"/>
      </w:pPr>
      <w:r>
        <w:rPr>
          <w:b/>
          <w:sz w:val="21"/>
        </w:rPr>
        <w:t>表</w:t>
      </w:r>
      <w:r>
        <w:rPr>
          <w:b/>
          <w:sz w:val="21"/>
        </w:rPr>
        <w:t>2  乙方服务团队人员名单</w:t>
      </w:r>
    </w:p>
    <w:tbl>
      <w:tblPr>
        <w:tblW w:w="0" w:type="auto"/>
        <w:tblBorders>
          <w:top w:val="none" w:color="000000" w:sz="4"/>
          <w:left w:val="none" w:color="000000" w:sz="4"/>
          <w:bottom w:val="none" w:color="000000" w:sz="4"/>
          <w:right w:val="none" w:color="000000" w:sz="4"/>
          <w:insideH w:val="none"/>
          <w:insideV w:val="none"/>
        </w:tblBorders>
      </w:tblPr>
      <w:tblGrid>
        <w:gridCol w:w="988"/>
        <w:gridCol w:w="1013"/>
        <w:gridCol w:w="2560"/>
        <w:gridCol w:w="2312"/>
        <w:gridCol w:w="1432"/>
      </w:tblGrid>
      <w:tr>
        <w:tc>
          <w:tcPr>
            <w:tcW w:type="dxa" w:w="988"/>
            <w:tcBorders>
              <w:top w:val="double" w:color="000000" w:sz="4"/>
              <w:left w:val="double" w:color="000000" w:sz="4"/>
              <w:bottom w:val="dotted" w:color="000000" w:sz="4"/>
              <w:right w:val="dotted" w:color="000000" w:sz="4"/>
            </w:tcBorders>
            <w:shd w:fill="F1F1F1"/>
            <w:vAlign w:val="top"/>
          </w:tcPr>
          <w:p>
            <w:pPr>
              <w:jc w:val="center"/>
            </w:pPr>
            <w:r>
              <w:rPr>
                <w:sz w:val="21"/>
              </w:rPr>
              <w:t>序号</w:t>
            </w:r>
          </w:p>
        </w:tc>
        <w:tc>
          <w:tcPr>
            <w:tcW w:type="dxa" w:w="1013"/>
            <w:tcBorders>
              <w:top w:val="double" w:color="000000" w:sz="4"/>
              <w:left w:val="dotted" w:color="000000" w:sz="4"/>
              <w:bottom w:val="dotted" w:color="000000" w:sz="4"/>
              <w:right w:val="dotted" w:color="000000" w:sz="4"/>
            </w:tcBorders>
            <w:shd w:fill="F1F1F1"/>
            <w:vAlign w:val="top"/>
          </w:tcPr>
          <w:p>
            <w:pPr>
              <w:jc w:val="center"/>
            </w:pPr>
            <w:r>
              <w:rPr>
                <w:sz w:val="21"/>
              </w:rPr>
              <w:t>姓名</w:t>
            </w:r>
          </w:p>
        </w:tc>
        <w:tc>
          <w:tcPr>
            <w:tcW w:type="dxa" w:w="2560"/>
            <w:tcBorders>
              <w:top w:val="double" w:color="000000" w:sz="4"/>
              <w:left w:val="dotted" w:color="000000" w:sz="4"/>
              <w:bottom w:val="dotted" w:color="000000" w:sz="4"/>
              <w:right w:val="dotted" w:color="000000" w:sz="4"/>
            </w:tcBorders>
            <w:shd w:fill="F1F1F1"/>
            <w:vAlign w:val="top"/>
          </w:tcPr>
          <w:p>
            <w:pPr>
              <w:jc w:val="center"/>
            </w:pPr>
            <w:r>
              <w:rPr>
                <w:sz w:val="21"/>
              </w:rPr>
              <w:t>身份证号码</w:t>
            </w:r>
          </w:p>
        </w:tc>
        <w:tc>
          <w:tcPr>
            <w:tcW w:type="dxa" w:w="2312"/>
            <w:tcBorders>
              <w:top w:val="double" w:color="000000" w:sz="4"/>
              <w:left w:val="dotted" w:color="000000" w:sz="4"/>
              <w:bottom w:val="dotted" w:color="000000" w:sz="4"/>
              <w:right w:val="dotted" w:color="000000" w:sz="4"/>
            </w:tcBorders>
            <w:shd w:fill="F1F1F1"/>
            <w:vAlign w:val="top"/>
          </w:tcPr>
          <w:p>
            <w:pPr>
              <w:jc w:val="center"/>
            </w:pPr>
            <w:r>
              <w:rPr>
                <w:sz w:val="21"/>
              </w:rPr>
              <w:t>负责本项目的工作内容</w:t>
            </w:r>
          </w:p>
        </w:tc>
        <w:tc>
          <w:tcPr>
            <w:tcW w:type="dxa" w:w="1432"/>
            <w:tcBorders>
              <w:top w:val="double" w:color="000000" w:sz="4"/>
              <w:left w:val="dotted" w:color="000000" w:sz="4"/>
              <w:bottom w:val="dotted" w:color="000000" w:sz="4"/>
              <w:right w:val="double" w:color="000000" w:sz="4"/>
            </w:tcBorders>
            <w:shd w:fill="F1F1F1"/>
            <w:vAlign w:val="top"/>
          </w:tcPr>
          <w:p>
            <w:pPr>
              <w:jc w:val="center"/>
            </w:pPr>
            <w:r>
              <w:rPr>
                <w:sz w:val="21"/>
              </w:rPr>
              <w:t>备注</w:t>
            </w: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1</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r>
              <w:rPr>
                <w:sz w:val="21"/>
              </w:rPr>
              <w:t>项目负责人</w:t>
            </w: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2</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r>
              <w:rPr>
                <w:sz w:val="21"/>
              </w:rPr>
              <w:t>专职负责</w:t>
            </w:r>
            <w:r>
              <w:rPr>
                <w:sz w:val="21"/>
              </w:rPr>
              <w:t>员</w:t>
            </w: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3</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4</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5</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6</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7</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8</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9</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tted" w:color="000000" w:sz="4"/>
              <w:right w:val="dotted" w:color="000000" w:sz="4"/>
            </w:tcBorders>
            <w:vAlign w:val="top"/>
          </w:tcPr>
          <w:p>
            <w:pPr>
              <w:jc w:val="center"/>
            </w:pPr>
            <w:r>
              <w:rPr>
                <w:sz w:val="21"/>
              </w:rPr>
              <w:t>....</w:t>
            </w:r>
          </w:p>
        </w:tc>
        <w:tc>
          <w:tcPr>
            <w:tcW w:type="dxa" w:w="1013"/>
            <w:tcBorders>
              <w:top w:val="dotted" w:color="000000" w:sz="4"/>
              <w:left w:val="dotted" w:color="000000" w:sz="4"/>
              <w:bottom w:val="dotted" w:color="000000" w:sz="4"/>
              <w:right w:val="dotted" w:color="000000" w:sz="4"/>
            </w:tcBorders>
            <w:vAlign w:val="top"/>
          </w:tcPr>
          <w:p>
            <w:pPr>
              <w:jc w:val="center"/>
            </w:pPr>
          </w:p>
        </w:tc>
        <w:tc>
          <w:tcPr>
            <w:tcW w:type="dxa" w:w="2560"/>
            <w:tcBorders>
              <w:top w:val="dotted" w:color="000000" w:sz="4"/>
              <w:left w:val="dotted" w:color="000000" w:sz="4"/>
              <w:bottom w:val="dotted" w:color="000000" w:sz="4"/>
              <w:right w:val="dotted" w:color="000000" w:sz="4"/>
            </w:tcBorders>
            <w:vAlign w:val="top"/>
          </w:tcPr>
          <w:p>
            <w:pPr>
              <w:jc w:val="center"/>
            </w:pPr>
          </w:p>
        </w:tc>
        <w:tc>
          <w:tcPr>
            <w:tcW w:type="dxa" w:w="2312"/>
            <w:tcBorders>
              <w:top w:val="dotted" w:color="000000" w:sz="4"/>
              <w:left w:val="dotted" w:color="000000" w:sz="4"/>
              <w:bottom w:val="dotted" w:color="000000" w:sz="4"/>
              <w:right w:val="dotted" w:color="000000" w:sz="4"/>
            </w:tcBorders>
            <w:vAlign w:val="top"/>
          </w:tcPr>
          <w:p>
            <w:pPr>
              <w:jc w:val="center"/>
            </w:pPr>
          </w:p>
        </w:tc>
        <w:tc>
          <w:tcPr>
            <w:tcW w:type="dxa" w:w="1432"/>
            <w:tcBorders>
              <w:top w:val="dotted" w:color="000000" w:sz="4"/>
              <w:left w:val="dotted" w:color="000000" w:sz="4"/>
              <w:bottom w:val="dotted" w:color="000000" w:sz="4"/>
              <w:right w:val="double" w:color="000000" w:sz="4"/>
            </w:tcBorders>
            <w:vAlign w:val="top"/>
          </w:tcPr>
          <w:p>
            <w:pPr>
              <w:jc w:val="center"/>
            </w:pPr>
          </w:p>
        </w:tc>
      </w:tr>
      <w:tr>
        <w:tc>
          <w:tcPr>
            <w:tcW w:type="dxa" w:w="988"/>
            <w:tcBorders>
              <w:top w:val="dotted" w:color="000000" w:sz="4"/>
              <w:left w:val="double" w:color="000000" w:sz="4"/>
              <w:bottom w:val="double" w:color="000000" w:sz="4"/>
              <w:right w:val="dotted" w:color="000000" w:sz="4"/>
            </w:tcBorders>
            <w:vAlign w:val="top"/>
          </w:tcPr>
          <w:p>
            <w:pPr>
              <w:jc w:val="center"/>
            </w:pPr>
            <w:r>
              <w:rPr>
                <w:sz w:val="21"/>
              </w:rPr>
              <w:t>25或以上</w:t>
            </w:r>
          </w:p>
        </w:tc>
        <w:tc>
          <w:tcPr>
            <w:tcW w:type="dxa" w:w="1013"/>
            <w:tcBorders>
              <w:top w:val="dotted" w:color="000000" w:sz="4"/>
              <w:left w:val="dotted" w:color="000000" w:sz="4"/>
              <w:bottom w:val="double" w:color="000000" w:sz="4"/>
              <w:right w:val="dotted" w:color="000000" w:sz="4"/>
            </w:tcBorders>
            <w:vAlign w:val="top"/>
          </w:tcPr>
          <w:p>
            <w:pPr>
              <w:jc w:val="center"/>
            </w:pPr>
          </w:p>
        </w:tc>
        <w:tc>
          <w:tcPr>
            <w:tcW w:type="dxa" w:w="2560"/>
            <w:tcBorders>
              <w:top w:val="dotted" w:color="000000" w:sz="4"/>
              <w:left w:val="dotted" w:color="000000" w:sz="4"/>
              <w:bottom w:val="double" w:color="000000" w:sz="4"/>
              <w:right w:val="dotted" w:color="000000" w:sz="4"/>
            </w:tcBorders>
            <w:vAlign w:val="top"/>
          </w:tcPr>
          <w:p>
            <w:pPr>
              <w:jc w:val="center"/>
            </w:pPr>
          </w:p>
        </w:tc>
        <w:tc>
          <w:tcPr>
            <w:tcW w:type="dxa" w:w="2312"/>
            <w:tcBorders>
              <w:top w:val="dotted" w:color="000000" w:sz="4"/>
              <w:left w:val="dotted" w:color="000000" w:sz="4"/>
              <w:bottom w:val="double" w:color="000000" w:sz="4"/>
              <w:right w:val="dotted" w:color="000000" w:sz="4"/>
            </w:tcBorders>
            <w:vAlign w:val="top"/>
          </w:tcPr>
          <w:p>
            <w:pPr>
              <w:jc w:val="center"/>
            </w:pPr>
          </w:p>
        </w:tc>
        <w:tc>
          <w:tcPr>
            <w:tcW w:type="dxa" w:w="1432"/>
            <w:tcBorders>
              <w:top w:val="dotted" w:color="000000" w:sz="4"/>
              <w:left w:val="dotted" w:color="000000" w:sz="4"/>
              <w:bottom w:val="double" w:color="000000" w:sz="4"/>
              <w:right w:val="double" w:color="000000" w:sz="4"/>
            </w:tcBorders>
            <w:vAlign w:val="top"/>
          </w:tcPr>
          <w:p>
            <w:pPr>
              <w:jc w:val="center"/>
            </w:pPr>
          </w:p>
        </w:tc>
      </w:tr>
    </w:tbl>
    <w:p>
      <w:pPr>
        <w:ind w:firstLine="420"/>
        <w:jc w:val="both"/>
      </w:pPr>
      <w:r>
        <w:rPr>
          <w:sz w:val="21"/>
        </w:rPr>
        <w:t>（</w:t>
      </w:r>
      <w:r>
        <w:rPr>
          <w:sz w:val="21"/>
        </w:rPr>
        <w:t>3）乙方</w:t>
      </w:r>
      <w:r>
        <w:rPr>
          <w:sz w:val="21"/>
        </w:rPr>
        <w:t>必须按照有关规定，对本项目所有工作服务人员缴纳各种社会保险和购买人身意外保</w:t>
      </w:r>
      <w:r>
        <w:rPr>
          <w:sz w:val="21"/>
        </w:rPr>
        <w:t>险。如服务期内</w:t>
      </w:r>
      <w:r>
        <w:rPr>
          <w:sz w:val="21"/>
        </w:rPr>
        <w:t>乙方</w:t>
      </w:r>
      <w:r>
        <w:rPr>
          <w:sz w:val="21"/>
        </w:rPr>
        <w:t>与员工发生劳动纠纷，由</w:t>
      </w:r>
      <w:r>
        <w:rPr>
          <w:sz w:val="21"/>
        </w:rPr>
        <w:t>乙方</w:t>
      </w:r>
      <w:r>
        <w:rPr>
          <w:sz w:val="21"/>
        </w:rPr>
        <w:t>自行承担全部责任。</w:t>
      </w:r>
      <w:r>
        <w:rPr>
          <w:sz w:val="21"/>
        </w:rPr>
        <w:t>乙方</w:t>
      </w:r>
      <w:r>
        <w:rPr>
          <w:sz w:val="21"/>
        </w:rPr>
        <w:t>的服务人</w:t>
      </w:r>
      <w:r>
        <w:rPr>
          <w:sz w:val="21"/>
        </w:rPr>
        <w:t>员直接或间接的工作失误导致发生的事故（包括工伤医疗事故），一切责任由</w:t>
      </w:r>
      <w:r>
        <w:rPr>
          <w:sz w:val="21"/>
        </w:rPr>
        <w:t>乙方</w:t>
      </w:r>
      <w:r>
        <w:rPr>
          <w:sz w:val="21"/>
        </w:rPr>
        <w:t>负责（承诺函</w:t>
      </w:r>
      <w:r>
        <w:rPr>
          <w:sz w:val="21"/>
        </w:rPr>
        <w:t>后附，格式自拟</w:t>
      </w:r>
      <w:r>
        <w:rPr>
          <w:sz w:val="21"/>
        </w:rPr>
        <w:t>）。</w:t>
      </w:r>
    </w:p>
    <w:p>
      <w:pPr>
        <w:jc w:val="both"/>
      </w:pPr>
      <w:r>
        <w:rPr>
          <w:b/>
          <w:sz w:val="21"/>
        </w:rPr>
        <w:t>八、监督与考核</w:t>
      </w:r>
    </w:p>
    <w:p>
      <w:pPr>
        <w:ind w:firstLine="420"/>
        <w:jc w:val="both"/>
      </w:pPr>
      <w:r>
        <w:rPr>
          <w:sz w:val="21"/>
        </w:rPr>
        <w:t>甲方可采取任何符合行业内规定的方式对乙方开展的质控工作及提交的质控报告（周报、月报等资料）进行监督，乙方须配合完成。</w:t>
      </w:r>
    </w:p>
    <w:p>
      <w:pPr>
        <w:jc w:val="both"/>
      </w:pPr>
      <w:r>
        <w:rPr>
          <w:b/>
          <w:sz w:val="21"/>
        </w:rPr>
        <w:t>九、服务成果要求</w:t>
      </w:r>
    </w:p>
    <w:p>
      <w:pPr>
        <w:ind w:firstLine="420"/>
        <w:jc w:val="both"/>
      </w:pPr>
      <w:r>
        <w:rPr>
          <w:sz w:val="21"/>
        </w:rPr>
        <w:t>参照本合同</w:t>
      </w:r>
      <w:r>
        <w:rPr>
          <w:sz w:val="21"/>
        </w:rPr>
        <w:t>“二、服务期限”中“3、乙方应提交如下服务成果”和“4、实物工作量”执行。</w:t>
      </w:r>
    </w:p>
    <w:p>
      <w:pPr>
        <w:jc w:val="both"/>
      </w:pPr>
      <w:r>
        <w:rPr>
          <w:b/>
          <w:sz w:val="21"/>
        </w:rPr>
        <w:t>十、服务成果验收</w:t>
      </w:r>
    </w:p>
    <w:p>
      <w:pPr>
        <w:jc w:val="both"/>
      </w:pPr>
      <w:r>
        <w:rPr>
          <w:sz w:val="21"/>
        </w:rPr>
        <w:t>1、本项目按合同的约定、采购文件的要求、投标（响应）文件的承诺（响应）内容，完成全部服务内容，并提交了服务成果，由甲方组织验收。</w:t>
      </w:r>
    </w:p>
    <w:p>
      <w:pPr>
        <w:jc w:val="both"/>
      </w:pPr>
      <w:r>
        <w:rPr>
          <w:sz w:val="21"/>
        </w:rPr>
        <w:t>2、验收合格后，乙方负责按成果要求中的规定将全部有关技术文件、资料、验收材料等文档汇集成册交付甲方。</w:t>
      </w:r>
    </w:p>
    <w:p>
      <w:pPr>
        <w:jc w:val="both"/>
      </w:pPr>
      <w:r>
        <w:rPr>
          <w:sz w:val="21"/>
        </w:rPr>
        <w:t>3、验收标准包括：</w:t>
      </w:r>
    </w:p>
    <w:p>
      <w:pPr>
        <w:jc w:val="both"/>
      </w:pPr>
      <w:r>
        <w:rPr>
          <w:sz w:val="21"/>
        </w:rPr>
        <w:t>（</w:t>
      </w:r>
      <w:r>
        <w:rPr>
          <w:sz w:val="21"/>
        </w:rPr>
        <w:t>1）乙方完成合同约定、采购文件的采购需求内容和投标文件响应的全部服务内容，其中合同约定服务内容详见本合同第一条。</w:t>
      </w:r>
    </w:p>
    <w:p>
      <w:pPr>
        <w:jc w:val="both"/>
      </w:pPr>
      <w:r>
        <w:rPr>
          <w:sz w:val="21"/>
        </w:rPr>
        <w:t>乙方已按要求提交了全部的服务成果及资料，要求详见本合同第八条。</w:t>
      </w:r>
    </w:p>
    <w:p>
      <w:pPr>
        <w:jc w:val="both"/>
      </w:pPr>
      <w:r>
        <w:rPr>
          <w:sz w:val="21"/>
        </w:rPr>
        <w:t>（</w:t>
      </w:r>
      <w:r>
        <w:rPr>
          <w:sz w:val="21"/>
        </w:rPr>
        <w:t>3）项目服务内容和成果通过甲方组织的验收。</w:t>
      </w:r>
    </w:p>
    <w:p>
      <w:pPr>
        <w:jc w:val="both"/>
      </w:pPr>
      <w:r>
        <w:rPr>
          <w:sz w:val="21"/>
        </w:rPr>
        <w:t>（</w:t>
      </w:r>
      <w:r>
        <w:rPr>
          <w:sz w:val="21"/>
        </w:rPr>
        <w:t>4）如因项目政策的不确定性或特殊情况，导致本项目各环节出现变动或者基于本项目衍生其他工作任务、提交的成果有其他要求，乙方须无条件配合完成甲方的工作，乙方必须在规定时间内按项目服务要求完成全部服务内容并确保通过甲方对项目的验收为止。若项目履行期间有关规定或政策发生变更，有最新国家标准、行业标准、地方标准的则按最新规定执行和验收。</w:t>
      </w:r>
    </w:p>
    <w:p>
      <w:pPr>
        <w:jc w:val="both"/>
      </w:pPr>
      <w:r>
        <w:rPr>
          <w:b/>
          <w:sz w:val="21"/>
        </w:rPr>
        <w:t>十一、合同的转让和违法分包</w:t>
      </w:r>
    </w:p>
    <w:p>
      <w:pPr>
        <w:ind w:firstLine="420"/>
        <w:jc w:val="left"/>
      </w:pPr>
      <w:r>
        <w:rPr>
          <w:sz w:val="21"/>
        </w:rPr>
        <w:t>乙方不得部分转让或全部转让其应履行的合同义务。未经甲方允许，不得向第三方违法分包本项目合同工作内容。否则，甲方有权单方面解除合同，并要求乙方承担合同总金额</w:t>
      </w:r>
      <w:r>
        <w:rPr>
          <w:sz w:val="21"/>
        </w:rPr>
        <w:t>20%的违约金。</w:t>
      </w:r>
    </w:p>
    <w:p>
      <w:pPr>
        <w:jc w:val="both"/>
      </w:pPr>
      <w:r>
        <w:rPr>
          <w:b/>
          <w:sz w:val="21"/>
        </w:rPr>
        <w:t>十二、</w:t>
      </w:r>
      <w:r>
        <w:rPr>
          <w:b/>
          <w:sz w:val="21"/>
        </w:rPr>
        <w:t xml:space="preserve"> </w:t>
      </w:r>
      <w:r>
        <w:rPr>
          <w:b/>
          <w:sz w:val="21"/>
        </w:rPr>
        <w:t>知识产权归属</w:t>
      </w:r>
    </w:p>
    <w:p>
      <w:pPr>
        <w:ind w:firstLine="420"/>
        <w:jc w:val="both"/>
      </w:pPr>
      <w:r>
        <w:rPr>
          <w:sz w:val="21"/>
        </w:rPr>
        <w:t>1、本采购项目成果的知识产权（包括但不限于文件材料、技术、方法等一切可纳入知识产权范畴的权利）属于甲方所有。</w:t>
      </w:r>
    </w:p>
    <w:p>
      <w:pPr>
        <w:ind w:firstLine="420"/>
        <w:jc w:val="both"/>
      </w:pPr>
      <w:r>
        <w:rPr>
          <w:sz w:val="21"/>
        </w:rPr>
        <w:t>2、甲方有权利用本采购项目成果进行新的科学研究，研究成果归甲方所有。</w:t>
      </w:r>
    </w:p>
    <w:p>
      <w:pPr>
        <w:ind w:firstLine="420"/>
        <w:jc w:val="both"/>
      </w:pPr>
      <w:r>
        <w:rPr>
          <w:sz w:val="21"/>
        </w:rPr>
        <w:t>3、经甲方许可，乙方可利用本采购项目成果进行新的科学研究，研究成果归双方所有。</w:t>
      </w:r>
    </w:p>
    <w:p>
      <w:pPr>
        <w:jc w:val="both"/>
      </w:pPr>
      <w:r>
        <w:rPr>
          <w:b/>
          <w:sz w:val="21"/>
        </w:rPr>
        <w:t>十三、</w:t>
      </w:r>
      <w:r>
        <w:rPr>
          <w:b/>
          <w:sz w:val="21"/>
        </w:rPr>
        <w:t>保密</w:t>
      </w:r>
    </w:p>
    <w:p>
      <w:pPr>
        <w:ind w:firstLine="420"/>
        <w:jc w:val="both"/>
      </w:pPr>
      <w:r>
        <w:rPr>
          <w:sz w:val="21"/>
        </w:rPr>
        <w:t>1、保密义务：未经甲方许可，乙方及乙方参与本项目的人员均不得对外披露、泄露本项目执行过程中甲方提供的信息、因合同履行而知悉的企业信息或环境信息、本项目执行过程中形成的过程信息、以及最终的成果信息，并不得将相关信息及成果用于本项目以外的项目及事项。乙方应采取有效措施，保证其参与本项目的人员遵守本约定，并对乙方人员违反本约定所造成的后果承担连带责任。</w:t>
      </w:r>
    </w:p>
    <w:p>
      <w:pPr>
        <w:ind w:firstLine="420"/>
        <w:jc w:val="both"/>
      </w:pPr>
      <w:r>
        <w:rPr>
          <w:sz w:val="21"/>
        </w:rPr>
        <w:t>2、泄密责任：乙方违反本条规定的，甲方有权视乙方合同履行情况及违约情形，要求乙方支付本合同总价5%的违约金；返还甲方已经支付的费用；赔偿甲方损失（包括但不限于：甲方的经济损失；甲方因此支付的赔偿金、补偿金、罚金；甲方因维权、减少或制止损失所支付的律师费、诉讼费、调查取证费等费用）。</w:t>
      </w:r>
    </w:p>
    <w:p>
      <w:pPr>
        <w:ind w:firstLine="420"/>
        <w:jc w:val="both"/>
      </w:pPr>
      <w:r>
        <w:rPr>
          <w:sz w:val="21"/>
        </w:rPr>
        <w:t>3、保密内容：技术信息和经济信息。包括乙方在本项目实施过程中从甲方及包组1相关方等获取的有关本项目的技术文件、相关资料、技术诀窍、技术秘密、商业秘密，以及已由甲方明确列为保密信息的其他信息。</w:t>
      </w:r>
    </w:p>
    <w:p>
      <w:pPr>
        <w:jc w:val="both"/>
      </w:pPr>
      <w:r>
        <w:rPr>
          <w:sz w:val="21"/>
        </w:rPr>
        <w:t>4、保密责任者范围：乙方及乙方参与本项目的所有人员。</w:t>
      </w:r>
    </w:p>
    <w:p>
      <w:pPr>
        <w:jc w:val="both"/>
      </w:pPr>
      <w:r>
        <w:rPr>
          <w:b/>
          <w:sz w:val="21"/>
        </w:rPr>
        <w:t>十四、</w:t>
      </w:r>
      <w:r>
        <w:rPr>
          <w:b/>
          <w:sz w:val="21"/>
        </w:rPr>
        <w:t>违约责任</w:t>
      </w:r>
    </w:p>
    <w:p>
      <w:pPr>
        <w:ind w:firstLine="420"/>
        <w:jc w:val="both"/>
      </w:pPr>
      <w:r>
        <w:rPr>
          <w:sz w:val="21"/>
        </w:rPr>
        <w:t>1、乙方提供的服务内容或成果（无论是阶段性服务成果还是最终服务成果）不符合本合同规定的，甲方有权拒收并要求乙方限期整改。乙方须按次向甲方支付本合同总价5%的违约金，并继续履行合同义务，向甲方交付符合本合同约定的服务成果。如乙方未在甲方要求的时限内整改完毕或整改后提供的服务成果仍不符合本合同约定的，甲方有权单方面解除合同，余款不再支付，已经支付的款项乙方应当在收到解除通知之日起三日内予以退还，且甲方有权要求乙方按本合同总价的20%支付违约金。</w:t>
      </w:r>
    </w:p>
    <w:p>
      <w:pPr>
        <w:ind w:firstLine="420"/>
        <w:jc w:val="both"/>
      </w:pPr>
      <w:r>
        <w:rPr>
          <w:sz w:val="21"/>
        </w:rPr>
        <w:t>2、乙方未能按本合同规定的时间提供服务或服务成果（无论是阶段性服务成果还是最终服务成果）的，从逾期之日起，每日应按本合同总价万分之四的数额向甲方支付违约金；逾期半个月以上的，甲方有权终止合同，余款不再支付，已经支付的相应款项乙方应当在收到解除通</w:t>
      </w:r>
      <w:r>
        <w:rPr>
          <w:sz w:val="21"/>
        </w:rPr>
        <w:t>知之日起三日内予以退还，且甲方有权要求乙方按本合同总价的</w:t>
      </w:r>
      <w:r>
        <w:rPr>
          <w:sz w:val="21"/>
        </w:rPr>
        <w:t>20%支付违约金。</w:t>
      </w:r>
    </w:p>
    <w:p>
      <w:pPr>
        <w:ind w:firstLine="420"/>
        <w:jc w:val="both"/>
      </w:pPr>
      <w:r>
        <w:rPr>
          <w:sz w:val="21"/>
        </w:rPr>
        <w:t>3、乙方未能按照约定向甲方提交履约保证金/银行履约保函的，乙方未按照合同约定提供服务的，从逾期之日起每日按本合同总价万分之四的数额向甲方支付违约金。</w:t>
      </w:r>
    </w:p>
    <w:p>
      <w:pPr>
        <w:ind w:firstLine="420"/>
        <w:jc w:val="both"/>
      </w:pPr>
      <w:r>
        <w:rPr>
          <w:sz w:val="21"/>
        </w:rPr>
        <w:t>4、乙方如中途更换项目负责人，需征得甲方书面同意，未经同意每更换一人，乙方按合同总金额1%向甲方支付违约金。</w:t>
      </w:r>
    </w:p>
    <w:p>
      <w:pPr>
        <w:ind w:firstLine="420"/>
        <w:jc w:val="both"/>
      </w:pPr>
      <w:r>
        <w:rPr>
          <w:sz w:val="21"/>
        </w:rPr>
        <w:t>5、甲方无正当理由拒收接受服务成果，甲方应向乙方支付本合同总价5%的违约金。甲方逾期付款的，从逾期之日起，每日应按应付而未付款项的万分之四向乙方支付违约金。</w:t>
      </w:r>
    </w:p>
    <w:p>
      <w:pPr>
        <w:ind w:firstLine="420"/>
        <w:jc w:val="both"/>
      </w:pPr>
      <w:r>
        <w:rPr>
          <w:sz w:val="21"/>
        </w:rPr>
        <w:t>6、因甲方原因导致变更、中止或者终止合同的，甲方应当按照乙方实际已完成的工作量结算合同款。</w:t>
      </w:r>
    </w:p>
    <w:p>
      <w:pPr>
        <w:ind w:firstLine="420"/>
        <w:jc w:val="both"/>
      </w:pPr>
      <w:r>
        <w:rPr>
          <w:sz w:val="21"/>
        </w:rPr>
        <w:t>7、乙方未经甲方事前书面同意，不得擅自使用、传播或向第三人</w:t>
      </w:r>
      <w:r>
        <w:rPr>
          <w:sz w:val="21"/>
        </w:rPr>
        <w:t>提供本项目成果（包括阶段性服务成果和最终服务成果），否则乙方因此获得的利益应当全部归甲方所有，并且乙方还应向甲方支付本合同总价的</w:t>
      </w:r>
      <w:r>
        <w:rPr>
          <w:sz w:val="21"/>
        </w:rPr>
        <w:t>20%的违约金、赔偿甲方因此产生的损失（包括但不限于：甲方的经济损失；甲方因此支付的赔偿金、补偿金、罚金；甲方因维权、制止或减少损失所支付的律师费、诉讼费、调查取证费等费用）。</w:t>
      </w:r>
    </w:p>
    <w:p>
      <w:pPr>
        <w:ind w:firstLine="420"/>
        <w:jc w:val="both"/>
      </w:pPr>
      <w:r>
        <w:rPr>
          <w:sz w:val="21"/>
        </w:rPr>
        <w:t>8、</w:t>
      </w:r>
      <w:r>
        <w:rPr>
          <w:sz w:val="21"/>
        </w:rPr>
        <w:t>乙方存在上述</w:t>
      </w:r>
      <w:r>
        <w:rPr>
          <w:sz w:val="21"/>
        </w:rPr>
        <w:t>1、2款规定以外的其它违约行为时，甲方除可要求乙方依法承担违约责任、赔偿甲方因此产生的损失（包括但不限于：甲方的经济损失；甲方因此支付的赔偿金、补偿金、罚金；）之外，还可选择参照本条第1款的规定要求乙方承担违约责任。</w:t>
      </w:r>
    </w:p>
    <w:p>
      <w:pPr>
        <w:ind w:firstLine="480"/>
      </w:pPr>
      <w:r>
        <w:rPr>
          <w:sz w:val="24"/>
        </w:rPr>
        <w:t>9</w:t>
      </w:r>
      <w:r>
        <w:rPr>
          <w:sz w:val="21"/>
        </w:rPr>
        <w:t>、违约方应承担守约方解决纠纷的全部费用，包括但不限于诉讼费、仲裁费、律师费、评估费、财产保全费、差旅费、调查费等。</w:t>
      </w:r>
    </w:p>
    <w:p>
      <w:pPr>
        <w:jc w:val="both"/>
      </w:pPr>
      <w:r>
        <w:rPr>
          <w:b/>
          <w:sz w:val="21"/>
        </w:rPr>
        <w:t>十五、争议的解决</w:t>
      </w:r>
    </w:p>
    <w:p>
      <w:pPr>
        <w:ind w:firstLine="420"/>
        <w:jc w:val="both"/>
      </w:pPr>
      <w:r>
        <w:rPr>
          <w:sz w:val="21"/>
        </w:rPr>
        <w:t>合同执行过程中发生的任何争议，如双方不能通过友好协商解决，任何一方均可向甲方所在地人民法院起诉。</w:t>
      </w:r>
    </w:p>
    <w:p>
      <w:pPr>
        <w:jc w:val="both"/>
      </w:pPr>
      <w:r>
        <w:rPr>
          <w:b/>
          <w:sz w:val="21"/>
        </w:rPr>
        <w:t>十六、不可抗力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1日内向对方通报，以减轻可能给对方造成的损失。在取得不可抗力证明或双方达成谅解确认后，可以延期履行合同或变更合同，并根据情况部分或全部免除违约责任。</w:t>
      </w:r>
    </w:p>
    <w:p>
      <w:pPr>
        <w:jc w:val="both"/>
      </w:pPr>
      <w:r>
        <w:rPr>
          <w:b/>
          <w:sz w:val="21"/>
        </w:rPr>
        <w:t>十七、税费</w:t>
      </w:r>
    </w:p>
    <w:p>
      <w:pPr>
        <w:ind w:firstLine="420"/>
        <w:jc w:val="both"/>
      </w:pPr>
      <w:r>
        <w:rPr>
          <w:sz w:val="21"/>
        </w:rPr>
        <w:t>在中国境内外发生的与本合同执行有关的一切税费均由乙方承担。</w:t>
      </w:r>
    </w:p>
    <w:p>
      <w:pPr>
        <w:jc w:val="both"/>
      </w:pPr>
      <w:r>
        <w:rPr>
          <w:b/>
          <w:sz w:val="21"/>
        </w:rPr>
        <w:t>十八、其它</w:t>
      </w:r>
    </w:p>
    <w:p>
      <w:pPr>
        <w:ind w:firstLine="420"/>
        <w:jc w:val="both"/>
      </w:pPr>
      <w:r>
        <w:rPr>
          <w:sz w:val="21"/>
        </w:rPr>
        <w:t>1、本合同附件、本项目采购文件、投标（响应）文件、中标（成交）通知书、乙方的承诺函均为本合同的有效组成部分。</w:t>
      </w:r>
    </w:p>
    <w:p>
      <w:pPr>
        <w:ind w:firstLine="420"/>
        <w:jc w:val="both"/>
      </w:pPr>
      <w:r>
        <w:rPr>
          <w:sz w:val="21"/>
        </w:rPr>
        <w:t>2、在本合同执行过程中，双方签署确认的文件（包括会议纪要、补充协议、往来信函）均为本合同的有效组成部分。</w:t>
      </w:r>
    </w:p>
    <w:p>
      <w:pPr>
        <w:jc w:val="both"/>
      </w:pPr>
      <w:r>
        <w:rPr>
          <w:sz w:val="21"/>
        </w:rPr>
        <w:t>3、当组成本合同的文件内容相互矛盾时，其优先解释顺序如下：</w:t>
      </w:r>
    </w:p>
    <w:p>
      <w:pPr>
        <w:ind w:firstLine="420"/>
        <w:jc w:val="both"/>
      </w:pPr>
      <w:r>
        <w:rPr>
          <w:sz w:val="21"/>
        </w:rPr>
        <w:t>1）履行本合同的相关补充协议（含洽商记录、会议纪要等修正文件）；</w:t>
      </w:r>
    </w:p>
    <w:p>
      <w:pPr>
        <w:ind w:firstLine="420"/>
        <w:jc w:val="both"/>
      </w:pPr>
      <w:r>
        <w:rPr>
          <w:sz w:val="21"/>
        </w:rPr>
        <w:t>2）本合同；</w:t>
      </w:r>
    </w:p>
    <w:p>
      <w:pPr>
        <w:ind w:firstLine="420"/>
        <w:jc w:val="both"/>
      </w:pPr>
      <w:r>
        <w:rPr>
          <w:sz w:val="21"/>
        </w:rPr>
        <w:t>3）本项目的采购文件（包括补充、修改、澄清的文件、答疑纪要等）；</w:t>
      </w:r>
    </w:p>
    <w:p>
      <w:pPr>
        <w:ind w:firstLine="420"/>
        <w:jc w:val="both"/>
      </w:pPr>
      <w:r>
        <w:rPr>
          <w:sz w:val="21"/>
        </w:rPr>
        <w:t>4）投标（响应）文件及其附件（含采购期间的澄清文件和补充资料）；</w:t>
      </w:r>
    </w:p>
    <w:p>
      <w:pPr>
        <w:ind w:firstLine="420"/>
        <w:jc w:val="both"/>
      </w:pPr>
      <w:r>
        <w:rPr>
          <w:sz w:val="21"/>
        </w:rPr>
        <w:t>5）中标（成交）通知书。</w:t>
      </w:r>
    </w:p>
    <w:p>
      <w:pPr>
        <w:ind w:firstLine="420"/>
        <w:jc w:val="left"/>
      </w:pPr>
      <w:r>
        <w:rPr>
          <w:sz w:val="21"/>
        </w:rPr>
        <w:t>上述各项合同文件中属于同一类别的，以最新签署的为准。</w:t>
      </w:r>
    </w:p>
    <w:p>
      <w:pPr>
        <w:ind w:firstLine="420"/>
        <w:jc w:val="both"/>
      </w:pPr>
      <w:r>
        <w:rPr>
          <w:sz w:val="21"/>
        </w:rPr>
        <w:t>4、一方地址、电话、电子邮箱有变更的，应在变更当日书面通知对方，否则应承担相应责任。</w:t>
      </w:r>
    </w:p>
    <w:p>
      <w:pPr>
        <w:ind w:firstLine="420"/>
        <w:jc w:val="both"/>
      </w:pPr>
      <w:r>
        <w:rPr>
          <w:sz w:val="21"/>
        </w:rPr>
        <w:t>5、一方因合同履行相关的事宜需向对方发出函件的，对方的登记地址以及在本合同中约定的联系地址均为有效收件地址。如一方按对方登记地址或约定联系地址寄出函件而未能送达的（包括但不限于拒收、无人签收），视为函件已送达。</w:t>
      </w:r>
    </w:p>
    <w:p>
      <w:pPr>
        <w:jc w:val="both"/>
      </w:pPr>
      <w:r>
        <w:rPr>
          <w:b/>
          <w:sz w:val="21"/>
        </w:rPr>
        <w:t>十九、合同生效</w:t>
      </w:r>
    </w:p>
    <w:p>
      <w:pPr>
        <w:jc w:val="both"/>
      </w:pPr>
      <w:r>
        <w:rPr>
          <w:sz w:val="21"/>
        </w:rPr>
        <w:t>1、本合同在甲乙双方法定代表人或其授权代表签字、单位盖章后生效。</w:t>
      </w:r>
    </w:p>
    <w:p>
      <w:pPr>
        <w:jc w:val="both"/>
      </w:pPr>
      <w:r>
        <w:rPr>
          <w:sz w:val="21"/>
        </w:rPr>
        <w:t>2、合同一式</w:t>
      </w:r>
      <w:r>
        <w:rPr>
          <w:sz w:val="21"/>
          <w:u w:val="single"/>
        </w:rPr>
        <w:t xml:space="preserve">     </w:t>
      </w:r>
      <w:r>
        <w:rPr>
          <w:sz w:val="21"/>
        </w:rPr>
        <w:t>份。甲方执</w:t>
      </w:r>
      <w:r>
        <w:rPr>
          <w:sz w:val="21"/>
          <w:u w:val="single"/>
        </w:rPr>
        <w:t xml:space="preserve">     </w:t>
      </w:r>
      <w:r>
        <w:rPr>
          <w:sz w:val="21"/>
        </w:rPr>
        <w:t xml:space="preserve"> </w:t>
      </w:r>
      <w:r>
        <w:rPr>
          <w:sz w:val="21"/>
        </w:rPr>
        <w:t>份，乙方执</w:t>
      </w:r>
      <w:r>
        <w:rPr>
          <w:sz w:val="21"/>
          <w:u w:val="single"/>
        </w:rPr>
        <w:t xml:space="preserve">     </w:t>
      </w:r>
      <w:r>
        <w:rPr>
          <w:sz w:val="21"/>
        </w:rPr>
        <w:t>份，具同等效力。</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39"/>
        <w:gridCol w:w="4066"/>
      </w:tblGrid>
      <w:tr>
        <w:tc>
          <w:tcPr>
            <w:tcW w:type="dxa" w:w="4239"/>
            <w:tcBorders>
              <w:top w:val="none" w:color="000000" w:sz="4"/>
              <w:left w:val="none" w:color="000000" w:sz="4"/>
              <w:bottom w:val="none" w:color="000000" w:sz="4"/>
              <w:right w:val="dashed" w:color="000000" w:sz="4"/>
            </w:tcBorders>
            <w:vAlign w:val="top"/>
          </w:tcPr>
          <w:p>
            <w:pPr>
              <w:jc w:val="both"/>
            </w:pPr>
            <w:r>
              <w:rPr>
                <w:b/>
                <w:sz w:val="21"/>
              </w:rPr>
              <w:t>甲方（盖章）：</w:t>
            </w:r>
          </w:p>
        </w:tc>
        <w:tc>
          <w:tcPr>
            <w:tcW w:type="dxa" w:w="4066"/>
            <w:tcBorders>
              <w:top w:val="none" w:color="000000" w:sz="4"/>
              <w:left w:val="none" w:color="000000" w:sz="4"/>
              <w:bottom w:val="none" w:color="000000" w:sz="4"/>
              <w:right w:val="none" w:color="000000" w:sz="4"/>
            </w:tcBorders>
            <w:vAlign w:val="top"/>
          </w:tcPr>
          <w:p>
            <w:pPr>
              <w:jc w:val="both"/>
            </w:pPr>
            <w:r>
              <w:rPr>
                <w:b/>
                <w:sz w:val="21"/>
              </w:rPr>
              <w:t>乙方（盖章）：</w:t>
            </w:r>
          </w:p>
        </w:tc>
      </w:tr>
      <w:tr>
        <w:tc>
          <w:tcPr>
            <w:tcW w:type="dxa" w:w="4239"/>
            <w:tcBorders>
              <w:top w:val="none" w:color="000000" w:sz="4"/>
              <w:left w:val="none" w:color="000000" w:sz="4"/>
              <w:bottom w:val="none" w:color="000000" w:sz="4"/>
              <w:right w:val="dashed" w:color="000000" w:sz="4"/>
            </w:tcBorders>
            <w:vAlign w:val="top"/>
          </w:tcPr>
          <w:p>
            <w:pPr>
              <w:jc w:val="both"/>
            </w:pPr>
            <w:r>
              <w:rPr>
                <w:sz w:val="21"/>
              </w:rPr>
              <w:t>广东省佛山生态环境监测站</w:t>
            </w:r>
          </w:p>
          <w:p>
            <w:pPr>
              <w:jc w:val="left"/>
            </w:pPr>
            <w:r>
              <w:rPr>
                <w:sz w:val="21"/>
              </w:rPr>
              <w:t>法人（或授权）代表：</w:t>
            </w:r>
          </w:p>
          <w:p>
            <w:pPr>
              <w:jc w:val="left"/>
            </w:pPr>
            <w:r>
              <w:rPr>
                <w:sz w:val="21"/>
              </w:rPr>
              <w:t>经</w:t>
            </w:r>
            <w:r>
              <w:rPr>
                <w:sz w:val="21"/>
              </w:rPr>
              <w:t xml:space="preserve"> 办 人：  </w:t>
            </w:r>
          </w:p>
        </w:tc>
        <w:tc>
          <w:tcPr>
            <w:tcW w:type="dxa" w:w="4066"/>
            <w:tcBorders>
              <w:top w:val="none" w:color="000000" w:sz="4"/>
              <w:left w:val="none" w:color="000000" w:sz="4"/>
              <w:bottom w:val="none" w:color="000000" w:sz="4"/>
              <w:right w:val="none" w:color="000000" w:sz="4"/>
            </w:tcBorders>
            <w:vAlign w:val="top"/>
          </w:tcPr>
          <w:p>
            <w:pPr>
              <w:jc w:val="left"/>
            </w:pPr>
            <w:r>
              <w:rPr>
                <w:sz w:val="21"/>
              </w:rPr>
              <w:t>（单位名称）</w:t>
            </w:r>
          </w:p>
          <w:p>
            <w:pPr>
              <w:jc w:val="left"/>
            </w:pPr>
            <w:r>
              <w:rPr>
                <w:sz w:val="21"/>
              </w:rPr>
              <w:t>法人（或授权）代表：</w:t>
            </w:r>
          </w:p>
          <w:p>
            <w:pPr>
              <w:jc w:val="both"/>
            </w:pPr>
            <w:r>
              <w:rPr>
                <w:sz w:val="21"/>
              </w:rPr>
              <w:t>经</w:t>
            </w:r>
            <w:r>
              <w:rPr>
                <w:sz w:val="21"/>
              </w:rPr>
              <w:t xml:space="preserve"> 办 人： </w:t>
            </w:r>
          </w:p>
        </w:tc>
      </w:tr>
      <w:tr>
        <w:tc>
          <w:tcPr>
            <w:tcW w:type="dxa" w:w="4239"/>
            <w:tcBorders>
              <w:top w:val="none" w:color="000000" w:sz="4"/>
              <w:left w:val="none" w:color="000000" w:sz="4"/>
              <w:bottom w:val="none" w:color="000000" w:sz="4"/>
              <w:right w:val="dashed" w:color="000000" w:sz="4"/>
            </w:tcBorders>
            <w:vAlign w:val="top"/>
          </w:tcPr>
          <w:p>
            <w:pPr>
              <w:jc w:val="both"/>
            </w:pPr>
            <w:r>
              <w:rPr>
                <w:sz w:val="21"/>
              </w:rPr>
              <w:t>签定地点：佛山市</w:t>
            </w:r>
          </w:p>
        </w:tc>
        <w:tc>
          <w:tcPr>
            <w:tcW w:type="dxa" w:w="4066"/>
            <w:tcBorders>
              <w:top w:val="none" w:color="000000" w:sz="4"/>
              <w:left w:val="none" w:color="000000" w:sz="4"/>
              <w:bottom w:val="none" w:color="000000" w:sz="4"/>
              <w:right w:val="none" w:color="000000" w:sz="4"/>
            </w:tcBorders>
            <w:vAlign w:val="top"/>
          </w:tcPr>
          <w:p>
            <w:pPr>
              <w:jc w:val="both"/>
            </w:pPr>
          </w:p>
        </w:tc>
      </w:tr>
      <w:tr>
        <w:tc>
          <w:tcPr>
            <w:tcW w:type="dxa" w:w="4239"/>
            <w:tcBorders>
              <w:top w:val="none" w:color="000000" w:sz="4"/>
              <w:left w:val="none" w:color="000000" w:sz="4"/>
              <w:bottom w:val="none" w:color="000000" w:sz="4"/>
              <w:right w:val="dashed" w:color="000000" w:sz="4"/>
            </w:tcBorders>
            <w:vAlign w:val="top"/>
          </w:tcPr>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66"/>
            <w:tcBorders>
              <w:top w:val="none" w:color="000000" w:sz="4"/>
              <w:left w:val="none" w:color="000000" w:sz="4"/>
              <w:bottom w:val="none" w:color="000000" w:sz="4"/>
              <w:right w:val="none" w:color="000000" w:sz="4"/>
            </w:tcBorders>
            <w:vAlign w:val="top"/>
          </w:tcPr>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r>
              <w:rPr>
                <w:sz w:val="21"/>
              </w:rPr>
              <w:t>开户名称：</w:t>
            </w: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r>
              <w:rPr>
                <w:sz w:val="21"/>
              </w:rPr>
              <w:t>开</w:t>
            </w:r>
            <w:r>
              <w:rPr>
                <w:sz w:val="21"/>
              </w:rPr>
              <w:t>户</w:t>
            </w:r>
            <w:r>
              <w:rPr>
                <w:sz w:val="21"/>
              </w:rPr>
              <w:t>行：</w:t>
            </w: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r>
              <w:rPr>
                <w:sz w:val="21"/>
              </w:rPr>
              <w:t>银行帐号：</w:t>
            </w:r>
          </w:p>
        </w:tc>
      </w:tr>
      <w:tr>
        <w:tc>
          <w:tcPr>
            <w:tcW w:type="dxa" w:w="4239"/>
            <w:tcBorders>
              <w:top w:val="none" w:color="000000" w:sz="4"/>
              <w:left w:val="none" w:color="000000" w:sz="4"/>
              <w:bottom w:val="none" w:color="000000" w:sz="4"/>
              <w:right w:val="dashed" w:color="000000" w:sz="4"/>
            </w:tcBorders>
            <w:vAlign w:val="top"/>
          </w:tcPr>
          <w:p>
            <w:pPr>
              <w:jc w:val="both"/>
            </w:pPr>
          </w:p>
        </w:tc>
        <w:tc>
          <w:tcPr>
            <w:tcW w:type="dxa" w:w="4066"/>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440001-2024-03436</w:t>
      </w:r>
    </w:p>
    <w:p>
      <w:pPr>
        <w:jc w:val="center"/>
      </w:pPr>
      <w:r>
        <w:rPr>
          <w:b/>
          <w:sz w:val="24"/>
        </w:rPr>
        <w:t>采购项目编号：</w:t>
      </w:r>
      <w:r>
        <w:rPr>
          <w:b/>
          <w:sz w:val="24"/>
        </w:rPr>
        <w:t>GZGK23P291C0966Z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佛山市典型区域地下水监测井周边污染源调查与精准管控项目（二期）</w:t>
      </w:r>
      <w:r>
        <w:rPr>
          <w:u w:val="single"/>
        </w:rPr>
        <w:t>”</w:t>
      </w:r>
      <w:r>
        <w:rPr/>
        <w:t>项目的招标[采购项目编号为：</w:t>
      </w:r>
      <w:r>
        <w:rPr>
          <w:u w:val="single"/>
        </w:rPr>
        <w:t>GZGK23P291C0966Z</w:t>
      </w:r>
      <w:r>
        <w:rPr/>
        <w:t>]，我方愿参与投标。</w:t>
      </w:r>
    </w:p>
    <w:p>
      <w:pPr>
        <w:ind w:firstLine="480"/>
      </w:pPr>
      <w:r>
        <w:rPr/>
        <w:t>我方确认收到贵方提供的</w:t>
      </w:r>
      <w:r>
        <w:rPr>
          <w:u w:val="single"/>
        </w:rPr>
        <w:t>“</w:t>
      </w:r>
      <w:r>
        <w:rPr>
          <w:u w:val="single"/>
        </w:rPr>
        <w:t>佛山市典型区域地下水监测井周边污染源调查与精准管控项目（二期）</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佛山市典型区域地下水监测井周边污染源调查与精准管控项目（二期）</w:t>
      </w:r>
      <w:r>
        <w:rPr/>
        <w:t>”项目采购[采购项目编号为</w:t>
      </w:r>
      <w:r>
        <w:rPr/>
        <w:t>GZGK23P291C0966Z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广东省佛山生态环境监测站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佛山市典型区域地下水监测井周边污染源调查与精准管控项目（二期）</w:t>
      </w:r>
      <w:r>
        <w:rPr/>
        <w:t>招标中获中标（采购项目编号：</w:t>
      </w:r>
      <w:r>
        <w:rPr/>
        <w:t>GZGK23P291C0966Z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佛山市典型区域地下水监测井周边污染源调查与精准管控项目（二期）</w:t>
      </w:r>
      <w:r>
        <w:rPr/>
        <w:t>”项目（采购项目编号：</w:t>
      </w:r>
      <w:r>
        <w:rPr/>
        <w:t>GZGK23P291C0966Z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