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440001-2024-03526</w:t>
      </w:r>
    </w:p>
    <w:p>
      <w:pPr>
        <w:jc w:val="center"/>
      </w:pPr>
      <w:r>
        <w:rPr>
          <w:b/>
          <w:sz w:val="24"/>
        </w:rPr>
        <w:t>采购项目编号：</w:t>
      </w:r>
      <w:r>
        <w:rPr>
          <w:b/>
          <w:sz w:val="24"/>
        </w:rPr>
        <w:t>GZGK24P002A0004Z</w:t>
      </w:r>
    </w:p>
    <w:p>
      <w:pPr>
        <w:jc w:val="center"/>
      </w:pPr>
      <w:r>
        <w:rPr>
          <w:b/>
          <w:sz w:val="24"/>
        </w:rPr>
        <w:t>项目名称：</w:t>
      </w:r>
      <w:r>
        <w:rPr>
          <w:b/>
          <w:sz w:val="24"/>
        </w:rPr>
        <w:t>广东省科学院半导体研究所多功能电子束仿真软件采购项目</w:t>
      </w:r>
    </w:p>
    <w:p>
      <w:pPr>
        <w:jc w:val="center"/>
      </w:pPr>
      <w:r>
        <w:rPr>
          <w:b/>
          <w:sz w:val="24"/>
        </w:rPr>
        <w:t>采购人：</w:t>
      </w:r>
      <w:r>
        <w:rPr>
          <w:b/>
          <w:sz w:val="24"/>
        </w:rPr>
        <w:t>广东省科学院半导体研究所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广东省科学院半导体研究所</w:t>
      </w:r>
      <w:r>
        <w:rPr/>
        <w:t>的委托，采用</w:t>
      </w:r>
      <w:r>
        <w:rPr/>
        <w:t>公开招标</w:t>
      </w:r>
      <w:r>
        <w:rPr/>
        <w:t>方式组织采购</w:t>
      </w:r>
      <w:r>
        <w:rPr/>
        <w:t>广东省科学院半导体研究所多功能电子束仿真软件采购项目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广东省科学院半导体研究所多功能电子束仿真软件采购项目</w:t>
      </w:r>
    </w:p>
    <w:p>
      <w:pPr>
        <w:ind w:firstLine="480"/>
      </w:pPr>
      <w:r>
        <w:rPr/>
        <w:t>采购计划编号：</w:t>
      </w:r>
      <w:r>
        <w:rPr/>
        <w:t>440001-2024-03526</w:t>
      </w:r>
    </w:p>
    <w:p>
      <w:pPr>
        <w:ind w:firstLine="480"/>
      </w:pPr>
      <w:r>
        <w:rPr/>
        <w:t>采购项目编号：</w:t>
      </w:r>
      <w:r>
        <w:rPr/>
        <w:t>GZGK24P002A0004Z</w:t>
      </w:r>
    </w:p>
    <w:p>
      <w:pPr>
        <w:ind w:firstLine="480"/>
      </w:pPr>
      <w:r>
        <w:rPr/>
        <w:t>采购方式：</w:t>
      </w:r>
      <w:r>
        <w:rPr/>
        <w:t>公开招标</w:t>
      </w:r>
    </w:p>
    <w:p>
      <w:pPr>
        <w:ind w:firstLine="480"/>
      </w:pPr>
      <w:r>
        <w:rPr/>
        <w:t>预算金额：</w:t>
      </w:r>
      <w:r>
        <w:rPr/>
        <w:t>1,981,000.00</w:t>
      </w:r>
      <w:r>
        <w:rPr/>
        <w:t>元</w:t>
      </w:r>
    </w:p>
    <w:p>
      <w:r>
        <w:rPr>
          <w:b/>
          <w:sz w:val="24"/>
        </w:rPr>
        <w:t>2.项目内容及需求情况（采购项目技术规格、参数及要求）</w:t>
      </w:r>
    </w:p>
    <w:p>
      <w:pPr>
        <w:ind w:firstLine="480"/>
      </w:pPr>
    </w:p>
    <w:p/>
    <w:p>
      <w:r>
        <w:rPr/>
        <w:t>采购包1(多功能电子束仿真软件):</w:t>
      </w:r>
    </w:p>
    <w:p>
      <w:r>
        <w:rPr/>
        <w:t>采购包预算金额：1,981,000.00元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应用软件</w:t>
            </w:r>
          </w:p>
        </w:tc>
        <w:tc>
          <w:tcPr>
            <w:tcW w:type="dxa" w:w="2136"/>
          </w:tcPr>
          <w:p>
            <w:r>
              <w:rPr/>
              <w:t>多功能电子束仿真软件</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采购包1（多功能电子束仿真软件）：</w:t>
      </w:r>
      <w:r>
        <w:rPr/>
        <w:t>本采购包不属于专门面向中小企业采购的项目。</w:t>
      </w:r>
    </w:p>
    <w:p/>
    <w:p>
      <w:r>
        <w:rPr>
          <w:b/>
          <w:sz w:val="24"/>
        </w:rPr>
        <w:t>3.本项目特定的资格要求：</w:t>
      </w:r>
    </w:p>
    <w:p>
      <w:pPr>
        <w:ind w:firstLine="480"/>
      </w:pPr>
    </w:p>
    <w:p/>
    <w:p>
      <w:r>
        <w:rPr/>
        <w:t>采购包1（多功能电子束仿真软件）：</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广东省科学院半导体研究所</w:t>
      </w:r>
    </w:p>
    <w:p>
      <w:pPr>
        <w:ind w:firstLine="480"/>
      </w:pPr>
      <w:r>
        <w:rPr/>
        <w:t>地址：</w:t>
      </w:r>
      <w:r>
        <w:rPr/>
        <w:t>广州市天河区长兴路363号</w:t>
      </w:r>
    </w:p>
    <w:p>
      <w:pPr>
        <w:ind w:firstLine="480"/>
      </w:pPr>
      <w:r>
        <w:rPr/>
        <w:t>联系方式：</w:t>
      </w:r>
      <w:r>
        <w:rPr/>
        <w:t>020- 87716086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020-38364802、020-87687651</w:t>
      </w:r>
    </w:p>
    <w:p>
      <w:r>
        <w:rPr>
          <w:b/>
          <w:sz w:val="24"/>
        </w:rPr>
        <w:t>3.项目联系方式</w:t>
      </w:r>
    </w:p>
    <w:p>
      <w:pPr>
        <w:ind w:firstLine="480"/>
      </w:pPr>
      <w:r>
        <w:rPr/>
        <w:t>项目联系人：</w:t>
      </w:r>
      <w:r>
        <w:rPr/>
        <w:t>钟平、苏启立</w:t>
      </w:r>
    </w:p>
    <w:p>
      <w:pPr>
        <w:ind w:firstLine="480"/>
      </w:pPr>
      <w:r>
        <w:rPr/>
        <w:t>电话：</w:t>
      </w:r>
      <w:r>
        <w:rPr/>
        <w:t>020-38364802、020-87687651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（一）项目编号：GZGK24P002A0004Z</w:t>
      </w:r>
      <w:r>
        <w:br/>
      </w:r>
      <w:r>
        <w:rPr/>
        <w:t>（二）项目名称：广东省科学院半导体研究所多功能电子束仿真软件采购项目</w:t>
      </w:r>
      <w:r>
        <w:br/>
      </w:r>
      <w:r>
        <w:rPr/>
        <w:t>（三）总体要求说明：</w:t>
      </w:r>
      <w:r>
        <w:br/>
      </w:r>
      <w:r>
        <w:rPr/>
        <w:t>1、标有“★”的条款为必须完全满足的实质性要求，投标人如有一项带“★”的条款未响应或不满足，将按无效投标处理。</w:t>
      </w:r>
      <w:r>
        <w:br/>
      </w:r>
      <w:r>
        <w:rPr/>
        <w:t>2、投标人必须承诺提供厂商原装、全新的、符合国家及用户提出的有关质量标准的产品。</w:t>
      </w:r>
      <w:r>
        <w:br/>
      </w:r>
      <w:r>
        <w:rPr/>
        <w:t>3、投标人应对采购需求中的设备性能和技术（服务）指标在响应详细内容中列出具体数值或明确承诺。如果投标人只注明“正偏离”或“无偏离”，将可能被视为“负偏离”，从而可能导致严重影响评标结果。</w:t>
      </w:r>
      <w:r>
        <w:br/>
      </w:r>
      <w:r>
        <w:rPr/>
        <w:t>4、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5、凡列入《中华人民共和国实施强制性产品认证的产品目录》的产品在验收时必须出具CCC认证证书复印件，并以在产品外部加施认证标志作为验收依据之一。</w:t>
      </w:r>
      <w:r>
        <w:br/>
      </w:r>
      <w:r>
        <w:rPr/>
        <w:t>6、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7、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8、涉及到软件产品的，必须采购和使用正版软件，项目中涉及计算机办公产品的，必须预装正版操作系统软件。</w:t>
      </w:r>
      <w:r>
        <w:br/>
      </w:r>
      <w:r>
        <w:rPr/>
        <w:t>9、投标人没有在投标文件中注明偏离（文字说明或在响应表注明）的参数、配置、条款视为被投标人完全接受。</w:t>
      </w:r>
      <w:r>
        <w:br/>
      </w:r>
      <w:r>
        <w:rPr/>
        <w:t>10、投标人应保证，采购人在中华人民共和国使用该货物或货物的任何一部分时，免受第三方提出的侵犯其专利权、商标权、著作权或其它知识产权的起诉。</w:t>
      </w:r>
      <w:r>
        <w:br/>
      </w:r>
      <w:r>
        <w:rPr/>
        <w:t>11、不允许中标供应商转包、分包项目内容。</w:t>
      </w:r>
      <w:r>
        <w:br/>
      </w:r>
      <w:r>
        <w:rPr/>
        <w:t>12、小型和微型企业、监狱企业和残疾人福利性单位必须按照招标文件第三章内容提供相应的资料。</w:t>
      </w:r>
      <w:r>
        <w:br/>
      </w:r>
      <w:r>
        <w:rPr/>
        <w:t>13、需落实政府采购政策为：促进中小企业发展政策、支持监狱企业发展政策、支持残疾人福利性单位发展政策、优先采购节能产品、环境标志产品相关政策等。</w:t>
      </w:r>
      <w:r>
        <w:br/>
      </w:r>
      <w:r>
        <w:rPr/>
        <w:t>14、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★15、如投标人非系统开发商的，且所投产品为中华人民共和国境外提供的产品，须提供系统来源渠道合法的证明文件（原厂授权销售协议、代理协议、授权书等其中之一）</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r>
        <w:br/>
      </w:r>
      <w:r>
        <w:rPr/>
        <w:t>（二）报价方式：</w:t>
      </w:r>
      <w:r>
        <w:br/>
      </w:r>
      <w:r>
        <w:rPr/>
        <w:t>1、中华人民共和国关境内提供的货物以人民币报价。</w:t>
      </w:r>
      <w:r>
        <w:br/>
      </w:r>
      <w:r>
        <w:rPr/>
        <w:t>价格包括：货款、设计、安装、随机零配件、标配工具（不含耗材）、调试、培训、质保期服务、各项税费及合同实施过程中不可预见费用等。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注：根据国务院关税税则委员会关于对原产于境外进口商品加征关税的系列公告，中标供应商提供的货物原产地如来自境外，且该货物在公告的商品清单内的，加征的关税由采购人支付。</w:t>
      </w:r>
      <w:r>
        <w:br/>
      </w:r>
      <w:r>
        <w:rPr/>
        <w:t>（六）实现的功能</w:t>
      </w:r>
      <w:r>
        <w:br/>
      </w:r>
      <w:r>
        <w:rPr/>
        <w:t>电子束仿真软件用于电子光学元件电磁场计算及电子光学系统光学性能计算及像差分析。</w:t>
      </w:r>
      <w:r>
        <w:br/>
      </w:r>
      <w:r>
        <w:rPr/>
        <w:t>（七）需执行国家相关标准、行业标准、地方标准或者其他标准、规范</w:t>
      </w:r>
      <w:r>
        <w:br/>
      </w:r>
      <w:r>
        <w:rPr/>
        <w:t xml:space="preserve"> </w:t>
      </w:r>
    </w:p>
    <w:p/>
    <w:p>
      <w:pPr>
        <w:ind w:firstLine="480"/>
      </w:pPr>
    </w:p>
    <w:p/>
    <w:p>
      <w:r>
        <w:rPr/>
        <w:t>采购包1（多功能电子束仿真软件）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签订合同后1个月之内进行交付、验收合格并可正常使用。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签订合同后10个工作日内（如中标供应商属于中小企业【响应文件提交《中小企业声明函》作为判断的依据】，则付款时限调整为合同签订后5个工作日内），采购人向中标供应商支付合同价的100%。 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3.中标供应商将产品的用户手册、有关单证资料等交付给采购人。 4.产品安装完毕后5个工作日内，采购人应组织验收工作。产品数量和类型应与合同相符，资料齐全。在验收过程中，若发现产品有短缺或不符合本合同条款和质量标准的情况，中标供应商负责补齐、更换，由此引起一切费用由中标供应商承担。 5.采购人组成验收小组，按照采购合同规定的技术、服务、安全标准组织对中标供应商履约情况进行验收。因产品质量问题发生争议时，由采购人本地质量技术监督部门鉴定。产品符合质量技术标准的，鉴定费由采购人承担；否则鉴定费由中标供应商承担。 6.当出现不合格产品时，中标供应商要无条件更换合格产品。除采购人认可，否则不接受任何形式的降格处理。 7.验收合格后，中标供应商需提供以下资料给采购人： （1）收货凭证；  （2）验收合格报告；  （3）国内产品提供增值税专用发票，进口产品则提供形式发票。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安装与调试，1.中标供应商必须按项目进度安排计划，派适当的技术人员负责安装和调试工作指导。 中标供应商必须依照项目采购文件的要求和投标文件的承诺，指导采购人将系统安装并调试至正常运行的最佳状态。</w:t>
            </w:r>
          </w:p>
          <w:p/>
          <w:p>
            <w:r>
              <w:rPr/>
              <w:t>技术培训，1.产品搭建后，须对采购人进行在线技术培训，技术培训须在产品上线前完成，内容包括产品的基本原理和构造、产品使用方法、日常维护及一般故障排除，直至操作人员能熟练使用该产品。培训期间产生费用由中标供应商承担。 2.中标供应商须在投标文件中提出培训计划和课程内容安排，并在合同签订后征得采购人同意后实施。 3.中标供应商提出的培训内容，应在投标文件中说明。 4.质保期内，中标供应商须随时提供技术指导和交流，过程所产生的费用包含在投标报价之中。</w:t>
            </w:r>
          </w:p>
          <w:p/>
          <w:p>
            <w:r>
              <w:rPr/>
              <w:t>质量保证期，1.质量保证期不少于2年，并提供终身服务。保修期内，所有服务全部包含在报价中。“技术标准与要求”中另有要求的，以其中的要求为准。 2.质量保证期自中标供应商交货之日起计算。</w:t>
            </w:r>
          </w:p>
          <w:p/>
          <w:p>
            <w:r>
              <w:rPr/>
              <w:t>售后服务，1.质保期内，软件系统发生故障需要服务时，可协助采购人纠正非由采购人造成的错误或其他故障，接到故障通知48小时内给予解答。 2.质保期内，中标供应商须通过微信、QQ、邮件方式保持常态化的及时咨询服务，具备提供本地化服务能力、需提供售后服务内容和售后服务流程及售后团队说明，可随时答复采购人关于使用本软件或相关产品时提出的问题和要求。 3.质保期结束后，中标供应商须保障设置采购人可无使用期限。 4.质保期内，为用户提供更新、修订或增强版的软件版本（如有），费用包含在投标报价之中。升级内容包含解决的BUG。</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应用软件</w:t>
            </w:r>
          </w:p>
        </w:tc>
        <w:tc>
          <w:tcPr>
            <w:tcW w:type="dxa" w:w="831"/>
          </w:tcPr>
          <w:p>
            <w:pPr>
              <w:jc w:val="left"/>
            </w:pPr>
            <w:r>
              <w:rPr/>
              <w:t>多功能电子束仿真软件</w:t>
            </w:r>
          </w:p>
        </w:tc>
        <w:tc>
          <w:tcPr>
            <w:tcW w:type="dxa" w:w="831"/>
          </w:tcPr>
          <w:p>
            <w:pPr>
              <w:jc w:val="left"/>
            </w:pPr>
            <w:r>
              <w:rPr/>
              <w:t>套</w:t>
            </w:r>
          </w:p>
        </w:tc>
        <w:tc>
          <w:tcPr>
            <w:tcW w:type="dxa" w:w="831"/>
          </w:tcPr>
          <w:p>
            <w:pPr>
              <w:jc w:val="right"/>
            </w:pPr>
            <w:r>
              <w:rPr/>
              <w:t>1.00</w:t>
            </w:r>
          </w:p>
        </w:tc>
        <w:tc>
          <w:tcPr>
            <w:tcW w:type="dxa" w:w="831"/>
          </w:tcPr>
          <w:p>
            <w:pPr>
              <w:jc w:val="right"/>
            </w:pPr>
            <w:r>
              <w:rPr/>
              <w:t>1,981,000.00</w:t>
            </w:r>
          </w:p>
        </w:tc>
        <w:tc>
          <w:tcPr>
            <w:tcW w:type="dxa" w:w="831"/>
          </w:tcPr>
          <w:p>
            <w:pPr>
              <w:jc w:val="right"/>
            </w:pPr>
            <w:r>
              <w:rPr/>
              <w:t>1,981,000.00</w:t>
            </w:r>
          </w:p>
        </w:tc>
        <w:tc>
          <w:tcPr>
            <w:tcW w:type="dxa" w:w="831"/>
          </w:tcPr>
          <w:p>
            <w:r>
              <w:rPr/>
              <w:t>软件和信息技术服务业</w:t>
            </w:r>
          </w:p>
        </w:tc>
        <w:tc>
          <w:tcPr>
            <w:tcW w:type="dxa" w:w="831"/>
          </w:tcPr>
          <w:p>
            <w:r>
              <w:rPr/>
              <w:t>详见附表一</w:t>
            </w:r>
          </w:p>
        </w:tc>
      </w:tr>
    </w:tbl>
    <w:p/>
    <w:p>
      <w:r>
        <w:rPr>
          <w:b/>
        </w:rPr>
        <w:t>附表</w:t>
      </w:r>
      <w:r>
        <w:rPr>
          <w:b/>
        </w:rPr>
        <w:t>一</w:t>
      </w:r>
      <w:r>
        <w:rPr>
          <w:b/>
        </w:rPr>
        <w:t>：</w:t>
      </w:r>
      <w:r>
        <w:rPr>
          <w:b/>
        </w:rPr>
        <w:t>多功能电子束仿真软件</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 </w:t>
            </w:r>
          </w:p>
          <w:tbl>
            <w:tblPr>
              <w:tblBorders>
                <w:top w:val="none" w:color="000000" w:sz="4"/>
                <w:left w:val="none" w:color="000000" w:sz="4"/>
                <w:bottom w:val="none" w:color="000000" w:sz="4"/>
                <w:right w:val="none" w:color="000000" w:sz="4"/>
                <w:insideH w:val="none"/>
                <w:insideV w:val="none"/>
              </w:tblBorders>
            </w:tblPr>
            <w:tblGrid>
              <w:gridCol w:w="232"/>
              <w:gridCol w:w="5356"/>
            </w:tblGrid>
            <w:tr>
              <w:tc>
                <w:tcPr>
                  <w:tcW w:type="dxa" w:w="232"/>
                  <w:tcBorders>
                    <w:top w:val="single" w:color="000000" w:sz="8"/>
                    <w:left w:val="single" w:color="000000" w:sz="8"/>
                    <w:bottom w:val="single" w:color="000000" w:sz="8"/>
                    <w:right w:val="single" w:color="000000" w:sz="8"/>
                  </w:tcBorders>
                </w:tcPr>
                <w:p>
                  <w:r>
                    <w:rPr>
                      <w:sz w:val="21"/>
                    </w:rPr>
                    <w:t>序号</w:t>
                  </w:r>
                </w:p>
              </w:tc>
              <w:tc>
                <w:tcPr>
                  <w:tcW w:type="dxa" w:w="5356"/>
                  <w:tcBorders>
                    <w:top w:val="single" w:color="000000" w:sz="8"/>
                    <w:left w:val="none" w:color="000000" w:sz="4"/>
                    <w:bottom w:val="single" w:color="000000" w:sz="8"/>
                    <w:right w:val="single" w:color="000000" w:sz="8"/>
                  </w:tcBorders>
                </w:tcPr>
                <w:p>
                  <w:r>
                    <w:rPr>
                      <w:sz w:val="21"/>
                    </w:rPr>
                    <w:t>功能、技术参数和性能指标</w:t>
                  </w:r>
                </w:p>
              </w:tc>
            </w:tr>
            <w:tr>
              <w:tc>
                <w:tcPr>
                  <w:tcW w:type="dxa" w:w="232"/>
                  <w:tcBorders>
                    <w:top w:val="none" w:color="000000" w:sz="4"/>
                    <w:left w:val="single" w:color="000000" w:sz="8"/>
                    <w:bottom w:val="single" w:color="000000" w:sz="8"/>
                    <w:right w:val="single" w:color="000000" w:sz="8"/>
                  </w:tcBorders>
                  <w:vAlign w:val="top"/>
                </w:tcPr>
                <w:p>
                  <w:pPr>
                    <w:jc w:val="center"/>
                  </w:pPr>
                  <w:r>
                    <w:rPr/>
                    <w:t>1.</w:t>
                  </w:r>
                </w:p>
              </w:tc>
              <w:tc>
                <w:tcPr>
                  <w:tcW w:type="dxa" w:w="5356"/>
                  <w:tcBorders>
                    <w:top w:val="none" w:color="000000" w:sz="4"/>
                    <w:left w:val="none" w:color="000000" w:sz="4"/>
                    <w:bottom w:val="single" w:color="000000" w:sz="8"/>
                    <w:right w:val="single" w:color="000000" w:sz="8"/>
                  </w:tcBorders>
                  <w:vAlign w:val="top"/>
                </w:tcPr>
                <w:p>
                  <w:r>
                    <w:rPr>
                      <w:sz w:val="21"/>
                    </w:rPr>
                    <w:t>电子光学柱模拟仿真功能</w:t>
                  </w:r>
                </w:p>
                <w:p>
                  <w:r>
                    <w:rPr>
                      <w:sz w:val="21"/>
                    </w:rPr>
                    <w:t>（</w:t>
                  </w:r>
                  <w:r>
                    <w:rPr>
                      <w:sz w:val="21"/>
                    </w:rPr>
                    <w:t>1</w:t>
                  </w:r>
                  <w:r>
                    <w:rPr>
                      <w:sz w:val="21"/>
                    </w:rPr>
                    <w:t>）可对包含电磁透镜和电磁偏转器的完整电子光学柱（包括电子束光柱体和离子束光柱体）进行仿真计算；</w:t>
                  </w:r>
                </w:p>
                <w:p>
                  <w:r>
                    <w:rPr>
                      <w:sz w:val="21"/>
                    </w:rPr>
                    <w:t>★（</w:t>
                  </w:r>
                  <w:r>
                    <w:rPr>
                      <w:sz w:val="21"/>
                    </w:rPr>
                    <w:t>2</w:t>
                  </w:r>
                  <w:r>
                    <w:rPr>
                      <w:sz w:val="21"/>
                    </w:rPr>
                    <w:t>）电子光学柱可包含主场、子场、次子场</w:t>
                  </w:r>
                  <w:r>
                    <w:rPr>
                      <w:sz w:val="21"/>
                    </w:rPr>
                    <w:t>3</w:t>
                  </w:r>
                  <w:r>
                    <w:rPr>
                      <w:sz w:val="21"/>
                    </w:rPr>
                    <w:t>级偏转系统；</w:t>
                  </w:r>
                </w:p>
                <w:p>
                  <w:r>
                    <w:rPr>
                      <w:sz w:val="21"/>
                    </w:rPr>
                    <w:t>（</w:t>
                  </w:r>
                  <w:r>
                    <w:rPr>
                      <w:sz w:val="21"/>
                    </w:rPr>
                    <w:t>3</w:t>
                  </w:r>
                  <w:r>
                    <w:rPr>
                      <w:sz w:val="21"/>
                    </w:rPr>
                    <w:t>）可计算单个电磁透镜、偏转器的场分布；</w:t>
                  </w:r>
                </w:p>
                <w:p>
                  <w:r>
                    <w:rPr>
                      <w:sz w:val="21"/>
                    </w:rPr>
                    <w:t>（</w:t>
                  </w:r>
                  <w:r>
                    <w:rPr>
                      <w:sz w:val="21"/>
                    </w:rPr>
                    <w:t>4</w:t>
                  </w:r>
                  <w:r>
                    <w:rPr>
                      <w:sz w:val="21"/>
                    </w:rPr>
                    <w:t>）可计算单个及组合电磁透镜、偏转器的光学性能及像差，像差计算精度为小数点后两位（单位为纳米）。</w:t>
                  </w:r>
                </w:p>
                <w:p>
                  <w:r>
                    <w:rPr>
                      <w:sz w:val="21"/>
                    </w:rPr>
                    <w:t>★（</w:t>
                  </w:r>
                  <w:r>
                    <w:rPr>
                      <w:sz w:val="21"/>
                    </w:rPr>
                    <w:t>5</w:t>
                  </w:r>
                  <w:r>
                    <w:rPr>
                      <w:sz w:val="21"/>
                    </w:rPr>
                    <w:t>）可计算三阶几何像差（包括球差、慧差、畸变、场曲、像散等）和一阶色差（包括轴上色差和偏转色差）参数值；</w:t>
                  </w:r>
                </w:p>
                <w:p>
                  <w:r>
                    <w:rPr>
                      <w:sz w:val="21"/>
                    </w:rPr>
                    <w:t>（</w:t>
                  </w:r>
                  <w:r>
                    <w:rPr>
                      <w:sz w:val="21"/>
                    </w:rPr>
                    <w:t>6</w:t>
                  </w:r>
                  <w:r>
                    <w:rPr>
                      <w:sz w:val="21"/>
                    </w:rPr>
                    <w:t>）可计算一阶光学性能（包括磁透镜激励，静电透镜电压、光学放大倍数、像旋转角度、三级偏转系统偏转灵敏度和方向、像面顶角处电子束斜率）；</w:t>
                  </w:r>
                </w:p>
                <w:p>
                  <w:r>
                    <w:rPr>
                      <w:sz w:val="21"/>
                    </w:rPr>
                    <w:t>★（</w:t>
                  </w:r>
                  <w:r>
                    <w:rPr>
                      <w:sz w:val="21"/>
                    </w:rPr>
                    <w:t>7</w:t>
                  </w:r>
                  <w:r>
                    <w:rPr>
                      <w:sz w:val="21"/>
                    </w:rPr>
                    <w:t>）可图形化显示电子束旁轴轨迹和像差效果（投标人须提供所投产品的彩页截图或投标产品的生产厂家使用说明书，如彩页截图或厂家使用说明书为英文版，需对内容进行中文说明，否则投标无效）。</w:t>
                  </w:r>
                </w:p>
              </w:tc>
            </w:tr>
            <w:tr>
              <w:tc>
                <w:tcPr>
                  <w:tcW w:type="dxa" w:w="232"/>
                  <w:tcBorders>
                    <w:top w:val="none" w:color="000000" w:sz="4"/>
                    <w:left w:val="single" w:color="000000" w:sz="8"/>
                    <w:bottom w:val="single" w:color="000000" w:sz="8"/>
                    <w:right w:val="single" w:color="000000" w:sz="8"/>
                  </w:tcBorders>
                  <w:vAlign w:val="top"/>
                </w:tcPr>
                <w:p>
                  <w:pPr>
                    <w:jc w:val="center"/>
                  </w:pPr>
                  <w:r>
                    <w:rPr/>
                    <w:t>2.</w:t>
                  </w:r>
                </w:p>
              </w:tc>
              <w:tc>
                <w:tcPr>
                  <w:tcW w:type="dxa" w:w="5356"/>
                  <w:tcBorders>
                    <w:top w:val="none" w:color="000000" w:sz="4"/>
                    <w:left w:val="none" w:color="000000" w:sz="4"/>
                    <w:bottom w:val="single" w:color="000000" w:sz="8"/>
                    <w:right w:val="single" w:color="000000" w:sz="8"/>
                  </w:tcBorders>
                  <w:vAlign w:val="top"/>
                </w:tcPr>
                <w:p>
                  <w:r>
                    <w:rPr>
                      <w:sz w:val="21"/>
                    </w:rPr>
                    <w:t>光柱体公差计算及优化功能</w:t>
                  </w:r>
                </w:p>
                <w:p>
                  <w:r>
                    <w:rPr>
                      <w:sz w:val="21"/>
                    </w:rPr>
                    <w:t>（</w:t>
                  </w:r>
                  <w:r>
                    <w:rPr>
                      <w:sz w:val="21"/>
                    </w:rPr>
                    <w:t>1</w:t>
                  </w:r>
                  <w:r>
                    <w:rPr>
                      <w:sz w:val="21"/>
                    </w:rPr>
                    <w:t>）可计算电磁透镜、偏转器由于加工、安装误差所带来的扰动场分布；</w:t>
                  </w:r>
                </w:p>
                <w:p>
                  <w:r>
                    <w:rPr>
                      <w:sz w:val="21"/>
                    </w:rPr>
                    <w:t>（</w:t>
                  </w:r>
                  <w:r>
                    <w:rPr>
                      <w:sz w:val="21"/>
                    </w:rPr>
                    <w:t>2</w:t>
                  </w:r>
                  <w:r>
                    <w:rPr>
                      <w:sz w:val="21"/>
                    </w:rPr>
                    <w:t>）可计算包含扰动场所引起的非对称像差；</w:t>
                  </w:r>
                </w:p>
                <w:p>
                  <w:r>
                    <w:rPr>
                      <w:sz w:val="21"/>
                    </w:rPr>
                    <w:t>（</w:t>
                  </w:r>
                  <w:r>
                    <w:rPr>
                      <w:sz w:val="21"/>
                    </w:rPr>
                    <w:t>3</w:t>
                  </w:r>
                  <w:r>
                    <w:rPr>
                      <w:sz w:val="21"/>
                    </w:rPr>
                    <w:t>）可对常规和带有非对称像差的效果进行图形化显示（投标人须提供所投产品的彩页截图或投标产品的生产厂家使用说明书，如彩页截图或厂家使用说明书为英文版，需对内容进行中文说明）；</w:t>
                  </w:r>
                </w:p>
                <w:p>
                  <w:r>
                    <w:rPr>
                      <w:sz w:val="21"/>
                    </w:rPr>
                    <w:t>（</w:t>
                  </w:r>
                  <w:r>
                    <w:rPr>
                      <w:sz w:val="21"/>
                    </w:rPr>
                    <w:t>4</w:t>
                  </w:r>
                  <w:r>
                    <w:rPr>
                      <w:sz w:val="21"/>
                    </w:rPr>
                    <w:t>）误差包括磁透镜极靴间对准误差、极靴椭圆度、极靴倾斜、极靴径向偏移带来的误差，静电透镜电极间对准误差、电极椭圆度、电极倾斜、电极径向偏移带来的误差，磁偏转器线圈和静电偏转器电极在径向、轴向、角向的误差。</w:t>
                  </w:r>
                </w:p>
                <w:p>
                  <w:r>
                    <w:rPr>
                      <w:sz w:val="21"/>
                    </w:rPr>
                    <w:t>★（</w:t>
                  </w:r>
                  <w:r>
                    <w:rPr>
                      <w:sz w:val="21"/>
                    </w:rPr>
                    <w:t>5</w:t>
                  </w:r>
                  <w:r>
                    <w:rPr>
                      <w:sz w:val="21"/>
                    </w:rPr>
                    <w:t>）可对电子光学柱三阶光学性能进行优化，包括电磁透镜、偏转器的位置、几何尺寸比例，多个透镜间相对强度、多个偏转器间相对强度、相对转角优化。</w:t>
                  </w:r>
                </w:p>
                <w:p>
                  <w:r>
                    <w:rPr>
                      <w:sz w:val="21"/>
                    </w:rPr>
                    <w:t>（</w:t>
                  </w:r>
                  <w:r>
                    <w:rPr>
                      <w:sz w:val="21"/>
                    </w:rPr>
                    <w:t>6</w:t>
                  </w:r>
                  <w:r>
                    <w:rPr>
                      <w:sz w:val="21"/>
                    </w:rPr>
                    <w:t>）可对球差、色差、场曲、像散、畸变、色差、电子束上靶角设置优化权重。</w:t>
                  </w:r>
                </w:p>
              </w:tc>
            </w:tr>
            <w:tr>
              <w:tc>
                <w:tcPr>
                  <w:tcW w:type="dxa" w:w="232"/>
                  <w:tcBorders>
                    <w:top w:val="none" w:color="000000" w:sz="4"/>
                    <w:left w:val="single" w:color="000000" w:sz="8"/>
                    <w:bottom w:val="single" w:color="000000" w:sz="8"/>
                    <w:right w:val="single" w:color="000000" w:sz="8"/>
                  </w:tcBorders>
                  <w:vAlign w:val="top"/>
                </w:tcPr>
                <w:p>
                  <w:pPr>
                    <w:jc w:val="center"/>
                  </w:pPr>
                  <w:r>
                    <w:rPr/>
                    <w:t>3.</w:t>
                  </w:r>
                </w:p>
              </w:tc>
              <w:tc>
                <w:tcPr>
                  <w:tcW w:type="dxa" w:w="5356"/>
                  <w:tcBorders>
                    <w:top w:val="none" w:color="000000" w:sz="4"/>
                    <w:left w:val="none" w:color="000000" w:sz="4"/>
                    <w:bottom w:val="single" w:color="000000" w:sz="8"/>
                    <w:right w:val="single" w:color="000000" w:sz="8"/>
                  </w:tcBorders>
                  <w:vAlign w:val="top"/>
                </w:tcPr>
                <w:p>
                  <w:r>
                    <w:rPr>
                      <w:sz w:val="21"/>
                    </w:rPr>
                    <w:t>动态校正元件设计功能</w:t>
                  </w:r>
                </w:p>
                <w:p>
                  <w:r>
                    <w:rPr>
                      <w:sz w:val="21"/>
                    </w:rPr>
                    <w:t>（</w:t>
                  </w:r>
                  <w:r>
                    <w:rPr>
                      <w:sz w:val="21"/>
                    </w:rPr>
                    <w:t>1</w:t>
                  </w:r>
                  <w:r>
                    <w:rPr>
                      <w:sz w:val="21"/>
                    </w:rPr>
                    <w:t>）可以设计消像散器和动态聚焦元件校正</w:t>
                  </w:r>
                  <w:r>
                    <w:rPr>
                      <w:sz w:val="21"/>
                    </w:rPr>
                    <w:t>3</w:t>
                  </w:r>
                  <w:r>
                    <w:rPr>
                      <w:sz w:val="21"/>
                    </w:rPr>
                    <w:t>阶场曲和像散，并计算所需要的激励强度。</w:t>
                  </w:r>
                </w:p>
              </w:tc>
            </w:tr>
            <w:tr>
              <w:tc>
                <w:tcPr>
                  <w:tcW w:type="dxa" w:w="232"/>
                  <w:tcBorders>
                    <w:top w:val="none" w:color="000000" w:sz="4"/>
                    <w:left w:val="single" w:color="000000" w:sz="8"/>
                    <w:bottom w:val="single" w:color="000000" w:sz="8"/>
                    <w:right w:val="single" w:color="000000" w:sz="8"/>
                  </w:tcBorders>
                  <w:vAlign w:val="top"/>
                </w:tcPr>
                <w:p>
                  <w:pPr>
                    <w:jc w:val="center"/>
                  </w:pPr>
                  <w:r>
                    <w:rPr/>
                    <w:t>4.</w:t>
                  </w:r>
                </w:p>
              </w:tc>
              <w:tc>
                <w:tcPr>
                  <w:tcW w:type="dxa" w:w="5356"/>
                  <w:tcBorders>
                    <w:top w:val="none" w:color="000000" w:sz="4"/>
                    <w:left w:val="none" w:color="000000" w:sz="4"/>
                    <w:bottom w:val="single" w:color="000000" w:sz="8"/>
                    <w:right w:val="single" w:color="000000" w:sz="8"/>
                  </w:tcBorders>
                  <w:vAlign w:val="top"/>
                </w:tcPr>
                <w:p>
                  <w:r>
                    <w:rPr>
                      <w:sz w:val="21"/>
                    </w:rPr>
                    <w:t>5</w:t>
                  </w:r>
                  <w:r>
                    <w:rPr>
                      <w:sz w:val="21"/>
                    </w:rPr>
                    <w:t>阶像差的计算、光柱体优化、动态校正元件设计功能</w:t>
                  </w:r>
                </w:p>
                <w:p>
                  <w:r>
                    <w:rPr>
                      <w:sz w:val="21"/>
                    </w:rPr>
                    <w:t>（</w:t>
                  </w:r>
                  <w:r>
                    <w:rPr>
                      <w:sz w:val="21"/>
                    </w:rPr>
                    <w:t>1</w:t>
                  </w:r>
                  <w:r>
                    <w:rPr>
                      <w:sz w:val="21"/>
                    </w:rPr>
                    <w:t>）</w:t>
                  </w:r>
                  <w:r>
                    <w:rPr>
                      <w:sz w:val="21"/>
                    </w:rPr>
                    <w:t>可</w:t>
                  </w:r>
                  <w:r>
                    <w:rPr>
                      <w:sz w:val="21"/>
                    </w:rPr>
                    <w:t>对包含电磁透镜和电磁偏转器的完整电子光学柱（包括电子束光柱体和离子束光柱体，电子光学柱可包含主场、子场、次子场</w:t>
                  </w:r>
                  <w:r>
                    <w:rPr>
                      <w:sz w:val="21"/>
                    </w:rPr>
                    <w:t>3</w:t>
                  </w:r>
                  <w:r>
                    <w:rPr>
                      <w:sz w:val="21"/>
                    </w:rPr>
                    <w:t>级偏转系统）进行仿真计算，</w:t>
                  </w:r>
                  <w:r>
                    <w:rPr>
                      <w:sz w:val="21"/>
                    </w:rPr>
                    <w:t>计算</w:t>
                  </w:r>
                  <w:r>
                    <w:rPr>
                      <w:sz w:val="21"/>
                    </w:rPr>
                    <w:t>5</w:t>
                  </w:r>
                  <w:r>
                    <w:rPr>
                      <w:sz w:val="21"/>
                    </w:rPr>
                    <w:t>阶几何像差和</w:t>
                  </w:r>
                  <w:r>
                    <w:rPr>
                      <w:sz w:val="21"/>
                    </w:rPr>
                    <w:t>3</w:t>
                  </w:r>
                  <w:r>
                    <w:rPr>
                      <w:sz w:val="21"/>
                    </w:rPr>
                    <w:t>阶色差，</w:t>
                  </w:r>
                  <w:r>
                    <w:rPr>
                      <w:sz w:val="21"/>
                    </w:rPr>
                    <w:t>可图形化显示像差效果；</w:t>
                  </w:r>
                </w:p>
                <w:p>
                  <w:r>
                    <w:rPr>
                      <w:sz w:val="21"/>
                    </w:rPr>
                    <w:t>★（</w:t>
                  </w:r>
                  <w:r>
                    <w:rPr>
                      <w:sz w:val="21"/>
                    </w:rPr>
                    <w:t>2</w:t>
                  </w:r>
                  <w:r>
                    <w:rPr>
                      <w:sz w:val="21"/>
                    </w:rPr>
                    <w:t>）可面向</w:t>
                  </w:r>
                  <w:r>
                    <w:rPr>
                      <w:sz w:val="21"/>
                    </w:rPr>
                    <w:t>5</w:t>
                  </w:r>
                  <w:r>
                    <w:rPr>
                      <w:sz w:val="21"/>
                    </w:rPr>
                    <w:t>阶像差进行优化，可对透镜和偏转器轴上位置、尺寸、相对强度以及偏转器的相对转角进行优化；</w:t>
                  </w:r>
                </w:p>
                <w:p>
                  <w:r>
                    <w:rPr>
                      <w:sz w:val="21"/>
                    </w:rPr>
                    <w:t>（</w:t>
                  </w:r>
                  <w:r>
                    <w:rPr>
                      <w:sz w:val="21"/>
                    </w:rPr>
                    <w:t>3</w:t>
                  </w:r>
                  <w:r>
                    <w:rPr>
                      <w:sz w:val="21"/>
                    </w:rPr>
                    <w:t>）可以设计消像散器和动态聚焦元件校正</w:t>
                  </w:r>
                  <w:r>
                    <w:rPr>
                      <w:sz w:val="21"/>
                    </w:rPr>
                    <w:t>5</w:t>
                  </w:r>
                  <w:r>
                    <w:rPr>
                      <w:sz w:val="21"/>
                    </w:rPr>
                    <w:t>阶场曲和像散，并计算所需要的激励强度。</w:t>
                  </w:r>
                </w:p>
                <w:p>
                  <w:r>
                    <w:rPr>
                      <w:sz w:val="21"/>
                    </w:rPr>
                    <w:t>（</w:t>
                  </w:r>
                  <w:r>
                    <w:rPr>
                      <w:sz w:val="21"/>
                    </w:rPr>
                    <w:t>4</w:t>
                  </w:r>
                  <w:r>
                    <w:rPr>
                      <w:sz w:val="21"/>
                    </w:rPr>
                    <w:t>）可图形化显示优化前后包含</w:t>
                  </w:r>
                  <w:r>
                    <w:rPr>
                      <w:sz w:val="21"/>
                    </w:rPr>
                    <w:t>5</w:t>
                  </w:r>
                  <w:r>
                    <w:rPr>
                      <w:sz w:val="21"/>
                    </w:rPr>
                    <w:t>阶像差的像差效果（投标人须提供所投产品的彩页截图或投标产品的生产厂家使用说明书，如彩页截图或厂家使用说明书为英文版，需对内容进行中文说明）。</w:t>
                  </w:r>
                </w:p>
              </w:tc>
            </w:tr>
            <w:tr>
              <w:tc>
                <w:tcPr>
                  <w:tcW w:type="dxa" w:w="232"/>
                  <w:tcBorders>
                    <w:top w:val="none" w:color="000000" w:sz="4"/>
                    <w:left w:val="single" w:color="000000" w:sz="8"/>
                    <w:bottom w:val="single" w:color="000000" w:sz="8"/>
                    <w:right w:val="single" w:color="000000" w:sz="8"/>
                  </w:tcBorders>
                  <w:vAlign w:val="top"/>
                </w:tcPr>
                <w:p>
                  <w:pPr>
                    <w:jc w:val="center"/>
                  </w:pPr>
                  <w:r>
                    <w:rPr/>
                    <w:t>5.</w:t>
                  </w:r>
                </w:p>
              </w:tc>
              <w:tc>
                <w:tcPr>
                  <w:tcW w:type="dxa" w:w="5356"/>
                  <w:tcBorders>
                    <w:top w:val="none" w:color="000000" w:sz="4"/>
                    <w:left w:val="none" w:color="000000" w:sz="4"/>
                    <w:bottom w:val="single" w:color="000000" w:sz="8"/>
                    <w:right w:val="single" w:color="000000" w:sz="8"/>
                  </w:tcBorders>
                  <w:vAlign w:val="top"/>
                </w:tcPr>
                <w:p>
                  <w:r>
                    <w:rPr>
                      <w:sz w:val="21"/>
                    </w:rPr>
                    <w:t>电子枪设计（仅静电聚焦）功能</w:t>
                  </w:r>
                </w:p>
                <w:p>
                  <w:r>
                    <w:rPr>
                      <w:sz w:val="21"/>
                    </w:rPr>
                    <w:t>★（</w:t>
                  </w:r>
                  <w:r>
                    <w:rPr>
                      <w:sz w:val="21"/>
                    </w:rPr>
                    <w:t>1</w:t>
                  </w:r>
                  <w:r>
                    <w:rPr>
                      <w:sz w:val="21"/>
                    </w:rPr>
                    <w:t>）可对静电型热发射、热场发射、冷场发射电子源进行设计，计算像差、亮度；</w:t>
                  </w:r>
                </w:p>
                <w:p>
                  <w:r>
                    <w:rPr>
                      <w:sz w:val="21"/>
                    </w:rPr>
                    <w:t>（</w:t>
                  </w:r>
                  <w:r>
                    <w:rPr>
                      <w:sz w:val="21"/>
                    </w:rPr>
                    <w:t>2</w:t>
                  </w:r>
                  <w:r>
                    <w:rPr>
                      <w:sz w:val="21"/>
                    </w:rPr>
                    <w:t>）可绘出电子轨迹和等势线；可绘出电子束斑图、束流密度图。</w:t>
                  </w:r>
                </w:p>
              </w:tc>
            </w:tr>
            <w:tr>
              <w:tc>
                <w:tcPr>
                  <w:tcW w:type="dxa" w:w="232"/>
                  <w:tcBorders>
                    <w:top w:val="none" w:color="000000" w:sz="4"/>
                    <w:left w:val="single" w:color="000000" w:sz="8"/>
                    <w:bottom w:val="single" w:color="000000" w:sz="8"/>
                    <w:right w:val="single" w:color="000000" w:sz="8"/>
                  </w:tcBorders>
                  <w:vAlign w:val="top"/>
                </w:tcPr>
                <w:p>
                  <w:pPr>
                    <w:jc w:val="center"/>
                  </w:pPr>
                  <w:r>
                    <w:rPr/>
                    <w:t>6.</w:t>
                  </w:r>
                </w:p>
              </w:tc>
              <w:tc>
                <w:tcPr>
                  <w:tcW w:type="dxa" w:w="5356"/>
                  <w:tcBorders>
                    <w:top w:val="none" w:color="000000" w:sz="4"/>
                    <w:left w:val="none" w:color="000000" w:sz="4"/>
                    <w:bottom w:val="single" w:color="000000" w:sz="8"/>
                    <w:right w:val="single" w:color="000000" w:sz="8"/>
                  </w:tcBorders>
                  <w:vAlign w:val="top"/>
                </w:tcPr>
                <w:p>
                  <w:r>
                    <w:rPr>
                      <w:sz w:val="21"/>
                    </w:rPr>
                    <w:t>电子源设计（含磁聚焦）功能</w:t>
                  </w:r>
                </w:p>
                <w:p>
                  <w:r>
                    <w:rPr>
                      <w:sz w:val="21"/>
                    </w:rPr>
                    <w:t>（</w:t>
                  </w:r>
                  <w:r>
                    <w:rPr>
                      <w:sz w:val="21"/>
                    </w:rPr>
                    <w:t>1</w:t>
                  </w:r>
                  <w:r>
                    <w:rPr>
                      <w:sz w:val="21"/>
                    </w:rPr>
                    <w:t>）可对磁场型热发射、热场发射、冷场发射电子源进行设计，计算像差、亮度；</w:t>
                  </w:r>
                </w:p>
                <w:p>
                  <w:r>
                    <w:rPr>
                      <w:sz w:val="21"/>
                    </w:rPr>
                    <w:t>（</w:t>
                  </w:r>
                  <w:r>
                    <w:rPr>
                      <w:sz w:val="21"/>
                    </w:rPr>
                    <w:t>2</w:t>
                  </w:r>
                  <w:r>
                    <w:rPr>
                      <w:sz w:val="21"/>
                    </w:rPr>
                    <w:t>）可绘出电子轨迹和等势线；</w:t>
                  </w:r>
                </w:p>
                <w:p>
                  <w:r>
                    <w:rPr>
                      <w:sz w:val="21"/>
                    </w:rPr>
                    <w:t>（</w:t>
                  </w:r>
                  <w:r>
                    <w:rPr>
                      <w:sz w:val="21"/>
                    </w:rPr>
                    <w:t>3</w:t>
                  </w:r>
                  <w:r>
                    <w:rPr>
                      <w:sz w:val="21"/>
                    </w:rPr>
                    <w:t>）可绘出电子束斑图、束流密度图（投标人须提供所投产品的彩页截图或投标产品的生产厂家使用说明书，如彩页截图或厂家使用说明书为英文版，需对内容进行中文说明）。</w:t>
                  </w:r>
                </w:p>
              </w:tc>
            </w:tr>
            <w:tr>
              <w:tc>
                <w:tcPr>
                  <w:tcW w:type="dxa" w:w="232"/>
                  <w:tcBorders>
                    <w:top w:val="none" w:color="000000" w:sz="4"/>
                    <w:left w:val="single" w:color="000000" w:sz="8"/>
                    <w:bottom w:val="single" w:color="000000" w:sz="8"/>
                    <w:right w:val="single" w:color="000000" w:sz="8"/>
                  </w:tcBorders>
                  <w:vAlign w:val="top"/>
                </w:tcPr>
                <w:p>
                  <w:pPr>
                    <w:jc w:val="center"/>
                  </w:pPr>
                  <w:r>
                    <w:rPr/>
                    <w:t>7.</w:t>
                  </w:r>
                </w:p>
              </w:tc>
              <w:tc>
                <w:tcPr>
                  <w:tcW w:type="dxa" w:w="5356"/>
                  <w:tcBorders>
                    <w:top w:val="none" w:color="000000" w:sz="4"/>
                    <w:left w:val="none" w:color="000000" w:sz="4"/>
                    <w:bottom w:val="single" w:color="000000" w:sz="8"/>
                    <w:right w:val="single" w:color="000000" w:sz="8"/>
                  </w:tcBorders>
                  <w:vAlign w:val="top"/>
                </w:tcPr>
                <w:p>
                  <w:r>
                    <w:rPr>
                      <w:sz w:val="21"/>
                    </w:rPr>
                    <w:t>含公差能力分析和库仑相互作用的电子枪设计功能</w:t>
                  </w:r>
                </w:p>
                <w:p>
                  <w:r>
                    <w:rPr>
                      <w:sz w:val="21"/>
                    </w:rPr>
                    <w:t>（</w:t>
                  </w:r>
                  <w:r>
                    <w:rPr>
                      <w:sz w:val="21"/>
                    </w:rPr>
                    <w:t>1</w:t>
                  </w:r>
                  <w:r>
                    <w:rPr>
                      <w:sz w:val="21"/>
                    </w:rPr>
                    <w:t>）可计算和绘出电子源误差引起的扰动场（投标人须提供所投产品的彩页截图或投标产品的生产厂家使用说明书，如彩页截图或厂家使用说明书为英文版，需对内容进行中文说明）；</w:t>
                  </w:r>
                </w:p>
                <w:p>
                  <w:r>
                    <w:rPr>
                      <w:sz w:val="21"/>
                    </w:rPr>
                    <w:t>（</w:t>
                  </w:r>
                  <w:r>
                    <w:rPr>
                      <w:sz w:val="21"/>
                    </w:rPr>
                    <w:t>2</w:t>
                  </w:r>
                  <w:r>
                    <w:rPr>
                      <w:sz w:val="21"/>
                    </w:rPr>
                    <w:t>）计算由于阴极对准误差、阴极倾斜、电极间对准误差、电极椭圆度、电极倾斜、电极径向偏移误差带来的非对称像差；</w:t>
                  </w:r>
                </w:p>
                <w:p>
                  <w:r>
                    <w:rPr>
                      <w:sz w:val="21"/>
                    </w:rPr>
                    <w:t>★（</w:t>
                  </w:r>
                  <w:r>
                    <w:rPr>
                      <w:sz w:val="21"/>
                    </w:rPr>
                    <w:t>3</w:t>
                  </w:r>
                  <w:r>
                    <w:rPr>
                      <w:sz w:val="21"/>
                    </w:rPr>
                    <w:t>）</w:t>
                  </w:r>
                  <w:r>
                    <w:rPr>
                      <w:sz w:val="21"/>
                    </w:rPr>
                    <w:t>可对电子枪库仑相互作用仿真（包括</w:t>
                  </w:r>
                  <w:r>
                    <w:rPr>
                      <w:sz w:val="21"/>
                    </w:rPr>
                    <w:t>Börsch</w:t>
                  </w:r>
                  <w:r>
                    <w:rPr>
                      <w:sz w:val="21"/>
                    </w:rPr>
                    <w:t>效应和</w:t>
                  </w:r>
                  <w:r>
                    <w:rPr>
                      <w:sz w:val="21"/>
                    </w:rPr>
                    <w:t>Löffler</w:t>
                  </w:r>
                  <w:r>
                    <w:rPr>
                      <w:sz w:val="21"/>
                    </w:rPr>
                    <w:t>效应</w:t>
                  </w:r>
                  <w:r>
                    <w:rPr>
                      <w:sz w:val="21"/>
                    </w:rPr>
                    <w:t>）。</w:t>
                  </w:r>
                </w:p>
              </w:tc>
            </w:tr>
            <w:tr>
              <w:tc>
                <w:tcPr>
                  <w:tcW w:type="dxa" w:w="232"/>
                  <w:tcBorders>
                    <w:top w:val="none" w:color="000000" w:sz="4"/>
                    <w:left w:val="single" w:color="000000" w:sz="8"/>
                    <w:bottom w:val="single" w:color="000000" w:sz="8"/>
                    <w:right w:val="single" w:color="000000" w:sz="8"/>
                  </w:tcBorders>
                  <w:vAlign w:val="top"/>
                </w:tcPr>
                <w:p>
                  <w:pPr>
                    <w:jc w:val="center"/>
                  </w:pPr>
                  <w:r>
                    <w:rPr/>
                    <w:t>8.</w:t>
                  </w:r>
                </w:p>
              </w:tc>
              <w:tc>
                <w:tcPr>
                  <w:tcW w:type="dxa" w:w="5356"/>
                  <w:tcBorders>
                    <w:top w:val="none" w:color="000000" w:sz="4"/>
                    <w:left w:val="none" w:color="000000" w:sz="4"/>
                    <w:bottom w:val="single" w:color="000000" w:sz="8"/>
                    <w:right w:val="single" w:color="000000" w:sz="8"/>
                  </w:tcBorders>
                  <w:vAlign w:val="top"/>
                </w:tcPr>
                <w:p>
                  <w:r>
                    <w:rPr>
                      <w:sz w:val="21"/>
                    </w:rPr>
                    <w:t>电子束投影系统仿真功能</w:t>
                  </w:r>
                </w:p>
                <w:p>
                  <w:r>
                    <w:rPr>
                      <w:sz w:val="21"/>
                    </w:rPr>
                    <w:t>★（</w:t>
                  </w:r>
                  <w:r>
                    <w:rPr>
                      <w:sz w:val="21"/>
                    </w:rPr>
                    <w:t>1</w:t>
                  </w:r>
                  <w:r>
                    <w:rPr>
                      <w:sz w:val="21"/>
                    </w:rPr>
                    <w:t>）可计算、分析电子束投影系统光学性能（包括</w:t>
                  </w:r>
                  <w:r>
                    <w:rPr>
                      <w:sz w:val="21"/>
                    </w:rPr>
                    <w:t>5</w:t>
                  </w:r>
                  <w:r>
                    <w:rPr>
                      <w:sz w:val="21"/>
                    </w:rPr>
                    <w:t>阶像差、系统优化，像散、场曲动态校正）</w:t>
                  </w:r>
                </w:p>
              </w:tc>
            </w:tr>
            <w:tr>
              <w:tc>
                <w:tcPr>
                  <w:tcW w:type="dxa" w:w="232"/>
                  <w:tcBorders>
                    <w:top w:val="none" w:color="000000" w:sz="4"/>
                    <w:left w:val="single" w:color="000000" w:sz="8"/>
                    <w:bottom w:val="single" w:color="000000" w:sz="8"/>
                    <w:right w:val="single" w:color="000000" w:sz="8"/>
                  </w:tcBorders>
                  <w:vAlign w:val="top"/>
                </w:tcPr>
                <w:p>
                  <w:pPr>
                    <w:jc w:val="center"/>
                  </w:pPr>
                  <w:r>
                    <w:rPr/>
                    <w:t>9.</w:t>
                  </w:r>
                </w:p>
              </w:tc>
              <w:tc>
                <w:tcPr>
                  <w:tcW w:type="dxa" w:w="5356"/>
                  <w:tcBorders>
                    <w:top w:val="none" w:color="000000" w:sz="4"/>
                    <w:left w:val="none" w:color="000000" w:sz="4"/>
                    <w:bottom w:val="single" w:color="000000" w:sz="8"/>
                    <w:right w:val="single" w:color="000000" w:sz="8"/>
                  </w:tcBorders>
                  <w:vAlign w:val="top"/>
                </w:tcPr>
                <w:p>
                  <w:r>
                    <w:rPr>
                      <w:sz w:val="21"/>
                    </w:rPr>
                    <w:t>三维场计算功能</w:t>
                  </w:r>
                </w:p>
                <w:p>
                  <w:r>
                    <w:rPr>
                      <w:sz w:val="21"/>
                    </w:rPr>
                    <w:t>（</w:t>
                  </w:r>
                  <w:r>
                    <w:rPr>
                      <w:sz w:val="21"/>
                    </w:rPr>
                    <w:t>1</w:t>
                  </w:r>
                  <w:r>
                    <w:rPr>
                      <w:sz w:val="21"/>
                    </w:rPr>
                    <w:t>）可对三维电极和极靴结构进行三维空间场分布计算。</w:t>
                  </w:r>
                </w:p>
              </w:tc>
            </w:tr>
            <w:tr>
              <w:tc>
                <w:tcPr>
                  <w:tcW w:type="dxa" w:w="232"/>
                  <w:tcBorders>
                    <w:top w:val="none" w:color="000000" w:sz="4"/>
                    <w:left w:val="single" w:color="000000" w:sz="8"/>
                    <w:bottom w:val="single" w:color="000000" w:sz="8"/>
                    <w:right w:val="single" w:color="000000" w:sz="8"/>
                  </w:tcBorders>
                  <w:vAlign w:val="top"/>
                </w:tcPr>
                <w:p>
                  <w:pPr>
                    <w:jc w:val="center"/>
                  </w:pPr>
                  <w:r>
                    <w:rPr/>
                    <w:t>10.</w:t>
                  </w:r>
                </w:p>
              </w:tc>
              <w:tc>
                <w:tcPr>
                  <w:tcW w:type="dxa" w:w="5356"/>
                  <w:tcBorders>
                    <w:top w:val="none" w:color="000000" w:sz="4"/>
                    <w:left w:val="none" w:color="000000" w:sz="4"/>
                    <w:bottom w:val="single" w:color="000000" w:sz="8"/>
                    <w:right w:val="single" w:color="000000" w:sz="8"/>
                  </w:tcBorders>
                  <w:vAlign w:val="top"/>
                </w:tcPr>
                <w:p>
                  <w:r>
                    <w:rPr>
                      <w:sz w:val="21"/>
                    </w:rPr>
                    <w:t>基于三维有限差分方法的光线追踪功能</w:t>
                  </w:r>
                </w:p>
                <w:p>
                  <w:r>
                    <w:rPr>
                      <w:sz w:val="21"/>
                    </w:rPr>
                    <w:t>（</w:t>
                  </w:r>
                  <w:r>
                    <w:rPr>
                      <w:sz w:val="21"/>
                    </w:rPr>
                    <w:t>1</w:t>
                  </w:r>
                  <w:r>
                    <w:rPr>
                      <w:sz w:val="21"/>
                    </w:rPr>
                    <w:t>）可计算包含三维电极和极靴结构的电子光学系统光学性能（投标人须提供所投产品的彩页截图或投标产品的生产厂家使用说明书，如彩页截图或厂家使用说明书为英文版，需对内容进行中文说明）</w:t>
                  </w:r>
                </w:p>
              </w:tc>
            </w:tr>
            <w:tr>
              <w:tc>
                <w:tcPr>
                  <w:tcW w:type="dxa" w:w="232"/>
                  <w:tcBorders>
                    <w:top w:val="none" w:color="000000" w:sz="4"/>
                    <w:left w:val="single" w:color="000000" w:sz="8"/>
                    <w:bottom w:val="single" w:color="000000" w:sz="8"/>
                    <w:right w:val="single" w:color="000000" w:sz="8"/>
                  </w:tcBorders>
                  <w:vAlign w:val="top"/>
                </w:tcPr>
                <w:p>
                  <w:pPr>
                    <w:jc w:val="center"/>
                  </w:pPr>
                  <w:r>
                    <w:rPr/>
                    <w:t>11.</w:t>
                  </w:r>
                </w:p>
              </w:tc>
              <w:tc>
                <w:tcPr>
                  <w:tcW w:type="dxa" w:w="5356"/>
                  <w:tcBorders>
                    <w:top w:val="none" w:color="000000" w:sz="4"/>
                    <w:left w:val="none" w:color="000000" w:sz="4"/>
                    <w:bottom w:val="single" w:color="000000" w:sz="8"/>
                    <w:right w:val="single" w:color="000000" w:sz="8"/>
                  </w:tcBorders>
                  <w:vAlign w:val="top"/>
                </w:tcPr>
                <w:p>
                  <w:r>
                    <w:rPr>
                      <w:sz w:val="21"/>
                    </w:rPr>
                    <w:t>三维空间电荷效应功能</w:t>
                  </w:r>
                </w:p>
                <w:p>
                  <w:r>
                    <w:rPr>
                      <w:sz w:val="21"/>
                    </w:rPr>
                    <w:t>（</w:t>
                  </w:r>
                  <w:r>
                    <w:rPr>
                      <w:sz w:val="21"/>
                    </w:rPr>
                    <w:t>1</w:t>
                  </w:r>
                  <w:r>
                    <w:rPr>
                      <w:sz w:val="21"/>
                    </w:rPr>
                    <w:t>）可计算考虑空间电荷效应的三维电极和极靴结构的光学性能</w:t>
                  </w:r>
                </w:p>
              </w:tc>
            </w:tr>
            <w:tr>
              <w:tc>
                <w:tcPr>
                  <w:tcW w:type="dxa" w:w="232"/>
                  <w:tcBorders>
                    <w:top w:val="none" w:color="000000" w:sz="4"/>
                    <w:left w:val="single" w:color="000000" w:sz="8"/>
                    <w:bottom w:val="single" w:color="000000" w:sz="8"/>
                    <w:right w:val="single" w:color="000000" w:sz="8"/>
                  </w:tcBorders>
                  <w:vAlign w:val="top"/>
                </w:tcPr>
                <w:p>
                  <w:pPr>
                    <w:jc w:val="center"/>
                  </w:pPr>
                  <w:r>
                    <w:rPr/>
                    <w:t>12.</w:t>
                  </w:r>
                </w:p>
              </w:tc>
              <w:tc>
                <w:tcPr>
                  <w:tcW w:type="dxa" w:w="5356"/>
                  <w:tcBorders>
                    <w:top w:val="none" w:color="000000" w:sz="4"/>
                    <w:left w:val="none" w:color="000000" w:sz="4"/>
                    <w:bottom w:val="single" w:color="000000" w:sz="8"/>
                    <w:right w:val="single" w:color="000000" w:sz="8"/>
                  </w:tcBorders>
                  <w:vAlign w:val="top"/>
                </w:tcPr>
                <w:p>
                  <w:r>
                    <w:rPr>
                      <w:sz w:val="21"/>
                    </w:rPr>
                    <w:t>二维二阶场计算功能</w:t>
                  </w:r>
                </w:p>
                <w:p>
                  <w:r>
                    <w:rPr>
                      <w:sz w:val="21"/>
                    </w:rPr>
                    <w:t>（</w:t>
                  </w:r>
                  <w:r>
                    <w:rPr>
                      <w:sz w:val="21"/>
                    </w:rPr>
                    <w:t>1</w:t>
                  </w:r>
                  <w:r>
                    <w:rPr>
                      <w:sz w:val="21"/>
                    </w:rPr>
                    <w:t>）可对磁透镜和静电透镜进行二阶有限元分析计算；</w:t>
                  </w:r>
                </w:p>
                <w:p>
                  <w:r>
                    <w:rPr>
                      <w:sz w:val="21"/>
                    </w:rPr>
                    <w:t>（</w:t>
                  </w:r>
                  <w:r>
                    <w:rPr>
                      <w:sz w:val="21"/>
                    </w:rPr>
                    <w:t>2</w:t>
                  </w:r>
                  <w:r>
                    <w:rPr>
                      <w:sz w:val="21"/>
                    </w:rPr>
                    <w:t>）可对偏转场二极、六极、十极分量进行计算（投标人投标文件须提供</w:t>
                  </w:r>
                  <w:r>
                    <w:rPr>
                      <w:sz w:val="21"/>
                    </w:rPr>
                    <w:t>1</w:t>
                  </w:r>
                  <w:r>
                    <w:rPr>
                      <w:sz w:val="21"/>
                    </w:rPr>
                    <w:t>、</w:t>
                  </w:r>
                  <w:r>
                    <w:rPr>
                      <w:sz w:val="21"/>
                    </w:rPr>
                    <w:t>3</w:t>
                  </w:r>
                  <w:r>
                    <w:rPr>
                      <w:sz w:val="21"/>
                    </w:rPr>
                    <w:t>、</w:t>
                  </w:r>
                  <w:r>
                    <w:rPr>
                      <w:sz w:val="21"/>
                    </w:rPr>
                    <w:t>5</w:t>
                  </w:r>
                  <w:r>
                    <w:rPr>
                      <w:sz w:val="21"/>
                    </w:rPr>
                    <w:t>次偏转场谐波分量曲线截图或图片，如为英文版，需对内容进行中文说明）</w:t>
                  </w:r>
                </w:p>
              </w:tc>
            </w:tr>
            <w:tr>
              <w:tc>
                <w:tcPr>
                  <w:tcW w:type="dxa" w:w="232"/>
                  <w:tcBorders>
                    <w:top w:val="none" w:color="000000" w:sz="4"/>
                    <w:left w:val="single" w:color="000000" w:sz="8"/>
                    <w:bottom w:val="single" w:color="000000" w:sz="8"/>
                    <w:right w:val="single" w:color="000000" w:sz="8"/>
                  </w:tcBorders>
                  <w:vAlign w:val="top"/>
                </w:tcPr>
                <w:p>
                  <w:pPr>
                    <w:jc w:val="center"/>
                  </w:pPr>
                  <w:r>
                    <w:rPr/>
                    <w:t>13.</w:t>
                  </w:r>
                </w:p>
              </w:tc>
              <w:tc>
                <w:tcPr>
                  <w:tcW w:type="dxa" w:w="5356"/>
                  <w:tcBorders>
                    <w:top w:val="none" w:color="000000" w:sz="4"/>
                    <w:left w:val="none" w:color="000000" w:sz="4"/>
                    <w:bottom w:val="single" w:color="000000" w:sz="8"/>
                    <w:right w:val="single" w:color="000000" w:sz="8"/>
                  </w:tcBorders>
                  <w:vAlign w:val="top"/>
                </w:tcPr>
                <w:p>
                  <w:r>
                    <w:rPr>
                      <w:sz w:val="21"/>
                    </w:rPr>
                    <w:t>使用二阶有限元进行二维直接射线追踪功能</w:t>
                  </w:r>
                </w:p>
                <w:p>
                  <w:r>
                    <w:rPr>
                      <w:sz w:val="21"/>
                    </w:rPr>
                    <w:t>（</w:t>
                  </w:r>
                  <w:r>
                    <w:rPr>
                      <w:sz w:val="21"/>
                    </w:rPr>
                    <w:t>1</w:t>
                  </w:r>
                  <w:r>
                    <w:rPr>
                      <w:sz w:val="21"/>
                    </w:rPr>
                    <w:t>）通过二阶有限元模式对电子束轨迹进行追踪计算（投标人投标文件须提供磁</w:t>
                  </w:r>
                  <w:r>
                    <w:rPr>
                      <w:sz w:val="21"/>
                    </w:rPr>
                    <w:t>-</w:t>
                  </w:r>
                  <w:r>
                    <w:rPr>
                      <w:sz w:val="21"/>
                    </w:rPr>
                    <w:t>静电组和透镜中轨迹截图或图片，如为英文版，需对内容进行中文说明）</w:t>
                  </w:r>
                </w:p>
              </w:tc>
            </w:tr>
            <w:tr>
              <w:tc>
                <w:tcPr>
                  <w:tcW w:type="dxa" w:w="232"/>
                  <w:tcBorders>
                    <w:top w:val="none" w:color="000000" w:sz="4"/>
                    <w:left w:val="single" w:color="000000" w:sz="8"/>
                    <w:bottom w:val="single" w:color="000000" w:sz="8"/>
                    <w:right w:val="single" w:color="000000" w:sz="8"/>
                  </w:tcBorders>
                  <w:vAlign w:val="top"/>
                </w:tcPr>
                <w:p>
                  <w:pPr>
                    <w:jc w:val="center"/>
                  </w:pPr>
                  <w:r>
                    <w:rPr/>
                    <w:t>14.</w:t>
                  </w:r>
                </w:p>
              </w:tc>
              <w:tc>
                <w:tcPr>
                  <w:tcW w:type="dxa" w:w="5356"/>
                  <w:tcBorders>
                    <w:top w:val="none" w:color="000000" w:sz="4"/>
                    <w:left w:val="none" w:color="000000" w:sz="4"/>
                    <w:bottom w:val="single" w:color="000000" w:sz="8"/>
                    <w:right w:val="single" w:color="000000" w:sz="8"/>
                  </w:tcBorders>
                  <w:vAlign w:val="top"/>
                </w:tcPr>
                <w:p>
                  <w:r>
                    <w:rPr>
                      <w:sz w:val="21"/>
                    </w:rPr>
                    <w:t>投标人须配备</w:t>
                  </w:r>
                  <w:r>
                    <w:rPr>
                      <w:sz w:val="21"/>
                    </w:rPr>
                    <w:t>5</w:t>
                  </w:r>
                  <w:r>
                    <w:rPr>
                      <w:sz w:val="21"/>
                    </w:rPr>
                    <w:t>个或以上加密钥匙，且确保每</w:t>
                  </w:r>
                  <w:r>
                    <w:rPr>
                      <w:sz w:val="21"/>
                    </w:rPr>
                    <w:t>1</w:t>
                  </w:r>
                  <w:r>
                    <w:rPr>
                      <w:sz w:val="21"/>
                    </w:rPr>
                    <w:t>个加密钥匙须对应</w:t>
                  </w:r>
                  <w:r>
                    <w:rPr>
                      <w:sz w:val="21"/>
                    </w:rPr>
                    <w:t>1</w:t>
                  </w:r>
                  <w:r>
                    <w:rPr>
                      <w:sz w:val="21"/>
                    </w:rPr>
                    <w:t>个使用授权。</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广东省科学院半导体研究所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标准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根据实际情况填写。具体情况根据开标(开启)时现场代理机构人员设置为准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钟平、苏启立</w:t>
      </w:r>
    </w:p>
    <w:p>
      <w:pPr>
        <w:ind w:firstLine="480"/>
      </w:pPr>
      <w:r>
        <w:rPr/>
        <w:t>电话：</w:t>
      </w:r>
      <w:r>
        <w:rPr/>
        <w:t>020-38364802、020-87687651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采购包1(多功能电子束仿真软件)：综合评分法,是指投标文件满足招标文件全部实质性要求，且按照评审因素的量化指标评审得分最高的投标人为中标候选人的评标方法。（最低报价不是中标的唯一依据。）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采购包1（多功能电子束仿真软件）：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（3）特别说明：已经作为评审因素进行评分的不再进行价格扣除。 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采购包1（多功能电子束仿真软件）：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采购包1（多功能电子束仿真软件）：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采购包1(多功能电子束仿真软件):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技术要求响应程度（以序号最小一级为准） (26.0分)</w:t>
            </w:r>
          </w:p>
        </w:tc>
        <w:tc>
          <w:tcPr>
            <w:tcW w:type="dxa" w:w="5076"/>
          </w:tcPr>
          <w:p>
            <w:pPr>
              <w:jc w:val="left"/>
            </w:pPr>
            <w:r>
              <w:rPr/>
              <w:t>对投标人一般技术响应程度进行评审：一般技术参数条款（“技术标准与要求”中除“★”之外的条款）完全满足或正偏离的得26分，共26项， 每有一项中的任意一点不满足要求的则视为该项整体不满足扣1分，本项目最低得0分。 注: “技术标准与要求”中有要求提供证明材料的，以“技术标准与要求”要求提供的材料为准，不能提供的将视为负偏离，并按照规定扣分。</w:t>
            </w:r>
          </w:p>
        </w:tc>
      </w:tr>
      <w:tr>
        <w:tc>
          <w:tcPr>
            <w:tcW w:type="dxa" w:w="922"/>
            <w:gridSpan w:val="2"/>
            <w:vMerge/>
          </w:tcPr>
          <w:p/>
        </w:tc>
        <w:tc>
          <w:tcPr>
            <w:tcW w:type="dxa" w:w="2307"/>
          </w:tcPr>
          <w:p>
            <w:pPr>
              <w:jc w:val="left"/>
            </w:pPr>
            <w:r>
              <w:rPr/>
              <w:t>质量保障措施方案1 (1.5分)</w:t>
            </w:r>
          </w:p>
        </w:tc>
        <w:tc>
          <w:tcPr>
            <w:tcW w:type="dxa" w:w="5076"/>
          </w:tcPr>
          <w:p>
            <w:pPr>
              <w:jc w:val="left"/>
            </w:pPr>
            <w:r>
              <w:rPr/>
              <w:t>评标委员会根据投标人提供的质量保障措施方案进行评审，方案应包括以下环节： （1）货物来源； （2）货物质量控制； （3）货物稳定性； 提供全部内容 得1.5分，每缺1项扣0.5分。</w:t>
            </w:r>
          </w:p>
        </w:tc>
      </w:tr>
      <w:tr>
        <w:tc>
          <w:tcPr>
            <w:tcW w:type="dxa" w:w="922"/>
            <w:gridSpan w:val="2"/>
            <w:vMerge/>
          </w:tcPr>
          <w:p/>
        </w:tc>
        <w:tc>
          <w:tcPr>
            <w:tcW w:type="dxa" w:w="2307"/>
          </w:tcPr>
          <w:p>
            <w:pPr>
              <w:jc w:val="left"/>
            </w:pPr>
            <w:r>
              <w:rPr/>
              <w:t>质量保障措施方案2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评标委员会根据投标人提供的项目质量保障措施方案1详细内容进行综合评审： （1）针对项目需求，从质量保障管理体系、质量保障措施、满足项目需求程度方面上评审，满足项目实施要求的，能有效保障本项目实施，有利于实现服务效果的得7分； （2）针对项目需求，从质量保障管理体系、质量保障措施、满足项目需求程度方面上评审，方案存在瑕疵的，能基本保障本项目服务实施，基本满足服务效果的得4分； （3）针对项目需求，从质量保障管理体系、质量保障措施、满足项目需求程度方面上评审，方案存在不足或缺陷的，难以本项目服务实施或难以达到服务效果的得1分；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安装调试方案1 (1.5分)</w:t>
            </w:r>
          </w:p>
        </w:tc>
        <w:tc>
          <w:tcPr>
            <w:tcW w:type="dxa" w:w="5076"/>
          </w:tcPr>
          <w:p>
            <w:pPr>
              <w:jc w:val="left"/>
            </w:pPr>
            <w:r>
              <w:rPr/>
              <w:t>评标委员会根据投标人提供的安装调试方案进行评价，方案应包括： （1）安装方案； （2）调试方法； （3）调试效果。 提供全部内容得1.5分，每缺1项扣0.5分。</w:t>
            </w:r>
          </w:p>
        </w:tc>
      </w:tr>
      <w:tr>
        <w:tc>
          <w:tcPr>
            <w:tcW w:type="dxa" w:w="922"/>
            <w:gridSpan w:val="2"/>
            <w:vMerge/>
          </w:tcPr>
          <w:p/>
        </w:tc>
        <w:tc>
          <w:tcPr>
            <w:tcW w:type="dxa" w:w="2307"/>
          </w:tcPr>
          <w:p>
            <w:pPr>
              <w:jc w:val="left"/>
            </w:pPr>
            <w:r>
              <w:rPr/>
              <w:t>安装调试方案2 (5.0分)</w:t>
            </w:r>
            <w:r>
              <w:rPr/>
              <w:t>，（等次分值选择：</w:t>
            </w:r>
            <w:r>
              <w:rPr/>
              <w:t>0.0;</w:t>
            </w:r>
            <w:r>
              <w:rPr/>
              <w:t>1.0;</w:t>
            </w:r>
            <w:r>
              <w:rPr/>
              <w:t>3.0;</w:t>
            </w:r>
            <w:r>
              <w:rPr/>
              <w:t>5.0;</w:t>
            </w:r>
            <w:r>
              <w:rPr/>
              <w:t>）</w:t>
            </w:r>
          </w:p>
        </w:tc>
        <w:tc>
          <w:tcPr>
            <w:tcW w:type="dxa" w:w="5076"/>
          </w:tcPr>
          <w:p>
            <w:pPr>
              <w:jc w:val="left"/>
            </w:pPr>
            <w:r>
              <w:rPr/>
              <w:t>根据各投标人提供的安装调试方案1详细内容进行评审：  （1）针对本项目安装调试方案详细具体，科学合理，有利于项目实施，得5分；  （2）针对本项目安装调试方案描述简单，但有一定的合理性和可行性，基本满足项目实施要求，得3分；   （3）针对本项目安装调试方案合理性和可行性低，不能完全满足项目实施要求，得1分。  注：未提供方案的不得分。</w:t>
            </w:r>
          </w:p>
        </w:tc>
      </w:tr>
      <w:tr>
        <w:tc>
          <w:tcPr>
            <w:tcW w:type="dxa" w:w="922"/>
            <w:gridSpan w:val="2"/>
            <w:vMerge/>
          </w:tcPr>
          <w:p/>
        </w:tc>
        <w:tc>
          <w:tcPr>
            <w:tcW w:type="dxa" w:w="2307"/>
          </w:tcPr>
          <w:p>
            <w:pPr>
              <w:jc w:val="left"/>
            </w:pPr>
            <w:r>
              <w:rPr/>
              <w:t>技术支持和培训方案1 (2.5分)</w:t>
            </w:r>
          </w:p>
        </w:tc>
        <w:tc>
          <w:tcPr>
            <w:tcW w:type="dxa" w:w="5076"/>
          </w:tcPr>
          <w:p>
            <w:pPr>
              <w:jc w:val="left"/>
            </w:pPr>
            <w:r>
              <w:rPr/>
              <w:t>评标委员会根据投标人提供的技术支持培训方案进行评价，方案应包括： （1）技术支持方案； （2）培训时间计划； （3）培训方式； （4）培训内容； （5）培训预期达到的效果。 提供全部内容得2.5分，每缺1项扣0.5分</w:t>
            </w:r>
          </w:p>
        </w:tc>
      </w:tr>
      <w:tr>
        <w:tc>
          <w:tcPr>
            <w:tcW w:type="dxa" w:w="922"/>
            <w:gridSpan w:val="2"/>
            <w:vMerge/>
          </w:tcPr>
          <w:p/>
        </w:tc>
        <w:tc>
          <w:tcPr>
            <w:tcW w:type="dxa" w:w="2307"/>
          </w:tcPr>
          <w:p>
            <w:pPr>
              <w:jc w:val="left"/>
            </w:pPr>
            <w:r>
              <w:rPr/>
              <w:t>技术支持和培训方案2 (5.0分)</w:t>
            </w:r>
            <w:r>
              <w:rPr/>
              <w:t>，（等次分值选择：</w:t>
            </w:r>
            <w:r>
              <w:rPr/>
              <w:t>0.0;</w:t>
            </w:r>
            <w:r>
              <w:rPr/>
              <w:t>1.0;</w:t>
            </w:r>
            <w:r>
              <w:rPr/>
              <w:t>3.0;</w:t>
            </w:r>
            <w:r>
              <w:rPr/>
              <w:t>5.0;</w:t>
            </w:r>
            <w:r>
              <w:rPr/>
              <w:t>）</w:t>
            </w:r>
          </w:p>
        </w:tc>
        <w:tc>
          <w:tcPr>
            <w:tcW w:type="dxa" w:w="5076"/>
          </w:tcPr>
          <w:p>
            <w:pPr>
              <w:jc w:val="left"/>
            </w:pPr>
            <w:r>
              <w:rPr/>
              <w:t>根据投标人为采购人提供的技术支持和相关技能培训方案1的详细内容进行评审： （1）针对本项目技术支持和培训方案详细具体，科学合理，能完全满足采购需求的，得5分；  （2）针对本项目技术支持和培训方案描述简单，但有一定的合理性和可行性，基本满足采购需求的，得3分；   （3）针对本项目技术支持和培训方案合理性和可行性低，不能满足采购需求的，得1分。  注：未提供方案的不得分。</w:t>
            </w:r>
          </w:p>
        </w:tc>
      </w:tr>
      <w:tr>
        <w:tc>
          <w:tcPr>
            <w:tcW w:type="dxa" w:w="922"/>
            <w:gridSpan w:val="2"/>
            <w:vMerge/>
          </w:tcPr>
          <w:p/>
        </w:tc>
        <w:tc>
          <w:tcPr>
            <w:tcW w:type="dxa" w:w="2307"/>
          </w:tcPr>
          <w:p>
            <w:pPr>
              <w:jc w:val="left"/>
            </w:pPr>
            <w:r>
              <w:rPr/>
              <w:t>售后服务方案1 (1.5分)</w:t>
            </w:r>
          </w:p>
        </w:tc>
        <w:tc>
          <w:tcPr>
            <w:tcW w:type="dxa" w:w="5076"/>
          </w:tcPr>
          <w:p>
            <w:pPr>
              <w:jc w:val="left"/>
            </w:pPr>
            <w:r>
              <w:rPr/>
              <w:t>评标委员会根据投标人提供的售后服务方案进行评价，方案应包括： （1）质保期承诺； （2）售后服务措施； （3）售后服务流程。 提供全部内容得1.5分，每缺1项扣0.5分。</w:t>
            </w:r>
          </w:p>
        </w:tc>
      </w:tr>
      <w:tr>
        <w:tc>
          <w:tcPr>
            <w:tcW w:type="dxa" w:w="922"/>
            <w:gridSpan w:val="2"/>
            <w:vMerge/>
          </w:tcPr>
          <w:p/>
        </w:tc>
        <w:tc>
          <w:tcPr>
            <w:tcW w:type="dxa" w:w="2307"/>
          </w:tcPr>
          <w:p>
            <w:pPr>
              <w:jc w:val="left"/>
            </w:pPr>
            <w:r>
              <w:rPr/>
              <w:t>售后服务方案2 (5.0分)</w:t>
            </w:r>
            <w:r>
              <w:rPr/>
              <w:t>，（等次分值选择：</w:t>
            </w:r>
            <w:r>
              <w:rPr/>
              <w:t>0.0;</w:t>
            </w:r>
            <w:r>
              <w:rPr/>
              <w:t>1.0;</w:t>
            </w:r>
            <w:r>
              <w:rPr/>
              <w:t>3.0;</w:t>
            </w:r>
            <w:r>
              <w:rPr/>
              <w:t>5.0;</w:t>
            </w:r>
            <w:r>
              <w:rPr/>
              <w:t>）</w:t>
            </w:r>
          </w:p>
        </w:tc>
        <w:tc>
          <w:tcPr>
            <w:tcW w:type="dxa" w:w="5076"/>
          </w:tcPr>
          <w:p>
            <w:pPr>
              <w:jc w:val="left"/>
            </w:pPr>
            <w:r>
              <w:rPr/>
              <w:t>根据各投标人提供的售后服务方案1详细内容进行评审：  （1）针对本项目售后服务方案详细具体，科学合理，有利于项目实施，得5分；  （2）针对本项目售后服务方案描述简单，但有一定的合理性和可行性，基本满足项目实施要求，得3分；   （3）针对本项目售后服务方案合理性和可行低，不能完全满足项目实施要求，得1分。  注：未提供方案的不得分。</w:t>
            </w:r>
          </w:p>
        </w:tc>
      </w:tr>
      <w:tr>
        <w:tc>
          <w:tcPr>
            <w:tcW w:type="dxa" w:w="922"/>
            <w:gridSpan w:val="2"/>
            <w:vMerge w:val="restart"/>
          </w:tcPr>
          <w:p>
            <w:pPr>
              <w:jc w:val="center"/>
            </w:pPr>
            <w:r>
              <w:rPr/>
              <w:t>商务部分</w:t>
            </w:r>
          </w:p>
        </w:tc>
        <w:tc>
          <w:tcPr>
            <w:tcW w:type="dxa" w:w="2307"/>
          </w:tcPr>
          <w:p>
            <w:pPr>
              <w:jc w:val="left"/>
            </w:pPr>
            <w:r>
              <w:rPr/>
              <w:t>所投产品所发表的文章 (10.0分)</w:t>
            </w:r>
          </w:p>
        </w:tc>
        <w:tc>
          <w:tcPr>
            <w:tcW w:type="dxa" w:w="5076"/>
          </w:tcPr>
          <w:p>
            <w:pPr>
              <w:jc w:val="left"/>
            </w:pPr>
            <w:r>
              <w:rPr/>
              <w:t>根据以往服务对象使用投标人所投产品后，对所发表的文章数量进行评审：每提供一篇文章得1分，最高10分。 注： （1）需提供不同单位的文章，同一个单位的文章不重复得分； （2）投标人需提供文章内容或网页查询截图，不提供的不得分。</w:t>
            </w:r>
          </w:p>
        </w:tc>
      </w:tr>
      <w:tr>
        <w:tc>
          <w:tcPr>
            <w:tcW w:type="dxa" w:w="922"/>
            <w:gridSpan w:val="2"/>
            <w:vMerge/>
          </w:tcPr>
          <w:p/>
        </w:tc>
        <w:tc>
          <w:tcPr>
            <w:tcW w:type="dxa" w:w="2307"/>
          </w:tcPr>
          <w:p>
            <w:pPr>
              <w:jc w:val="left"/>
            </w:pPr>
            <w:r>
              <w:rPr/>
              <w:t>质量认证 (2.0分)</w:t>
            </w:r>
          </w:p>
        </w:tc>
        <w:tc>
          <w:tcPr>
            <w:tcW w:type="dxa" w:w="5076"/>
          </w:tcPr>
          <w:p>
            <w:pPr>
              <w:jc w:val="left"/>
            </w:pPr>
            <w:r>
              <w:rPr/>
              <w:t>投标人具有质量管理体系认证复印件且在有效期内的，得2分。 注：须提供证书复印件，不提供或不符合不得分。</w:t>
            </w:r>
          </w:p>
        </w:tc>
      </w:tr>
      <w:tr>
        <w:tc>
          <w:tcPr>
            <w:tcW w:type="dxa" w:w="922"/>
            <w:gridSpan w:val="2"/>
            <w:vMerge/>
          </w:tcPr>
          <w:p/>
        </w:tc>
        <w:tc>
          <w:tcPr>
            <w:tcW w:type="dxa" w:w="2307"/>
          </w:tcPr>
          <w:p>
            <w:pPr>
              <w:jc w:val="left"/>
            </w:pPr>
            <w:r>
              <w:rPr/>
              <w:t>荣誉奖项 (3.0分)</w:t>
            </w:r>
          </w:p>
        </w:tc>
        <w:tc>
          <w:tcPr>
            <w:tcW w:type="dxa" w:w="5076"/>
          </w:tcPr>
          <w:p>
            <w:pPr>
              <w:jc w:val="left"/>
            </w:pPr>
            <w:r>
              <w:rPr/>
              <w:t>投标人自2015年1月1日以来获得政府行政部门颁发的相关奖项，每有一项得1.5分，最多得3分。 注：须提供奖项复印件，不提供或不符合不得分。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r>
        <w:rPr/>
        <w:t xml:space="preserve">注： </w:t>
      </w:r>
      <w:r>
        <w:br/>
      </w:r>
      <w:r>
        <w:rPr/>
        <w:t>1、合同具体事项须根据采购文件的约定及乙方投标文件的承诺执行；</w:t>
      </w:r>
    </w:p>
    <w:p>
      <w:r>
        <w:br/>
      </w:r>
      <w:r>
        <w:rPr/>
        <w:t>合同格式一（适用于中华人民共和国关境内提供的货物和服务）</w:t>
      </w:r>
      <w:r>
        <w:br/>
      </w:r>
      <w:r>
        <w:rPr/>
        <w:t>政府采购合同</w:t>
      </w:r>
      <w:r>
        <w:br/>
      </w:r>
      <w:r>
        <w:rPr/>
        <w:t>合同名称：</w:t>
      </w:r>
      <w:r>
        <w:br/>
      </w:r>
      <w:r>
        <w:rPr/>
        <w:t>合同编号：</w:t>
      </w:r>
      <w:r>
        <w:br/>
      </w:r>
      <w:r>
        <w:rPr/>
        <w:t>签约地点：</w:t>
      </w:r>
      <w:r>
        <w:br/>
      </w:r>
      <w:r>
        <w:rPr/>
        <w:t>合同类别：货物</w:t>
      </w:r>
      <w:r>
        <w:br/>
      </w:r>
      <w:r>
        <w:rPr/>
        <w:t>签订日期：</w:t>
      </w:r>
      <w:r>
        <w:br/>
      </w:r>
      <w:r>
        <w:rPr/>
        <w:t>签订类型：单项合同</w:t>
      </w:r>
      <w:r>
        <w:br/>
      </w:r>
      <w:r>
        <w:rPr/>
        <w:t>合同范本：采购合同</w:t>
      </w:r>
      <w:r>
        <w:br/>
      </w:r>
      <w:r>
        <w:rPr/>
        <w:t>合同期限： 20XX年XX月XX日至20XX年XX月XX日</w:t>
      </w:r>
      <w:r>
        <w:br/>
      </w:r>
      <w:r>
        <w:rPr/>
        <w:t>是否包含涉密条款：否</w:t>
      </w:r>
      <w:r>
        <w:br/>
      </w:r>
      <w:r>
        <w:rPr/>
        <w:t>备注：</w:t>
      </w:r>
    </w:p>
    <w:p>
      <w:r>
        <w:rPr/>
        <w:t xml:space="preserve">甲方（采购人）：                                </w:t>
      </w:r>
      <w:r>
        <w:br/>
      </w:r>
      <w:r>
        <w:rPr/>
        <w:t xml:space="preserve">乙方（中标供应商）：                                </w:t>
      </w:r>
      <w:r>
        <w:br/>
      </w:r>
      <w:r>
        <w:rPr/>
        <w:t xml:space="preserve">  根据《中华人民共和国政府采购法》、《中华人民共和国民法典》等相关法律法规及</w:t>
      </w:r>
      <w:r>
        <w:rPr>
          <w:u w:val="single"/>
        </w:rPr>
        <w:t>广东省科学院半导体研究所多功能电子束仿真软件采购项目招标文件（项目编号：GZGK24P002A0004Z）</w:t>
      </w:r>
      <w:r>
        <w:rPr/>
        <w:t>的要求，经双方协商，本着平等互利和诚实信用的原则，一致同意签订本合同。</w:t>
      </w:r>
      <w:r>
        <w:br/>
      </w:r>
      <w:r>
        <w:rPr/>
        <w:t xml:space="preserve">一、合同采购内容 </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8"/>
              <w:left w:val="single" w:color="000000" w:sz="8"/>
              <w:bottom w:val="single" w:color="000000" w:sz="8"/>
              <w:right w:val="single" w:color="000000" w:sz="8"/>
            </w:tcBorders>
          </w:tcPr>
          <w:p>
            <w:r>
              <w:rPr>
                <w:sz w:val="21"/>
              </w:rPr>
              <w:t>序号</w:t>
            </w:r>
          </w:p>
        </w:tc>
        <w:tc>
          <w:tcPr>
            <w:tcW w:type="dxa" w:w="789"/>
            <w:tcBorders>
              <w:top w:val="single" w:color="000000" w:sz="8"/>
              <w:left w:val="none" w:color="000000" w:sz="4"/>
              <w:bottom w:val="single" w:color="000000" w:sz="8"/>
              <w:right w:val="single" w:color="000000" w:sz="8"/>
            </w:tcBorders>
          </w:tcPr>
          <w:p>
            <w:r>
              <w:rPr>
                <w:sz w:val="21"/>
              </w:rPr>
              <w:t>标的名称</w:t>
            </w:r>
          </w:p>
        </w:tc>
        <w:tc>
          <w:tcPr>
            <w:tcW w:type="dxa" w:w="752"/>
            <w:tcBorders>
              <w:top w:val="single" w:color="000000" w:sz="8"/>
              <w:left w:val="none" w:color="000000" w:sz="4"/>
              <w:bottom w:val="single" w:color="000000" w:sz="8"/>
              <w:right w:val="single" w:color="000000" w:sz="8"/>
            </w:tcBorders>
          </w:tcPr>
          <w:p>
            <w:r>
              <w:rPr>
                <w:sz w:val="21"/>
              </w:rPr>
              <w:t>品目编码</w:t>
            </w:r>
          </w:p>
        </w:tc>
        <w:tc>
          <w:tcPr>
            <w:tcW w:type="dxa" w:w="752"/>
            <w:tcBorders>
              <w:top w:val="single" w:color="000000" w:sz="8"/>
              <w:left w:val="none" w:color="000000" w:sz="4"/>
              <w:bottom w:val="single" w:color="000000" w:sz="8"/>
              <w:right w:val="single" w:color="000000" w:sz="8"/>
            </w:tcBorders>
          </w:tcPr>
          <w:p>
            <w:r>
              <w:rPr>
                <w:sz w:val="21"/>
              </w:rPr>
              <w:t>技术要求</w:t>
            </w:r>
          </w:p>
        </w:tc>
        <w:tc>
          <w:tcPr>
            <w:tcW w:type="dxa" w:w="752"/>
            <w:tcBorders>
              <w:top w:val="single" w:color="000000" w:sz="8"/>
              <w:left w:val="none" w:color="000000" w:sz="4"/>
              <w:bottom w:val="single" w:color="000000" w:sz="8"/>
              <w:right w:val="single" w:color="000000" w:sz="8"/>
            </w:tcBorders>
          </w:tcPr>
          <w:p>
            <w:r>
              <w:rPr>
                <w:sz w:val="21"/>
              </w:rPr>
              <w:t>是否进口</w:t>
            </w:r>
          </w:p>
        </w:tc>
        <w:tc>
          <w:tcPr>
            <w:tcW w:type="dxa" w:w="752"/>
            <w:tcBorders>
              <w:top w:val="single" w:color="000000" w:sz="8"/>
              <w:left w:val="none" w:color="000000" w:sz="4"/>
              <w:bottom w:val="single" w:color="000000" w:sz="8"/>
              <w:right w:val="single" w:color="000000" w:sz="8"/>
            </w:tcBorders>
          </w:tcPr>
          <w:p>
            <w:r>
              <w:rPr>
                <w:sz w:val="21"/>
              </w:rPr>
              <w:t>品牌</w:t>
            </w:r>
          </w:p>
        </w:tc>
        <w:tc>
          <w:tcPr>
            <w:tcW w:type="dxa" w:w="752"/>
            <w:tcBorders>
              <w:top w:val="single" w:color="000000" w:sz="8"/>
              <w:left w:val="none" w:color="000000" w:sz="4"/>
              <w:bottom w:val="single" w:color="000000" w:sz="8"/>
              <w:right w:val="single" w:color="000000" w:sz="8"/>
            </w:tcBorders>
          </w:tcPr>
          <w:p>
            <w:r>
              <w:rPr>
                <w:sz w:val="21"/>
              </w:rPr>
              <w:t>规格参数</w:t>
            </w:r>
          </w:p>
        </w:tc>
        <w:tc>
          <w:tcPr>
            <w:tcW w:type="dxa" w:w="752"/>
            <w:tcBorders>
              <w:top w:val="single" w:color="000000" w:sz="8"/>
              <w:left w:val="none" w:color="000000" w:sz="4"/>
              <w:bottom w:val="single" w:color="000000" w:sz="8"/>
              <w:right w:val="single" w:color="000000" w:sz="8"/>
            </w:tcBorders>
          </w:tcPr>
          <w:p>
            <w:r>
              <w:rPr>
                <w:sz w:val="21"/>
              </w:rPr>
              <w:t>采购数量</w:t>
            </w:r>
          </w:p>
        </w:tc>
        <w:tc>
          <w:tcPr>
            <w:tcW w:type="dxa" w:w="752"/>
            <w:tcBorders>
              <w:top w:val="single" w:color="000000" w:sz="8"/>
              <w:left w:val="none" w:color="000000" w:sz="4"/>
              <w:bottom w:val="single" w:color="000000" w:sz="8"/>
              <w:right w:val="single" w:color="000000" w:sz="8"/>
            </w:tcBorders>
          </w:tcPr>
          <w:p>
            <w:r>
              <w:rPr>
                <w:sz w:val="21"/>
              </w:rPr>
              <w:t>计量单位</w:t>
            </w:r>
          </w:p>
        </w:tc>
        <w:tc>
          <w:tcPr>
            <w:tcW w:type="dxa" w:w="752"/>
            <w:tcBorders>
              <w:top w:val="single" w:color="000000" w:sz="8"/>
              <w:left w:val="none" w:color="000000" w:sz="4"/>
              <w:bottom w:val="single" w:color="000000" w:sz="8"/>
              <w:right w:val="single" w:color="000000" w:sz="8"/>
            </w:tcBorders>
          </w:tcPr>
          <w:p>
            <w:r>
              <w:rPr>
                <w:sz w:val="21"/>
              </w:rPr>
              <w:t>单价（元）</w:t>
            </w:r>
          </w:p>
        </w:tc>
        <w:tc>
          <w:tcPr>
            <w:tcW w:type="dxa" w:w="752"/>
            <w:tcBorders>
              <w:top w:val="single" w:color="000000" w:sz="8"/>
              <w:left w:val="none" w:color="000000" w:sz="4"/>
              <w:bottom w:val="single" w:color="000000" w:sz="8"/>
              <w:right w:val="single" w:color="000000" w:sz="8"/>
            </w:tcBorders>
          </w:tcPr>
          <w:p>
            <w:r>
              <w:rPr>
                <w:sz w:val="21"/>
              </w:rPr>
              <w:t>总价（元）</w:t>
            </w:r>
          </w:p>
        </w:tc>
      </w:tr>
      <w:tr>
        <w:tc>
          <w:tcPr>
            <w:tcW w:type="dxa" w:w="716"/>
            <w:tcBorders>
              <w:top w:val="none" w:color="000000" w:sz="4"/>
              <w:left w:val="single" w:color="000000" w:sz="8"/>
              <w:bottom w:val="single" w:color="000000" w:sz="8"/>
              <w:right w:val="single" w:color="000000" w:sz="8"/>
            </w:tcBorders>
          </w:tcPr>
          <w:p>
            <w:r>
              <w:rPr>
                <w:sz w:val="21"/>
              </w:rPr>
              <w:t>1</w:t>
            </w:r>
          </w:p>
        </w:tc>
        <w:tc>
          <w:tcPr>
            <w:tcW w:type="dxa" w:w="789"/>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r>
              <w:rPr>
                <w:sz w:val="21"/>
              </w:rPr>
              <w:t>详见合同文本</w:t>
            </w: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vAlign w:val="top"/>
          </w:tcPr>
          <w:p/>
        </w:tc>
        <w:tc>
          <w:tcPr>
            <w:tcW w:type="dxa" w:w="752"/>
            <w:tcBorders>
              <w:top w:val="none" w:color="000000" w:sz="4"/>
              <w:left w:val="none" w:color="000000" w:sz="4"/>
              <w:bottom w:val="single" w:color="000000" w:sz="8"/>
              <w:right w:val="single" w:color="000000" w:sz="8"/>
            </w:tcBorders>
          </w:tcPr>
          <w:p/>
        </w:tc>
      </w:tr>
      <w:tr>
        <w:tc>
          <w:tcPr>
            <w:tcW w:type="dxa" w:w="716"/>
            <w:tcBorders>
              <w:top w:val="none" w:color="000000" w:sz="4"/>
              <w:left w:val="single" w:color="000000" w:sz="8"/>
              <w:bottom w:val="single" w:color="000000" w:sz="8"/>
              <w:right w:val="single" w:color="000000" w:sz="8"/>
            </w:tcBorders>
          </w:tcPr>
          <w:p>
            <w:r>
              <w:rPr>
                <w:sz w:val="21"/>
              </w:rPr>
              <w:t>2</w:t>
            </w:r>
          </w:p>
        </w:tc>
        <w:tc>
          <w:tcPr>
            <w:tcW w:type="dxa" w:w="789"/>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vAlign w:val="top"/>
          </w:tcPr>
          <w:p/>
        </w:tc>
        <w:tc>
          <w:tcPr>
            <w:tcW w:type="dxa" w:w="752"/>
            <w:tcBorders>
              <w:top w:val="none" w:color="000000" w:sz="4"/>
              <w:left w:val="none" w:color="000000" w:sz="4"/>
              <w:bottom w:val="single" w:color="000000" w:sz="8"/>
              <w:right w:val="single" w:color="000000" w:sz="8"/>
            </w:tcBorders>
          </w:tcPr>
          <w:p/>
        </w:tc>
      </w:tr>
      <w:tr>
        <w:tc>
          <w:tcPr>
            <w:tcW w:type="dxa" w:w="716"/>
            <w:tcBorders>
              <w:top w:val="none" w:color="000000" w:sz="4"/>
              <w:left w:val="single" w:color="000000" w:sz="8"/>
              <w:bottom w:val="single" w:color="000000" w:sz="8"/>
              <w:right w:val="single" w:color="000000" w:sz="8"/>
            </w:tcBorders>
          </w:tcPr>
          <w:p>
            <w:r>
              <w:rPr>
                <w:sz w:val="21"/>
              </w:rPr>
              <w:t>……</w:t>
            </w:r>
          </w:p>
        </w:tc>
        <w:tc>
          <w:tcPr>
            <w:tcW w:type="dxa" w:w="789"/>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tcPr>
          <w:p/>
        </w:tc>
        <w:tc>
          <w:tcPr>
            <w:tcW w:type="dxa" w:w="752"/>
            <w:tcBorders>
              <w:top w:val="none" w:color="000000" w:sz="4"/>
              <w:left w:val="none" w:color="000000" w:sz="4"/>
              <w:bottom w:val="single" w:color="000000" w:sz="8"/>
              <w:right w:val="single" w:color="000000" w:sz="8"/>
            </w:tcBorders>
            <w:vAlign w:val="top"/>
          </w:tcPr>
          <w:p/>
        </w:tc>
        <w:tc>
          <w:tcPr>
            <w:tcW w:type="dxa" w:w="752"/>
            <w:tcBorders>
              <w:top w:val="none" w:color="000000" w:sz="4"/>
              <w:left w:val="none" w:color="000000" w:sz="4"/>
              <w:bottom w:val="single" w:color="000000" w:sz="8"/>
              <w:right w:val="single" w:color="000000" w:sz="8"/>
            </w:tcBorders>
          </w:tcPr>
          <w:p/>
        </w:tc>
      </w:tr>
    </w:tbl>
    <w:p>
      <w:r>
        <w:rPr/>
        <w:t>合计金额人民币（大写）：                     （￥                )</w:t>
      </w:r>
    </w:p>
    <w:p>
      <w:r>
        <w:rPr/>
        <w:t>注：产品名称内容必须与投标文件中产品名称内容一致。</w:t>
      </w:r>
      <w:r>
        <w:br/>
      </w:r>
      <w:r>
        <w:rPr/>
        <w:t>合同总额包括货款、设计、安装、随机零配件、标配工具（不含耗材）、调试、培训、质量保证期服务、各项税费及合同实施过程中不可预见费用等。</w:t>
      </w:r>
      <w:r>
        <w:br/>
      </w:r>
      <w:r>
        <w:rPr/>
        <w:t>二、合同金额</w:t>
      </w:r>
      <w:r>
        <w:br/>
      </w:r>
      <w:r>
        <w:rPr/>
        <w:t>合同总金额：小写：￥</w:t>
      </w:r>
      <w:r>
        <w:rPr>
          <w:u w:val="single"/>
        </w:rPr>
        <w:t xml:space="preserve">         </w:t>
      </w:r>
      <w:r>
        <w:rPr/>
        <w:t>； 大写：人民币</w:t>
      </w:r>
      <w:r>
        <w:rPr>
          <w:u w:val="single"/>
        </w:rPr>
        <w:t xml:space="preserve">      </w:t>
      </w:r>
      <w:r>
        <w:rPr/>
        <w:t>。</w:t>
      </w:r>
      <w:r>
        <w:br/>
      </w:r>
      <w:r>
        <w:rPr/>
        <w:t>三、设备要求</w:t>
      </w:r>
      <w:r>
        <w:br/>
      </w:r>
      <w:r>
        <w:rPr/>
        <w:t>1、乙方提供的产品必须符合中华人民共和国“国家安全环保标准”。</w:t>
      </w:r>
      <w:r>
        <w:br/>
      </w:r>
      <w:r>
        <w:rPr/>
        <w:t>2、产品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3、乙方应将产品的用户手册、有关单证资料等交付给甲方。</w:t>
      </w:r>
      <w:r>
        <w:br/>
      </w:r>
      <w:r>
        <w:rPr/>
        <w:t>4、如果发现产品的质量和规格与合同规定不符或产品在质量保证期内被证明有缺陷，包括内在缺陷或使用不适当原材料，甲方将有权要求有关部门进行检验，并依据检验证书向乙方索赔。</w:t>
      </w:r>
      <w:r>
        <w:br/>
      </w:r>
      <w:r>
        <w:rPr/>
        <w:t>5、产品安装完毕后5个工作日内，甲方应组织验收工作。产品数量和类型应与合同相符，资料齐全。在验收过程中，若发现产品有短缺或不符合本合同条款和质量标准的情况，乙方负责补齐、更换，由此引起一切费用由乙方承担。</w:t>
      </w:r>
      <w:r>
        <w:br/>
      </w:r>
      <w:r>
        <w:rPr/>
        <w:t>四、知识产权</w:t>
      </w:r>
      <w:r>
        <w:br/>
      </w:r>
      <w:r>
        <w:rPr/>
        <w:t>1、乙方保证合同项下提供的产品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w:t>
      </w:r>
      <w:r>
        <w:rPr>
          <w:u w:val="single"/>
        </w:rPr>
        <w:t xml:space="preserve">  </w:t>
      </w:r>
      <w:r>
        <w:rPr/>
        <w:t>年，并提供终身服务，质量保证期自乙方交货之日起计算。</w:t>
      </w:r>
      <w:r>
        <w:br/>
      </w:r>
      <w:r>
        <w:rPr/>
        <w:t>3、质保期内，软件系统发生故障需要服务时，可协助甲方纠正非由甲方造成的错误或其他故障，接到故障通知48小时内给予解答。</w:t>
      </w:r>
      <w:r>
        <w:br/>
      </w:r>
      <w:r>
        <w:rPr/>
        <w:t>4、质保期内，乙方须通过微信、QQ、邮件方式保持常态化的及时咨询服务，具备提供本地化服务能力、需提供售后服务内容和售后服务流程及售后团队说明，可随时答复甲方关于使用本软件或相关产品时提出的问题和要求。</w:t>
      </w:r>
      <w:r>
        <w:br/>
      </w:r>
      <w:r>
        <w:rPr/>
        <w:t>5、质保期结束后，乙方须保障设置甲方可无使用期限。</w:t>
      </w:r>
      <w:r>
        <w:br/>
      </w:r>
      <w:r>
        <w:rPr/>
        <w:t>6、质保期内，为用户提供更新、修订或增强版的软件版本（如有）。升级内容包含解决的BUG。</w:t>
      </w:r>
      <w:r>
        <w:br/>
      </w:r>
      <w:r>
        <w:rPr/>
        <w:t xml:space="preserve">7、负责售后服务维修的单位名称（如有）：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八、安装与调试:</w:t>
      </w:r>
      <w:r>
        <w:br/>
      </w:r>
      <w:r>
        <w:rPr/>
        <w:t>1、合同产品的安装调试：</w:t>
      </w:r>
      <w:r>
        <w:br/>
      </w:r>
      <w:r>
        <w:rPr/>
        <w:t>（1）中标供应商必须按项目进度安排计划，派适当的技术人员负责安装和调试工作指导。</w:t>
      </w:r>
      <w:r>
        <w:br/>
      </w:r>
      <w:r>
        <w:rPr/>
        <w:t>（2）中标供应商必须依照项目采购文件的要求和投标文件的承诺，指导采购人将系统安装并调试至正常运行的最佳状态。</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项目采购文件和投标承诺中甲方认可的合理最佳配置、参数及各项要求；③货物来源国官方标准。</w:t>
      </w:r>
      <w:r>
        <w:br/>
      </w:r>
      <w:r>
        <w:rPr/>
        <w:t>（3）乙方将产品的用户手册、有关单证资料等交付给甲方。</w:t>
      </w:r>
      <w:r>
        <w:br/>
      </w:r>
      <w:r>
        <w:rPr/>
        <w:t>（4）产品安装完毕后5个工作日内，甲方应组织验收工作。产品数量和类型应与合同相符，资料齐全。在验收过程中，若发现产品有短缺或不符合本合同条款和质量标准的情况，乙方负责补齐、更换，由此引起一切费用由乙方承担。</w:t>
      </w:r>
      <w:r>
        <w:br/>
      </w:r>
      <w:r>
        <w:rPr/>
        <w:t>（5）甲方组成验收小组，按照采购合同规定的技术、服务、安全标准组织对乙方履约情况进行验收。因产品质量问题发生争议时，由甲方本地质量技术监督部门鉴定。产品符合质量技术标准的，鉴定费由甲方承担；否则鉴定费由乙方承担。</w:t>
      </w:r>
      <w:r>
        <w:br/>
      </w:r>
      <w:r>
        <w:rPr/>
        <w:t>（6）当出现不合格产品时，乙方要无条件更换合格产品。除甲方认可，否则不接受任何形式的降格处理。</w:t>
      </w:r>
      <w:r>
        <w:br/>
      </w:r>
      <w:r>
        <w:rPr/>
        <w:t>十、违约责任与赔偿损失</w:t>
      </w:r>
      <w:r>
        <w:br/>
      </w:r>
      <w:r>
        <w:rPr/>
        <w:t>1、乙方交付的产品不符合招标文件、投标文件或本合同规定的，甲方有权拒收，并且乙方须向甲方支付本合同总价5%的违约金。</w:t>
      </w:r>
      <w:r>
        <w:br/>
      </w:r>
      <w:r>
        <w:rPr/>
        <w:t>2、乙方未能按本合同规定的交货时间交付产品的，从逾期之日起每日按本合同总价3‰的数额向甲方支付违约金；逾期半个月以上的，甲方有权终止合同，由此造成的甲方经济损失由乙方承担。</w:t>
      </w:r>
      <w:r>
        <w:br/>
      </w:r>
      <w:r>
        <w:rPr/>
        <w:t>3、甲方无正当理由拒收产品，不按合同约定付款的，甲方向乙方偿付本合同总价5%的违约金。甲方逾期未按合同约定时间支付款项的，则每日按本合同总价的3‰向乙方偿付违约金。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5、因甲方原因导致变更、中止或者终止政府采购合同的，甲方对乙方受到的损失予以赔偿或者补偿，赔偿或者补偿金额为：本合同总价的1%。</w:t>
      </w:r>
      <w:r>
        <w:br/>
      </w:r>
      <w:r>
        <w:rPr/>
        <w:t>6、其它违约责任按《中华人民共和国民法典》处理。</w:t>
      </w:r>
      <w:r>
        <w:br/>
      </w:r>
      <w:r>
        <w:rPr/>
        <w:t>十一、争议的解决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十二、不可抗力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十三、税费</w:t>
      </w:r>
      <w:r>
        <w:br/>
      </w:r>
      <w:r>
        <w:rPr/>
        <w:t>在中国境内、外发生的与本合同执行有关的一切税费均由乙方负担。</w:t>
      </w:r>
      <w:r>
        <w:br/>
      </w:r>
      <w:r>
        <w:rPr/>
        <w:t>十四、其它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十五、合同生效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w:t>
      </w:r>
      <w:r>
        <w:rPr>
          <w:u w:val="single"/>
        </w:rPr>
        <w:t xml:space="preserve">  </w:t>
      </w:r>
      <w:r>
        <w:rPr/>
        <w:t>份。甲、乙双方各执</w:t>
      </w:r>
      <w:r>
        <w:rPr>
          <w:u w:val="single"/>
        </w:rPr>
        <w:t xml:space="preserve">  </w:t>
      </w:r>
      <w:r>
        <w:rPr/>
        <w:t>份，采购代理机构壹份，具同等法律效力。</w:t>
      </w:r>
      <w:r>
        <w:br/>
      </w:r>
      <w:r>
        <w:rPr/>
        <w:t>（以下无正文）</w:t>
      </w:r>
      <w:r>
        <w:br/>
      </w:r>
      <w:r>
        <w:rPr/>
        <w:t xml:space="preserve">甲方（公章）： </w:t>
      </w:r>
      <w:r>
        <w:br/>
      </w:r>
      <w:r>
        <w:rPr/>
        <w:t>联系人：</w:t>
      </w:r>
      <w:r>
        <w:br/>
      </w:r>
      <w:r>
        <w:rPr/>
        <w:t>开户名称：</w:t>
      </w:r>
      <w:r>
        <w:br/>
      </w:r>
      <w:r>
        <w:rPr/>
        <w:t>开户银行：</w:t>
      </w:r>
      <w:r>
        <w:br/>
      </w:r>
      <w:r>
        <w:rPr/>
        <w:t>银行账号：</w:t>
      </w:r>
      <w:r>
        <w:br/>
      </w:r>
      <w:r>
        <w:rPr/>
        <w:t>纳税人识别号：</w:t>
      </w:r>
      <w:r>
        <w:br/>
      </w:r>
      <w:r>
        <w:rPr/>
        <w:t>地址：</w:t>
      </w:r>
      <w:r>
        <w:br/>
      </w:r>
      <w:r>
        <w:rPr/>
        <w:t>联系方式：</w:t>
      </w:r>
      <w:r>
        <w:br/>
      </w:r>
      <w:r>
        <w:rPr/>
        <w:t>传真：</w:t>
      </w:r>
      <w:r>
        <w:br/>
      </w:r>
      <w:r>
        <w:rPr/>
        <w:t xml:space="preserve">乙方（公章）： </w:t>
      </w:r>
      <w:r>
        <w:br/>
      </w:r>
      <w:r>
        <w:rPr/>
        <w:t>联系人：</w:t>
      </w:r>
      <w:r>
        <w:br/>
      </w:r>
      <w:r>
        <w:rPr/>
        <w:t>供应商规模：（大型企业/中型企业/小微型企业/其他）</w:t>
      </w:r>
      <w:r>
        <w:br/>
      </w:r>
      <w:r>
        <w:rPr/>
        <w:t>供应商特殊性质：（监狱企业/残疾人福利性单位/其他）</w:t>
      </w:r>
      <w:r>
        <w:br/>
      </w:r>
      <w:r>
        <w:rPr/>
        <w:t>开户名称：</w:t>
      </w:r>
      <w:r>
        <w:br/>
      </w:r>
      <w:r>
        <w:rPr/>
        <w:t>开户银行：</w:t>
      </w:r>
      <w:r>
        <w:br/>
      </w:r>
      <w:r>
        <w:rPr/>
        <w:t>银行账号：</w:t>
      </w:r>
      <w:r>
        <w:br/>
      </w:r>
      <w:r>
        <w:rPr/>
        <w:t>纳税人识别号：</w:t>
      </w:r>
      <w:r>
        <w:br/>
      </w:r>
      <w:r>
        <w:rPr/>
        <w:t>供应商所在区域：</w:t>
      </w:r>
      <w:r>
        <w:br/>
      </w:r>
      <w:r>
        <w:rPr/>
        <w:t>地址：</w:t>
      </w:r>
      <w:r>
        <w:br/>
      </w:r>
      <w:r>
        <w:rPr/>
        <w:t>联系方式：</w:t>
      </w:r>
      <w:r>
        <w:br/>
      </w:r>
      <w:r>
        <w:rPr/>
        <w:t>传真：</w:t>
      </w:r>
      <w:r>
        <w:br/>
      </w:r>
      <w:r>
        <w:rPr/>
        <w:t xml:space="preserve"> </w:t>
      </w:r>
    </w:p>
    <w:p>
      <w:r>
        <w:rPr/>
        <w:t>合同格式二（适用于中华人民共和国关境外提供的货物和服务）</w:t>
      </w:r>
      <w:r>
        <w:br/>
      </w:r>
      <w:r>
        <w:rPr/>
        <w:t>采购合同</w:t>
      </w:r>
      <w:r>
        <w:br/>
      </w:r>
      <w:r>
        <w:rPr/>
        <w:t>合同名称：</w:t>
      </w:r>
      <w:r>
        <w:br/>
      </w:r>
      <w:r>
        <w:rPr/>
        <w:t>合同编号：</w:t>
      </w:r>
      <w:r>
        <w:br/>
      </w:r>
      <w:r>
        <w:rPr/>
        <w:t>签约地点：</w:t>
      </w:r>
      <w:r>
        <w:br/>
      </w:r>
      <w:r>
        <w:rPr/>
        <w:t>合同类别：货物</w:t>
      </w:r>
      <w:r>
        <w:br/>
      </w:r>
      <w:r>
        <w:rPr/>
        <w:t>签订日期：</w:t>
      </w:r>
      <w:r>
        <w:br/>
      </w:r>
      <w:r>
        <w:rPr/>
        <w:t>签订类型：单项合同</w:t>
      </w:r>
      <w:r>
        <w:br/>
      </w:r>
      <w:r>
        <w:rPr/>
        <w:t>合同范本：采购合同</w:t>
      </w:r>
      <w:r>
        <w:br/>
      </w:r>
      <w:r>
        <w:rPr/>
        <w:t>合同期限： 20XX年XX月XX日至20XX年XX月XX日</w:t>
      </w:r>
      <w:r>
        <w:br/>
      </w:r>
      <w:r>
        <w:rPr/>
        <w:t>是否包含涉密条款：否</w:t>
      </w:r>
      <w:r>
        <w:br/>
      </w:r>
      <w:r>
        <w:rPr/>
        <w:t>备注：</w:t>
      </w:r>
    </w:p>
    <w:p>
      <w:r>
        <w:rPr/>
        <w:t xml:space="preserve">甲方（采购人）： </w:t>
      </w:r>
      <w:r>
        <w:br/>
      </w:r>
      <w:r>
        <w:rPr/>
        <w:t xml:space="preserve">乙方（中标供应商）： </w:t>
      </w:r>
      <w:r>
        <w:br/>
      </w:r>
      <w:r>
        <w:rPr/>
        <w:t>丙方（进口外贸代理公司）：（如果不需要外贸公司代理进口的只签订双方合同）</w:t>
      </w:r>
      <w:r>
        <w:br/>
      </w:r>
      <w:r>
        <w:rPr/>
        <w:t xml:space="preserve">  根据《中华人民共和国政府采购法》、《中华人民共和国民法典》等相关法律法规及</w:t>
      </w:r>
      <w:r>
        <w:rPr>
          <w:u w:val="single"/>
        </w:rPr>
        <w:t>广东省科学院半导体研究所多功能电子束仿真软件采购项目招标文件（项目编号：GZGK24P002A0004Z）</w:t>
      </w:r>
      <w:r>
        <w:rPr/>
        <w:t>的要求，经三方协商，本着平等互利和诚实信用的原则，一致同意签订本合同。</w:t>
      </w:r>
      <w:r>
        <w:br/>
      </w:r>
      <w:r>
        <w:rPr/>
        <w:t xml:space="preserve">一、合同采购内容 </w:t>
      </w:r>
    </w:p>
    <w:p>
      <w:r>
        <w:rPr/>
        <w:t>注：产品名称内容必须与投标文件中产品名称内容一致。</w:t>
      </w:r>
      <w:r>
        <w:br/>
      </w:r>
      <w:r>
        <w:rPr/>
        <w:t>1、价格总价为指定交货地点的交货价。包括：CIP采购人指定地点和其他伴随服务费用。其他伴随服务费用包括但不限于以下费用：</w:t>
      </w:r>
      <w:r>
        <w:br/>
      </w:r>
      <w:r>
        <w:rPr/>
        <w:t>（1）产品从进口口岸至最终目的地的关境内运输、保险和其他当地发生的伴随费用。</w:t>
      </w:r>
      <w:r>
        <w:br/>
      </w:r>
      <w:r>
        <w:rPr/>
        <w:t>（2）安装与调试、验收、检验、培训、技术文件的移交、质量保证期服务、技术服务及招标文件要求提供的其它服务。</w:t>
      </w:r>
      <w:r>
        <w:br/>
      </w:r>
      <w:r>
        <w:rPr/>
        <w:t>（3）安装调试中的相关费用。</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2、产品进口所需办理的免税手续由丙方及乙方协助甲方办理，丙方负责办理产品报关、机场提货、对外付汇及付汇后的银行结算，乙方支付丙方代理进口业务手续费人民币</w:t>
      </w:r>
      <w:r>
        <w:rPr>
          <w:u w:val="single"/>
        </w:rPr>
        <w:t xml:space="preserve">      </w:t>
      </w:r>
      <w:r>
        <w:rPr/>
        <w:t>（¥</w:t>
      </w:r>
      <w:r>
        <w:rPr>
          <w:u w:val="single"/>
        </w:rPr>
        <w:t xml:space="preserve">    </w:t>
      </w:r>
      <w:r>
        <w:rPr/>
        <w:t>），含丙方办理进口产品、报关等一切办理进口产品的费用。丙方负责广州口岸提货及将产品从机场运送到甲方指定地点。</w:t>
      </w:r>
      <w:r>
        <w:br/>
      </w:r>
      <w:r>
        <w:rPr/>
        <w:t>3、乙方提货前必须提前通知甲、丙方，提货当天甲、丙方派专人随同前往提货，并由甲方对货物包装箱加贴封条（如有）。</w:t>
      </w:r>
      <w:r>
        <w:br/>
      </w:r>
      <w:r>
        <w:rPr/>
        <w:t>二、合同金额</w:t>
      </w:r>
      <w:r>
        <w:br/>
      </w:r>
      <w:r>
        <w:rPr/>
        <w:t xml:space="preserve">合同金额为：（币种：）             </w:t>
      </w:r>
      <w:r>
        <w:br/>
      </w:r>
      <w:r>
        <w:rPr/>
        <w:t>三、设备要求</w:t>
      </w:r>
      <w:r>
        <w:br/>
      </w:r>
      <w:r>
        <w:rPr/>
        <w:t>1、乙方提供的产品必须符合中华人民共和国“国家安全环保标准”。</w:t>
      </w:r>
      <w:r>
        <w:br/>
      </w:r>
      <w:r>
        <w:rPr/>
        <w:t>2、产品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3、产品须具有合格证，并可追索查阅。</w:t>
      </w:r>
      <w:r>
        <w:br/>
      </w:r>
      <w:r>
        <w:rPr/>
        <w:t>4、乙方应将产品的用户手册、有关单证资料等交付给甲方。</w:t>
      </w:r>
      <w:r>
        <w:br/>
      </w:r>
      <w:r>
        <w:rPr/>
        <w:t>5、如果发现产品的质量和规格与合同规定不符或产品在质量保证期内被证明有缺陷，包括内在缺陷或使用不适当原材料，甲方将有权要求有关部门进行检验，并依据检验证书向乙方索赔。</w:t>
      </w:r>
      <w:r>
        <w:br/>
      </w:r>
      <w:r>
        <w:rPr/>
        <w:t>6、产品安装完毕后5个工作日内，甲方应组织验收工作。产品数量和类型应与合同相符，资料齐全。在验收过程中，若发现产品有短缺或不符合本合同条款和质量标准的情况，乙方负责补齐、更换，由此引起一切费用由乙方承担。。</w:t>
      </w:r>
      <w:r>
        <w:br/>
      </w:r>
      <w:r>
        <w:rPr/>
        <w:t>四、知识产权</w:t>
      </w:r>
      <w:r>
        <w:br/>
      </w:r>
      <w:r>
        <w:rPr/>
        <w:t>乙方保证合同项下提供的产品不侵犯任何第三方的专利权、商标权或其它知识产权。否则，乙方须承担对第三方的专利权、商标权或其它知识产权的侵权责任并承担因此而发生的所有费用及给甲方造成的损失。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 xml:space="preserve">5、乙方联系人及联系电话：  </w:t>
      </w:r>
      <w:r>
        <w:br/>
      </w:r>
      <w:r>
        <w:rPr/>
        <w:t>六、付款方式、时间及付款条件</w:t>
      </w:r>
      <w:r>
        <w:br/>
      </w:r>
      <w:r>
        <w:rPr/>
        <w:t>付款时间及条件：（按采购需求要求）</w:t>
      </w:r>
      <w:r>
        <w:br/>
      </w:r>
      <w:r>
        <w:rPr/>
        <w:t>付款方式：</w:t>
      </w:r>
      <w:r>
        <w:br/>
      </w:r>
      <w:r>
        <w:rPr/>
        <w:t>七、培训、质保期及售后服务要求</w:t>
      </w:r>
      <w:r>
        <w:br/>
      </w:r>
      <w:r>
        <w:rPr/>
        <w:t>1、乙方负责甲方使用人员的使用操作技术及维护技术的培训。</w:t>
      </w:r>
      <w:r>
        <w:br/>
      </w:r>
      <w:r>
        <w:rPr/>
        <w:t>2、本合同的质量保证期（简称“质量保证期”）为</w:t>
      </w:r>
      <w:r>
        <w:rPr>
          <w:u w:val="single"/>
        </w:rPr>
        <w:t xml:space="preserve">  </w:t>
      </w:r>
      <w:r>
        <w:rPr/>
        <w:t>年，并提供终身服务，质量保证期自乙方交货之日起计算。</w:t>
      </w:r>
      <w:r>
        <w:br/>
      </w:r>
      <w:r>
        <w:rPr/>
        <w:t>3、质保期内，软件系统发生故障需要服务时，可协助甲方纠正非由甲方造成的错误或其他故障，接到故障通知48小时内给予解答。</w:t>
      </w:r>
      <w:r>
        <w:br/>
      </w:r>
      <w:r>
        <w:rPr/>
        <w:t>4、质保期内，乙方须通过微信、QQ、邮件方式保持常态化的及时咨询服务，具备提供本地化服务能力、需提供售后服务内容和售后服务流程及售后团队说明，可随时答复甲方关于使用本软件或相关产品时提出的问题和要求。</w:t>
      </w:r>
      <w:r>
        <w:br/>
      </w:r>
      <w:r>
        <w:rPr/>
        <w:t>5、质保期结束后，乙方须保障设置甲方可无使用期限。</w:t>
      </w:r>
      <w:r>
        <w:br/>
      </w:r>
      <w:r>
        <w:rPr/>
        <w:t>6、质保期内，为用户提供更新、修订或增强版的软件版本（如有）。升级内容包含解决的BUG。</w:t>
      </w:r>
      <w:r>
        <w:br/>
      </w:r>
      <w:r>
        <w:rPr/>
        <w:t>7、负责维修的单位名称：</w:t>
      </w:r>
      <w:r>
        <w:br/>
      </w:r>
      <w:r>
        <w:rPr/>
        <w:t>地址：</w:t>
      </w:r>
      <w:r>
        <w:br/>
      </w:r>
      <w:r>
        <w:rPr/>
        <w:t>联系人：</w:t>
      </w:r>
      <w:r>
        <w:br/>
      </w:r>
      <w:r>
        <w:rPr/>
        <w:t xml:space="preserve">电话：           </w:t>
      </w:r>
      <w:r>
        <w:br/>
      </w:r>
      <w:r>
        <w:rPr/>
        <w:t>手机：</w:t>
      </w:r>
      <w:r>
        <w:br/>
      </w:r>
      <w:r>
        <w:rPr/>
        <w:t>传真：</w:t>
      </w:r>
      <w:r>
        <w:br/>
      </w:r>
      <w:r>
        <w:rPr/>
        <w:t>八、安装与调试:</w:t>
      </w:r>
      <w:r>
        <w:br/>
      </w:r>
      <w:r>
        <w:rPr/>
        <w:t>1、合同产品的安装调试：</w:t>
      </w:r>
      <w:r>
        <w:br/>
      </w:r>
      <w:r>
        <w:rPr/>
        <w:t>（1）中标供应商必须按项目进度安排计划，派适当的技术人员负责安装和调试工作指导。</w:t>
      </w:r>
      <w:r>
        <w:br/>
      </w:r>
      <w:r>
        <w:rPr/>
        <w:t>（2）中标供应商必须依照项目采购文件的要求和投标文件的承诺，指导采购人将系统安装并调试至正常运行的最佳状态。</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项目采购文件和投标承诺中甲方认可的合理最佳配置、参数及各项要求；③货物来源国官方标准。</w:t>
      </w:r>
      <w:r>
        <w:br/>
      </w:r>
      <w:r>
        <w:rPr/>
        <w:t>（3）乙方将产品的用户手册、有关单证资料等交付给甲方。</w:t>
      </w:r>
      <w:r>
        <w:br/>
      </w:r>
      <w:r>
        <w:rPr/>
        <w:t>（4）产品安装完毕后5个工作日内，甲方应组织验收工作。产品数量和类型应与合同相符，资料齐全。在验收过程中，若发现产品有短缺或不符合本合同条款和质量标准的情况，乙方负责补齐、更换，由此引起一切费用由乙方承担。</w:t>
      </w:r>
      <w:r>
        <w:br/>
      </w:r>
      <w:r>
        <w:rPr/>
        <w:t>（5）甲方组成验收小组，按照采购合同规定的技术、服务、安全标准组织对乙方履约情况进行验收。因产品质量问题发生争议时，由甲方本地质量技术监督部门鉴定。产品符合质量技术标准的，鉴定费由甲方承担；否则鉴定费由乙方承担。</w:t>
      </w:r>
      <w:r>
        <w:br/>
      </w:r>
      <w:r>
        <w:rPr/>
        <w:t>（6）当出现不合格产品时，乙方要无条件更换合格产品。除甲方认可，否则不接受任何形式的降格处理。</w:t>
      </w:r>
      <w:r>
        <w:br/>
      </w:r>
      <w:r>
        <w:rPr/>
        <w:t>十、违约责任与赔偿损失</w:t>
      </w:r>
      <w:r>
        <w:br/>
      </w:r>
      <w:r>
        <w:rPr/>
        <w:t>1、乙方交付的产品不符合招标文件、报价文件或本合同规定的，甲方有权拒收，并且乙方须向甲方支付本合同总价5%的违约金。</w:t>
      </w:r>
      <w:r>
        <w:br/>
      </w:r>
      <w:r>
        <w:rPr/>
        <w:t>2、乙方未能按本合同规定的交货时间交付产品的，从逾期之日起每日按本合同总价3‰的数额向甲方支付违约金，该罚金不超过延迟装运总值的5%；逾期半个月以上的，甲方有权终止合同，由此造成的甲方经济损失由乙方承担。</w:t>
      </w:r>
      <w:r>
        <w:br/>
      </w:r>
      <w:r>
        <w:rPr/>
        <w:t>3、甲方无正当理由拒收产品，不按合同约定付款的，甲方向乙方偿付本合同总价1%的违约金。甲方逾期未按合同约定时间支付款项的，则每日按本合同总价的3‰向乙方偿付违约金。</w:t>
      </w:r>
      <w:r>
        <w:br/>
      </w:r>
      <w:r>
        <w:rPr/>
        <w:t>4、乙方如没有按合同规定履行售后服务承诺，甲方可由第三方单位进行修复，其费用全部由乙方支付，并追究乙方违约的法律责任。</w:t>
      </w:r>
      <w:r>
        <w:br/>
      </w:r>
      <w:r>
        <w:rPr/>
        <w:t>5、其它违约责任按《中华人民共和国民法典》处理。</w:t>
      </w:r>
      <w:r>
        <w:br/>
      </w:r>
      <w:r>
        <w:rPr/>
        <w:t>十一、履约保证金</w:t>
      </w:r>
      <w:r>
        <w:br/>
      </w:r>
      <w:r>
        <w:rPr/>
        <w:t>（按照采购需求要求）</w:t>
      </w:r>
      <w:r>
        <w:br/>
      </w:r>
      <w:r>
        <w:rPr/>
        <w:t>十二、争议的解决</w:t>
      </w:r>
      <w:r>
        <w:br/>
      </w:r>
      <w:r>
        <w:rPr/>
        <w:t xml:space="preserve">  合同执行过程中发生的任何争议，三方应通过友好协商解决，若经协商不能达成协议时，则向甲方所在地有管辖权的人民法院提起诉讼。诉讼期间，双方应继续执行合同其余部分。</w:t>
      </w:r>
      <w:r>
        <w:br/>
      </w:r>
      <w:r>
        <w:rPr/>
        <w:t>十三、不可抗力</w:t>
      </w:r>
      <w:r>
        <w:br/>
      </w:r>
      <w:r>
        <w:rPr/>
        <w:t>1、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r>
        <w:br/>
      </w:r>
      <w:r>
        <w:rPr/>
        <w:t>2、根据现行规定，合同项下产品不受欧盟出口管制。然而，对于出口清关，需要“zero notice”文件。延迟出口清关或/和获得此类zero notice文件属于不可抗力。</w:t>
      </w:r>
      <w:r>
        <w:br/>
      </w:r>
      <w:r>
        <w:rPr/>
        <w:t>3、如果产品成为出口许可证条例的对象，则适用下列规则:</w:t>
      </w:r>
      <w:r>
        <w:br/>
      </w:r>
      <w:r>
        <w:rPr/>
        <w:t>（1）延迟取得出口许可证属于不可抗力。拒绝出口许可证属于不可抗力。</w:t>
      </w:r>
      <w:r>
        <w:br/>
      </w:r>
      <w:r>
        <w:rPr/>
        <w:t>（2）因办理出口许可证手续造成的延误，乙方不承担赔偿责任，损失由甲乙双方自行承担。因出口许可证被国家机关拒发而导致不能装运的，甲乙双方有权解除合同。在取消合同的情况下，乙方有义务退还全部预付款给甲方。在这种情况下，乙方不承担任何进一步赔偿责任。</w:t>
      </w:r>
      <w:r>
        <w:br/>
      </w:r>
      <w:r>
        <w:rPr/>
        <w:t>十四、其它</w:t>
      </w:r>
      <w:r>
        <w:br/>
      </w:r>
      <w:r>
        <w:rPr/>
        <w:t>1、本合同所有附件、招标文件、投标文件、中标通知书均为合同的有效组成部分，与本合同具有同等法律效力。</w:t>
      </w:r>
      <w:r>
        <w:br/>
      </w:r>
      <w:r>
        <w:rPr/>
        <w:t>2、在执行本合同的过程中，所有经甲乙丙三方签署确认的文件（包括会议纪要、补充协议、合同修改、往来信函）即成为本合同的有效组成部分。</w:t>
      </w:r>
      <w:r>
        <w:br/>
      </w:r>
      <w:r>
        <w:rPr/>
        <w:t xml:space="preserve">3、如一方地址、电话、传真号码有变更，应在变更当日内书面通知其他两方，否则，应承担相应责任。 </w:t>
      </w:r>
      <w:r>
        <w:br/>
      </w:r>
      <w:r>
        <w:rPr/>
        <w:t>4、除甲方事先以书面形式确认同意外，乙方、丙方不得部分或全部转让其应履行的合同项下的义务。</w:t>
      </w:r>
      <w:r>
        <w:br/>
      </w:r>
      <w:r>
        <w:rPr/>
        <w:t>十五、    合同生效</w:t>
      </w:r>
      <w:r>
        <w:br/>
      </w:r>
      <w:r>
        <w:rPr/>
        <w:t>1、本合同在甲乙丙三方法人代表或其授权代表签字并盖章及乙方提交履约保证金后生效。如果不需要提交履约保证金的则甲乙丙三方法人代表或其授权代表签字并盖章后生效。</w:t>
      </w:r>
      <w:r>
        <w:br/>
      </w:r>
      <w:r>
        <w:rPr/>
        <w:t>2、合同一式</w:t>
      </w:r>
      <w:r>
        <w:rPr>
          <w:u w:val="single"/>
        </w:rPr>
        <w:t xml:space="preserve">  </w:t>
      </w:r>
      <w:r>
        <w:rPr/>
        <w:t>份。甲乙丙三方各执</w:t>
      </w:r>
      <w:r>
        <w:rPr>
          <w:u w:val="single"/>
        </w:rPr>
        <w:t xml:space="preserve">  </w:t>
      </w:r>
      <w:r>
        <w:rPr/>
        <w:t>份，招标代理机构壹份，具同等法律效力。</w:t>
      </w:r>
      <w:r>
        <w:br/>
      </w:r>
      <w:r>
        <w:rPr/>
        <w:t>（以下无正文）</w:t>
      </w:r>
      <w:r>
        <w:br/>
      </w:r>
      <w:r>
        <w:rPr/>
        <w:t xml:space="preserve">甲方（公章）： </w:t>
      </w:r>
      <w:r>
        <w:br/>
      </w:r>
      <w:r>
        <w:rPr/>
        <w:t>联系人：</w:t>
      </w:r>
      <w:r>
        <w:br/>
      </w:r>
      <w:r>
        <w:rPr/>
        <w:t>开户名称：</w:t>
      </w:r>
      <w:r>
        <w:br/>
      </w:r>
      <w:r>
        <w:rPr/>
        <w:t>开户银行：</w:t>
      </w:r>
      <w:r>
        <w:br/>
      </w:r>
      <w:r>
        <w:rPr/>
        <w:t>银行账号：</w:t>
      </w:r>
      <w:r>
        <w:br/>
      </w:r>
      <w:r>
        <w:rPr/>
        <w:t>纳税人识别号：</w:t>
      </w:r>
      <w:r>
        <w:br/>
      </w:r>
      <w:r>
        <w:rPr/>
        <w:t>地址：</w:t>
      </w:r>
      <w:r>
        <w:br/>
      </w:r>
      <w:r>
        <w:rPr/>
        <w:t>联系方式：</w:t>
      </w:r>
      <w:r>
        <w:br/>
      </w:r>
      <w:r>
        <w:rPr/>
        <w:t>传真：</w:t>
      </w:r>
      <w:r>
        <w:br/>
      </w:r>
      <w:r>
        <w:rPr/>
        <w:t xml:space="preserve">乙方（公章）： </w:t>
      </w:r>
      <w:r>
        <w:br/>
      </w:r>
      <w:r>
        <w:rPr/>
        <w:t>联系人：</w:t>
      </w:r>
      <w:r>
        <w:br/>
      </w:r>
      <w:r>
        <w:rPr/>
        <w:t>供应商规模：（大型企业/中型企业/小微型企业/其他）</w:t>
      </w:r>
      <w:r>
        <w:br/>
      </w:r>
      <w:r>
        <w:rPr/>
        <w:t>供应商特殊性质：（监狱企业/残疾人福利性单位/其他）</w:t>
      </w:r>
      <w:r>
        <w:br/>
      </w:r>
      <w:r>
        <w:rPr/>
        <w:t>开户名称：</w:t>
      </w:r>
      <w:r>
        <w:br/>
      </w:r>
      <w:r>
        <w:rPr/>
        <w:t>开户银行：</w:t>
      </w:r>
      <w:r>
        <w:br/>
      </w:r>
      <w:r>
        <w:rPr/>
        <w:t>银行账号：</w:t>
      </w:r>
      <w:r>
        <w:br/>
      </w:r>
      <w:r>
        <w:rPr/>
        <w:t>纳税人识别号：</w:t>
      </w:r>
      <w:r>
        <w:br/>
      </w:r>
      <w:r>
        <w:rPr/>
        <w:t>供应商所在区域：</w:t>
      </w:r>
      <w:r>
        <w:br/>
      </w:r>
      <w:r>
        <w:rPr/>
        <w:t>地址：</w:t>
      </w:r>
      <w:r>
        <w:br/>
      </w:r>
      <w:r>
        <w:rPr/>
        <w:t>联系方式：</w:t>
      </w:r>
      <w:r>
        <w:br/>
      </w:r>
      <w:r>
        <w:rPr/>
        <w:t>传真：</w:t>
      </w:r>
      <w:r>
        <w:br/>
      </w:r>
      <w:r>
        <w:rPr/>
        <w:t xml:space="preserve">丙方（公章）：                                 </w:t>
      </w:r>
      <w:r>
        <w:br/>
      </w:r>
      <w:r>
        <w:rPr/>
        <w:t>联系人：</w:t>
      </w:r>
      <w:r>
        <w:br/>
      </w:r>
      <w:r>
        <w:rPr/>
        <w:t>开户名称：</w:t>
      </w:r>
      <w:r>
        <w:br/>
      </w:r>
      <w:r>
        <w:rPr/>
        <w:t>开户银行：</w:t>
      </w:r>
      <w:r>
        <w:br/>
      </w:r>
      <w:r>
        <w:rPr/>
        <w:t>银行账号：</w:t>
      </w:r>
      <w:r>
        <w:br/>
      </w:r>
      <w:r>
        <w:rPr/>
        <w:t>纳税人识别号：</w:t>
      </w:r>
      <w:r>
        <w:br/>
      </w:r>
      <w:r>
        <w:rPr/>
        <w:t>地址：</w:t>
      </w:r>
      <w:r>
        <w:br/>
      </w:r>
      <w:r>
        <w:rPr/>
        <w:t>联系方式：</w:t>
      </w:r>
      <w:r>
        <w:br/>
      </w:r>
      <w:r>
        <w:rPr/>
        <w:t>传真：</w:t>
      </w:r>
      <w:r>
        <w:br/>
      </w:r>
      <w:r>
        <w:rPr/>
        <w:t xml:space="preserve"> </w:t>
      </w:r>
    </w:p>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440001-2024-03526</w:t>
      </w:r>
    </w:p>
    <w:p>
      <w:pPr>
        <w:jc w:val="center"/>
      </w:pPr>
      <w:r>
        <w:rPr>
          <w:b/>
          <w:sz w:val="24"/>
        </w:rPr>
        <w:t>采购项目编号：</w:t>
      </w:r>
      <w:r>
        <w:rPr>
          <w:b/>
          <w:sz w:val="24"/>
        </w:rPr>
        <w:t>GZGK24P002A0004Z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广东省科学院半导体研究所多功能电子束仿真软件采购项目</w:t>
      </w:r>
      <w:r>
        <w:rPr>
          <w:u w:val="single"/>
        </w:rPr>
        <w:t>”</w:t>
      </w:r>
      <w:r>
        <w:rPr/>
        <w:t>项目的招标[采购项目编号为：</w:t>
      </w:r>
      <w:r>
        <w:rPr>
          <w:u w:val="single"/>
        </w:rPr>
        <w:t>GZGK24P002A0004Z</w:t>
      </w:r>
      <w:r>
        <w:rPr/>
        <w:t>]，我方愿参与投标。</w:t>
      </w:r>
    </w:p>
    <w:p>
      <w:pPr>
        <w:ind w:firstLine="480"/>
      </w:pPr>
      <w:r>
        <w:rPr/>
        <w:t>我方确认收到贵方提供的</w:t>
      </w:r>
      <w:r>
        <w:rPr>
          <w:u w:val="single"/>
        </w:rPr>
        <w:t>“</w:t>
      </w:r>
      <w:r>
        <w:rPr>
          <w:u w:val="single"/>
        </w:rPr>
        <w:t>广东省科学院半导体研究所多功能电子束仿真软件采购项目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广东省科学院半导体研究所多功能电子束仿真软件采购项目</w:t>
      </w:r>
      <w:r>
        <w:rPr/>
        <w:t>”项目采购[采购项目编号为</w:t>
      </w:r>
      <w:r>
        <w:rPr/>
        <w:t>GZGK24P002A0004Z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广东省科学院半导体研究所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广东省科学院半导体研究所多功能电子束仿真软件采购项目</w:t>
      </w:r>
      <w:r>
        <w:rPr/>
        <w:t>招标中获中标（采购项目编号：</w:t>
      </w:r>
      <w:r>
        <w:rPr/>
        <w:t>GZGK24P002A0004Z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广东省科学院半导体研究所多功能电子束仿真软件采购项目</w:t>
      </w:r>
      <w:r>
        <w:rPr/>
        <w:t>”项目（采购项目编号：</w:t>
      </w:r>
      <w:r>
        <w:rPr/>
        <w:t>GZGK24P002A0004Z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