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440111-2023-05914</w:t>
      </w:r>
    </w:p>
    <w:p>
      <w:pPr>
        <w:jc w:val="center"/>
      </w:pPr>
      <w:r>
        <w:rPr>
          <w:b/>
          <w:sz w:val="24"/>
        </w:rPr>
        <w:t>采购项目编号：</w:t>
      </w:r>
      <w:r>
        <w:rPr>
          <w:b/>
          <w:sz w:val="24"/>
        </w:rPr>
        <w:t>GZGK23D283C0891C</w:t>
      </w:r>
    </w:p>
    <w:p>
      <w:pPr>
        <w:jc w:val="center"/>
      </w:pPr>
      <w:r>
        <w:rPr>
          <w:b/>
          <w:sz w:val="24"/>
        </w:rPr>
        <w:t>项目名称：</w:t>
      </w:r>
      <w:r>
        <w:rPr>
          <w:b/>
          <w:sz w:val="24"/>
        </w:rPr>
        <w:t>广州市白云区人民政府均禾街道办事处综合养老服务中心（颐康中心)及颐康服务站运营采购项目</w:t>
      </w:r>
    </w:p>
    <w:p>
      <w:pPr>
        <w:jc w:val="center"/>
      </w:pPr>
      <w:r>
        <w:rPr>
          <w:b/>
          <w:sz w:val="24"/>
        </w:rPr>
        <w:t>采购人：</w:t>
      </w:r>
      <w:r>
        <w:rPr>
          <w:b/>
          <w:sz w:val="24"/>
        </w:rPr>
        <w:t>广州市白云区人民政府均禾街道办事处</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广州市白云区人民政府均禾街道办事处</w:t>
      </w:r>
      <w:r>
        <w:rPr/>
        <w:t>的委托，采用</w:t>
      </w:r>
      <w:r>
        <w:rPr/>
        <w:t>竞争性磋商</w:t>
      </w:r>
      <w:r>
        <w:rPr/>
        <w:t>方式组织采购</w:t>
      </w:r>
      <w:r>
        <w:rPr/>
        <w:t>广州市白云区人民政府均禾街道办事处综合养老服务中心（颐康中心)及颐康服务站运营采购项目</w:t>
      </w:r>
      <w:r>
        <w:rPr/>
        <w:t>。欢迎符合资格条件的供应商参加。</w:t>
      </w:r>
    </w:p>
    <w:p>
      <w:r>
        <w:rPr>
          <w:b/>
          <w:sz w:val="28"/>
        </w:rPr>
        <w:t>一.项目概述</w:t>
      </w:r>
    </w:p>
    <w:p>
      <w:r>
        <w:rPr>
          <w:b/>
          <w:sz w:val="24"/>
        </w:rPr>
        <w:t>1.名称与编号</w:t>
      </w:r>
    </w:p>
    <w:p>
      <w:pPr>
        <w:ind w:firstLine="480"/>
      </w:pPr>
      <w:r>
        <w:rPr/>
        <w:t>采购项目名称：</w:t>
      </w:r>
      <w:r>
        <w:rPr/>
        <w:t>广州市白云区人民政府均禾街道办事处综合养老服务中心（颐康中心)及颐康服务站运营采购项目</w:t>
      </w:r>
    </w:p>
    <w:p>
      <w:pPr>
        <w:ind w:firstLine="480"/>
      </w:pPr>
      <w:r>
        <w:rPr/>
        <w:t>采购计划编号：</w:t>
      </w:r>
      <w:r>
        <w:rPr/>
        <w:t>440111-2023-05914</w:t>
      </w:r>
    </w:p>
    <w:p>
      <w:pPr>
        <w:ind w:firstLine="480"/>
      </w:pPr>
      <w:r>
        <w:rPr/>
        <w:t>采购项目编号：</w:t>
      </w:r>
      <w:r>
        <w:rPr/>
        <w:t>GZGK23D283C0891C</w:t>
      </w:r>
    </w:p>
    <w:p>
      <w:pPr>
        <w:ind w:firstLine="480"/>
      </w:pPr>
      <w:r>
        <w:rPr/>
        <w:t>采购方式：</w:t>
      </w:r>
      <w:r>
        <w:rPr/>
        <w:t>竞争性磋商</w:t>
      </w:r>
    </w:p>
    <w:p>
      <w:pPr>
        <w:ind w:firstLine="480"/>
      </w:pPr>
      <w:r>
        <w:rPr/>
        <w:t>预算金额：</w:t>
      </w:r>
      <w:r>
        <w:rPr/>
        <w:t>2,700,000.00</w:t>
      </w:r>
      <w:r>
        <w:rPr/>
        <w:t>元</w:t>
      </w:r>
    </w:p>
    <w:p>
      <w:r>
        <w:rPr>
          <w:b/>
          <w:sz w:val="24"/>
        </w:rPr>
        <w:t>2.项目内容及需求情况（采购项目技术规格、参数及要求）</w:t>
      </w:r>
    </w:p>
    <w:p>
      <w:pPr>
        <w:ind w:firstLine="480"/>
      </w:pPr>
    </w:p>
    <w:p/>
    <w:p>
      <w:r>
        <w:rPr/>
        <w:t>采购包1(均禾街综合养老服务中心（颐康中心)及颐康服务站运营):</w:t>
      </w:r>
    </w:p>
    <w:p>
      <w:r>
        <w:rPr/>
        <w:t>采购包预算金额：2,700,000.00元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其他社会服务</w:t>
            </w:r>
          </w:p>
        </w:tc>
        <w:tc>
          <w:tcPr>
            <w:tcW w:type="dxa" w:w="2136"/>
          </w:tcPr>
          <w:p>
            <w:r>
              <w:rPr/>
              <w:t>均禾街综合养老服务中心（颐康中心)及颐康服务站运营</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采购包1（均禾街综合养老服务中心（颐康中心)及颐康服务站运营）：</w:t>
      </w:r>
      <w:r>
        <w:rPr/>
        <w:t>本采购包不属于专门面向中小企业采购的项目。</w:t>
      </w:r>
    </w:p>
    <w:p/>
    <w:p>
      <w:r>
        <w:rPr>
          <w:b/>
          <w:sz w:val="24"/>
        </w:rPr>
        <w:t>3.本项目特定的资格要求：</w:t>
      </w:r>
    </w:p>
    <w:p>
      <w:pPr>
        <w:ind w:firstLine="480"/>
      </w:pPr>
    </w:p>
    <w:p/>
    <w:p>
      <w:r>
        <w:rPr/>
        <w:t>采购包1（均禾街综合养老服务中心（颐康中心)及颐康服务站运营）：</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2)单位负责人为同一人或者存在直接控股、管理关系的不同供应商，不得同时参加本采购项目（采购包）响应。 为本项目提供整体设计、规范编制或者项目管理、监理、检测等服务的供应商，不得再参与本项目投标。 响应承诺函相关承诺要求内容。</w:t>
      </w:r>
    </w:p>
    <w:p/>
    <w:p>
      <w:r>
        <w:rPr/>
        <w:t>3)已获取本项目采购文件。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广州市白云区人民政府均禾街道办事处</w:t>
      </w:r>
    </w:p>
    <w:p>
      <w:pPr>
        <w:ind w:firstLine="480"/>
      </w:pPr>
      <w:r>
        <w:rPr/>
        <w:t>地址：</w:t>
      </w:r>
      <w:r>
        <w:rPr/>
        <w:t>广州市白云区均禾街新石路99号</w:t>
      </w:r>
    </w:p>
    <w:p>
      <w:pPr>
        <w:ind w:firstLine="480"/>
      </w:pPr>
      <w:r>
        <w:rPr/>
        <w:t>联系方式：</w:t>
      </w:r>
      <w:r>
        <w:rPr/>
        <w:t>020-36537123</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020-87687427、87688049</w:t>
      </w:r>
    </w:p>
    <w:p>
      <w:r>
        <w:rPr>
          <w:b/>
          <w:sz w:val="24"/>
        </w:rPr>
        <w:t>3.项目联系方式</w:t>
      </w:r>
    </w:p>
    <w:p>
      <w:pPr>
        <w:ind w:firstLine="480"/>
      </w:pPr>
      <w:r>
        <w:rPr/>
        <w:t>项目联系人：</w:t>
      </w:r>
      <w:r>
        <w:rPr/>
        <w:t>郭俊贤、陈蔚</w:t>
      </w:r>
    </w:p>
    <w:p>
      <w:pPr>
        <w:ind w:firstLine="480"/>
      </w:pPr>
      <w:r>
        <w:rPr/>
        <w:t>电话：</w:t>
      </w:r>
      <w:r>
        <w:rPr/>
        <w:t>020-87687427、87688049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GZGK23D283C0891C</w:t>
      </w:r>
    </w:p>
    <w:p>
      <w:pPr>
        <w:jc w:val="both"/>
      </w:pPr>
      <w:r>
        <w:rPr>
          <w:b/>
          <w:sz w:val="21"/>
        </w:rPr>
        <w:t>（二）</w:t>
      </w:r>
      <w:r>
        <w:rPr>
          <w:b/>
          <w:sz w:val="21"/>
        </w:rPr>
        <w:t>项目名称：</w:t>
      </w:r>
      <w:r>
        <w:rPr>
          <w:sz w:val="21"/>
        </w:rPr>
        <w:t>广州市白云区人民政府均禾街道办事处综合养老服务中心（颐康中心</w:t>
      </w:r>
      <w:r>
        <w:rPr>
          <w:sz w:val="21"/>
        </w:rPr>
        <w:t>)及颐康服务站运营采购项目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“★”的条款未响应或负偏离，将按无效响应处理。</w:t>
      </w:r>
    </w:p>
    <w:p>
      <w:pPr>
        <w:jc w:val="both"/>
      </w:pPr>
      <w:r>
        <w:rPr>
          <w:sz w:val="21"/>
        </w:rPr>
        <w:t>2.</w:t>
      </w:r>
      <w:r>
        <w:rPr>
          <w:sz w:val="21"/>
        </w:rPr>
        <w:t>响应供应商应对采购需求中的服务指标在响应详细内容中明确承诺。如果响应供应商只注明</w:t>
      </w:r>
      <w:r>
        <w:rPr>
          <w:sz w:val="21"/>
        </w:rPr>
        <w:t>“正偏离”或“无偏离”，将</w:t>
      </w:r>
      <w:r>
        <w:rPr>
          <w:sz w:val="21"/>
        </w:rPr>
        <w:t>可能</w:t>
      </w:r>
      <w:r>
        <w:rPr>
          <w:sz w:val="21"/>
        </w:rPr>
        <w:t>被视为</w:t>
      </w:r>
      <w:r>
        <w:rPr>
          <w:sz w:val="21"/>
        </w:rPr>
        <w:t>“负偏离”，从而可能导致严重影响评审结果。</w:t>
      </w:r>
    </w:p>
    <w:p>
      <w:pPr>
        <w:jc w:val="both"/>
      </w:pPr>
      <w:r>
        <w:rPr>
          <w:sz w:val="21"/>
        </w:rPr>
        <w:t>3.</w:t>
      </w:r>
      <w:r>
        <w:rPr>
          <w:sz w:val="21"/>
        </w:rPr>
        <w:t>响应供应商没有在响应文件中注明偏离（文字说明或在响应表注明）的参数、配置、条款视为被响应供应商完全接受。</w:t>
      </w:r>
    </w:p>
    <w:p>
      <w:pPr>
        <w:jc w:val="both"/>
      </w:pPr>
      <w:r>
        <w:rPr>
          <w:sz w:val="21"/>
        </w:rPr>
        <w:t>4.</w:t>
      </w:r>
      <w:r>
        <w:rPr>
          <w:sz w:val="21"/>
        </w:rPr>
        <w:t>响应供应商应保证，采购人在中华人民共和国使用该服务或服务的任何一部分时，免受第三方提出的侵犯其专利权、商标权、著作权或其它知识产权的起诉。</w:t>
      </w:r>
    </w:p>
    <w:p>
      <w:pPr>
        <w:jc w:val="both"/>
      </w:pPr>
      <w:r>
        <w:rPr>
          <w:sz w:val="21"/>
        </w:rPr>
        <w:t>5.</w:t>
      </w:r>
      <w:r>
        <w:rPr>
          <w:sz w:val="21"/>
        </w:rPr>
        <w:t>不允许成交供应商</w:t>
      </w:r>
      <w:r>
        <w:rPr>
          <w:sz w:val="21"/>
        </w:rPr>
        <w:t>转包、分包项目内容</w:t>
      </w:r>
      <w:r>
        <w:rPr>
          <w:sz w:val="21"/>
        </w:rPr>
        <w:t>。</w:t>
      </w:r>
    </w:p>
    <w:p>
      <w:pPr>
        <w:jc w:val="both"/>
      </w:pPr>
      <w:r>
        <w:rPr>
          <w:sz w:val="21"/>
        </w:rPr>
        <w:t>6.</w:t>
      </w:r>
      <w:r>
        <w:rPr>
          <w:sz w:val="21"/>
        </w:rPr>
        <w:t>小型和微型企业、监狱企业和残疾人福利性单位必须按照采购文件第三章的内容提供相应的资料。</w:t>
      </w:r>
    </w:p>
    <w:p>
      <w:pPr>
        <w:jc w:val="both"/>
      </w:pPr>
      <w:r>
        <w:rPr>
          <w:sz w:val="21"/>
        </w:rPr>
        <w:t>7.</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8.</w:t>
      </w:r>
      <w:r>
        <w:rPr>
          <w:sz w:val="21"/>
        </w:rPr>
        <w:t>本项目符合《政府采购促进中小企业发展管理办法》第六条第（三）项的情形：（三）按照本办法规定预留采购份额无法确保充分供应、充分竞争，或者存在可能影响政府采购目标实现的情形，故该采购包不专门面向中小企业。</w:t>
      </w:r>
    </w:p>
    <w:p>
      <w:pPr>
        <w:jc w:val="both"/>
      </w:pPr>
      <w:r>
        <w:rPr>
          <w:sz w:val="21"/>
        </w:rPr>
        <w:t>9.</w:t>
      </w:r>
      <w:r>
        <w:rPr>
          <w:sz w:val="21"/>
        </w:rPr>
        <w:t>本项目涉及跨年采购，其中</w:t>
      </w:r>
      <w:r>
        <w:rPr>
          <w:sz w:val="21"/>
        </w:rPr>
        <w:t>2024年度拟安排采购预算金额预估为90万元，2025年度拟安排采购预算金额预估为90万元，2026年度拟安排采购预算金额预估为90万元。</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“新供应商开标大厅”进行签到及响应文件的解密，签到需在开标时间前</w:t>
      </w:r>
      <w:r>
        <w:rPr>
          <w:sz w:val="21"/>
        </w:rPr>
        <w:t>30</w:t>
      </w:r>
      <w:r>
        <w:rPr>
          <w:sz w:val="21"/>
        </w:rPr>
        <w:t>分钟内完成，不需要委派代表前往开标现场。但为了保证开标程序顺利、高效地完成，响应供应商亦可委派代表携带</w:t>
      </w:r>
      <w:r>
        <w:rPr>
          <w:sz w:val="21"/>
        </w:rPr>
        <w:t>CA-key</w:t>
      </w:r>
      <w:r>
        <w:rPr>
          <w:sz w:val="21"/>
        </w:rPr>
        <w:t>、存储有非加密响应文件的</w:t>
      </w:r>
      <w:r>
        <w:rPr>
          <w:sz w:val="21"/>
        </w:rPr>
        <w:t>U</w:t>
      </w:r>
      <w:r>
        <w:rPr>
          <w:sz w:val="21"/>
        </w:rPr>
        <w:t>盘前往开标现场进行签到、解密。</w:t>
      </w:r>
    </w:p>
    <w:p>
      <w:pPr>
        <w:jc w:val="both"/>
      </w:pPr>
      <w:r>
        <w:rPr>
          <w:sz w:val="21"/>
        </w:rPr>
        <w:t>2.</w:t>
      </w:r>
      <w:r>
        <w:rPr>
          <w:sz w:val="21"/>
        </w:rPr>
        <w:t>响应文件邮寄地址（邮寄地址：广州市先烈中路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响应供应商如选择邮寄响应文件，请提前安排时间邮寄，务必保证响应文件于提交响应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采用竞争性磋商采购方式的项目，进入评标阶段时，如需进行磋商的，供应商登录云平台通过</w:t>
      </w:r>
      <w:r>
        <w:rPr>
          <w:sz w:val="21"/>
        </w:rPr>
        <w:t>“等候大厅”对专家发起的谈判或磋商进行响应。</w:t>
      </w:r>
    </w:p>
    <w:p>
      <w:pPr>
        <w:jc w:val="both"/>
      </w:pPr>
      <w:r>
        <w:rPr>
          <w:sz w:val="21"/>
        </w:rPr>
        <w:t>4.</w:t>
      </w:r>
      <w:r>
        <w:rPr>
          <w:sz w:val="21"/>
        </w:rPr>
        <w:t>上述流程中供应商电脑需提前安装</w:t>
      </w:r>
      <w:r>
        <w:rPr>
          <w:sz w:val="21"/>
        </w:rPr>
        <w:t>CA</w:t>
      </w:r>
      <w:r>
        <w:rPr>
          <w:sz w:val="21"/>
        </w:rPr>
        <w:t>签章客户端，并运行</w:t>
      </w:r>
      <w:r>
        <w:rPr>
          <w:sz w:val="21"/>
        </w:rPr>
        <w:t>CA</w:t>
      </w:r>
      <w:r>
        <w:rPr>
          <w:sz w:val="21"/>
        </w:rPr>
        <w:t>证书。</w:t>
      </w:r>
    </w:p>
    <w:p>
      <w:pPr>
        <w:jc w:val="both"/>
      </w:pPr>
      <w:r>
        <w:rPr>
          <w:sz w:val="21"/>
        </w:rPr>
        <w:t>5.</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w:t>
      </w:r>
      <w:r>
        <w:rPr>
          <w:b/>
          <w:sz w:val="21"/>
        </w:rPr>
        <w:t>证书的密码，如遗忘，请及时重置，以免影响响应文件的解密。</w:t>
      </w:r>
    </w:p>
    <w:p>
      <w:pPr>
        <w:jc w:val="both"/>
      </w:pPr>
      <w:r>
        <w:rPr>
          <w:b/>
          <w:sz w:val="21"/>
        </w:rPr>
        <w:t>（五）</w:t>
      </w:r>
      <w:r>
        <w:rPr>
          <w:b/>
          <w:sz w:val="21"/>
        </w:rPr>
        <w:t>实现的目标</w:t>
      </w:r>
    </w:p>
    <w:p>
      <w:pPr>
        <w:ind w:firstLine="420"/>
        <w:jc w:val="left"/>
      </w:pPr>
      <w:r>
        <w:rPr>
          <w:sz w:val="21"/>
        </w:rPr>
        <w:t>根据《广州市居家社区养老服务管理办法》，为街道辖区内常住老年人提供养老服务向导、助餐配餐、生活照料、定期巡访、辅具租赁、平安通、家庭照护培训、文体教育、居家适老化改造、家庭养老床位、日间托管、临时托养、医养康养、康复护理等基本养老服务的功能，重点为有需求的失能、失智老年人提供服务</w:t>
      </w:r>
      <w:r>
        <w:rPr>
          <w:sz w:val="21"/>
        </w:rPr>
        <w:t>.负责均禾街1个街道级社区养老服务设施（颐康中心）及10个社区级社区养老服务设施（颐康服务站）的运营及相关工作。</w:t>
      </w:r>
    </w:p>
    <w:p>
      <w:pPr>
        <w:jc w:val="both"/>
      </w:pPr>
      <w:r>
        <w:rPr>
          <w:b/>
          <w:sz w:val="21"/>
        </w:rPr>
        <w:t>（六）</w:t>
      </w:r>
      <w:r>
        <w:rPr>
          <w:b/>
          <w:sz w:val="21"/>
        </w:rPr>
        <w:t>需执行国家相关标准、行业标准、地方标准或者其他标准、规范</w:t>
      </w:r>
    </w:p>
    <w:p>
      <w:pPr>
        <w:jc w:val="both"/>
      </w:pPr>
    </w:p>
    <w:p/>
    <w:p>
      <w:pPr>
        <w:ind w:firstLine="480"/>
      </w:pPr>
    </w:p>
    <w:p/>
    <w:p>
      <w:r>
        <w:rPr/>
        <w:t>采购包1（均禾街综合养老服务中心（颐康中心)及颐康服务站运营）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自合同签订之日起3年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1期：支付比例100%,（一）运营经费 1期：合同签订后，采购人收到成交供应商提供等额有效合法的发票，经财政审批后5个工作日内向成交供应商支付当年均禾街综合养老服务中心（颐康中心)及社区颐康服务站运营经费的50%，即人民币45万元。  2期：服务期满由采购人上级相关主管部门安排第三方评估机构组织评定后，以评定结果及最终白云区拨付金额为准，采购人收到成交供应商提供等额有效合法的发票，经财政审批后5个工作日内向成交供应商安排拨付当年均禾街综合养老服务中心（颐康中心)及社区颐康服务站运营经费的50%，即人民币45万元。 （二）服务对象资助经费（不在本项目采购预算内）：服务对象资助经费、助餐配餐服务资助经费等政策法规规定的其他经费，按照相关文件政策执行，根据实际开展服务情况，以广州市为老服务综合平台服务数据作为结算依据，按合同约定方式拨付。 （三）服务奖励经费（不在本项目采购预算内）：服务期满采购人上级相关主管部门根据服务评估结果给予服务奖励资金，不足规定服务时间的按比例扣除奖励资金。实际服务奖励按白云区相关文件落实执行。 根据《广州市人民政府办公厅关于印发广州市居家社区养老服务管理办法的通知》（穗府办规〔2022〕13号）规定，居家社区养老服务组织运营区级、街道（镇）级、社区（村）级社区养老服务设施满12个月且经服务评估评定为合格及以上等级的，应当享受相应等级的服务奖励： 街道（镇）级社区养老服务设施（颐康中心）评估为优秀、良好、合格等级的，每年每个分别给予30万元、20万元、10万元服务奖励； 社区（村）级社区养老服务设施（颐康服务站）服务评估为优秀、良好、合格等级的，每年每个分别给予3万元、2万元、1万元奖励； 采购人上级相关主管部门根据服务评估结果给予服务奖励资金，不足规定服务时间的按比例扣除奖励资金。</w:t>
            </w:r>
          </w:p>
        </w:tc>
      </w:tr>
      <w:tr>
        <w:tc>
          <w:tcPr>
            <w:tcW w:type="dxa" w:w="4153"/>
          </w:tcPr>
          <w:p>
            <w:r>
              <w:rPr/>
              <w:t>验收要求</w:t>
            </w:r>
          </w:p>
        </w:tc>
        <w:tc>
          <w:tcPr>
            <w:tcW w:type="dxa" w:w="4153"/>
          </w:tcPr>
          <w:p/>
          <w:p/>
          <w:p/>
          <w:p>
            <w:r>
              <w:rPr/>
              <w:t>1期：1.自双方合同签订之日起，成交供应商每运营满1年需向采购人提交自评报告，由采购人向上级相关主管部门申请服务评估。对承接的服务项目评估定级不合格的成交供应商，由采购人上级相关主管部门督促整改，整改后仍不合格的，采购人有权追究其违约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信用评价，（一）本项目商务评分部分的综合信用评价得分运用广州公共资源交易信用评价体系2.0政府采购信用评价分。参加投标之前，供应商应通过广州交易集团有限公司网站完成企业信用档案登记，并确认成功，以免出现企业信用评价分无法使用等情况。（供应商信用档案办理指引详见http://www.gzggzy.cn/qyxxd2/826779.jhtml，信用评价分计算的相关情况请参阅《广州公共资源交易政府采购领域信用评价体系2.0指标说明》，详见：https://gf.gzggzy.cn/gz1/M00/19/E0/CsUnsWDlEsuAVNPRAACVMSTpGpU57.docx?fileId=8a45a73279d69f24017a7edecd2a339c&amp;attname=%E5%B9%BF%E5%B7%9E%E5%85%AC%E5%85%B1%E8%B5%84%E6%BA%90%E4%BA%A4%E6%98%93%E6%94%BF%E5%BA%9C%E9%87%87%E8%B4%AD%E9%A2%86%E5%9F%9F%E4%BF%A1%E7%94%A8%E8%AF%84%E4%BB%B7%E4%BD%93%E7%B3%BB2.0%E6%8C%87%E6%A0%87%E8%AF%B4%E6%98%8E+%281%29.docx）。（二）综合信用评价得分=投标人的广州公共资源交易信用评价（政府采购供应商信用评价分）×5%。投标人的信用评价分以开标当天广州交易集团有限公司网站公布的分值为准（通过“广州交易集团有限公司网站-信用信息-广州公共资源交易信用平台2.0”进行核实，未能在网站查询到供应商信用评价分的，以信用评价基准分（93.4分）计算）。</w:t>
            </w:r>
          </w:p>
          <w:p/>
          <w:p>
            <w:r>
              <w:rPr/>
              <w:t>履约评价，（一）采购人负责对中标人的履约行为进行评价，评价标准详见《广州公共资源交易政府采购领域信用评价体系2.0指标说明》（详见：https://gf.gzggzy.cn/gz1/M00/19/E0/CsUnsWDlEsuAVNPRAACVMSTpGpU57.docx?fileId=8a45a73279d69f24017a7edecd2a339c&amp;attname=%E5%B9%BF%E5%B7%9E%E5%85%AC%E5%85%B1%E8%B5%84%E6%BA%90%E4%BA%A4%E6%98%93%E6%94%BF%E5%BA%9C%E9%87%87%E8%B4%AD%E9%A2%86%E5%9F%9F%E4%BF%A1%E7%94%A8%E8%AF%84%E4%BB%B7%E4%BD%93%E7%B3%BB2.0%E6%8C%87%E6%A0%87%E8%AF%B4%E6%98%8E+%281%29.docx）。采购人凭CA数字证书登录广州交易集团有限公司数字交易平台，选择需评价的项目，根据中标人履约的实际情况逐项进行评价。 （二）评价结果会影响供应商的综合信用评价得分。供应商对其评价情况有异议的，可向采购人反映，采购人应当检查有关评价情况并答复异议人，如有错误，应当修正。异议人对采购人的答复不服的，可向市、区财政局反映，市、区财政局调查后发现确有错误的，有权要求采购人纠正。三、关于提供前期服务的供应商为采购项目提供整体设计、规范编制或者项目管理、监理、检测等服务的供应商，不得再参加该采购项目的其他采购活动。</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其他社会服务</w:t>
            </w:r>
          </w:p>
        </w:tc>
        <w:tc>
          <w:tcPr>
            <w:tcW w:type="dxa" w:w="933"/>
          </w:tcPr>
          <w:p>
            <w:pPr>
              <w:jc w:val="left"/>
            </w:pPr>
            <w:r>
              <w:rPr/>
              <w:t>均禾街综合养老服务中心（颐康中心)及颐康服务站运营</w:t>
            </w:r>
          </w:p>
        </w:tc>
        <w:tc>
          <w:tcPr>
            <w:tcW w:type="dxa" w:w="933"/>
          </w:tcPr>
          <w:p>
            <w:pPr>
              <w:jc w:val="left"/>
            </w:pPr>
            <w:r>
              <w:rPr/>
              <w:t>项</w:t>
            </w:r>
          </w:p>
        </w:tc>
        <w:tc>
          <w:tcPr>
            <w:tcW w:type="dxa" w:w="933"/>
          </w:tcPr>
          <w:p>
            <w:pPr>
              <w:jc w:val="right"/>
            </w:pPr>
            <w:r>
              <w:rPr/>
              <w:t>1.00</w:t>
            </w:r>
          </w:p>
        </w:tc>
        <w:tc>
          <w:tcPr>
            <w:tcW w:type="dxa" w:w="933"/>
          </w:tcPr>
          <w:p>
            <w:pPr>
              <w:jc w:val="right"/>
            </w:pPr>
            <w:r>
              <w:rPr/>
              <w:t>2,700,000.00</w:t>
            </w:r>
          </w:p>
        </w:tc>
        <w:tc>
          <w:tcPr>
            <w:tcW w:type="dxa" w:w="933"/>
          </w:tcPr>
          <w:p>
            <w:pPr>
              <w:jc w:val="right"/>
            </w:pPr>
            <w:r>
              <w:rPr/>
              <w:t>2,700,000.00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均禾街综合养老服务中心（颐康中心)及颐康服务站运营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一、项目报价</w:t>
            </w:r>
          </w:p>
          <w:p>
            <w:pPr>
              <w:ind w:firstLine="420"/>
              <w:jc w:val="both"/>
            </w:pPr>
            <w:r>
              <w:rPr>
                <w:sz w:val="21"/>
              </w:rPr>
              <w:t>1.项目费用为均禾街社区居家养老综合服务中心及均禾街颐康服务站运营经费。均禾街</w:t>
            </w:r>
            <w:r>
              <w:rPr>
                <w:sz w:val="21"/>
              </w:rPr>
              <w:t>街道级综合养老服务中心（颐康中心）运营经费为人民币</w:t>
            </w:r>
            <w:r>
              <w:rPr>
                <w:sz w:val="21"/>
              </w:rPr>
              <w:t>40万元；社区（村）级社区养老服务设施（颐康服务站）运营经费为人民币50万元</w:t>
            </w:r>
            <w:r>
              <w:rPr>
                <w:sz w:val="21"/>
              </w:rPr>
              <w:t>。运营服务费含人员经费、服务支持经费、专业支持经费、办公经费及项目开展而产生的其他费用。</w:t>
            </w:r>
          </w:p>
          <w:p>
            <w:pPr>
              <w:jc w:val="center"/>
            </w:pPr>
            <w:r>
              <w:rPr>
                <w:sz w:val="21"/>
              </w:rPr>
              <w:t>表</w:t>
            </w:r>
            <w:r>
              <w:rPr>
                <w:sz w:val="21"/>
              </w:rPr>
              <w:t>1 运营经费一览表</w:t>
            </w:r>
          </w:p>
          <w:tbl>
            <w:tblPr>
              <w:tblBorders>
                <w:top w:val="none" w:color="000000" w:sz="4"/>
                <w:left w:val="none" w:color="000000" w:sz="4"/>
                <w:bottom w:val="none" w:color="000000" w:sz="4"/>
                <w:right w:val="none" w:color="000000" w:sz="4"/>
                <w:insideH w:val="none"/>
                <w:insideV w:val="none"/>
              </w:tblBorders>
            </w:tblPr>
            <w:tblGrid>
              <w:gridCol w:w="890"/>
              <w:gridCol w:w="897"/>
              <w:gridCol w:w="594"/>
              <w:gridCol w:w="804"/>
              <w:gridCol w:w="804"/>
              <w:gridCol w:w="804"/>
              <w:gridCol w:w="804"/>
            </w:tblGrid>
            <w:tr>
              <w:tc>
                <w:tcPr>
                  <w:tcW w:type="dxa" w:w="890"/>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897"/>
                  <w:tcBorders>
                    <w:top w:val="single" w:color="000000" w:sz="4"/>
                    <w:left w:val="single" w:color="000000" w:sz="4"/>
                    <w:bottom w:val="single" w:color="000000" w:sz="4"/>
                    <w:right w:val="single" w:color="000000" w:sz="4"/>
                  </w:tcBorders>
                  <w:vAlign w:val="top"/>
                </w:tcPr>
                <w:p>
                  <w:pPr>
                    <w:jc w:val="left"/>
                  </w:pPr>
                  <w:r>
                    <w:rPr>
                      <w:sz w:val="21"/>
                    </w:rPr>
                    <w:t>设施名称</w:t>
                  </w:r>
                </w:p>
              </w:tc>
              <w:tc>
                <w:tcPr>
                  <w:tcW w:type="dxa" w:w="594"/>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804"/>
                  <w:tcBorders>
                    <w:top w:val="single" w:color="000000" w:sz="4"/>
                    <w:left w:val="single" w:color="000000" w:sz="4"/>
                    <w:bottom w:val="single" w:color="000000" w:sz="4"/>
                    <w:right w:val="single" w:color="000000" w:sz="4"/>
                  </w:tcBorders>
                  <w:vAlign w:val="top"/>
                </w:tcPr>
                <w:p>
                  <w:pPr>
                    <w:jc w:val="center"/>
                  </w:pPr>
                  <w:r>
                    <w:rPr>
                      <w:sz w:val="21"/>
                    </w:rPr>
                    <w:t>年度最低服务</w:t>
                  </w:r>
                </w:p>
                <w:p>
                  <w:pPr>
                    <w:jc w:val="center"/>
                  </w:pPr>
                  <w:r>
                    <w:rPr>
                      <w:sz w:val="21"/>
                    </w:rPr>
                    <w:t>总工时</w:t>
                  </w:r>
                </w:p>
              </w:tc>
              <w:tc>
                <w:tcPr>
                  <w:tcW w:type="dxa" w:w="804"/>
                  <w:tcBorders>
                    <w:top w:val="single" w:color="000000" w:sz="4"/>
                    <w:left w:val="single" w:color="000000" w:sz="4"/>
                    <w:bottom w:val="single" w:color="000000" w:sz="4"/>
                    <w:right w:val="single" w:color="000000" w:sz="4"/>
                  </w:tcBorders>
                  <w:vAlign w:val="top"/>
                </w:tcPr>
                <w:p>
                  <w:pPr>
                    <w:jc w:val="center"/>
                  </w:pPr>
                  <w:r>
                    <w:rPr>
                      <w:sz w:val="21"/>
                    </w:rPr>
                    <w:t>年度最高服务</w:t>
                  </w:r>
                </w:p>
                <w:p>
                  <w:pPr>
                    <w:jc w:val="center"/>
                  </w:pPr>
                  <w:r>
                    <w:rPr>
                      <w:sz w:val="21"/>
                    </w:rPr>
                    <w:t>总工时</w:t>
                  </w:r>
                </w:p>
              </w:tc>
              <w:tc>
                <w:tcPr>
                  <w:tcW w:type="dxa" w:w="804"/>
                  <w:tcBorders>
                    <w:top w:val="single" w:color="000000" w:sz="4"/>
                    <w:left w:val="single" w:color="000000" w:sz="4"/>
                    <w:bottom w:val="single" w:color="000000" w:sz="4"/>
                    <w:right w:val="single" w:color="000000" w:sz="4"/>
                  </w:tcBorders>
                  <w:vAlign w:val="top"/>
                </w:tcPr>
                <w:p>
                  <w:pPr>
                    <w:jc w:val="center"/>
                  </w:pPr>
                  <w:r>
                    <w:rPr>
                      <w:sz w:val="21"/>
                    </w:rPr>
                    <w:t>1年采购预算（人民币：万元）</w:t>
                  </w:r>
                </w:p>
              </w:tc>
              <w:tc>
                <w:tcPr>
                  <w:tcW w:type="dxa" w:w="804"/>
                  <w:tcBorders>
                    <w:top w:val="single" w:color="000000" w:sz="4"/>
                    <w:left w:val="single" w:color="000000" w:sz="4"/>
                    <w:bottom w:val="single" w:color="000000" w:sz="4"/>
                    <w:right w:val="single" w:color="000000" w:sz="4"/>
                  </w:tcBorders>
                  <w:vAlign w:val="top"/>
                </w:tcPr>
                <w:p>
                  <w:pPr>
                    <w:jc w:val="center"/>
                  </w:pPr>
                  <w:r>
                    <w:rPr>
                      <w:sz w:val="21"/>
                    </w:rPr>
                    <w:t>服务期限</w:t>
                  </w:r>
                </w:p>
              </w:tc>
            </w:tr>
            <w:tr>
              <w:tc>
                <w:tcPr>
                  <w:tcW w:type="dxa" w:w="890"/>
                  <w:vMerge w:val="restart"/>
                  <w:tcBorders>
                    <w:top w:val="none" w:color="000000" w:sz="4"/>
                    <w:left w:val="single" w:color="000000" w:sz="4"/>
                    <w:bottom w:val="single" w:color="000000" w:sz="4"/>
                    <w:right w:val="single" w:color="000000" w:sz="4"/>
                  </w:tcBorders>
                  <w:vAlign w:val="top"/>
                </w:tcPr>
                <w:p>
                  <w:r>
                    <w:rPr>
                      <w:sz w:val="21"/>
                    </w:rPr>
                    <w:t>广州市白云区人民政府均禾街道办事处综合养老服务中心（颐康中心</w:t>
                  </w:r>
                  <w:r>
                    <w:rPr>
                      <w:sz w:val="21"/>
                    </w:rPr>
                    <w:t>)及颐康服务站运营采购项目</w:t>
                  </w:r>
                </w:p>
              </w:tc>
              <w:tc>
                <w:tcPr>
                  <w:tcW w:type="dxa" w:w="897"/>
                  <w:tcBorders>
                    <w:top w:val="none" w:color="000000" w:sz="4"/>
                    <w:left w:val="single" w:color="000000" w:sz="4"/>
                    <w:bottom w:val="single" w:color="000000" w:sz="4"/>
                    <w:right w:val="single" w:color="000000" w:sz="4"/>
                  </w:tcBorders>
                  <w:vAlign w:val="top"/>
                </w:tcPr>
                <w:p>
                  <w:r>
                    <w:rPr>
                      <w:sz w:val="21"/>
                    </w:rPr>
                    <w:t>街道级社区养老服务设施（综合养老服务中心（颐康中心））</w:t>
                  </w:r>
                </w:p>
              </w:tc>
              <w:tc>
                <w:tcPr>
                  <w:tcW w:type="dxa" w:w="594"/>
                  <w:tcBorders>
                    <w:top w:val="none" w:color="000000" w:sz="4"/>
                    <w:left w:val="single" w:color="000000" w:sz="4"/>
                    <w:bottom w:val="single" w:color="000000" w:sz="4"/>
                    <w:right w:val="single" w:color="000000" w:sz="4"/>
                  </w:tcBorders>
                  <w:vAlign w:val="top"/>
                </w:tcPr>
                <w:p>
                  <w:r>
                    <w:rPr>
                      <w:sz w:val="21"/>
                    </w:rPr>
                    <w:t>1</w:t>
                  </w:r>
                </w:p>
              </w:tc>
              <w:tc>
                <w:tcPr>
                  <w:tcW w:type="dxa" w:w="804"/>
                  <w:vMerge w:val="restart"/>
                  <w:tcBorders>
                    <w:top w:val="none" w:color="000000" w:sz="4"/>
                    <w:left w:val="single" w:color="000000" w:sz="4"/>
                    <w:bottom w:val="single" w:color="000000" w:sz="4"/>
                    <w:right w:val="single" w:color="000000" w:sz="4"/>
                  </w:tcBorders>
                  <w:vAlign w:val="top"/>
                </w:tcPr>
                <w:p>
                  <w:r>
                    <w:rPr>
                      <w:sz w:val="21"/>
                    </w:rPr>
                    <w:t>7275</w:t>
                  </w:r>
                  <w:r>
                    <w:rPr>
                      <w:sz w:val="21"/>
                    </w:rPr>
                    <w:t>小时</w:t>
                  </w:r>
                </w:p>
              </w:tc>
              <w:tc>
                <w:tcPr>
                  <w:tcW w:type="dxa" w:w="804"/>
                  <w:vMerge w:val="restart"/>
                  <w:tcBorders>
                    <w:top w:val="none" w:color="000000" w:sz="4"/>
                    <w:left w:val="single" w:color="000000" w:sz="4"/>
                    <w:bottom w:val="single" w:color="000000" w:sz="4"/>
                    <w:right w:val="single" w:color="000000" w:sz="4"/>
                  </w:tcBorders>
                  <w:vAlign w:val="top"/>
                </w:tcPr>
                <w:p>
                  <w:r>
                    <w:rPr>
                      <w:sz w:val="21"/>
                    </w:rPr>
                    <w:t>10780</w:t>
                  </w:r>
                  <w:r>
                    <w:rPr>
                      <w:sz w:val="21"/>
                    </w:rPr>
                    <w:t>小时</w:t>
                  </w:r>
                </w:p>
              </w:tc>
              <w:tc>
                <w:tcPr>
                  <w:tcW w:type="dxa" w:w="804"/>
                  <w:vMerge w:val="restart"/>
                  <w:tcBorders>
                    <w:top w:val="none" w:color="000000" w:sz="4"/>
                    <w:left w:val="single" w:color="000000" w:sz="4"/>
                    <w:bottom w:val="single" w:color="000000" w:sz="4"/>
                    <w:right w:val="single" w:color="000000" w:sz="4"/>
                  </w:tcBorders>
                  <w:vAlign w:val="top"/>
                </w:tcPr>
                <w:p>
                  <w:r>
                    <w:rPr>
                      <w:sz w:val="21"/>
                    </w:rPr>
                    <w:t>90</w:t>
                  </w:r>
                </w:p>
              </w:tc>
              <w:tc>
                <w:tcPr>
                  <w:tcW w:type="dxa" w:w="804"/>
                  <w:vMerge w:val="restart"/>
                  <w:tcBorders>
                    <w:top w:val="none" w:color="000000" w:sz="4"/>
                    <w:left w:val="single" w:color="000000" w:sz="4"/>
                    <w:bottom w:val="single" w:color="000000" w:sz="4"/>
                    <w:right w:val="single" w:color="000000" w:sz="4"/>
                  </w:tcBorders>
                  <w:vAlign w:val="top"/>
                </w:tcPr>
                <w:p>
                  <w:r>
                    <w:rPr>
                      <w:sz w:val="21"/>
                    </w:rPr>
                    <w:t>3年</w:t>
                  </w:r>
                </w:p>
              </w:tc>
            </w:tr>
            <w:tr>
              <w:tc>
                <w:tcPr>
                  <w:tcW w:type="dxa" w:w="890"/>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vAlign w:val="top"/>
                </w:tcPr>
                <w:p>
                  <w:pPr>
                    <w:jc w:val="both"/>
                  </w:pPr>
                  <w:r>
                    <w:rPr>
                      <w:sz w:val="21"/>
                    </w:rPr>
                    <w:t>社区（村）级社区养老服务设施（颐康服务站）</w:t>
                  </w:r>
                </w:p>
              </w:tc>
              <w:tc>
                <w:tcPr>
                  <w:tcW w:type="dxa" w:w="594"/>
                  <w:tcBorders>
                    <w:top w:val="none" w:color="000000" w:sz="4"/>
                    <w:left w:val="single" w:color="000000" w:sz="4"/>
                    <w:bottom w:val="single" w:color="000000" w:sz="4"/>
                    <w:right w:val="single" w:color="000000" w:sz="4"/>
                  </w:tcBorders>
                  <w:vAlign w:val="top"/>
                </w:tcPr>
                <w:p>
                  <w:r>
                    <w:rPr>
                      <w:sz w:val="21"/>
                    </w:rPr>
                    <w:t>10</w:t>
                  </w:r>
                </w:p>
              </w:tc>
            </w:tr>
          </w:tbl>
          <w:p>
            <w:r>
              <w:rPr/>
              <w:t xml:space="preserve"> </w:t>
            </w:r>
          </w:p>
          <w:p>
            <w:pPr>
              <w:jc w:val="left"/>
            </w:pPr>
            <w:r>
              <w:rPr>
                <w:sz w:val="21"/>
              </w:rPr>
              <w:t>（注：所在社区（村）级分散设置的颐康服务站分站整合到该社区（村）级颐康服务站。）</w:t>
            </w:r>
          </w:p>
          <w:p>
            <w:pPr>
              <w:jc w:val="both"/>
            </w:pPr>
            <w:r>
              <w:rPr>
                <w:sz w:val="21"/>
              </w:rPr>
              <w:t>2.本项目为固定总价项目，响应供应商按照本项目采购预算（人民币270万元/3年）进行报价，价格分按照响应供应商服务总工时计算得分。</w:t>
            </w:r>
          </w:p>
          <w:p>
            <w:pPr>
              <w:jc w:val="both"/>
            </w:pPr>
            <w:r>
              <w:rPr>
                <w:sz w:val="21"/>
              </w:rPr>
              <w:t>★3.因采购文件中的格式为自动生成格式，与实际报价需求不符。为保证响应报价清晰合理，各响应供应商的《分项报价表》以下面格式为准。</w:t>
            </w: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center"/>
                  </w:pPr>
                  <w:r>
                    <w:rPr>
                      <w:sz w:val="21"/>
                    </w:rPr>
                    <w:t>分项报价表</w:t>
                  </w:r>
                </w:p>
              </w:tc>
            </w:tr>
            <w:tr>
              <w:tc>
                <w:tcPr>
                  <w:tcW w:type="dxa" w:w="5598"/>
                  <w:tcBorders>
                    <w:top w:val="none" w:color="000000" w:sz="4"/>
                    <w:left w:val="single" w:color="000000" w:sz="4"/>
                    <w:bottom w:val="single" w:color="000000" w:sz="4"/>
                    <w:right w:val="single" w:color="000000" w:sz="4"/>
                  </w:tcBorders>
                  <w:vAlign w:val="top"/>
                </w:tcPr>
                <w:p>
                  <w:pPr>
                    <w:jc w:val="both"/>
                  </w:pPr>
                  <w:r>
                    <w:rPr>
                      <w:sz w:val="21"/>
                    </w:rPr>
                    <w:t>项目编号：</w:t>
                  </w:r>
                </w:p>
                <w:p>
                  <w:pPr>
                    <w:jc w:val="both"/>
                  </w:pPr>
                  <w:r>
                    <w:rPr>
                      <w:sz w:val="21"/>
                    </w:rPr>
                    <w:t>项目名称：</w:t>
                  </w:r>
                </w:p>
                <w:p>
                  <w:pPr>
                    <w:jc w:val="both"/>
                  </w:pPr>
                  <w:r>
                    <w:rPr>
                      <w:sz w:val="21"/>
                    </w:rPr>
                    <w:t>响应供应商名称：</w:t>
                  </w:r>
                </w:p>
                <w:tbl>
                  <w:tblPr>
                    <w:tblBorders>
                      <w:top w:val="none" w:color="000000" w:sz="4"/>
                      <w:left w:val="none" w:color="000000" w:sz="4"/>
                      <w:bottom w:val="none" w:color="000000" w:sz="4"/>
                      <w:right w:val="none" w:color="000000" w:sz="4"/>
                      <w:insideH w:val="none"/>
                      <w:insideV w:val="none"/>
                    </w:tblBorders>
                  </w:tblPr>
                  <w:tblGrid>
                    <w:gridCol w:w="1554"/>
                    <w:gridCol w:w="1298"/>
                    <w:gridCol w:w="1510"/>
                    <w:gridCol w:w="1017"/>
                  </w:tblGrid>
                  <w:tr>
                    <w:tc>
                      <w:tcPr>
                        <w:tcW w:type="dxa" w:w="1554"/>
                        <w:tcBorders>
                          <w:top w:val="single" w:color="000000" w:sz="4"/>
                          <w:left w:val="single" w:color="000000" w:sz="4"/>
                          <w:bottom w:val="single" w:color="000000" w:sz="4"/>
                          <w:right w:val="single" w:color="000000" w:sz="4"/>
                        </w:tcBorders>
                        <w:vAlign w:val="top"/>
                      </w:tcPr>
                      <w:p>
                        <w:pPr>
                          <w:jc w:val="center"/>
                        </w:pPr>
                        <w:r>
                          <w:rPr>
                            <w:sz w:val="21"/>
                          </w:rPr>
                          <w:t>项目名称</w:t>
                        </w:r>
                      </w:p>
                    </w:tc>
                    <w:tc>
                      <w:tcPr>
                        <w:tcW w:type="dxa" w:w="1298"/>
                        <w:tcBorders>
                          <w:top w:val="single" w:color="000000" w:sz="4"/>
                          <w:left w:val="single" w:color="000000" w:sz="4"/>
                          <w:bottom w:val="single" w:color="000000" w:sz="4"/>
                          <w:right w:val="single" w:color="000000" w:sz="4"/>
                        </w:tcBorders>
                        <w:vAlign w:val="top"/>
                      </w:tcPr>
                      <w:p>
                        <w:pPr>
                          <w:jc w:val="center"/>
                        </w:pPr>
                        <w:r>
                          <w:rPr>
                            <w:sz w:val="21"/>
                          </w:rPr>
                          <w:t>响应报价</w:t>
                        </w:r>
                      </w:p>
                      <w:p>
                        <w:pPr>
                          <w:jc w:val="center"/>
                        </w:pPr>
                        <w:r>
                          <w:rPr>
                            <w:sz w:val="21"/>
                          </w:rPr>
                          <w:t>（万元</w:t>
                        </w:r>
                        <w:r>
                          <w:rPr>
                            <w:sz w:val="21"/>
                          </w:rPr>
                          <w:t>/3年）</w:t>
                        </w:r>
                      </w:p>
                    </w:tc>
                    <w:tc>
                      <w:tcPr>
                        <w:tcW w:type="dxa" w:w="1510"/>
                        <w:tcBorders>
                          <w:top w:val="single" w:color="000000" w:sz="4"/>
                          <w:left w:val="single" w:color="000000" w:sz="4"/>
                          <w:bottom w:val="single" w:color="000000" w:sz="4"/>
                          <w:right w:val="single" w:color="000000" w:sz="4"/>
                        </w:tcBorders>
                        <w:vAlign w:val="top"/>
                      </w:tcPr>
                      <w:p>
                        <w:pPr>
                          <w:jc w:val="center"/>
                        </w:pPr>
                        <w:r>
                          <w:rPr>
                            <w:sz w:val="21"/>
                          </w:rPr>
                          <w:t>年度服务总工时</w:t>
                        </w:r>
                      </w:p>
                      <w:p>
                        <w:pPr>
                          <w:jc w:val="center"/>
                        </w:pPr>
                        <w:r>
                          <w:rPr>
                            <w:sz w:val="21"/>
                          </w:rPr>
                          <w:t>（小时</w:t>
                        </w:r>
                        <w:r>
                          <w:rPr>
                            <w:sz w:val="21"/>
                          </w:rPr>
                          <w:t>/年）</w:t>
                        </w:r>
                      </w:p>
                    </w:tc>
                    <w:tc>
                      <w:tcPr>
                        <w:tcW w:type="dxa" w:w="1017"/>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1554"/>
                        <w:tcBorders>
                          <w:top w:val="none" w:color="000000" w:sz="4"/>
                          <w:left w:val="single" w:color="000000" w:sz="4"/>
                          <w:bottom w:val="single" w:color="000000" w:sz="4"/>
                          <w:right w:val="single" w:color="000000" w:sz="4"/>
                        </w:tcBorders>
                        <w:vAlign w:val="top"/>
                      </w:tcPr>
                      <w:p>
                        <w:r>
                          <w:rPr>
                            <w:sz w:val="21"/>
                          </w:rPr>
                          <w:t>广州市白云区人民政府均禾街道办事处综合养老服务中心（颐康中心</w:t>
                        </w:r>
                        <w:r>
                          <w:rPr>
                            <w:sz w:val="21"/>
                          </w:rPr>
                          <w:t>)及颐康服务站运营采购项目</w:t>
                        </w:r>
                      </w:p>
                    </w:tc>
                    <w:tc>
                      <w:tcPr>
                        <w:tcW w:type="dxa" w:w="1298"/>
                        <w:tcBorders>
                          <w:top w:val="none" w:color="000000" w:sz="4"/>
                          <w:left w:val="single" w:color="000000" w:sz="4"/>
                          <w:bottom w:val="single" w:color="000000" w:sz="4"/>
                          <w:right w:val="single" w:color="000000" w:sz="4"/>
                        </w:tcBorders>
                        <w:vAlign w:val="top"/>
                      </w:tcPr>
                      <w:p>
                        <w:pPr>
                          <w:jc w:val="center"/>
                        </w:pPr>
                        <w:r>
                          <w:rPr>
                            <w:sz w:val="21"/>
                          </w:rPr>
                          <w:t>270</w:t>
                        </w:r>
                      </w:p>
                    </w:tc>
                    <w:tc>
                      <w:tcPr>
                        <w:tcW w:type="dxa" w:w="1510"/>
                        <w:tcBorders>
                          <w:top w:val="none" w:color="000000" w:sz="4"/>
                          <w:left w:val="single" w:color="000000" w:sz="4"/>
                          <w:bottom w:val="single" w:color="000000" w:sz="4"/>
                          <w:right w:val="single" w:color="000000" w:sz="4"/>
                        </w:tcBorders>
                        <w:vAlign w:val="top"/>
                      </w:tcPr>
                      <w:p>
                        <w:pPr>
                          <w:jc w:val="center"/>
                        </w:pPr>
                      </w:p>
                    </w:tc>
                    <w:tc>
                      <w:tcPr>
                        <w:tcW w:type="dxa" w:w="1017"/>
                        <w:tcBorders>
                          <w:top w:val="none" w:color="000000" w:sz="4"/>
                          <w:left w:val="single" w:color="000000" w:sz="4"/>
                          <w:bottom w:val="single" w:color="000000" w:sz="4"/>
                          <w:right w:val="single" w:color="000000" w:sz="4"/>
                        </w:tcBorders>
                        <w:vAlign w:val="top"/>
                      </w:tcPr>
                      <w:p>
                        <w:pPr>
                          <w:jc w:val="center"/>
                        </w:pPr>
                      </w:p>
                    </w:tc>
                  </w:tr>
                </w:tbl>
                <w:p>
                  <w:pPr>
                    <w:jc w:val="both"/>
                  </w:pPr>
                  <w:r>
                    <w:rPr>
                      <w:sz w:val="21"/>
                    </w:rPr>
                    <w:t>备注：（</w:t>
                  </w:r>
                  <w:r>
                    <w:rPr>
                      <w:sz w:val="21"/>
                    </w:rPr>
                    <w:t>1）服务总工时必须固定唯一且在采购文件规定的范围之内，否则视为无效响应。本项目年度最低服务总工时：</w:t>
                  </w:r>
                  <w:r>
                    <w:rPr>
                      <w:sz w:val="21"/>
                    </w:rPr>
                    <w:t>7275</w:t>
                  </w:r>
                  <w:r>
                    <w:rPr>
                      <w:sz w:val="21"/>
                    </w:rPr>
                    <w:t>小时；项目年度最高服务总工时：</w:t>
                  </w:r>
                  <w:r>
                    <w:rPr>
                      <w:sz w:val="21"/>
                    </w:rPr>
                    <w:t>10780</w:t>
                  </w:r>
                  <w:r>
                    <w:rPr>
                      <w:sz w:val="21"/>
                    </w:rPr>
                    <w:t>小时。</w:t>
                  </w:r>
                </w:p>
                <w:p>
                  <w:pPr>
                    <w:jc w:val="both"/>
                  </w:pPr>
                  <w:r>
                    <w:rPr>
                      <w:sz w:val="21"/>
                    </w:rPr>
                    <w:t>（</w:t>
                  </w:r>
                  <w:r>
                    <w:rPr>
                      <w:sz w:val="21"/>
                    </w:rPr>
                    <w:t>2）本项目的报价总价为采购预算金额，不得修改，否则按无效响应处理。</w:t>
                  </w:r>
                </w:p>
                <w:p>
                  <w:pPr>
                    <w:jc w:val="both"/>
                  </w:pPr>
                </w:p>
                <w:p>
                  <w:pPr>
                    <w:jc w:val="both"/>
                  </w:pPr>
                  <w:r>
                    <w:rPr>
                      <w:sz w:val="21"/>
                    </w:rPr>
                    <w:t>响应供应商签章：</w:t>
                  </w:r>
                  <w:r>
                    <w:rPr>
                      <w:sz w:val="21"/>
                    </w:rPr>
                    <w:t>__________________</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tc>
            </w:tr>
          </w:tbl>
          <w:p>
            <w:r>
              <w:rPr/>
              <w:t xml:space="preserve"> </w:t>
            </w:r>
          </w:p>
          <w:p>
            <w:pPr>
              <w:jc w:val="both"/>
            </w:pPr>
            <w:r>
              <w:rPr>
                <w:b/>
                <w:sz w:val="21"/>
              </w:rPr>
              <w:t>二、项目需求</w:t>
            </w:r>
          </w:p>
          <w:p>
            <w:r>
              <w:rPr>
                <w:sz w:val="21"/>
              </w:rPr>
              <w:t>（一）项目内容</w:t>
            </w:r>
          </w:p>
          <w:p>
            <w:pPr>
              <w:ind w:firstLine="420"/>
              <w:jc w:val="both"/>
            </w:pPr>
            <w:r>
              <w:rPr>
                <w:sz w:val="21"/>
              </w:rPr>
              <w:t>根据广州市养老服务规定，为了更好地满足服务区域内的老年人多元化、个性化的服务需求，通过上门和到服务点等形式，为有需要的老年人提供养老服务向导、助餐配餐、生活照料、定期巡访、辅具租赁、平安通、家庭照护培训、文体教育、居家适老化改造、家庭养老床位、日间托管、临时托养、医养康养、康复护理等基本养老服务的功能，重点为有需求的失能、失智老年人提供服务。</w:t>
            </w:r>
          </w:p>
          <w:p>
            <w:r>
              <w:rPr>
                <w:sz w:val="21"/>
              </w:rPr>
              <w:t>（二）服务设施</w:t>
            </w:r>
          </w:p>
          <w:p>
            <w:r>
              <w:rPr>
                <w:sz w:val="21"/>
              </w:rPr>
              <w:t>运营均禾街综合养老服务中心（颐康中心）、颐康服务站、长者饭堂等服务场地设施，充分发挥场地设备的功能作用，为老年人开展专业化服务。</w:t>
            </w:r>
          </w:p>
          <w:p>
            <w:pPr>
              <w:ind w:firstLine="420"/>
              <w:jc w:val="center"/>
            </w:pPr>
            <w:r>
              <w:rPr>
                <w:sz w:val="21"/>
              </w:rPr>
              <w:t>表</w:t>
            </w:r>
            <w:r>
              <w:rPr>
                <w:sz w:val="21"/>
              </w:rPr>
              <w:t>2 服务设施一览表</w:t>
            </w:r>
          </w:p>
          <w:tbl>
            <w:tblPr>
              <w:tblBorders>
                <w:top w:val="none" w:color="000000" w:sz="4"/>
                <w:left w:val="none" w:color="000000" w:sz="4"/>
                <w:bottom w:val="none" w:color="000000" w:sz="4"/>
                <w:right w:val="none" w:color="000000" w:sz="4"/>
                <w:insideH w:val="none"/>
                <w:insideV w:val="none"/>
              </w:tblBorders>
            </w:tblPr>
            <w:tblGrid>
              <w:gridCol w:w="423"/>
              <w:gridCol w:w="1810"/>
              <w:gridCol w:w="2286"/>
              <w:gridCol w:w="1076"/>
            </w:tblGrid>
            <w:tr>
              <w:tc>
                <w:tcPr>
                  <w:tcW w:type="dxa" w:w="42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810"/>
                  <w:tcBorders>
                    <w:top w:val="single" w:color="000000" w:sz="4"/>
                    <w:left w:val="single" w:color="000000" w:sz="4"/>
                    <w:bottom w:val="single" w:color="000000" w:sz="4"/>
                    <w:right w:val="single" w:color="000000" w:sz="4"/>
                  </w:tcBorders>
                  <w:vAlign w:val="top"/>
                </w:tcPr>
                <w:p>
                  <w:pPr>
                    <w:jc w:val="center"/>
                  </w:pPr>
                  <w:r>
                    <w:rPr>
                      <w:b/>
                      <w:sz w:val="21"/>
                    </w:rPr>
                    <w:t>设施名称</w:t>
                  </w:r>
                </w:p>
              </w:tc>
              <w:tc>
                <w:tcPr>
                  <w:tcW w:type="dxa" w:w="2286"/>
                  <w:tcBorders>
                    <w:top w:val="single" w:color="000000" w:sz="4"/>
                    <w:left w:val="single" w:color="000000" w:sz="4"/>
                    <w:bottom w:val="single" w:color="000000" w:sz="4"/>
                    <w:right w:val="single" w:color="000000" w:sz="4"/>
                  </w:tcBorders>
                  <w:vAlign w:val="top"/>
                </w:tcPr>
                <w:p>
                  <w:pPr>
                    <w:jc w:val="center"/>
                  </w:pPr>
                  <w:r>
                    <w:rPr>
                      <w:b/>
                      <w:sz w:val="21"/>
                    </w:rPr>
                    <w:t>设施地址（具体到楼层）</w:t>
                  </w:r>
                </w:p>
              </w:tc>
              <w:tc>
                <w:tcPr>
                  <w:tcW w:type="dxa" w:w="1076"/>
                  <w:tcBorders>
                    <w:top w:val="single" w:color="000000" w:sz="4"/>
                    <w:left w:val="single" w:color="000000" w:sz="4"/>
                    <w:bottom w:val="single" w:color="000000" w:sz="4"/>
                    <w:right w:val="single" w:color="000000" w:sz="4"/>
                  </w:tcBorders>
                  <w:vAlign w:val="top"/>
                </w:tcPr>
                <w:p>
                  <w:pPr>
                    <w:jc w:val="center"/>
                  </w:pPr>
                  <w:r>
                    <w:rPr>
                      <w:b/>
                      <w:sz w:val="21"/>
                    </w:rPr>
                    <w:t>可使用面积（</w:t>
                  </w:r>
                  <w:r>
                    <w:rPr>
                      <w:b/>
                      <w:sz w:val="21"/>
                    </w:rPr>
                    <w:t>㎡</w:t>
                  </w:r>
                  <w:r>
                    <w:rPr>
                      <w:b/>
                      <w:sz w:val="21"/>
                    </w:rPr>
                    <w:t>）</w:t>
                  </w: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10"/>
                  <w:tcBorders>
                    <w:top w:val="none" w:color="000000" w:sz="4"/>
                    <w:left w:val="single" w:color="000000" w:sz="4"/>
                    <w:bottom w:val="single" w:color="000000" w:sz="4"/>
                    <w:right w:val="single" w:color="000000" w:sz="4"/>
                  </w:tcBorders>
                  <w:vAlign w:val="top"/>
                </w:tcPr>
                <w:p>
                  <w:pPr>
                    <w:jc w:val="left"/>
                  </w:pPr>
                  <w:r>
                    <w:rPr>
                      <w:sz w:val="21"/>
                    </w:rPr>
                    <w:t>均禾街社区居家养老综合服务</w:t>
                  </w:r>
                  <w:r>
                    <w:rPr>
                      <w:sz w:val="21"/>
                    </w:rPr>
                    <w:t>中心</w:t>
                  </w:r>
                </w:p>
              </w:tc>
              <w:tc>
                <w:tcPr>
                  <w:tcW w:type="dxa" w:w="2286"/>
                  <w:tcBorders>
                    <w:top w:val="none" w:color="000000" w:sz="4"/>
                    <w:left w:val="single" w:color="000000" w:sz="4"/>
                    <w:bottom w:val="single" w:color="000000" w:sz="4"/>
                    <w:right w:val="single" w:color="000000" w:sz="4"/>
                  </w:tcBorders>
                  <w:vAlign w:val="top"/>
                </w:tcPr>
                <w:p>
                  <w:pPr>
                    <w:jc w:val="left"/>
                  </w:pPr>
                  <w:r>
                    <w:rPr>
                      <w:sz w:val="21"/>
                    </w:rPr>
                    <w:t>白云区均禾街石马桃红西街</w:t>
                  </w:r>
                  <w:r>
                    <w:rPr>
                      <w:sz w:val="21"/>
                    </w:rPr>
                    <w:t>26-28号金塬广场</w:t>
                  </w:r>
                  <w:r>
                    <w:rPr>
                      <w:sz w:val="21"/>
                    </w:rPr>
                    <w:t>D栋1</w:t>
                  </w:r>
                  <w:r>
                    <w:rPr>
                      <w:sz w:val="21"/>
                    </w:rPr>
                    <w:t>-3</w:t>
                  </w:r>
                  <w:r>
                    <w:rPr>
                      <w:sz w:val="21"/>
                    </w:rPr>
                    <w:t>楼</w:t>
                  </w:r>
                </w:p>
              </w:tc>
              <w:tc>
                <w:tcPr>
                  <w:tcW w:type="dxa" w:w="1076"/>
                  <w:tcBorders>
                    <w:top w:val="none" w:color="000000" w:sz="4"/>
                    <w:left w:val="single" w:color="000000" w:sz="4"/>
                    <w:bottom w:val="single" w:color="000000" w:sz="4"/>
                    <w:right w:val="single" w:color="000000" w:sz="4"/>
                  </w:tcBorders>
                  <w:vAlign w:val="top"/>
                </w:tcPr>
                <w:p>
                  <w:pPr>
                    <w:jc w:val="center"/>
                  </w:pPr>
                  <w:r>
                    <w:rPr>
                      <w:sz w:val="21"/>
                    </w:rPr>
                    <w:t>500</w:t>
                  </w: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10"/>
                  <w:tcBorders>
                    <w:top w:val="none" w:color="000000" w:sz="4"/>
                    <w:left w:val="single" w:color="000000" w:sz="4"/>
                    <w:bottom w:val="single" w:color="000000" w:sz="4"/>
                    <w:right w:val="single" w:color="000000" w:sz="4"/>
                  </w:tcBorders>
                  <w:vAlign w:val="top"/>
                </w:tcPr>
                <w:p>
                  <w:pPr>
                    <w:jc w:val="left"/>
                  </w:pPr>
                  <w:r>
                    <w:rPr>
                      <w:sz w:val="21"/>
                    </w:rPr>
                    <w:t>均禾街石马西桥社区长者饭堂</w:t>
                  </w:r>
                </w:p>
              </w:tc>
              <w:tc>
                <w:tcPr>
                  <w:tcW w:type="dxa" w:w="2286"/>
                  <w:tcBorders>
                    <w:top w:val="none" w:color="000000" w:sz="4"/>
                    <w:left w:val="single" w:color="000000" w:sz="4"/>
                    <w:bottom w:val="single" w:color="000000" w:sz="4"/>
                    <w:right w:val="single" w:color="000000" w:sz="4"/>
                  </w:tcBorders>
                  <w:vAlign w:val="top"/>
                </w:tcPr>
                <w:p>
                  <w:pPr>
                    <w:jc w:val="left"/>
                  </w:pPr>
                  <w:r>
                    <w:rPr>
                      <w:sz w:val="21"/>
                    </w:rPr>
                    <w:t>白云区均禾街石马桃红西街</w:t>
                  </w:r>
                  <w:r>
                    <w:rPr>
                      <w:sz w:val="21"/>
                    </w:rPr>
                    <w:t>26-28号金塬广场D栋1楼</w:t>
                  </w:r>
                </w:p>
              </w:tc>
              <w:tc>
                <w:tcPr>
                  <w:tcW w:type="dxa" w:w="1076"/>
                  <w:tcBorders>
                    <w:top w:val="none" w:color="000000" w:sz="4"/>
                    <w:left w:val="single" w:color="000000" w:sz="4"/>
                    <w:bottom w:val="single" w:color="000000" w:sz="4"/>
                    <w:right w:val="single" w:color="000000" w:sz="4"/>
                  </w:tcBorders>
                  <w:vAlign w:val="top"/>
                </w:tcPr>
                <w:p>
                  <w:pPr>
                    <w:jc w:val="center"/>
                  </w:pPr>
                  <w:r>
                    <w:rPr>
                      <w:color w:val="000000"/>
                      <w:sz w:val="21"/>
                    </w:rPr>
                    <w:t>80</w:t>
                  </w:r>
                </w:p>
              </w:tc>
            </w:tr>
            <w:tr>
              <w:tc>
                <w:tcPr>
                  <w:tcW w:type="dxa" w:w="423"/>
                  <w:tcBorders>
                    <w:top w:val="none" w:color="000000" w:sz="4"/>
                    <w:left w:val="single" w:color="000000" w:sz="4"/>
                    <w:bottom w:val="single" w:color="000000" w:sz="4"/>
                    <w:right w:val="single" w:color="000000" w:sz="4"/>
                  </w:tcBorders>
                  <w:vAlign w:val="top"/>
                </w:tcPr>
                <w:p>
                  <w:pPr>
                    <w:ind w:firstLine="210"/>
                    <w:jc w:val="both"/>
                  </w:pPr>
                  <w:r>
                    <w:rPr>
                      <w:sz w:val="21"/>
                    </w:rPr>
                    <w:t>3</w:t>
                  </w:r>
                </w:p>
              </w:tc>
              <w:tc>
                <w:tcPr>
                  <w:tcW w:type="dxa" w:w="1810"/>
                  <w:tcBorders>
                    <w:top w:val="none" w:color="000000" w:sz="4"/>
                    <w:left w:val="single" w:color="000000" w:sz="4"/>
                    <w:bottom w:val="single" w:color="000000" w:sz="4"/>
                    <w:right w:val="single" w:color="000000" w:sz="4"/>
                  </w:tcBorders>
                  <w:vAlign w:val="top"/>
                </w:tcPr>
                <w:p>
                  <w:pPr>
                    <w:jc w:val="left"/>
                  </w:pPr>
                  <w:r>
                    <w:rPr>
                      <w:sz w:val="21"/>
                    </w:rPr>
                    <w:t>均禾街石马德圣社区颐康服务站</w:t>
                  </w:r>
                </w:p>
              </w:tc>
              <w:tc>
                <w:tcPr>
                  <w:tcW w:type="dxa" w:w="2286"/>
                  <w:tcBorders>
                    <w:top w:val="none" w:color="000000" w:sz="4"/>
                    <w:left w:val="single" w:color="000000" w:sz="4"/>
                    <w:bottom w:val="single" w:color="000000" w:sz="4"/>
                    <w:right w:val="single" w:color="000000" w:sz="4"/>
                  </w:tcBorders>
                  <w:vAlign w:val="top"/>
                </w:tcPr>
                <w:p>
                  <w:pPr>
                    <w:jc w:val="left"/>
                  </w:pPr>
                  <w:r>
                    <w:rPr>
                      <w:color w:val="000000"/>
                      <w:sz w:val="21"/>
                    </w:rPr>
                    <w:t>白云区均禾街石马德圣社区潭眼桥</w:t>
                  </w:r>
                  <w:r>
                    <w:rPr>
                      <w:color w:val="000000"/>
                      <w:sz w:val="21"/>
                    </w:rPr>
                    <w:t>1楼</w:t>
                  </w:r>
                </w:p>
              </w:tc>
              <w:tc>
                <w:tcPr>
                  <w:tcW w:type="dxa" w:w="1076"/>
                  <w:tcBorders>
                    <w:top w:val="none" w:color="000000" w:sz="4"/>
                    <w:left w:val="single" w:color="000000" w:sz="4"/>
                    <w:bottom w:val="single" w:color="000000" w:sz="4"/>
                    <w:right w:val="single" w:color="000000" w:sz="4"/>
                  </w:tcBorders>
                  <w:vAlign w:val="top"/>
                </w:tcPr>
                <w:p>
                  <w:pPr>
                    <w:jc w:val="center"/>
                  </w:pPr>
                  <w:r>
                    <w:rPr>
                      <w:color w:val="000000"/>
                      <w:sz w:val="21"/>
                    </w:rPr>
                    <w:t>120</w:t>
                  </w:r>
                </w:p>
              </w:tc>
            </w:tr>
            <w:tr>
              <w:tc>
                <w:tcPr>
                  <w:tcW w:type="dxa" w:w="423"/>
                  <w:tcBorders>
                    <w:top w:val="none" w:color="000000" w:sz="4"/>
                    <w:left w:val="single" w:color="000000" w:sz="4"/>
                    <w:bottom w:val="single" w:color="000000" w:sz="4"/>
                    <w:right w:val="single" w:color="000000" w:sz="4"/>
                  </w:tcBorders>
                  <w:vAlign w:val="top"/>
                </w:tcPr>
                <w:p>
                  <w:pPr>
                    <w:ind w:firstLine="210"/>
                    <w:jc w:val="both"/>
                  </w:pPr>
                  <w:r>
                    <w:rPr>
                      <w:sz w:val="21"/>
                    </w:rPr>
                    <w:t>4</w:t>
                  </w:r>
                </w:p>
              </w:tc>
              <w:tc>
                <w:tcPr>
                  <w:tcW w:type="dxa" w:w="1810"/>
                  <w:tcBorders>
                    <w:top w:val="none" w:color="000000" w:sz="4"/>
                    <w:left w:val="single" w:color="000000" w:sz="4"/>
                    <w:bottom w:val="single" w:color="000000" w:sz="4"/>
                    <w:right w:val="single" w:color="000000" w:sz="4"/>
                  </w:tcBorders>
                  <w:vAlign w:val="top"/>
                </w:tcPr>
                <w:p>
                  <w:pPr>
                    <w:jc w:val="left"/>
                  </w:pPr>
                  <w:r>
                    <w:rPr>
                      <w:sz w:val="21"/>
                    </w:rPr>
                    <w:t>均禾街石马鸿图颐康服务站</w:t>
                  </w:r>
                </w:p>
              </w:tc>
              <w:tc>
                <w:tcPr>
                  <w:tcW w:type="dxa" w:w="2286"/>
                  <w:tcBorders>
                    <w:top w:val="none" w:color="000000" w:sz="4"/>
                    <w:left w:val="single" w:color="000000" w:sz="4"/>
                    <w:bottom w:val="single" w:color="000000" w:sz="4"/>
                    <w:right w:val="single" w:color="000000" w:sz="4"/>
                  </w:tcBorders>
                  <w:vAlign w:val="top"/>
                </w:tcPr>
                <w:p>
                  <w:pPr>
                    <w:jc w:val="left"/>
                  </w:pPr>
                  <w:r>
                    <w:rPr>
                      <w:color w:val="000000"/>
                      <w:sz w:val="21"/>
                    </w:rPr>
                    <w:t>白云区均禾街新石路涌边北街</w:t>
                  </w:r>
                  <w:r>
                    <w:rPr>
                      <w:color w:val="000000"/>
                      <w:sz w:val="21"/>
                    </w:rPr>
                    <w:t>12号</w:t>
                  </w:r>
                </w:p>
              </w:tc>
              <w:tc>
                <w:tcPr>
                  <w:tcW w:type="dxa" w:w="1076"/>
                  <w:tcBorders>
                    <w:top w:val="none" w:color="000000" w:sz="4"/>
                    <w:left w:val="single" w:color="000000" w:sz="4"/>
                    <w:bottom w:val="single" w:color="000000" w:sz="4"/>
                    <w:right w:val="single" w:color="000000" w:sz="4"/>
                  </w:tcBorders>
                  <w:vAlign w:val="top"/>
                </w:tcPr>
                <w:p>
                  <w:pPr>
                    <w:jc w:val="center"/>
                  </w:pPr>
                  <w:r>
                    <w:rPr>
                      <w:color w:val="000000"/>
                      <w:sz w:val="21"/>
                    </w:rPr>
                    <w:t>150</w:t>
                  </w:r>
                </w:p>
              </w:tc>
            </w:tr>
            <w:tr>
              <w:tc>
                <w:tcPr>
                  <w:tcW w:type="dxa" w:w="423"/>
                  <w:tcBorders>
                    <w:top w:val="none" w:color="000000" w:sz="4"/>
                    <w:left w:val="single" w:color="000000" w:sz="4"/>
                    <w:bottom w:val="single" w:color="000000" w:sz="4"/>
                    <w:right w:val="single" w:color="000000" w:sz="4"/>
                  </w:tcBorders>
                  <w:vAlign w:val="top"/>
                </w:tcPr>
                <w:p>
                  <w:pPr>
                    <w:ind w:firstLine="210"/>
                    <w:jc w:val="both"/>
                  </w:pPr>
                  <w:r>
                    <w:rPr>
                      <w:sz w:val="21"/>
                    </w:rPr>
                    <w:t>5</w:t>
                  </w:r>
                </w:p>
              </w:tc>
              <w:tc>
                <w:tcPr>
                  <w:tcW w:type="dxa" w:w="1810"/>
                  <w:tcBorders>
                    <w:top w:val="none" w:color="000000" w:sz="4"/>
                    <w:left w:val="single" w:color="000000" w:sz="4"/>
                    <w:bottom w:val="single" w:color="000000" w:sz="4"/>
                    <w:right w:val="single" w:color="000000" w:sz="4"/>
                  </w:tcBorders>
                  <w:vAlign w:val="top"/>
                </w:tcPr>
                <w:p>
                  <w:pPr>
                    <w:jc w:val="left"/>
                  </w:pPr>
                  <w:r>
                    <w:rPr>
                      <w:sz w:val="21"/>
                    </w:rPr>
                    <w:t>均禾街均禾社区颐康服务站</w:t>
                  </w:r>
                </w:p>
              </w:tc>
              <w:tc>
                <w:tcPr>
                  <w:tcW w:type="dxa" w:w="2286"/>
                  <w:tcBorders>
                    <w:top w:val="none" w:color="000000" w:sz="4"/>
                    <w:left w:val="single" w:color="000000" w:sz="4"/>
                    <w:bottom w:val="single" w:color="000000" w:sz="4"/>
                    <w:right w:val="single" w:color="000000" w:sz="4"/>
                  </w:tcBorders>
                  <w:vAlign w:val="top"/>
                </w:tcPr>
                <w:p>
                  <w:pPr>
                    <w:jc w:val="left"/>
                  </w:pPr>
                  <w:r>
                    <w:rPr>
                      <w:color w:val="000000"/>
                      <w:sz w:val="21"/>
                    </w:rPr>
                    <w:t>白云区均禾街石马尚仁东街</w:t>
                  </w:r>
                  <w:r>
                    <w:rPr>
                      <w:color w:val="000000"/>
                      <w:sz w:val="21"/>
                    </w:rPr>
                    <w:t>2号</w:t>
                  </w:r>
                </w:p>
              </w:tc>
              <w:tc>
                <w:tcPr>
                  <w:tcW w:type="dxa" w:w="1076"/>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10"/>
                  <w:tcBorders>
                    <w:top w:val="none" w:color="000000" w:sz="4"/>
                    <w:left w:val="single" w:color="000000" w:sz="4"/>
                    <w:bottom w:val="single" w:color="000000" w:sz="4"/>
                    <w:right w:val="single" w:color="000000" w:sz="4"/>
                  </w:tcBorders>
                  <w:vAlign w:val="top"/>
                </w:tcPr>
                <w:p>
                  <w:pPr>
                    <w:jc w:val="left"/>
                  </w:pPr>
                  <w:r>
                    <w:rPr>
                      <w:sz w:val="21"/>
                    </w:rPr>
                    <w:t>均禾街罗岗社区罗南社区颐康服务站</w:t>
                  </w:r>
                </w:p>
              </w:tc>
              <w:tc>
                <w:tcPr>
                  <w:tcW w:type="dxa" w:w="2286"/>
                  <w:tcBorders>
                    <w:top w:val="none" w:color="000000" w:sz="4"/>
                    <w:left w:val="single" w:color="000000" w:sz="4"/>
                    <w:bottom w:val="single" w:color="000000" w:sz="4"/>
                    <w:right w:val="single" w:color="000000" w:sz="4"/>
                  </w:tcBorders>
                  <w:vAlign w:val="top"/>
                </w:tcPr>
                <w:p>
                  <w:pPr>
                    <w:jc w:val="left"/>
                  </w:pPr>
                  <w:r>
                    <w:rPr>
                      <w:color w:val="000000"/>
                      <w:sz w:val="21"/>
                    </w:rPr>
                    <w:t>白云区均禾街罗岗公寓楼</w:t>
                  </w:r>
                  <w:r>
                    <w:rPr>
                      <w:color w:val="000000"/>
                      <w:sz w:val="21"/>
                    </w:rPr>
                    <w:t>7号楼一楼</w:t>
                  </w:r>
                </w:p>
              </w:tc>
              <w:tc>
                <w:tcPr>
                  <w:tcW w:type="dxa" w:w="1076"/>
                  <w:tcBorders>
                    <w:top w:val="none" w:color="000000" w:sz="4"/>
                    <w:left w:val="single" w:color="000000" w:sz="4"/>
                    <w:bottom w:val="single" w:color="000000" w:sz="4"/>
                    <w:right w:val="single" w:color="000000" w:sz="4"/>
                  </w:tcBorders>
                  <w:vAlign w:val="top"/>
                </w:tcPr>
                <w:p>
                  <w:pPr>
                    <w:jc w:val="center"/>
                  </w:pPr>
                  <w:r>
                    <w:rPr>
                      <w:color w:val="000000"/>
                      <w:sz w:val="21"/>
                    </w:rPr>
                    <w:t>100</w:t>
                  </w: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10"/>
                  <w:tcBorders>
                    <w:top w:val="none" w:color="000000" w:sz="4"/>
                    <w:left w:val="single" w:color="000000" w:sz="4"/>
                    <w:bottom w:val="single" w:color="000000" w:sz="4"/>
                    <w:right w:val="single" w:color="000000" w:sz="4"/>
                  </w:tcBorders>
                  <w:vAlign w:val="top"/>
                </w:tcPr>
                <w:p>
                  <w:pPr>
                    <w:jc w:val="left"/>
                  </w:pPr>
                  <w:r>
                    <w:rPr>
                      <w:sz w:val="21"/>
                    </w:rPr>
                    <w:t>均禾街平沙北社区颐康服务站</w:t>
                  </w:r>
                </w:p>
              </w:tc>
              <w:tc>
                <w:tcPr>
                  <w:tcW w:type="dxa" w:w="2286"/>
                  <w:tcBorders>
                    <w:top w:val="none" w:color="000000" w:sz="4"/>
                    <w:left w:val="single" w:color="000000" w:sz="4"/>
                    <w:bottom w:val="single" w:color="000000" w:sz="4"/>
                    <w:right w:val="single" w:color="000000" w:sz="4"/>
                  </w:tcBorders>
                  <w:vAlign w:val="top"/>
                </w:tcPr>
                <w:p>
                  <w:pPr>
                    <w:jc w:val="left"/>
                  </w:pPr>
                  <w:r>
                    <w:rPr>
                      <w:color w:val="000000"/>
                      <w:sz w:val="21"/>
                    </w:rPr>
                    <w:t>白云区均禾街平沙北社区平沙姓蔡酒堂</w:t>
                  </w:r>
                </w:p>
              </w:tc>
              <w:tc>
                <w:tcPr>
                  <w:tcW w:type="dxa" w:w="1076"/>
                  <w:tcBorders>
                    <w:top w:val="none" w:color="000000" w:sz="4"/>
                    <w:left w:val="single" w:color="000000" w:sz="4"/>
                    <w:bottom w:val="single" w:color="000000" w:sz="4"/>
                    <w:right w:val="single" w:color="000000" w:sz="4"/>
                  </w:tcBorders>
                  <w:vAlign w:val="top"/>
                </w:tcPr>
                <w:p>
                  <w:pPr>
                    <w:jc w:val="center"/>
                  </w:pPr>
                  <w:r>
                    <w:rPr>
                      <w:color w:val="000000"/>
                      <w:sz w:val="21"/>
                    </w:rPr>
                    <w:t>180</w:t>
                  </w: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10"/>
                  <w:tcBorders>
                    <w:top w:val="none" w:color="000000" w:sz="4"/>
                    <w:left w:val="single" w:color="000000" w:sz="4"/>
                    <w:bottom w:val="single" w:color="000000" w:sz="4"/>
                    <w:right w:val="single" w:color="000000" w:sz="4"/>
                  </w:tcBorders>
                  <w:vAlign w:val="top"/>
                </w:tcPr>
                <w:p>
                  <w:pPr>
                    <w:jc w:val="left"/>
                  </w:pPr>
                  <w:r>
                    <w:rPr>
                      <w:sz w:val="21"/>
                    </w:rPr>
                    <w:t>均禾街平沙南社区颐康服务站</w:t>
                  </w:r>
                </w:p>
              </w:tc>
              <w:tc>
                <w:tcPr>
                  <w:tcW w:type="dxa" w:w="2286"/>
                  <w:tcBorders>
                    <w:top w:val="none" w:color="000000" w:sz="4"/>
                    <w:left w:val="single" w:color="000000" w:sz="4"/>
                    <w:bottom w:val="single" w:color="000000" w:sz="4"/>
                    <w:right w:val="single" w:color="000000" w:sz="4"/>
                  </w:tcBorders>
                  <w:vAlign w:val="top"/>
                </w:tcPr>
                <w:p>
                  <w:pPr>
                    <w:jc w:val="left"/>
                  </w:pPr>
                  <w:r>
                    <w:rPr>
                      <w:color w:val="000000"/>
                      <w:sz w:val="21"/>
                    </w:rPr>
                    <w:t>白云区均禾街平沙南社区白沙湖南街</w:t>
                  </w:r>
                  <w:r>
                    <w:rPr>
                      <w:color w:val="000000"/>
                      <w:sz w:val="21"/>
                    </w:rPr>
                    <w:t>1号</w:t>
                  </w:r>
                </w:p>
              </w:tc>
              <w:tc>
                <w:tcPr>
                  <w:tcW w:type="dxa" w:w="1076"/>
                  <w:tcBorders>
                    <w:top w:val="none" w:color="000000" w:sz="4"/>
                    <w:left w:val="single" w:color="000000" w:sz="4"/>
                    <w:bottom w:val="single" w:color="000000" w:sz="4"/>
                    <w:right w:val="single" w:color="000000" w:sz="4"/>
                  </w:tcBorders>
                  <w:vAlign w:val="top"/>
                </w:tcPr>
                <w:p>
                  <w:pPr>
                    <w:jc w:val="center"/>
                  </w:pPr>
                  <w:r>
                    <w:rPr>
                      <w:color w:val="000000"/>
                      <w:sz w:val="21"/>
                    </w:rPr>
                    <w:t>150</w:t>
                  </w: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810"/>
                  <w:tcBorders>
                    <w:top w:val="none" w:color="000000" w:sz="4"/>
                    <w:left w:val="single" w:color="000000" w:sz="4"/>
                    <w:bottom w:val="single" w:color="000000" w:sz="4"/>
                    <w:right w:val="single" w:color="000000" w:sz="4"/>
                  </w:tcBorders>
                  <w:vAlign w:val="top"/>
                </w:tcPr>
                <w:p>
                  <w:pPr>
                    <w:jc w:val="left"/>
                  </w:pPr>
                  <w:r>
                    <w:rPr>
                      <w:sz w:val="21"/>
                    </w:rPr>
                    <w:t>均禾街清湖北社区颐康服务站</w:t>
                  </w:r>
                </w:p>
              </w:tc>
              <w:tc>
                <w:tcPr>
                  <w:tcW w:type="dxa" w:w="2286"/>
                  <w:tcBorders>
                    <w:top w:val="none" w:color="000000" w:sz="4"/>
                    <w:left w:val="single" w:color="000000" w:sz="4"/>
                    <w:bottom w:val="single" w:color="000000" w:sz="4"/>
                    <w:right w:val="single" w:color="000000" w:sz="4"/>
                  </w:tcBorders>
                  <w:vAlign w:val="top"/>
                </w:tcPr>
                <w:p>
                  <w:pPr>
                    <w:jc w:val="left"/>
                  </w:pPr>
                  <w:r>
                    <w:rPr>
                      <w:color w:val="000000"/>
                      <w:sz w:val="21"/>
                    </w:rPr>
                    <w:t>白云区均禾街清湖苏元庄街</w:t>
                  </w:r>
                  <w:r>
                    <w:rPr>
                      <w:color w:val="000000"/>
                      <w:sz w:val="21"/>
                    </w:rPr>
                    <w:t>24号</w:t>
                  </w:r>
                </w:p>
              </w:tc>
              <w:tc>
                <w:tcPr>
                  <w:tcW w:type="dxa" w:w="1076"/>
                  <w:tcBorders>
                    <w:top w:val="none" w:color="000000" w:sz="4"/>
                    <w:left w:val="single" w:color="000000" w:sz="4"/>
                    <w:bottom w:val="single" w:color="000000" w:sz="4"/>
                    <w:right w:val="single" w:color="000000" w:sz="4"/>
                  </w:tcBorders>
                  <w:vAlign w:val="top"/>
                </w:tcPr>
                <w:p>
                  <w:pPr>
                    <w:jc w:val="center"/>
                  </w:pPr>
                  <w:r>
                    <w:rPr>
                      <w:color w:val="000000"/>
                      <w:sz w:val="21"/>
                    </w:rPr>
                    <w:t>160</w:t>
                  </w: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810"/>
                  <w:tcBorders>
                    <w:top w:val="none" w:color="000000" w:sz="4"/>
                    <w:left w:val="single" w:color="000000" w:sz="4"/>
                    <w:bottom w:val="single" w:color="000000" w:sz="4"/>
                    <w:right w:val="single" w:color="000000" w:sz="4"/>
                  </w:tcBorders>
                  <w:vAlign w:val="top"/>
                </w:tcPr>
                <w:p>
                  <w:pPr>
                    <w:jc w:val="left"/>
                  </w:pPr>
                  <w:r>
                    <w:rPr>
                      <w:sz w:val="21"/>
                    </w:rPr>
                    <w:t>均禾街清湖南社区颐康服务站</w:t>
                  </w:r>
                </w:p>
              </w:tc>
              <w:tc>
                <w:tcPr>
                  <w:tcW w:type="dxa" w:w="2286"/>
                  <w:tcBorders>
                    <w:top w:val="none" w:color="000000" w:sz="4"/>
                    <w:left w:val="single" w:color="000000" w:sz="4"/>
                    <w:bottom w:val="single" w:color="000000" w:sz="4"/>
                    <w:right w:val="single" w:color="000000" w:sz="4"/>
                  </w:tcBorders>
                  <w:vAlign w:val="top"/>
                </w:tcPr>
                <w:p>
                  <w:pPr>
                    <w:jc w:val="left"/>
                  </w:pPr>
                  <w:r>
                    <w:rPr>
                      <w:color w:val="000000"/>
                      <w:sz w:val="21"/>
                    </w:rPr>
                    <w:t>白云区均禾街大糯田街</w:t>
                  </w:r>
                  <w:r>
                    <w:rPr>
                      <w:color w:val="000000"/>
                      <w:sz w:val="21"/>
                    </w:rPr>
                    <w:t>8号</w:t>
                  </w:r>
                </w:p>
              </w:tc>
              <w:tc>
                <w:tcPr>
                  <w:tcW w:type="dxa" w:w="1076"/>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810"/>
                  <w:tcBorders>
                    <w:top w:val="none" w:color="000000" w:sz="4"/>
                    <w:left w:val="single" w:color="000000" w:sz="4"/>
                    <w:bottom w:val="single" w:color="000000" w:sz="4"/>
                    <w:right w:val="single" w:color="000000" w:sz="4"/>
                  </w:tcBorders>
                  <w:vAlign w:val="top"/>
                </w:tcPr>
                <w:p>
                  <w:pPr>
                    <w:jc w:val="left"/>
                  </w:pPr>
                  <w:r>
                    <w:rPr>
                      <w:sz w:val="21"/>
                    </w:rPr>
                    <w:t>均禾街富力城花园社区颐康服务站</w:t>
                  </w:r>
                </w:p>
              </w:tc>
              <w:tc>
                <w:tcPr>
                  <w:tcW w:type="dxa" w:w="2286"/>
                  <w:tcBorders>
                    <w:top w:val="none" w:color="000000" w:sz="4"/>
                    <w:left w:val="single" w:color="000000" w:sz="4"/>
                    <w:bottom w:val="single" w:color="000000" w:sz="4"/>
                    <w:right w:val="single" w:color="000000" w:sz="4"/>
                  </w:tcBorders>
                  <w:vAlign w:val="top"/>
                </w:tcPr>
                <w:p>
                  <w:pPr>
                    <w:jc w:val="left"/>
                  </w:pPr>
                  <w:r>
                    <w:rPr>
                      <w:color w:val="000000"/>
                      <w:sz w:val="21"/>
                    </w:rPr>
                    <w:t>白云区均禾街富力城花园北</w:t>
                  </w:r>
                  <w:r>
                    <w:rPr>
                      <w:color w:val="000000"/>
                      <w:sz w:val="21"/>
                    </w:rPr>
                    <w:t>F5栋一楼</w:t>
                  </w:r>
                </w:p>
              </w:tc>
              <w:tc>
                <w:tcPr>
                  <w:tcW w:type="dxa" w:w="1076"/>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810"/>
                  <w:tcBorders>
                    <w:top w:val="none" w:color="000000" w:sz="4"/>
                    <w:left w:val="single" w:color="000000" w:sz="4"/>
                    <w:bottom w:val="single" w:color="000000" w:sz="4"/>
                    <w:right w:val="single" w:color="000000" w:sz="4"/>
                  </w:tcBorders>
                  <w:vAlign w:val="top"/>
                </w:tcPr>
                <w:p>
                  <w:pPr>
                    <w:jc w:val="left"/>
                  </w:pPr>
                  <w:r>
                    <w:rPr>
                      <w:sz w:val="21"/>
                    </w:rPr>
                    <w:t>均禾街富力城花园南区颐康服务站</w:t>
                  </w:r>
                </w:p>
              </w:tc>
              <w:tc>
                <w:tcPr>
                  <w:tcW w:type="dxa" w:w="2286"/>
                  <w:tcBorders>
                    <w:top w:val="none" w:color="000000" w:sz="4"/>
                    <w:left w:val="single" w:color="000000" w:sz="4"/>
                    <w:bottom w:val="single" w:color="000000" w:sz="4"/>
                    <w:right w:val="single" w:color="000000" w:sz="4"/>
                  </w:tcBorders>
                  <w:vAlign w:val="top"/>
                </w:tcPr>
                <w:p>
                  <w:pPr>
                    <w:jc w:val="left"/>
                  </w:pPr>
                  <w:r>
                    <w:rPr>
                      <w:color w:val="000000"/>
                      <w:sz w:val="21"/>
                    </w:rPr>
                    <w:t>白云区均禾街富力城花园花灯街</w:t>
                  </w:r>
                  <w:r>
                    <w:rPr>
                      <w:color w:val="000000"/>
                      <w:sz w:val="21"/>
                    </w:rPr>
                    <w:t>36号C4栋1楼</w:t>
                  </w:r>
                </w:p>
              </w:tc>
              <w:tc>
                <w:tcPr>
                  <w:tcW w:type="dxa" w:w="1076"/>
                  <w:tcBorders>
                    <w:top w:val="none" w:color="000000" w:sz="4"/>
                    <w:left w:val="single" w:color="000000" w:sz="4"/>
                    <w:bottom w:val="single" w:color="000000" w:sz="4"/>
                    <w:right w:val="single" w:color="000000" w:sz="4"/>
                  </w:tcBorders>
                  <w:vAlign w:val="top"/>
                </w:tcPr>
                <w:p>
                  <w:pPr>
                    <w:jc w:val="center"/>
                  </w:pPr>
                  <w:r>
                    <w:rPr>
                      <w:color w:val="000000"/>
                      <w:sz w:val="21"/>
                    </w:rPr>
                    <w:t>350</w:t>
                  </w:r>
                </w:p>
              </w:tc>
            </w:tr>
          </w:tbl>
          <w:p>
            <w:r>
              <w:rPr/>
              <w:t xml:space="preserve"> </w:t>
            </w:r>
          </w:p>
          <w:p>
            <w:pPr>
              <w:jc w:val="left"/>
            </w:pPr>
            <w:r>
              <w:rPr>
                <w:sz w:val="21"/>
              </w:rPr>
              <w:t>注：（</w:t>
            </w:r>
            <w:r>
              <w:rPr>
                <w:sz w:val="21"/>
              </w:rPr>
              <w:t>1）成交供应商根据实际情况开展建设和运营，将</w:t>
            </w:r>
            <w:r>
              <w:rPr>
                <w:sz w:val="21"/>
              </w:rPr>
              <w:t>所在社区（村）级分散设置的颐康服务站分站整合到该社区（村）级颐康服务站，如地址变更，以实际情况为准。</w:t>
            </w:r>
          </w:p>
          <w:p>
            <w:r>
              <w:rPr>
                <w:sz w:val="21"/>
              </w:rPr>
              <w:t xml:space="preserve">  </w:t>
            </w:r>
            <w:r>
              <w:rPr>
                <w:sz w:val="21"/>
              </w:rPr>
              <w:t>★</w:t>
            </w:r>
            <w:r>
              <w:rPr>
                <w:sz w:val="21"/>
              </w:rPr>
              <w:t>（</w:t>
            </w:r>
            <w:r>
              <w:rPr>
                <w:sz w:val="21"/>
              </w:rPr>
              <w:t>2）如现有颐康中心、颐康服务站点场地建设不符合民政部门的有关要求，成交供应商须按要求进行升级改造建设，其中颐康服务站确无合适场地的，按照不同的服务功能区分散设置，分散设置的分站须有专人负责（提供书面承诺函）。</w:t>
            </w:r>
          </w:p>
          <w:p>
            <w:pPr>
              <w:ind w:firstLine="2530"/>
              <w:jc w:val="center"/>
            </w:pPr>
            <w:r>
              <w:rPr>
                <w:b/>
                <w:sz w:val="21"/>
              </w:rPr>
              <w:t>表</w:t>
            </w:r>
            <w:r>
              <w:rPr>
                <w:b/>
                <w:sz w:val="21"/>
              </w:rPr>
              <w:t>3 服务资助经费一览表</w:t>
            </w:r>
          </w:p>
          <w:tbl>
            <w:tblPr>
              <w:tblBorders>
                <w:top w:val="none" w:color="000000" w:sz="4"/>
                <w:left w:val="none" w:color="000000" w:sz="4"/>
                <w:bottom w:val="none" w:color="000000" w:sz="4"/>
                <w:right w:val="none" w:color="000000" w:sz="4"/>
                <w:insideH w:val="none"/>
                <w:insideV w:val="none"/>
              </w:tblBorders>
            </w:tblPr>
            <w:tblGrid>
              <w:gridCol w:w="1619"/>
              <w:gridCol w:w="2225"/>
              <w:gridCol w:w="1753"/>
            </w:tblGrid>
            <w:tr>
              <w:tc>
                <w:tcPr>
                  <w:tcW w:type="dxa" w:w="1619"/>
                  <w:tcBorders>
                    <w:top w:val="single" w:color="000000" w:sz="4"/>
                    <w:left w:val="single" w:color="000000" w:sz="4"/>
                    <w:bottom w:val="single" w:color="000000" w:sz="4"/>
                    <w:right w:val="single" w:color="000000" w:sz="4"/>
                  </w:tcBorders>
                  <w:vAlign w:val="top"/>
                </w:tcPr>
                <w:p>
                  <w:pPr>
                    <w:jc w:val="center"/>
                  </w:pPr>
                  <w:r>
                    <w:rPr>
                      <w:b/>
                      <w:sz w:val="21"/>
                    </w:rPr>
                    <w:t>资助对象类型</w:t>
                  </w:r>
                </w:p>
              </w:tc>
              <w:tc>
                <w:tcPr>
                  <w:tcW w:type="dxa" w:w="2225"/>
                  <w:tcBorders>
                    <w:top w:val="single" w:color="000000" w:sz="4"/>
                    <w:left w:val="single" w:color="000000" w:sz="4"/>
                    <w:bottom w:val="single" w:color="000000" w:sz="4"/>
                    <w:right w:val="single" w:color="000000" w:sz="4"/>
                  </w:tcBorders>
                  <w:vAlign w:val="top"/>
                </w:tcPr>
                <w:p>
                  <w:pPr>
                    <w:jc w:val="center"/>
                  </w:pPr>
                  <w:r>
                    <w:rPr>
                      <w:b/>
                      <w:sz w:val="21"/>
                    </w:rPr>
                    <w:t>服务人数（约）</w:t>
                  </w:r>
                </w:p>
              </w:tc>
              <w:tc>
                <w:tcPr>
                  <w:tcW w:type="dxa" w:w="1753"/>
                  <w:tcBorders>
                    <w:top w:val="single" w:color="000000" w:sz="4"/>
                    <w:left w:val="single" w:color="000000" w:sz="4"/>
                    <w:bottom w:val="single" w:color="000000" w:sz="4"/>
                    <w:right w:val="single" w:color="000000" w:sz="4"/>
                  </w:tcBorders>
                  <w:vAlign w:val="top"/>
                </w:tcPr>
                <w:p>
                  <w:pPr>
                    <w:jc w:val="center"/>
                  </w:pPr>
                  <w:r>
                    <w:rPr>
                      <w:b/>
                      <w:sz w:val="21"/>
                    </w:rPr>
                    <w:t>资助金额（人</w:t>
                  </w:r>
                  <w:r>
                    <w:rPr>
                      <w:b/>
                      <w:sz w:val="21"/>
                    </w:rPr>
                    <w:t>/元/月）</w:t>
                  </w:r>
                </w:p>
              </w:tc>
            </w:tr>
            <w:tr>
              <w:tc>
                <w:tcPr>
                  <w:tcW w:type="dxa" w:w="1619"/>
                  <w:tcBorders>
                    <w:top w:val="none" w:color="000000" w:sz="4"/>
                    <w:left w:val="single" w:color="000000" w:sz="4"/>
                    <w:bottom w:val="single" w:color="000000" w:sz="4"/>
                    <w:right w:val="single" w:color="000000" w:sz="4"/>
                  </w:tcBorders>
                  <w:vAlign w:val="top"/>
                </w:tcPr>
                <w:p>
                  <w:pPr>
                    <w:jc w:val="center"/>
                  </w:pPr>
                  <w:r>
                    <w:rPr>
                      <w:sz w:val="21"/>
                    </w:rPr>
                    <w:t>第一类资助对象中重度失能的</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753"/>
                  <w:tcBorders>
                    <w:top w:val="none" w:color="000000" w:sz="4"/>
                    <w:left w:val="single" w:color="000000" w:sz="4"/>
                    <w:bottom w:val="single" w:color="000000" w:sz="4"/>
                    <w:right w:val="single" w:color="000000" w:sz="4"/>
                  </w:tcBorders>
                  <w:vAlign w:val="top"/>
                </w:tcPr>
                <w:p>
                  <w:pPr>
                    <w:jc w:val="center"/>
                  </w:pPr>
                  <w:r>
                    <w:rPr>
                      <w:sz w:val="21"/>
                    </w:rPr>
                    <w:t>600</w:t>
                  </w:r>
                </w:p>
              </w:tc>
            </w:tr>
            <w:tr>
              <w:tc>
                <w:tcPr>
                  <w:tcW w:type="dxa" w:w="1619"/>
                  <w:tcBorders>
                    <w:top w:val="none" w:color="000000" w:sz="4"/>
                    <w:left w:val="single" w:color="000000" w:sz="4"/>
                    <w:bottom w:val="single" w:color="000000" w:sz="4"/>
                    <w:right w:val="single" w:color="000000" w:sz="4"/>
                  </w:tcBorders>
                  <w:vAlign w:val="top"/>
                </w:tcPr>
                <w:p>
                  <w:pPr>
                    <w:jc w:val="center"/>
                  </w:pPr>
                  <w:r>
                    <w:rPr>
                      <w:sz w:val="21"/>
                    </w:rPr>
                    <w:t>第一类资助对象中非重度失能的</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753"/>
                  <w:tcBorders>
                    <w:top w:val="none" w:color="000000" w:sz="4"/>
                    <w:left w:val="single" w:color="000000" w:sz="4"/>
                    <w:bottom w:val="single" w:color="000000" w:sz="4"/>
                    <w:right w:val="single" w:color="000000" w:sz="4"/>
                  </w:tcBorders>
                  <w:vAlign w:val="top"/>
                </w:tcPr>
                <w:p>
                  <w:pPr>
                    <w:jc w:val="center"/>
                  </w:pPr>
                  <w:r>
                    <w:rPr>
                      <w:sz w:val="21"/>
                    </w:rPr>
                    <w:t>400</w:t>
                  </w:r>
                </w:p>
              </w:tc>
            </w:tr>
            <w:tr>
              <w:tc>
                <w:tcPr>
                  <w:tcW w:type="dxa" w:w="1619"/>
                  <w:tcBorders>
                    <w:top w:val="none" w:color="000000" w:sz="4"/>
                    <w:left w:val="single" w:color="000000" w:sz="4"/>
                    <w:bottom w:val="single" w:color="000000" w:sz="4"/>
                    <w:right w:val="single" w:color="000000" w:sz="4"/>
                  </w:tcBorders>
                  <w:vAlign w:val="top"/>
                </w:tcPr>
                <w:p>
                  <w:pPr>
                    <w:jc w:val="center"/>
                  </w:pPr>
                  <w:r>
                    <w:rPr>
                      <w:sz w:val="21"/>
                    </w:rPr>
                    <w:t>第二类资助对象</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753"/>
                  <w:tcBorders>
                    <w:top w:val="none" w:color="000000" w:sz="4"/>
                    <w:left w:val="single" w:color="000000" w:sz="4"/>
                    <w:bottom w:val="single" w:color="000000" w:sz="4"/>
                    <w:right w:val="single" w:color="000000" w:sz="4"/>
                  </w:tcBorders>
                  <w:vAlign w:val="top"/>
                </w:tcPr>
                <w:p>
                  <w:pPr>
                    <w:jc w:val="center"/>
                  </w:pPr>
                  <w:r>
                    <w:rPr>
                      <w:sz w:val="21"/>
                    </w:rPr>
                    <w:t>200</w:t>
                  </w:r>
                </w:p>
              </w:tc>
            </w:tr>
          </w:tbl>
          <w:p>
            <w:r>
              <w:rPr/>
              <w:t xml:space="preserve"> </w:t>
            </w:r>
          </w:p>
          <w:p>
            <w:pPr>
              <w:jc w:val="both"/>
            </w:pPr>
            <w:r>
              <w:rPr>
                <w:sz w:val="21"/>
              </w:rPr>
              <w:t>（注：</w:t>
            </w:r>
            <w:r>
              <w:rPr>
                <w:sz w:val="21"/>
              </w:rPr>
              <w:t>1.服务资助对象类型均对应</w:t>
            </w:r>
            <w:r>
              <w:rPr>
                <w:sz w:val="21"/>
              </w:rPr>
              <w:t>《广州市人民政府办公厅关于印发广州市居家社区养老服务管理办法》（穗府办规〔</w:t>
            </w:r>
            <w:r>
              <w:rPr>
                <w:sz w:val="21"/>
              </w:rPr>
              <w:t>2022〕13号）第二十四条的资助对象类型；</w:t>
            </w:r>
            <w:r>
              <w:rPr>
                <w:sz w:val="21"/>
              </w:rPr>
              <w:t>2.服务资助经费</w:t>
            </w:r>
            <w:r>
              <w:rPr>
                <w:sz w:val="21"/>
              </w:rPr>
              <w:t>根据实际服务情况进行结算；</w:t>
            </w:r>
            <w:r>
              <w:rPr>
                <w:sz w:val="21"/>
              </w:rPr>
              <w:t>3.以上服务对象人数属动态数据。）</w:t>
            </w:r>
          </w:p>
          <w:p>
            <w:r>
              <w:rPr>
                <w:sz w:val="21"/>
              </w:rPr>
              <w:t>（三）服务区域：广州市白云区均禾街道</w:t>
            </w:r>
          </w:p>
          <w:p>
            <w:pPr>
              <w:jc w:val="both"/>
            </w:pPr>
            <w:r>
              <w:rPr>
                <w:sz w:val="21"/>
              </w:rPr>
              <w:t>（四）服务对象：为白云区均禾街综合养老服务中心（颐康中心）、社区（村）级颐康服务站、区域内有需求的</w:t>
            </w:r>
            <w:r>
              <w:rPr>
                <w:sz w:val="21"/>
              </w:rPr>
              <w:t>60周岁及以上居家老年人，</w:t>
            </w:r>
            <w:r>
              <w:rPr>
                <w:sz w:val="21"/>
              </w:rPr>
              <w:t>以享受政府资助的社区居家养老服务老年群体作为重点对象，服务率须达到</w:t>
            </w:r>
            <w:r>
              <w:rPr>
                <w:sz w:val="21"/>
              </w:rPr>
              <w:t>100%；同时发展区域内的老年群体成为服务对象，覆盖率须达到100%</w:t>
            </w:r>
            <w:r>
              <w:rPr>
                <w:sz w:val="21"/>
              </w:rPr>
              <w:t>。</w:t>
            </w:r>
          </w:p>
          <w:p>
            <w:r>
              <w:rPr>
                <w:sz w:val="21"/>
              </w:rPr>
              <w:t>（五）服务形式：根据提供服务时的场所不同，分为上门服务和到服务点服务。</w:t>
            </w:r>
          </w:p>
          <w:p>
            <w:r>
              <w:rPr>
                <w:sz w:val="21"/>
              </w:rPr>
              <w:t>（六）工作需求指标</w:t>
            </w:r>
          </w:p>
          <w:p>
            <w:pPr>
              <w:ind w:firstLine="420"/>
              <w:jc w:val="left"/>
            </w:pPr>
            <w:r>
              <w:rPr>
                <w:sz w:val="21"/>
              </w:rPr>
              <w:t>1.综合养老服务中心（颐康中心）服务</w:t>
            </w:r>
          </w:p>
          <w:p>
            <w:pPr>
              <w:ind w:firstLine="420"/>
              <w:jc w:val="left"/>
            </w:pPr>
            <w:r>
              <w:rPr>
                <w:sz w:val="21"/>
              </w:rPr>
              <w:t>成交供应商承办均禾街综合养老服务中心（颐康中心）项目，应当按照规定向老年人提供下列服务：</w:t>
            </w:r>
          </w:p>
          <w:p>
            <w:pPr>
              <w:ind w:firstLine="420"/>
              <w:jc w:val="left"/>
            </w:pPr>
            <w:r>
              <w:rPr>
                <w:sz w:val="21"/>
              </w:rPr>
              <w:t>1.1 全托（含短期照料）、日托、上门服务；</w:t>
            </w:r>
          </w:p>
          <w:p>
            <w:pPr>
              <w:ind w:firstLine="420"/>
              <w:jc w:val="left"/>
            </w:pPr>
            <w:r>
              <w:rPr>
                <w:sz w:val="21"/>
              </w:rPr>
              <w:t>1.2 为有需要的老年人重点是失能（失智）老年人提供覆盖全生命周期的一站式和到户式综合养老服务；</w:t>
            </w:r>
          </w:p>
          <w:p>
            <w:pPr>
              <w:ind w:firstLine="420"/>
              <w:jc w:val="left"/>
            </w:pPr>
            <w:r>
              <w:rPr>
                <w:sz w:val="21"/>
              </w:rPr>
              <w:t>1.3 积极探索推进在村居设立服务站点（颐康服务站）或统一运营街（镇）设立的颐康服务站，达到《广州市村居颐康服务站建设改造验收表》要求，且通过市、区、镇组织的验收，将服务延伸至社区和家庭；</w:t>
            </w:r>
          </w:p>
          <w:p>
            <w:pPr>
              <w:ind w:firstLine="420"/>
              <w:jc w:val="left"/>
            </w:pPr>
            <w:r>
              <w:rPr>
                <w:sz w:val="21"/>
              </w:rPr>
              <w:t>1.4</w:t>
            </w:r>
            <w:r>
              <w:rPr>
                <w:sz w:val="21"/>
              </w:rPr>
              <w:t>街道</w:t>
            </w:r>
            <w:r>
              <w:rPr>
                <w:sz w:val="21"/>
              </w:rPr>
              <w:t>综合养老服务中心（颐康中心）根据辖区老年人多元化、个性化的服务需求，提供全托、康复护理、生活照料、助餐配餐、医疗保健、日间托管、临时托养（喘息服务）、精神慰藉、辅具租赁、家居改造、文化娱乐、紧急援助等覆盖老年人全生命周期的各项综合养老服务项目（不设临终关怀服务）。重点包括：</w:t>
            </w:r>
          </w:p>
          <w:p>
            <w:pPr>
              <w:ind w:firstLine="420"/>
              <w:jc w:val="left"/>
            </w:pPr>
            <w:r>
              <w:rPr>
                <w:sz w:val="21"/>
              </w:rPr>
              <w:t>1.4.1 助餐配餐服务。统筹设置养老机构食堂和长者饭堂，为全托、日托和周边社区老年人提供助餐配餐服务；</w:t>
            </w:r>
          </w:p>
          <w:p>
            <w:pPr>
              <w:ind w:firstLine="420"/>
              <w:jc w:val="left"/>
            </w:pPr>
            <w:r>
              <w:rPr>
                <w:sz w:val="21"/>
              </w:rPr>
              <w:t>1.4.2 医康养结合服务。设置独立法人的护理站或与周边护理站合作，提供基础护理、专科护理、消毒隔离技术指导、营养指导、社区康复指导、健康宣教和其他护理服务；设立医务室或与周边医疗机构合作，提供健康管理、转诊转介、预防保健等基本服务，依法提供上门和对外服务；为医疗机构术后康复期内的老年人提供康复照护服务；有条件的，应当设置认知症照护专区；</w:t>
            </w:r>
          </w:p>
          <w:p>
            <w:pPr>
              <w:ind w:firstLine="420"/>
              <w:jc w:val="left"/>
            </w:pPr>
            <w:r>
              <w:rPr>
                <w:sz w:val="21"/>
              </w:rPr>
              <w:t>1.4.3 家政养老服务。强化与羊城家政基层服务站功能互补、服务转介，为全托、日托和周边社区居家老年人提供生活照料、家居清洁、衣被清洗、代购、助医、助药、助浴、陪护等养老服务，拓展服务项目，优化服务内容，提升服务质量；</w:t>
            </w:r>
          </w:p>
          <w:p>
            <w:pPr>
              <w:ind w:firstLine="420"/>
              <w:jc w:val="left"/>
            </w:pPr>
            <w:r>
              <w:rPr>
                <w:sz w:val="21"/>
              </w:rPr>
              <w:t>1.</w:t>
            </w:r>
            <w:r>
              <w:rPr>
                <w:sz w:val="21"/>
              </w:rPr>
              <w:t>4.4</w:t>
            </w:r>
            <w:r>
              <w:rPr>
                <w:sz w:val="21"/>
              </w:rPr>
              <w:t xml:space="preserve"> </w:t>
            </w:r>
            <w:r>
              <w:rPr>
                <w:sz w:val="21"/>
              </w:rPr>
              <w:t>居家适老化服务。以满足老年人居家生活照料、起居行走、康复护理等需求为核心，为有需求的居家老年人进行适老化和智能化家居改造，改善居家生活照护条件，增强居家生活设施设备安全性、便利性和舒适性，提升居家养老服务品质；</w:t>
            </w:r>
          </w:p>
          <w:p>
            <w:pPr>
              <w:ind w:firstLine="420"/>
              <w:jc w:val="left"/>
            </w:pPr>
            <w:r>
              <w:rPr>
                <w:sz w:val="21"/>
              </w:rPr>
              <w:t>1.</w:t>
            </w:r>
            <w:r>
              <w:rPr>
                <w:sz w:val="21"/>
              </w:rPr>
              <w:t>4.5</w:t>
            </w:r>
            <w:r>
              <w:rPr>
                <w:sz w:val="21"/>
              </w:rPr>
              <w:t xml:space="preserve"> </w:t>
            </w:r>
            <w:r>
              <w:rPr>
                <w:sz w:val="21"/>
              </w:rPr>
              <w:t>家庭养老床位。为有专业养老服务需求的居家老年人进行必要的适老化和智能化家居改造，纳入每天</w:t>
            </w:r>
            <w:r>
              <w:rPr>
                <w:sz w:val="21"/>
              </w:rPr>
              <w:t>24小时动态管理和远程监护，并根据需求提供紧急援助、生活照料、康复护理等与床位相配套的全天候、全方位居家照顾服务；</w:t>
            </w:r>
          </w:p>
          <w:p>
            <w:pPr>
              <w:ind w:firstLine="420"/>
              <w:jc w:val="left"/>
            </w:pPr>
            <w:r>
              <w:rPr>
                <w:sz w:val="21"/>
              </w:rPr>
              <w:t>1.</w:t>
            </w:r>
            <w:r>
              <w:rPr>
                <w:sz w:val="21"/>
              </w:rPr>
              <w:t>4.6</w:t>
            </w:r>
            <w:r>
              <w:rPr>
                <w:sz w:val="21"/>
              </w:rPr>
              <w:t xml:space="preserve"> </w:t>
            </w:r>
            <w:r>
              <w:rPr>
                <w:sz w:val="21"/>
              </w:rPr>
              <w:t>智慧养老服务。在街道综合养老服务中心（颐康中心）和社区颐康服务站设置为老服务综合信息平台电子设备终端，实现咨询、申请受理、资源调配、质量监管等功能。建立</w:t>
            </w:r>
            <w:r>
              <w:rPr>
                <w:sz w:val="21"/>
              </w:rPr>
              <w:t>“平安通”运营机构与街综合养老服务中心（颐康中心）服务转介机制，为老年人提供“线上+线下”联动的专业化智慧养老服务。加强智能机器人、康复辅具等智能化养老产品用品运用，提升科技含量。依托市为老服务综合平台、市居家综合养老信息服务平台及互联网、物联网等网络手段和电子设备终端，为老人提供紧急救援、安全防范、电子围栏、烟雾报警、跌倒报警、远程照护等智慧养老服务；</w:t>
            </w:r>
          </w:p>
          <w:p>
            <w:pPr>
              <w:ind w:firstLine="420"/>
              <w:jc w:val="left"/>
            </w:pPr>
            <w:r>
              <w:rPr>
                <w:sz w:val="21"/>
              </w:rPr>
              <w:t>1.</w:t>
            </w:r>
            <w:r>
              <w:rPr>
                <w:sz w:val="21"/>
              </w:rPr>
              <w:t>4.7</w:t>
            </w:r>
            <w:r>
              <w:rPr>
                <w:sz w:val="21"/>
              </w:rPr>
              <w:t xml:space="preserve"> </w:t>
            </w:r>
            <w:r>
              <w:rPr>
                <w:sz w:val="21"/>
              </w:rPr>
              <w:t>统筹指导。统筹整合辖区内各类为老服务资源，为颐康服务站等村居养老服务设施提供业务指导、人员培训、资源调配等服务；为失能老年人家属开展养老照护培训，为老年人开展居家安防等培训；定期开展护老者和老年人培训，动员社区开展邻里关怀、志愿服务，提升家庭养老功能；</w:t>
            </w:r>
          </w:p>
          <w:p>
            <w:pPr>
              <w:ind w:firstLine="420"/>
              <w:jc w:val="left"/>
            </w:pPr>
            <w:r>
              <w:rPr>
                <w:sz w:val="21"/>
              </w:rPr>
              <w:t>1.</w:t>
            </w:r>
            <w:r>
              <w:rPr>
                <w:sz w:val="21"/>
              </w:rPr>
              <w:t>4.8</w:t>
            </w:r>
            <w:r>
              <w:rPr>
                <w:sz w:val="21"/>
              </w:rPr>
              <w:t xml:space="preserve"> </w:t>
            </w:r>
            <w:r>
              <w:rPr>
                <w:sz w:val="21"/>
              </w:rPr>
              <w:t>供需对接。设置咨询服务台和</w:t>
            </w:r>
            <w:r>
              <w:rPr>
                <w:sz w:val="21"/>
              </w:rPr>
              <w:t>“养老服务向导”，为辖区老年人提供养老政策咨询、服务查询、办事指引、方案制定、服务转介等服务，发挥供需对接、服务引导等作用；</w:t>
            </w:r>
          </w:p>
          <w:p>
            <w:pPr>
              <w:ind w:firstLine="420"/>
              <w:jc w:val="left"/>
            </w:pPr>
            <w:r>
              <w:rPr>
                <w:sz w:val="21"/>
              </w:rPr>
              <w:t>1.</w:t>
            </w:r>
            <w:r>
              <w:rPr>
                <w:sz w:val="21"/>
              </w:rPr>
              <w:t>4.9</w:t>
            </w:r>
            <w:r>
              <w:rPr>
                <w:sz w:val="21"/>
              </w:rPr>
              <w:t xml:space="preserve"> </w:t>
            </w:r>
            <w:r>
              <w:rPr>
                <w:sz w:val="21"/>
              </w:rPr>
              <w:t>提供辅具租赁服务。向社区老年人展示推广养老辅具等产品用品，并提供租赁服务；</w:t>
            </w:r>
          </w:p>
          <w:p>
            <w:pPr>
              <w:ind w:firstLine="420"/>
              <w:jc w:val="left"/>
            </w:pPr>
            <w:r>
              <w:rPr>
                <w:sz w:val="21"/>
              </w:rPr>
              <w:t>1.</w:t>
            </w:r>
            <w:r>
              <w:rPr>
                <w:sz w:val="21"/>
              </w:rPr>
              <w:t>5</w:t>
            </w:r>
            <w:r>
              <w:rPr>
                <w:sz w:val="21"/>
              </w:rPr>
              <w:t xml:space="preserve"> </w:t>
            </w:r>
            <w:r>
              <w:rPr>
                <w:sz w:val="21"/>
              </w:rPr>
              <w:t>政府或者上级部门对于项目服务形式、内容、指标要求等有调整的，成交供应商须按要求落实执行。</w:t>
            </w:r>
          </w:p>
          <w:p>
            <w:r>
              <w:rPr>
                <w:sz w:val="21"/>
              </w:rPr>
              <w:t>2.街道级综合养老服务中心（颐康中心）至少配备5名全职（专职）工作人员。各社区（村）级颐康服务站需配备至少1名养老向导员，保障开放时间。</w:t>
            </w:r>
          </w:p>
          <w:p>
            <w:r>
              <w:rPr>
                <w:sz w:val="21"/>
              </w:rPr>
              <w:t>3.社区（村）级颐康服务站开展养老服务应符合国家、省、市居家社区养老服务相关政策规定及服务标准。开放时间为工作日，每天不少于6个小时。每月制定并发布活动安排，结合送餐上门、平安通、居家护理等服务对特殊困难老年人开展定期探访。每年组织老年人集体活动不少于6次,每次活动不少于20人参加。大力开展为老志愿服务，成立一支互助养老志愿服务队，每年组织志愿者上门服务或在站点活动10次以上，服务时数不少于200小时，建立“公益时间”志愿服务站点。每个颐康服务站须设立长者饭堂功能，并按照相关规定及验收标准，配置应有设施。其他未尽事宜，参照《广州市民政局关于进一步明确村居颐康服务站建设管理有关事项的通知》。</w:t>
            </w:r>
          </w:p>
          <w:p>
            <w:pPr>
              <w:ind w:firstLine="420"/>
              <w:jc w:val="left"/>
            </w:pPr>
            <w:r>
              <w:rPr>
                <w:sz w:val="21"/>
              </w:rPr>
              <w:t>4.街道</w:t>
            </w:r>
            <w:r>
              <w:rPr>
                <w:sz w:val="21"/>
              </w:rPr>
              <w:t>综合养老服务中心（颐康中心）、各社区（村）级颐康服务站、长者饭堂的消防安全等定期检查、维护由成交供应商负责。（服务设施包括综合养老服务中心（颐康中心）平台、各社区（村）颐康服务站、长者饭堂产生的水、电、网络、物业管理、垃圾处理、因服务所需设施设备的购置及维护等所有费用由成交供应商承担。）</w:t>
            </w:r>
          </w:p>
          <w:p>
            <w:pPr>
              <w:ind w:firstLine="420"/>
            </w:pPr>
            <w:r>
              <w:rPr>
                <w:sz w:val="21"/>
              </w:rPr>
              <w:t>5.社区养老服务设施100%配备康复辅助器具，并提供专业指导和租赁服务。</w:t>
            </w:r>
          </w:p>
          <w:p>
            <w:pPr>
              <w:ind w:firstLine="420"/>
            </w:pPr>
            <w:r>
              <w:rPr>
                <w:sz w:val="21"/>
              </w:rPr>
              <w:t>6.已建有</w:t>
            </w:r>
            <w:r>
              <w:rPr>
                <w:sz w:val="21"/>
              </w:rPr>
              <w:t>一</w:t>
            </w:r>
            <w:r>
              <w:rPr>
                <w:sz w:val="21"/>
              </w:rPr>
              <w:t>个采取自建厨房模式的长者饭堂。</w:t>
            </w:r>
            <w:r>
              <w:rPr>
                <w:sz w:val="21"/>
              </w:rPr>
              <w:t>60周岁及以上老年人享受配餐服务</w:t>
            </w:r>
            <w:r>
              <w:rPr>
                <w:sz w:val="21"/>
              </w:rPr>
              <w:t>人次</w:t>
            </w:r>
            <w:r>
              <w:rPr>
                <w:sz w:val="21"/>
              </w:rPr>
              <w:t>≥</w:t>
            </w:r>
            <w:r>
              <w:rPr>
                <w:sz w:val="21"/>
              </w:rPr>
              <w:t>10000</w:t>
            </w:r>
            <w:r>
              <w:rPr>
                <w:sz w:val="21"/>
              </w:rPr>
              <w:t>。</w:t>
            </w:r>
          </w:p>
          <w:p>
            <w:pPr>
              <w:ind w:firstLine="422"/>
              <w:jc w:val="center"/>
            </w:pPr>
            <w:r>
              <w:rPr>
                <w:b/>
                <w:sz w:val="21"/>
              </w:rPr>
              <w:t>表</w:t>
            </w:r>
            <w:r>
              <w:rPr>
                <w:b/>
                <w:sz w:val="21"/>
              </w:rPr>
              <w:t>4 工作需求指标表</w:t>
            </w:r>
          </w:p>
          <w:tbl>
            <w:tblPr>
              <w:tblBorders>
                <w:top w:val="none" w:color="000000" w:sz="4"/>
                <w:left w:val="none" w:color="000000" w:sz="4"/>
                <w:bottom w:val="none" w:color="000000" w:sz="4"/>
                <w:right w:val="none" w:color="000000" w:sz="4"/>
                <w:insideH w:val="none"/>
                <w:insideV w:val="none"/>
              </w:tblBorders>
            </w:tblPr>
            <w:tblGrid>
              <w:gridCol w:w="421"/>
              <w:gridCol w:w="591"/>
              <w:gridCol w:w="522"/>
              <w:gridCol w:w="2456"/>
              <w:gridCol w:w="423"/>
              <w:gridCol w:w="591"/>
              <w:gridCol w:w="591"/>
            </w:tblGrid>
            <w:tr>
              <w:tc>
                <w:tcPr>
                  <w:tcW w:type="dxa" w:w="421"/>
                  <w:tcBorders>
                    <w:top w:val="single" w:color="000000" w:sz="4"/>
                    <w:left w:val="single" w:color="000000" w:sz="4"/>
                    <w:bottom w:val="single" w:color="000000" w:sz="4"/>
                    <w:right w:val="single" w:color="000000" w:sz="4"/>
                  </w:tcBorders>
                  <w:vAlign w:val="top"/>
                </w:tcPr>
                <w:p>
                  <w:pPr>
                    <w:jc w:val="right"/>
                  </w:pPr>
                  <w:r>
                    <w:rPr>
                      <w:b/>
                      <w:sz w:val="21"/>
                    </w:rPr>
                    <w:t>序号</w:t>
                  </w:r>
                </w:p>
              </w:tc>
              <w:tc>
                <w:tcPr>
                  <w:tcW w:type="dxa" w:w="591"/>
                  <w:tcBorders>
                    <w:top w:val="single" w:color="000000" w:sz="4"/>
                    <w:left w:val="single" w:color="000000" w:sz="4"/>
                    <w:bottom w:val="single" w:color="000000" w:sz="4"/>
                    <w:right w:val="single" w:color="000000" w:sz="4"/>
                  </w:tcBorders>
                  <w:vAlign w:val="top"/>
                </w:tcPr>
                <w:p>
                  <w:pPr>
                    <w:jc w:val="center"/>
                  </w:pPr>
                  <w:r>
                    <w:rPr>
                      <w:b/>
                      <w:sz w:val="21"/>
                    </w:rPr>
                    <w:t>服务类别</w:t>
                  </w:r>
                </w:p>
              </w:tc>
              <w:tc>
                <w:tcPr>
                  <w:tcW w:type="dxa" w:w="522"/>
                  <w:tcBorders>
                    <w:top w:val="single" w:color="000000" w:sz="4"/>
                    <w:left w:val="single" w:color="000000" w:sz="4"/>
                    <w:bottom w:val="single" w:color="000000" w:sz="4"/>
                    <w:right w:val="single" w:color="000000" w:sz="4"/>
                  </w:tcBorders>
                  <w:vAlign w:val="top"/>
                </w:tcPr>
                <w:p>
                  <w:pPr>
                    <w:jc w:val="center"/>
                  </w:pPr>
                  <w:r>
                    <w:rPr>
                      <w:b/>
                      <w:sz w:val="21"/>
                    </w:rPr>
                    <w:t>服务项目</w:t>
                  </w:r>
                </w:p>
              </w:tc>
              <w:tc>
                <w:tcPr>
                  <w:tcW w:type="dxa" w:w="2456"/>
                  <w:tcBorders>
                    <w:top w:val="single" w:color="000000" w:sz="4"/>
                    <w:left w:val="single" w:color="000000" w:sz="4"/>
                    <w:bottom w:val="single" w:color="000000" w:sz="4"/>
                    <w:right w:val="single" w:color="000000" w:sz="4"/>
                  </w:tcBorders>
                  <w:vAlign w:val="top"/>
                </w:tcPr>
                <w:p>
                  <w:pPr>
                    <w:jc w:val="center"/>
                  </w:pPr>
                  <w:r>
                    <w:rPr>
                      <w:b/>
                      <w:sz w:val="21"/>
                    </w:rPr>
                    <w:t>服务内容</w:t>
                  </w:r>
                </w:p>
              </w:tc>
              <w:tc>
                <w:tcPr>
                  <w:tcW w:type="dxa" w:w="423"/>
                  <w:tcBorders>
                    <w:top w:val="single" w:color="000000" w:sz="4"/>
                    <w:left w:val="single" w:color="000000" w:sz="4"/>
                    <w:bottom w:val="single" w:color="000000" w:sz="4"/>
                    <w:right w:val="single" w:color="000000" w:sz="4"/>
                  </w:tcBorders>
                  <w:vAlign w:val="top"/>
                </w:tcPr>
                <w:p>
                  <w:pPr>
                    <w:jc w:val="center"/>
                  </w:pPr>
                  <w:r>
                    <w:rPr>
                      <w:b/>
                      <w:sz w:val="21"/>
                    </w:rPr>
                    <w:t>指标单位</w:t>
                  </w:r>
                </w:p>
              </w:tc>
              <w:tc>
                <w:tcPr>
                  <w:tcW w:type="dxa" w:w="591"/>
                  <w:tcBorders>
                    <w:top w:val="single" w:color="000000" w:sz="4"/>
                    <w:left w:val="single" w:color="000000" w:sz="4"/>
                    <w:bottom w:val="single" w:color="000000" w:sz="4"/>
                    <w:right w:val="single" w:color="000000" w:sz="4"/>
                  </w:tcBorders>
                  <w:vAlign w:val="top"/>
                </w:tcPr>
                <w:p>
                  <w:pPr>
                    <w:jc w:val="center"/>
                  </w:pPr>
                  <w:r>
                    <w:rPr>
                      <w:b/>
                      <w:sz w:val="21"/>
                    </w:rPr>
                    <w:t>最低量化指标</w:t>
                  </w:r>
                </w:p>
              </w:tc>
              <w:tc>
                <w:tcPr>
                  <w:tcW w:type="dxa" w:w="591"/>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421"/>
                  <w:vMerge w:val="restart"/>
                  <w:tcBorders>
                    <w:top w:val="none" w:color="000000" w:sz="4"/>
                    <w:left w:val="single" w:color="000000" w:sz="4"/>
                    <w:bottom w:val="single" w:color="000000" w:sz="4"/>
                    <w:right w:val="single" w:color="000000" w:sz="4"/>
                  </w:tcBorders>
                  <w:vAlign w:val="top"/>
                </w:tcPr>
                <w:p>
                  <w:pPr>
                    <w:jc w:val="right"/>
                  </w:pPr>
                  <w:r>
                    <w:rPr>
                      <w:color w:val="000000"/>
                      <w:sz w:val="21"/>
                    </w:rPr>
                    <w:t>1</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color w:val="000000"/>
                      <w:sz w:val="21"/>
                    </w:rPr>
                    <w:t>生活照料</w:t>
                  </w:r>
                </w:p>
                <w:p>
                  <w:pPr>
                    <w:jc w:val="center"/>
                  </w:pPr>
                  <w:r>
                    <w:rPr>
                      <w:color w:val="000000"/>
                      <w:sz w:val="21"/>
                    </w:rPr>
                    <w:t>（通用服务）</w:t>
                  </w:r>
                </w:p>
              </w:tc>
              <w:tc>
                <w:tcPr>
                  <w:tcW w:type="dxa" w:w="522"/>
                  <w:tcBorders>
                    <w:top w:val="none" w:color="000000" w:sz="4"/>
                    <w:left w:val="single" w:color="000000" w:sz="4"/>
                    <w:bottom w:val="single" w:color="000000" w:sz="4"/>
                    <w:right w:val="single" w:color="000000" w:sz="4"/>
                  </w:tcBorders>
                  <w:vAlign w:val="top"/>
                </w:tcPr>
                <w:p>
                  <w:pPr>
                    <w:jc w:val="center"/>
                  </w:pPr>
                  <w:r>
                    <w:rPr>
                      <w:color w:val="000000"/>
                      <w:sz w:val="21"/>
                    </w:rPr>
                    <w:t>助洁服务</w:t>
                  </w:r>
                </w:p>
              </w:tc>
              <w:tc>
                <w:tcPr>
                  <w:tcW w:type="dxa" w:w="2456"/>
                  <w:tcBorders>
                    <w:top w:val="none" w:color="000000" w:sz="4"/>
                    <w:left w:val="single" w:color="000000" w:sz="4"/>
                    <w:bottom w:val="single" w:color="000000" w:sz="4"/>
                    <w:right w:val="single" w:color="000000" w:sz="4"/>
                  </w:tcBorders>
                  <w:vAlign w:val="top"/>
                </w:tcPr>
                <w:p>
                  <w:pPr>
                    <w:jc w:val="left"/>
                  </w:pPr>
                  <w:r>
                    <w:rPr>
                      <w:color w:val="000000"/>
                      <w:sz w:val="21"/>
                    </w:rPr>
                    <w:t>1.居家清洁：对客厅、卧室、厨房、洗浴间、卫生间等居家环境进行清扫、清洁；</w:t>
                  </w:r>
                </w:p>
                <w:p>
                  <w:pPr>
                    <w:jc w:val="left"/>
                  </w:pPr>
                  <w:r>
                    <w:rPr>
                      <w:color w:val="000000"/>
                      <w:sz w:val="21"/>
                    </w:rPr>
                    <w:t>2.物品整理：整理床铺（铺床、叠被子）及其他物品。</w:t>
                  </w:r>
                </w:p>
              </w:tc>
              <w:tc>
                <w:tcPr>
                  <w:tcW w:type="dxa" w:w="423"/>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color w:val="000000"/>
                      <w:sz w:val="21"/>
                    </w:rPr>
                    <w:t>1040</w:t>
                  </w:r>
                </w:p>
              </w:tc>
              <w:tc>
                <w:tcPr>
                  <w:tcW w:type="dxa" w:w="591"/>
                  <w:vMerge w:val="restart"/>
                  <w:tcBorders>
                    <w:top w:val="none" w:color="000000" w:sz="4"/>
                    <w:left w:val="single" w:color="000000" w:sz="4"/>
                    <w:bottom w:val="single" w:color="000000" w:sz="4"/>
                    <w:right w:val="single" w:color="000000" w:sz="4"/>
                  </w:tcBorders>
                  <w:vAlign w:val="top"/>
                </w:tcPr>
                <w:p>
                  <w:pPr>
                    <w:jc w:val="left"/>
                  </w:pPr>
                  <w:r>
                    <w:rPr>
                      <w:sz w:val="21"/>
                    </w:rPr>
                    <w:t>可由养老护理员或家政服务员提供服务。</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color w:val="000000"/>
                      <w:sz w:val="21"/>
                    </w:rPr>
                    <w:t>洗涤服务</w:t>
                  </w:r>
                </w:p>
              </w:tc>
              <w:tc>
                <w:tcPr>
                  <w:tcW w:type="dxa" w:w="2456"/>
                  <w:tcBorders>
                    <w:top w:val="none" w:color="000000" w:sz="4"/>
                    <w:left w:val="single" w:color="000000" w:sz="4"/>
                    <w:bottom w:val="single" w:color="000000" w:sz="4"/>
                    <w:right w:val="single" w:color="000000" w:sz="4"/>
                  </w:tcBorders>
                  <w:vAlign w:val="top"/>
                </w:tcPr>
                <w:p>
                  <w:pPr>
                    <w:jc w:val="left"/>
                  </w:pPr>
                  <w:r>
                    <w:rPr>
                      <w:color w:val="000000"/>
                      <w:sz w:val="21"/>
                    </w:rPr>
                    <w:t>清洗与晾晒衣物、床上用品（床单、被套、枕套）、窗帘、毛巾等。洗涤方式分为上门洗涤和集中送洗，大件、贵重衣物可采用集中送洗方式。</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color w:val="000000"/>
                      <w:sz w:val="21"/>
                    </w:rPr>
                    <w:t>陪伴就医</w:t>
                  </w:r>
                </w:p>
              </w:tc>
              <w:tc>
                <w:tcPr>
                  <w:tcW w:type="dxa" w:w="2456"/>
                  <w:tcBorders>
                    <w:top w:val="none" w:color="000000" w:sz="4"/>
                    <w:left w:val="single" w:color="000000" w:sz="4"/>
                    <w:bottom w:val="single" w:color="000000" w:sz="4"/>
                    <w:right w:val="single" w:color="000000" w:sz="4"/>
                  </w:tcBorders>
                  <w:vAlign w:val="top"/>
                </w:tcPr>
                <w:p>
                  <w:pPr>
                    <w:jc w:val="left"/>
                  </w:pPr>
                  <w:r>
                    <w:rPr>
                      <w:color w:val="000000"/>
                      <w:sz w:val="21"/>
                    </w:rPr>
                    <w:t>代预约挂号</w:t>
                  </w:r>
                  <w:r>
                    <w:rPr>
                      <w:color w:val="000000"/>
                      <w:sz w:val="21"/>
                    </w:rPr>
                    <w:t>、陪诊、协助与医生沟通、取药、缴费、陪同往返、协助出行等。</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color w:val="000000"/>
                      <w:sz w:val="21"/>
                    </w:rPr>
                    <w:t>陪同外出</w:t>
                  </w:r>
                </w:p>
              </w:tc>
              <w:tc>
                <w:tcPr>
                  <w:tcW w:type="dxa" w:w="2456"/>
                  <w:tcBorders>
                    <w:top w:val="none" w:color="000000" w:sz="4"/>
                    <w:left w:val="single" w:color="000000" w:sz="4"/>
                    <w:bottom w:val="single" w:color="000000" w:sz="4"/>
                    <w:right w:val="single" w:color="000000" w:sz="4"/>
                  </w:tcBorders>
                  <w:vAlign w:val="top"/>
                </w:tcPr>
                <w:p>
                  <w:pPr>
                    <w:jc w:val="left"/>
                  </w:pPr>
                  <w:r>
                    <w:rPr>
                      <w:color w:val="000000"/>
                      <w:sz w:val="21"/>
                    </w:rPr>
                    <w:t>户外活动陪伴，陪护行动不便的服务对象到户外活动、包括（但不限于）参加社区活动、散步、购物等。</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color w:val="000000"/>
                      <w:sz w:val="21"/>
                    </w:rPr>
                    <w:t>上门做餐</w:t>
                  </w:r>
                </w:p>
              </w:tc>
              <w:tc>
                <w:tcPr>
                  <w:tcW w:type="dxa" w:w="2456"/>
                  <w:tcBorders>
                    <w:top w:val="none" w:color="000000" w:sz="4"/>
                    <w:left w:val="single" w:color="000000" w:sz="4"/>
                    <w:bottom w:val="single" w:color="000000" w:sz="4"/>
                    <w:right w:val="single" w:color="000000" w:sz="4"/>
                  </w:tcBorders>
                  <w:vAlign w:val="top"/>
                </w:tcPr>
                <w:p>
                  <w:pPr>
                    <w:jc w:val="left"/>
                  </w:pPr>
                  <w:r>
                    <w:rPr>
                      <w:color w:val="000000"/>
                      <w:sz w:val="21"/>
                    </w:rPr>
                    <w:t>代买食材、清洗烹饪、协助进食、餐后卫生等。</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color w:val="000000"/>
                      <w:sz w:val="21"/>
                    </w:rPr>
                    <w:t>代办服务</w:t>
                  </w:r>
                </w:p>
              </w:tc>
              <w:tc>
                <w:tcPr>
                  <w:tcW w:type="dxa" w:w="2456"/>
                  <w:tcBorders>
                    <w:top w:val="none" w:color="000000" w:sz="4"/>
                    <w:left w:val="single" w:color="000000" w:sz="4"/>
                    <w:bottom w:val="single" w:color="000000" w:sz="4"/>
                    <w:right w:val="single" w:color="000000" w:sz="4"/>
                  </w:tcBorders>
                  <w:vAlign w:val="top"/>
                </w:tcPr>
                <w:p>
                  <w:pPr>
                    <w:jc w:val="left"/>
                  </w:pPr>
                  <w:r>
                    <w:rPr>
                      <w:color w:val="000000"/>
                      <w:sz w:val="21"/>
                    </w:rPr>
                    <w:t>代预约挂号、</w:t>
                  </w:r>
                  <w:r>
                    <w:rPr>
                      <w:color w:val="000000"/>
                      <w:sz w:val="21"/>
                    </w:rPr>
                    <w:t>银行打薄、排队；代缴纳水电、煤气、话费等；代收寄快递；代领物品；代送物品；代买生活必需品；协助报修设备及物品；协助申请相关事务等。</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color w:val="000000"/>
                      <w:sz w:val="21"/>
                    </w:rPr>
                    <w:t>日常提示</w:t>
                  </w:r>
                </w:p>
              </w:tc>
              <w:tc>
                <w:tcPr>
                  <w:tcW w:type="dxa" w:w="2456"/>
                  <w:tcBorders>
                    <w:top w:val="none" w:color="000000" w:sz="4"/>
                    <w:left w:val="single" w:color="000000" w:sz="4"/>
                    <w:bottom w:val="single" w:color="000000" w:sz="4"/>
                    <w:right w:val="single" w:color="000000" w:sz="4"/>
                  </w:tcBorders>
                  <w:vAlign w:val="top"/>
                </w:tcPr>
                <w:p>
                  <w:pPr>
                    <w:jc w:val="left"/>
                  </w:pPr>
                  <w:r>
                    <w:rPr>
                      <w:color w:val="000000"/>
                      <w:sz w:val="21"/>
                    </w:rPr>
                    <w:t>根据医嘱或家属要求按时提醒老年人吃药、取药，提醒就医或办理相关事务。</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color w:val="000000"/>
                      <w:sz w:val="21"/>
                    </w:rPr>
                    <w:t>情感关怀</w:t>
                  </w:r>
                </w:p>
              </w:tc>
              <w:tc>
                <w:tcPr>
                  <w:tcW w:type="dxa" w:w="2456"/>
                  <w:tcBorders>
                    <w:top w:val="none" w:color="000000" w:sz="4"/>
                    <w:left w:val="single" w:color="000000" w:sz="4"/>
                    <w:bottom w:val="single" w:color="000000" w:sz="4"/>
                    <w:right w:val="single" w:color="000000" w:sz="4"/>
                  </w:tcBorders>
                  <w:vAlign w:val="top"/>
                </w:tcPr>
                <w:p>
                  <w:pPr>
                    <w:jc w:val="left"/>
                  </w:pPr>
                  <w:r>
                    <w:rPr>
                      <w:color w:val="000000"/>
                      <w:sz w:val="21"/>
                    </w:rPr>
                    <w:t>陪同聊天、定期探访（上门</w:t>
                  </w:r>
                  <w:r>
                    <w:rPr>
                      <w:color w:val="000000"/>
                      <w:sz w:val="21"/>
                    </w:rPr>
                    <w:t>/电访）</w:t>
                  </w:r>
                  <w:r>
                    <w:rPr>
                      <w:color w:val="000000"/>
                      <w:sz w:val="21"/>
                    </w:rPr>
                    <w:t>。</w:t>
                  </w:r>
                </w:p>
              </w:tc>
            </w:tr>
            <w:tr>
              <w:tc>
                <w:tcPr>
                  <w:tcW w:type="dxa" w:w="421"/>
                  <w:vMerge/>
                  <w:tcBorders>
                    <w:top w:val="none" w:color="000000" w:sz="4"/>
                    <w:left w:val="single" w:color="000000" w:sz="4"/>
                    <w:bottom w:val="single" w:color="000000" w:sz="4"/>
                    <w:right w:val="single" w:color="000000" w:sz="4"/>
                  </w:tcBorders>
                </w:tcP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生活照料</w:t>
                  </w:r>
                </w:p>
                <w:p>
                  <w:pPr>
                    <w:jc w:val="center"/>
                  </w:pPr>
                  <w:r>
                    <w:rPr>
                      <w:sz w:val="21"/>
                    </w:rPr>
                    <w:t>（专业服务）</w:t>
                  </w:r>
                </w:p>
              </w:tc>
              <w:tc>
                <w:tcPr>
                  <w:tcW w:type="dxa" w:w="522"/>
                  <w:tcBorders>
                    <w:top w:val="none" w:color="000000" w:sz="4"/>
                    <w:left w:val="single" w:color="000000" w:sz="4"/>
                    <w:bottom w:val="single" w:color="000000" w:sz="4"/>
                    <w:right w:val="single" w:color="000000" w:sz="4"/>
                  </w:tcBorders>
                  <w:vAlign w:val="top"/>
                </w:tcPr>
                <w:p>
                  <w:pPr>
                    <w:jc w:val="center"/>
                  </w:pPr>
                  <w:r>
                    <w:rPr>
                      <w:sz w:val="21"/>
                    </w:rPr>
                    <w:t>个人护理</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1.皮肤外用药物涂擦；留置尿管护理；人工肛门便袋护理；口腔清洁；协助翻身；褥疮预防；叩背排痰等；</w:t>
                  </w:r>
                </w:p>
                <w:p>
                  <w:pPr>
                    <w:jc w:val="left"/>
                  </w:pPr>
                  <w:r>
                    <w:rPr>
                      <w:sz w:val="21"/>
                    </w:rPr>
                    <w:t>2.协助穿（脱）衣；洗脸；梳头；剪发；剃须；刷牙；漱口、洗手；洗足；会阴清洁；修剪指（趾）甲。</w:t>
                  </w:r>
                </w:p>
              </w:tc>
              <w:tc>
                <w:tcPr>
                  <w:tcW w:type="dxa" w:w="423"/>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338</w:t>
                  </w:r>
                </w:p>
              </w:tc>
              <w:tc>
                <w:tcPr>
                  <w:tcW w:type="dxa" w:w="591"/>
                  <w:vMerge w:val="restart"/>
                  <w:tcBorders>
                    <w:top w:val="none" w:color="000000" w:sz="4"/>
                    <w:left w:val="single" w:color="000000" w:sz="4"/>
                    <w:bottom w:val="single" w:color="000000" w:sz="4"/>
                    <w:right w:val="single" w:color="000000" w:sz="4"/>
                  </w:tcBorders>
                  <w:vAlign w:val="top"/>
                </w:tcPr>
                <w:p>
                  <w:pPr>
                    <w:jc w:val="left"/>
                  </w:pPr>
                  <w:r>
                    <w:rPr>
                      <w:sz w:val="21"/>
                    </w:rPr>
                    <w:t>由养老护理员、康复治疗师、护士等专业人员提供服务。</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转移护理</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协助床上移动；床上体位转换；轮椅转移；移动辅助器应用指导等。</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排泄护理</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协助排便；更换一次性尿裤；会阴护理；留置尿管护理；人工肛门便袋护理等。</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协助进餐</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喂食或帮助服务对象使用辅助器材进食，包括喂水、喂饭、鼻饲、喂药等。</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助浴服务</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洗头；洗澡（温水擦浴、沐浴）；床上浴、更换衣物</w:t>
                  </w:r>
                  <w:r>
                    <w:rPr>
                      <w:sz w:val="21"/>
                    </w:rPr>
                    <w:t>。</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助行服务</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协助服务对象行走、外出、散步，协助其使用助行器</w:t>
                  </w:r>
                  <w:r>
                    <w:rPr>
                      <w:sz w:val="21"/>
                    </w:rPr>
                    <w:t>/步行器移动。</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其他护理</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睡眠照顾（协助脱去衣裤就寝，盖被，定时翻身）；热水袋保暖；更换床上用品。</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日常提示</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根据医嘱或家属要求按时提醒老年人吃药、取药，提醒就医或办理相关事宜。</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情感关怀</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陪同聊天、定期探访（上门</w:t>
                  </w:r>
                  <w:r>
                    <w:rPr>
                      <w:sz w:val="21"/>
                    </w:rPr>
                    <w:t>/电访）</w:t>
                  </w:r>
                  <w:r>
                    <w:rPr>
                      <w:sz w:val="21"/>
                    </w:rPr>
                    <w:t>。</w:t>
                  </w:r>
                </w:p>
              </w:tc>
            </w:tr>
            <w:tr>
              <w:tc>
                <w:tcPr>
                  <w:tcW w:type="dxa" w:w="421"/>
                  <w:vMerge w:val="restart"/>
                  <w:tcBorders>
                    <w:top w:val="none" w:color="000000" w:sz="4"/>
                    <w:left w:val="single" w:color="000000" w:sz="4"/>
                    <w:bottom w:val="single" w:color="000000" w:sz="4"/>
                    <w:right w:val="single" w:color="000000" w:sz="4"/>
                  </w:tcBorders>
                  <w:vAlign w:val="top"/>
                </w:tcPr>
                <w:p>
                  <w:pPr>
                    <w:jc w:val="right"/>
                  </w:pPr>
                  <w:r>
                    <w:rPr>
                      <w:sz w:val="21"/>
                    </w:rPr>
                    <w:t>2</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助餐配餐</w:t>
                  </w:r>
                </w:p>
              </w:tc>
              <w:tc>
                <w:tcPr>
                  <w:tcW w:type="dxa" w:w="522"/>
                  <w:tcBorders>
                    <w:top w:val="none" w:color="000000" w:sz="4"/>
                    <w:left w:val="single" w:color="000000" w:sz="4"/>
                    <w:bottom w:val="single" w:color="000000" w:sz="4"/>
                    <w:right w:val="single" w:color="000000" w:sz="4"/>
                  </w:tcBorders>
                  <w:vAlign w:val="top"/>
                </w:tcPr>
                <w:p>
                  <w:pPr>
                    <w:jc w:val="center"/>
                  </w:pPr>
                  <w:r>
                    <w:rPr>
                      <w:sz w:val="21"/>
                    </w:rPr>
                    <w:t>集中用餐</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在社区长者饭堂集中用餐、打包外带</w:t>
                  </w:r>
                  <w:r>
                    <w:rPr>
                      <w:sz w:val="21"/>
                    </w:rPr>
                    <w:t>。</w:t>
                  </w:r>
                </w:p>
              </w:tc>
              <w:tc>
                <w:tcPr>
                  <w:tcW w:type="dxa" w:w="423"/>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2335</w:t>
                  </w:r>
                </w:p>
              </w:tc>
              <w:tc>
                <w:tcPr>
                  <w:tcW w:type="dxa" w:w="591"/>
                  <w:vMerge w:val="restart"/>
                  <w:tcBorders>
                    <w:top w:val="none" w:color="000000" w:sz="4"/>
                    <w:left w:val="single" w:color="000000" w:sz="4"/>
                    <w:bottom w:val="single" w:color="000000" w:sz="4"/>
                    <w:right w:val="single" w:color="000000" w:sz="4"/>
                  </w:tcBorders>
                  <w:vAlign w:val="top"/>
                </w:tcPr>
                <w:p>
                  <w:pPr>
                    <w:jc w:val="left"/>
                  </w:pPr>
                  <w:r>
                    <w:rPr>
                      <w:sz w:val="21"/>
                    </w:rPr>
                    <w:t>由助餐配餐点提供服务。</w:t>
                  </w:r>
                </w:p>
                <w:p>
                  <w:pPr>
                    <w:jc w:val="left"/>
                  </w:pP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上门送餐</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老年助餐配餐服务机构送餐到家服务；由居家服务员协助使用网络</w:t>
                  </w:r>
                  <w:r>
                    <w:rPr>
                      <w:sz w:val="21"/>
                    </w:rPr>
                    <w:t>订</w:t>
                  </w:r>
                  <w:r>
                    <w:rPr>
                      <w:sz w:val="21"/>
                    </w:rPr>
                    <w:t>餐；居家服务员代购餐后送餐上门。</w:t>
                  </w:r>
                </w:p>
              </w:tc>
            </w:tr>
            <w:tr>
              <w:tc>
                <w:tcPr>
                  <w:tcW w:type="dxa" w:w="421"/>
                  <w:vMerge w:val="restart"/>
                  <w:tcBorders>
                    <w:top w:val="none" w:color="000000" w:sz="4"/>
                    <w:left w:val="single" w:color="000000" w:sz="4"/>
                    <w:bottom w:val="single" w:color="000000" w:sz="4"/>
                    <w:right w:val="single" w:color="000000" w:sz="4"/>
                  </w:tcBorders>
                  <w:vAlign w:val="top"/>
                </w:tcPr>
                <w:p>
                  <w:pPr>
                    <w:jc w:val="right"/>
                  </w:pPr>
                  <w:r>
                    <w:rPr>
                      <w:sz w:val="21"/>
                    </w:rPr>
                    <w:t>3</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康复护理</w:t>
                  </w:r>
                </w:p>
              </w:tc>
              <w:tc>
                <w:tcPr>
                  <w:tcW w:type="dxa" w:w="522"/>
                  <w:tcBorders>
                    <w:top w:val="none" w:color="000000" w:sz="4"/>
                    <w:left w:val="single" w:color="000000" w:sz="4"/>
                    <w:bottom w:val="single" w:color="000000" w:sz="4"/>
                    <w:right w:val="single" w:color="000000" w:sz="4"/>
                  </w:tcBorders>
                  <w:vAlign w:val="top"/>
                </w:tcPr>
                <w:p>
                  <w:pPr>
                    <w:jc w:val="center"/>
                  </w:pPr>
                  <w:r>
                    <w:rPr>
                      <w:sz w:val="21"/>
                    </w:rPr>
                    <w:t>康复咨询</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健康咨询、康复咨询、康复指引</w:t>
                  </w:r>
                  <w:r>
                    <w:rPr>
                      <w:sz w:val="21"/>
                    </w:rPr>
                    <w:t>。</w:t>
                  </w:r>
                </w:p>
              </w:tc>
              <w:tc>
                <w:tcPr>
                  <w:tcW w:type="dxa" w:w="423"/>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3</w:t>
                  </w:r>
                  <w:r>
                    <w:rPr>
                      <w:sz w:val="21"/>
                    </w:rPr>
                    <w:t>00</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由康复治疗师、执业护士、执业医师提供服务。</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器材锻炼</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安全性高、操作简便、老人可自行开展的一般器材锻炼（如按摩椅、手指训练器、拼图、握力器等）。</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康复训练</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肢体类康复训练（如腰椎康复训练、关节放松训练等）、认知感官类训练（如记忆力训练、认知测试等）。</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康复理疗</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针灸理疗、穴位针灸、足部理疗、器械按摩、中风物理治疗、颈肩推拿、按摩推拿、拔罐刮痧</w:t>
                  </w:r>
                  <w:r>
                    <w:rPr>
                      <w:sz w:val="21"/>
                    </w:rPr>
                    <w:t>。</w:t>
                  </w:r>
                </w:p>
              </w:tc>
            </w:tr>
            <w:tr>
              <w:tc>
                <w:tcPr>
                  <w:tcW w:type="dxa" w:w="421"/>
                  <w:vMerge w:val="restart"/>
                  <w:tcBorders>
                    <w:top w:val="none" w:color="000000" w:sz="4"/>
                    <w:left w:val="single" w:color="000000" w:sz="4"/>
                    <w:bottom w:val="single" w:color="000000" w:sz="4"/>
                    <w:right w:val="single" w:color="000000" w:sz="4"/>
                  </w:tcBorders>
                  <w:vAlign w:val="top"/>
                </w:tcPr>
                <w:p>
                  <w:pPr>
                    <w:jc w:val="right"/>
                  </w:pPr>
                  <w:r>
                    <w:rPr>
                      <w:sz w:val="21"/>
                    </w:rPr>
                    <w:t>4</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医疗保健</w:t>
                  </w:r>
                </w:p>
              </w:tc>
              <w:tc>
                <w:tcPr>
                  <w:tcW w:type="dxa" w:w="522"/>
                  <w:tcBorders>
                    <w:top w:val="none" w:color="000000" w:sz="4"/>
                    <w:left w:val="single" w:color="000000" w:sz="4"/>
                    <w:bottom w:val="single" w:color="000000" w:sz="4"/>
                    <w:right w:val="single" w:color="000000" w:sz="4"/>
                  </w:tcBorders>
                  <w:vAlign w:val="top"/>
                </w:tcPr>
                <w:p>
                  <w:pPr>
                    <w:jc w:val="center"/>
                  </w:pPr>
                  <w:r>
                    <w:rPr>
                      <w:sz w:val="21"/>
                    </w:rPr>
                    <w:t>健康档案</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建立健康档案，进行病历记录、个人药物记录、体检记录等，定时跟踪健康情况。</w:t>
                  </w:r>
                </w:p>
              </w:tc>
              <w:tc>
                <w:tcPr>
                  <w:tcW w:type="dxa" w:w="423"/>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4</w:t>
                  </w:r>
                  <w:r>
                    <w:rPr>
                      <w:sz w:val="21"/>
                    </w:rPr>
                    <w:t>90</w:t>
                  </w:r>
                </w:p>
              </w:tc>
              <w:tc>
                <w:tcPr>
                  <w:tcW w:type="dxa" w:w="591"/>
                  <w:vMerge w:val="restart"/>
                  <w:tcBorders>
                    <w:top w:val="none" w:color="000000" w:sz="4"/>
                    <w:left w:val="single" w:color="000000" w:sz="4"/>
                    <w:bottom w:val="single" w:color="000000" w:sz="4"/>
                    <w:right w:val="single" w:color="000000" w:sz="4"/>
                  </w:tcBorders>
                  <w:vAlign w:val="top"/>
                </w:tcPr>
                <w:p>
                  <w:pPr>
                    <w:jc w:val="left"/>
                  </w:pPr>
                  <w:r>
                    <w:rPr>
                      <w:sz w:val="21"/>
                    </w:rPr>
                    <w:t>由专业医疗机构、医护人员提供。</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预防保健</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1.提供健康咨询、饮食咨询、营养指导、锻炼指导、活动指导服务</w:t>
                  </w:r>
                  <w:r>
                    <w:rPr>
                      <w:sz w:val="21"/>
                    </w:rPr>
                    <w:t>；</w:t>
                  </w:r>
                </w:p>
                <w:p>
                  <w:pPr>
                    <w:jc w:val="left"/>
                  </w:pPr>
                  <w:r>
                    <w:rPr>
                      <w:sz w:val="21"/>
                    </w:rPr>
                    <w:t>2.用药指导与用药观察，日常提示吃药、取药</w:t>
                  </w:r>
                  <w:r>
                    <w:rPr>
                      <w:sz w:val="21"/>
                    </w:rPr>
                    <w:t>；</w:t>
                  </w:r>
                </w:p>
                <w:p>
                  <w:pPr>
                    <w:jc w:val="left"/>
                  </w:pPr>
                  <w:r>
                    <w:rPr>
                      <w:sz w:val="21"/>
                    </w:rPr>
                    <w:t>3.健康宣教、保健知识讲座、保健学习及相关的小组活动</w:t>
                  </w:r>
                  <w:r>
                    <w:rPr>
                      <w:sz w:val="21"/>
                    </w:rPr>
                    <w:t>；</w:t>
                  </w:r>
                </w:p>
                <w:p>
                  <w:pPr>
                    <w:jc w:val="left"/>
                  </w:pPr>
                  <w:r>
                    <w:rPr>
                      <w:sz w:val="21"/>
                    </w:rPr>
                    <w:t>4.社区义诊</w:t>
                  </w:r>
                  <w:r>
                    <w:rPr>
                      <w:sz w:val="21"/>
                    </w:rPr>
                    <w:t>。</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基础监测</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常规生理指数监测，如体温、血压、心率、呼吸、血糖、体重等。</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健康体检</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常规体格检查、血常规、尿常规、大便常规、肝功能、肾功能、空腹血糖、血脂和心电图检测等项目。</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医疗护理</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鼻饲、物理降温、导尿、压疮护理、创口换药、吸氧、造口护理、其他专业护理项目。</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家庭病床</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家庭医生、上门巡诊等</w:t>
                  </w:r>
                  <w:r>
                    <w:rPr>
                      <w:sz w:val="21"/>
                    </w:rPr>
                    <w:t>。</w:t>
                  </w:r>
                </w:p>
              </w:tc>
            </w:tr>
            <w:tr>
              <w:tc>
                <w:tcPr>
                  <w:tcW w:type="dxa" w:w="421"/>
                  <w:vMerge w:val="restart"/>
                  <w:tcBorders>
                    <w:top w:val="none" w:color="000000" w:sz="4"/>
                    <w:left w:val="single" w:color="000000" w:sz="4"/>
                    <w:bottom w:val="single" w:color="000000" w:sz="4"/>
                    <w:right w:val="single" w:color="000000" w:sz="4"/>
                  </w:tcBorders>
                  <w:vAlign w:val="top"/>
                </w:tcPr>
                <w:p>
                  <w:pPr>
                    <w:jc w:val="right"/>
                  </w:pPr>
                  <w:r>
                    <w:rPr>
                      <w:sz w:val="21"/>
                    </w:rPr>
                    <w:t>5</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文体教育</w:t>
                  </w:r>
                </w:p>
              </w:tc>
              <w:tc>
                <w:tcPr>
                  <w:tcW w:type="dxa" w:w="522"/>
                  <w:tcBorders>
                    <w:top w:val="none" w:color="000000" w:sz="4"/>
                    <w:left w:val="single" w:color="000000" w:sz="4"/>
                    <w:bottom w:val="single" w:color="000000" w:sz="4"/>
                    <w:right w:val="single" w:color="000000" w:sz="4"/>
                  </w:tcBorders>
                  <w:vAlign w:val="top"/>
                </w:tcPr>
                <w:p>
                  <w:pPr>
                    <w:jc w:val="center"/>
                  </w:pPr>
                  <w:r>
                    <w:rPr>
                      <w:sz w:val="21"/>
                    </w:rPr>
                    <w:t>娱乐活动</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如棋牌、歌舞、打球、书画、阅读、太极、健康操、八段锦、茶话会、生日会、游园会等。</w:t>
                  </w:r>
                </w:p>
              </w:tc>
              <w:tc>
                <w:tcPr>
                  <w:tcW w:type="dxa" w:w="423"/>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600</w:t>
                  </w:r>
                </w:p>
              </w:tc>
              <w:tc>
                <w:tcPr>
                  <w:tcW w:type="dxa" w:w="591"/>
                  <w:vMerge w:val="restart"/>
                  <w:tcBorders>
                    <w:top w:val="none" w:color="000000" w:sz="4"/>
                    <w:left w:val="single" w:color="000000" w:sz="4"/>
                    <w:bottom w:val="single" w:color="000000" w:sz="4"/>
                    <w:right w:val="single" w:color="000000" w:sz="4"/>
                  </w:tcBorders>
                  <w:vAlign w:val="top"/>
                </w:tcPr>
                <w:p>
                  <w:pPr>
                    <w:jc w:val="left"/>
                  </w:pP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老年教育</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老年课堂，如钢琴、摄影、书法绘画、英语、计算机、编织、手工等。</w:t>
                  </w:r>
                </w:p>
              </w:tc>
            </w:tr>
            <w:tr>
              <w:tc>
                <w:tcPr>
                  <w:tcW w:type="dxa" w:w="421"/>
                  <w:vMerge w:val="restart"/>
                  <w:tcBorders>
                    <w:top w:val="none" w:color="000000" w:sz="4"/>
                    <w:left w:val="single" w:color="000000" w:sz="4"/>
                    <w:bottom w:val="single" w:color="000000" w:sz="4"/>
                    <w:right w:val="single" w:color="000000" w:sz="4"/>
                  </w:tcBorders>
                  <w:vAlign w:val="top"/>
                </w:tcPr>
                <w:p>
                  <w:pPr>
                    <w:jc w:val="right"/>
                  </w:pPr>
                  <w:r>
                    <w:rPr>
                      <w:sz w:val="21"/>
                    </w:rPr>
                    <w:t>6</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定期巡访</w:t>
                  </w:r>
                </w:p>
              </w:tc>
              <w:tc>
                <w:tcPr>
                  <w:tcW w:type="dxa" w:w="522"/>
                  <w:tcBorders>
                    <w:top w:val="none" w:color="000000" w:sz="4"/>
                    <w:left w:val="single" w:color="000000" w:sz="4"/>
                    <w:bottom w:val="single" w:color="000000" w:sz="4"/>
                    <w:right w:val="single" w:color="000000" w:sz="4"/>
                  </w:tcBorders>
                  <w:vAlign w:val="top"/>
                </w:tcPr>
                <w:p>
                  <w:pPr>
                    <w:jc w:val="center"/>
                  </w:pPr>
                  <w:r>
                    <w:rPr>
                      <w:sz w:val="21"/>
                    </w:rPr>
                    <w:t>巡访工作</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制定巡访方案，提供电话问候、上门探视、政策宣传及关爱服务</w:t>
                  </w:r>
                </w:p>
              </w:tc>
              <w:tc>
                <w:tcPr>
                  <w:tcW w:type="dxa" w:w="423"/>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232</w:t>
                  </w:r>
                </w:p>
              </w:tc>
              <w:tc>
                <w:tcPr>
                  <w:tcW w:type="dxa" w:w="591"/>
                  <w:vMerge w:val="restart"/>
                  <w:tcBorders>
                    <w:top w:val="none" w:color="000000" w:sz="4"/>
                    <w:left w:val="singl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安全排查</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定期巡访居家设施运行情况，排查安全隐患，遇恶劣天气提醒服务对象注意安全。</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服务回访</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定期回访，了解服务对象满意度</w:t>
                  </w:r>
                  <w:r>
                    <w:rPr>
                      <w:sz w:val="21"/>
                    </w:rPr>
                    <w:t>。</w:t>
                  </w:r>
                </w:p>
              </w:tc>
            </w:tr>
            <w:tr>
              <w:tc>
                <w:tcPr>
                  <w:tcW w:type="dxa" w:w="421"/>
                  <w:vMerge w:val="restart"/>
                  <w:tcBorders>
                    <w:top w:val="none" w:color="000000" w:sz="4"/>
                    <w:left w:val="single" w:color="000000" w:sz="4"/>
                    <w:bottom w:val="single" w:color="000000" w:sz="4"/>
                    <w:right w:val="single" w:color="000000" w:sz="4"/>
                  </w:tcBorders>
                  <w:vAlign w:val="top"/>
                </w:tcPr>
                <w:p>
                  <w:pPr>
                    <w:jc w:val="right"/>
                  </w:pPr>
                  <w:r>
                    <w:rPr>
                      <w:sz w:val="21"/>
                    </w:rPr>
                    <w:t>7</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家庭养老床位</w:t>
                  </w:r>
                </w:p>
              </w:tc>
              <w:tc>
                <w:tcPr>
                  <w:tcW w:type="dxa" w:w="522"/>
                  <w:tcBorders>
                    <w:top w:val="none" w:color="000000" w:sz="4"/>
                    <w:left w:val="single" w:color="000000" w:sz="4"/>
                    <w:bottom w:val="single" w:color="000000" w:sz="4"/>
                    <w:right w:val="single" w:color="000000" w:sz="4"/>
                  </w:tcBorders>
                  <w:vAlign w:val="top"/>
                </w:tcPr>
                <w:p>
                  <w:pPr>
                    <w:jc w:val="center"/>
                  </w:pPr>
                  <w:r>
                    <w:rPr>
                      <w:sz w:val="21"/>
                    </w:rPr>
                    <w:t>摸查工作</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联动社区开展需求摸查，政策宣传及协助申请</w:t>
                  </w:r>
                </w:p>
              </w:tc>
              <w:tc>
                <w:tcPr>
                  <w:tcW w:type="dxa" w:w="423"/>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591"/>
                  <w:tcBorders>
                    <w:top w:val="none" w:color="000000" w:sz="4"/>
                    <w:left w:val="singl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评估准备</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对老年人居家环境和照护需求进行评估，制定相应的适老化和智能化改造方案及服务计划，对接广州市为老服务平台端口</w:t>
                  </w:r>
                </w:p>
              </w:tc>
              <w:tc>
                <w:tcPr>
                  <w:tcW w:type="dxa" w:w="423"/>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91"/>
                  <w:tcBorders>
                    <w:top w:val="none" w:color="000000" w:sz="4"/>
                    <w:left w:val="singl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入户安装</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智能化和适老化入户安装</w:t>
                  </w:r>
                </w:p>
              </w:tc>
              <w:tc>
                <w:tcPr>
                  <w:tcW w:type="dxa" w:w="423"/>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91"/>
                  <w:tcBorders>
                    <w:top w:val="none" w:color="000000" w:sz="4"/>
                    <w:left w:val="singl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服务提供</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根据服务计划提供医疗、家政、康复、紧急呼叫及</w:t>
                  </w:r>
                  <w:r>
                    <w:rPr>
                      <w:sz w:val="21"/>
                    </w:rPr>
                    <w:t>24小时监测服务，对产品提供定期上门维护服务</w:t>
                  </w:r>
                </w:p>
              </w:tc>
              <w:tc>
                <w:tcPr>
                  <w:tcW w:type="dxa" w:w="423"/>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91"/>
                  <w:tcBorders>
                    <w:top w:val="none" w:color="000000" w:sz="4"/>
                    <w:left w:val="single" w:color="000000" w:sz="4"/>
                    <w:bottom w:val="single" w:color="000000" w:sz="4"/>
                    <w:right w:val="single" w:color="000000" w:sz="4"/>
                  </w:tcBorders>
                  <w:vAlign w:val="top"/>
                </w:tcPr>
                <w:p>
                  <w:pPr>
                    <w:jc w:val="left"/>
                  </w:pPr>
                </w:p>
              </w:tc>
            </w:tr>
            <w:tr>
              <w:tc>
                <w:tcPr>
                  <w:tcW w:type="dxa" w:w="421"/>
                  <w:vMerge w:val="restart"/>
                  <w:tcBorders>
                    <w:top w:val="none" w:color="000000" w:sz="4"/>
                    <w:left w:val="single" w:color="000000" w:sz="4"/>
                    <w:bottom w:val="single" w:color="000000" w:sz="4"/>
                    <w:right w:val="single" w:color="000000" w:sz="4"/>
                  </w:tcBorders>
                  <w:vAlign w:val="top"/>
                </w:tcPr>
                <w:p>
                  <w:pPr>
                    <w:jc w:val="right"/>
                  </w:pPr>
                  <w:r>
                    <w:rPr>
                      <w:sz w:val="21"/>
                    </w:rPr>
                    <w:t>8</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辅具租赁</w:t>
                  </w:r>
                </w:p>
              </w:tc>
              <w:tc>
                <w:tcPr>
                  <w:tcW w:type="dxa" w:w="522"/>
                  <w:tcBorders>
                    <w:top w:val="none" w:color="000000" w:sz="4"/>
                    <w:left w:val="single" w:color="000000" w:sz="4"/>
                    <w:bottom w:val="single" w:color="000000" w:sz="4"/>
                    <w:right w:val="single" w:color="000000" w:sz="4"/>
                  </w:tcBorders>
                  <w:vAlign w:val="top"/>
                </w:tcPr>
                <w:p>
                  <w:pPr>
                    <w:jc w:val="center"/>
                  </w:pPr>
                  <w:r>
                    <w:rPr>
                      <w:sz w:val="21"/>
                    </w:rPr>
                    <w:t>展示与咨询</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拐杖、轮椅、坐便器、助行器、生活辅助器具等老年用品展示与介绍。</w:t>
                  </w:r>
                </w:p>
              </w:tc>
              <w:tc>
                <w:tcPr>
                  <w:tcW w:type="dxa" w:w="423"/>
                  <w:vMerge w:val="restart"/>
                  <w:tcBorders>
                    <w:top w:val="none" w:color="000000" w:sz="4"/>
                    <w:left w:val="single" w:color="000000" w:sz="4"/>
                    <w:bottom w:val="single" w:color="000000" w:sz="4"/>
                    <w:right w:val="single" w:color="000000" w:sz="4"/>
                  </w:tcBorders>
                  <w:vAlign w:val="top"/>
                </w:tcPr>
                <w:p>
                  <w:pPr>
                    <w:jc w:val="center"/>
                  </w:pPr>
                  <w:r>
                    <w:rPr>
                      <w:sz w:val="21"/>
                    </w:rPr>
                    <w:t>提供</w:t>
                  </w:r>
                  <w:r>
                    <w:rPr>
                      <w:sz w:val="21"/>
                    </w:rPr>
                    <w:t>/不提供</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提供</w:t>
                  </w:r>
                </w:p>
              </w:tc>
              <w:tc>
                <w:tcPr>
                  <w:tcW w:type="dxa" w:w="591"/>
                  <w:vMerge w:val="restart"/>
                  <w:tcBorders>
                    <w:top w:val="none" w:color="000000" w:sz="4"/>
                    <w:left w:val="single" w:color="000000" w:sz="4"/>
                    <w:bottom w:val="single" w:color="000000" w:sz="4"/>
                    <w:right w:val="single" w:color="000000" w:sz="4"/>
                  </w:tcBorders>
                  <w:vAlign w:val="top"/>
                </w:tcPr>
                <w:p>
                  <w:pPr>
                    <w:jc w:val="left"/>
                  </w:pP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租赁与回收</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助行器（四脚拐杖、三脚拐杖）、轮椅、代步车、护理床、防褥疮床垫、床面桌、制氧机、助力转移车、洗澡椅、斜躺椅、坐便椅等辅具租赁。</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捐赠与受赠</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老年用品、物资捐赠与受赠</w:t>
                  </w:r>
                  <w:r>
                    <w:rPr>
                      <w:sz w:val="21"/>
                    </w:rPr>
                    <w:t>。</w:t>
                  </w:r>
                </w:p>
              </w:tc>
            </w:tr>
            <w:tr>
              <w:tc>
                <w:tcPr>
                  <w:tcW w:type="dxa" w:w="421"/>
                  <w:vMerge w:val="restart"/>
                  <w:tcBorders>
                    <w:top w:val="none" w:color="000000" w:sz="4"/>
                    <w:left w:val="single" w:color="000000" w:sz="4"/>
                    <w:bottom w:val="single" w:color="000000" w:sz="4"/>
                    <w:right w:val="single" w:color="000000" w:sz="4"/>
                  </w:tcBorders>
                  <w:vAlign w:val="top"/>
                </w:tcPr>
                <w:p>
                  <w:pPr>
                    <w:jc w:val="right"/>
                  </w:pPr>
                  <w:r>
                    <w:rPr>
                      <w:sz w:val="21"/>
                    </w:rPr>
                    <w:t>9</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家庭照护培训</w:t>
                  </w:r>
                </w:p>
              </w:tc>
              <w:tc>
                <w:tcPr>
                  <w:tcW w:type="dxa" w:w="522"/>
                  <w:tcBorders>
                    <w:top w:val="none" w:color="000000" w:sz="4"/>
                    <w:left w:val="single" w:color="000000" w:sz="4"/>
                    <w:bottom w:val="single" w:color="000000" w:sz="4"/>
                    <w:right w:val="single" w:color="000000" w:sz="4"/>
                  </w:tcBorders>
                  <w:vAlign w:val="top"/>
                </w:tcPr>
                <w:p>
                  <w:pPr>
                    <w:jc w:val="center"/>
                  </w:pPr>
                  <w:r>
                    <w:rPr>
                      <w:sz w:val="21"/>
                    </w:rPr>
                    <w:t>需求调查</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面向居家照护的家属及长者开展需求调查，形成调查报告，形成培训计划。</w:t>
                  </w:r>
                </w:p>
              </w:tc>
              <w:tc>
                <w:tcPr>
                  <w:tcW w:type="dxa" w:w="423"/>
                  <w:tcBorders>
                    <w:top w:val="none" w:color="000000" w:sz="4"/>
                    <w:left w:val="single" w:color="000000" w:sz="4"/>
                    <w:bottom w:val="single" w:color="000000" w:sz="4"/>
                    <w:right w:val="single" w:color="000000" w:sz="4"/>
                  </w:tcBorders>
                  <w:vAlign w:val="top"/>
                </w:tcPr>
                <w:p>
                  <w:pPr>
                    <w:jc w:val="center"/>
                  </w:pPr>
                  <w:r>
                    <w:rPr>
                      <w:sz w:val="21"/>
                    </w:rPr>
                    <w:t>提供</w:t>
                  </w:r>
                  <w:r>
                    <w:rPr>
                      <w:sz w:val="21"/>
                    </w:rPr>
                    <w:t>/不提供</w:t>
                  </w:r>
                </w:p>
              </w:tc>
              <w:tc>
                <w:tcPr>
                  <w:tcW w:type="dxa" w:w="591"/>
                  <w:tcBorders>
                    <w:top w:val="none" w:color="000000" w:sz="4"/>
                    <w:left w:val="single" w:color="000000" w:sz="4"/>
                    <w:bottom w:val="single" w:color="000000" w:sz="4"/>
                    <w:right w:val="single" w:color="000000" w:sz="4"/>
                  </w:tcBorders>
                  <w:vAlign w:val="top"/>
                </w:tcPr>
                <w:p>
                  <w:pPr>
                    <w:jc w:val="center"/>
                  </w:pPr>
                  <w:r>
                    <w:rPr>
                      <w:sz w:val="21"/>
                    </w:rPr>
                    <w:t>提供</w:t>
                  </w:r>
                </w:p>
              </w:tc>
              <w:tc>
                <w:tcPr>
                  <w:tcW w:type="dxa" w:w="591"/>
                  <w:vMerge w:val="restart"/>
                  <w:tcBorders>
                    <w:top w:val="none" w:color="000000" w:sz="4"/>
                    <w:left w:val="singl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培训开展</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开展不限于照护</w:t>
                  </w:r>
                  <w:r>
                    <w:rPr>
                      <w:sz w:val="21"/>
                    </w:rPr>
                    <w:t>知识</w:t>
                  </w:r>
                  <w:r>
                    <w:rPr>
                      <w:sz w:val="21"/>
                    </w:rPr>
                    <w:t>与技能培训、心理健康咨询和健康管理等养老护理服务培训</w:t>
                  </w:r>
                </w:p>
              </w:tc>
              <w:tc>
                <w:tcPr>
                  <w:tcW w:type="dxa" w:w="423"/>
                  <w:tcBorders>
                    <w:top w:val="none" w:color="000000" w:sz="4"/>
                    <w:left w:val="single" w:color="000000" w:sz="4"/>
                    <w:bottom w:val="single" w:color="000000" w:sz="4"/>
                    <w:right w:val="single" w:color="000000" w:sz="4"/>
                  </w:tcBorders>
                  <w:vAlign w:val="top"/>
                </w:tcPr>
                <w:p>
                  <w:pPr>
                    <w:jc w:val="left"/>
                  </w:pPr>
                  <w:r>
                    <w:rPr>
                      <w:sz w:val="21"/>
                    </w:rPr>
                    <w:t>工时</w:t>
                  </w:r>
                </w:p>
              </w:tc>
              <w:tc>
                <w:tcPr>
                  <w:tcW w:type="dxa" w:w="591"/>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421"/>
                  <w:tcBorders>
                    <w:top w:val="none" w:color="000000" w:sz="4"/>
                    <w:left w:val="single" w:color="000000" w:sz="4"/>
                    <w:bottom w:val="single" w:color="000000" w:sz="4"/>
                    <w:right w:val="single" w:color="000000" w:sz="4"/>
                  </w:tcBorders>
                  <w:vAlign w:val="top"/>
                </w:tcPr>
                <w:p>
                  <w:pPr>
                    <w:jc w:val="right"/>
                  </w:pPr>
                  <w:r>
                    <w:rPr>
                      <w:sz w:val="21"/>
                    </w:rPr>
                    <w:t>10</w:t>
                  </w:r>
                </w:p>
              </w:tc>
              <w:tc>
                <w:tcPr>
                  <w:tcW w:type="dxa" w:w="591"/>
                  <w:tcBorders>
                    <w:top w:val="none" w:color="000000" w:sz="4"/>
                    <w:left w:val="single" w:color="000000" w:sz="4"/>
                    <w:bottom w:val="single" w:color="000000" w:sz="4"/>
                    <w:right w:val="single" w:color="000000" w:sz="4"/>
                  </w:tcBorders>
                  <w:vAlign w:val="top"/>
                </w:tcPr>
                <w:p>
                  <w:pPr>
                    <w:jc w:val="center"/>
                  </w:pPr>
                  <w:r>
                    <w:rPr>
                      <w:sz w:val="21"/>
                    </w:rPr>
                    <w:t>养老服务向导</w:t>
                  </w:r>
                </w:p>
              </w:tc>
              <w:tc>
                <w:tcPr>
                  <w:tcW w:type="dxa" w:w="522"/>
                  <w:tcBorders>
                    <w:top w:val="none" w:color="000000" w:sz="4"/>
                    <w:left w:val="single" w:color="000000" w:sz="4"/>
                    <w:bottom w:val="single" w:color="000000" w:sz="4"/>
                    <w:right w:val="single" w:color="000000" w:sz="4"/>
                  </w:tcBorders>
                  <w:vAlign w:val="top"/>
                </w:tcPr>
                <w:p>
                  <w:pPr>
                    <w:jc w:val="center"/>
                  </w:pPr>
                  <w:r>
                    <w:rPr>
                      <w:sz w:val="21"/>
                    </w:rPr>
                    <w:t>咨询申请转介</w:t>
                  </w:r>
                </w:p>
              </w:tc>
              <w:tc>
                <w:tcPr>
                  <w:tcW w:type="dxa" w:w="2456"/>
                  <w:tcBorders>
                    <w:top w:val="none" w:color="000000" w:sz="4"/>
                    <w:left w:val="single" w:color="000000" w:sz="4"/>
                    <w:bottom w:val="single" w:color="000000" w:sz="4"/>
                    <w:right w:val="single" w:color="000000" w:sz="4"/>
                  </w:tcBorders>
                  <w:vAlign w:val="top"/>
                </w:tcPr>
                <w:p>
                  <w:pPr>
                    <w:jc w:val="both"/>
                  </w:pPr>
                  <w:r>
                    <w:rPr>
                      <w:sz w:val="21"/>
                    </w:rPr>
                    <w:t>养老政策咨询、服务查询、办事指引、服务转介、协助申请平安通的服务等</w:t>
                  </w:r>
                </w:p>
              </w:tc>
              <w:tc>
                <w:tcPr>
                  <w:tcW w:type="dxa" w:w="423"/>
                  <w:tcBorders>
                    <w:top w:val="none" w:color="000000" w:sz="4"/>
                    <w:left w:val="single" w:color="000000" w:sz="4"/>
                    <w:bottom w:val="single" w:color="000000" w:sz="4"/>
                    <w:right w:val="single" w:color="000000" w:sz="4"/>
                  </w:tcBorders>
                  <w:vAlign w:val="top"/>
                </w:tcPr>
                <w:p>
                  <w:pPr>
                    <w:jc w:val="center"/>
                  </w:pPr>
                  <w:r>
                    <w:rPr>
                      <w:sz w:val="21"/>
                    </w:rPr>
                    <w:t>提供</w:t>
                  </w:r>
                  <w:r>
                    <w:rPr>
                      <w:sz w:val="21"/>
                    </w:rPr>
                    <w:t>/不提供</w:t>
                  </w:r>
                </w:p>
              </w:tc>
              <w:tc>
                <w:tcPr>
                  <w:tcW w:type="dxa" w:w="591"/>
                  <w:tcBorders>
                    <w:top w:val="none" w:color="000000" w:sz="4"/>
                    <w:left w:val="single" w:color="000000" w:sz="4"/>
                    <w:bottom w:val="single" w:color="000000" w:sz="4"/>
                    <w:right w:val="single" w:color="000000" w:sz="4"/>
                  </w:tcBorders>
                  <w:vAlign w:val="top"/>
                </w:tcPr>
                <w:p>
                  <w:pPr>
                    <w:jc w:val="center"/>
                  </w:pPr>
                  <w:r>
                    <w:rPr>
                      <w:sz w:val="21"/>
                    </w:rPr>
                    <w:t>提供</w:t>
                  </w:r>
                </w:p>
              </w:tc>
              <w:tc>
                <w:tcPr>
                  <w:tcW w:type="dxa" w:w="591"/>
                  <w:tcBorders>
                    <w:top w:val="none" w:color="000000" w:sz="4"/>
                    <w:left w:val="single" w:color="000000" w:sz="4"/>
                    <w:bottom w:val="single" w:color="000000" w:sz="4"/>
                    <w:right w:val="single" w:color="000000" w:sz="4"/>
                  </w:tcBorders>
                  <w:vAlign w:val="top"/>
                </w:tcPr>
                <w:p>
                  <w:pPr>
                    <w:jc w:val="left"/>
                  </w:pPr>
                </w:p>
              </w:tc>
            </w:tr>
            <w:tr>
              <w:tc>
                <w:tcPr>
                  <w:tcW w:type="dxa" w:w="421"/>
                  <w:vMerge w:val="restart"/>
                  <w:tcBorders>
                    <w:top w:val="none" w:color="000000" w:sz="4"/>
                    <w:left w:val="single" w:color="000000" w:sz="4"/>
                    <w:bottom w:val="single" w:color="000000" w:sz="4"/>
                    <w:right w:val="single" w:color="000000" w:sz="4"/>
                  </w:tcBorders>
                  <w:vAlign w:val="top"/>
                </w:tcPr>
                <w:p>
                  <w:pPr>
                    <w:jc w:val="right"/>
                  </w:pPr>
                  <w:r>
                    <w:rPr>
                      <w:sz w:val="21"/>
                    </w:rPr>
                    <w:t>11</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适老化改造</w:t>
                  </w:r>
                </w:p>
              </w:tc>
              <w:tc>
                <w:tcPr>
                  <w:tcW w:type="dxa" w:w="522"/>
                  <w:vMerge w:val="restart"/>
                  <w:tcBorders>
                    <w:top w:val="none" w:color="000000" w:sz="4"/>
                    <w:left w:val="single" w:color="000000" w:sz="4"/>
                    <w:bottom w:val="single" w:color="000000" w:sz="4"/>
                    <w:right w:val="single" w:color="000000" w:sz="4"/>
                  </w:tcBorders>
                  <w:vAlign w:val="top"/>
                </w:tcPr>
                <w:p>
                  <w:pPr>
                    <w:jc w:val="center"/>
                  </w:pPr>
                  <w:r>
                    <w:rPr>
                      <w:sz w:val="21"/>
                    </w:rPr>
                    <w:t>服务开展</w:t>
                  </w:r>
                </w:p>
              </w:tc>
              <w:tc>
                <w:tcPr>
                  <w:tcW w:type="dxa" w:w="2456"/>
                  <w:tcBorders>
                    <w:top w:val="none" w:color="000000" w:sz="4"/>
                    <w:left w:val="single" w:color="000000" w:sz="4"/>
                    <w:bottom w:val="single" w:color="000000" w:sz="4"/>
                    <w:right w:val="single" w:color="000000" w:sz="4"/>
                  </w:tcBorders>
                  <w:vAlign w:val="top"/>
                </w:tcPr>
                <w:p>
                  <w:pPr>
                    <w:jc w:val="both"/>
                  </w:pPr>
                  <w:r>
                    <w:rPr>
                      <w:sz w:val="21"/>
                    </w:rPr>
                    <w:t>1.上门查看服务对象家居安全，进行安全评估、居家安全教育。</w:t>
                  </w:r>
                </w:p>
              </w:tc>
              <w:tc>
                <w:tcPr>
                  <w:tcW w:type="dxa" w:w="423"/>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91"/>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591"/>
                  <w:vMerge w:val="restart"/>
                  <w:tcBorders>
                    <w:top w:val="none" w:color="000000" w:sz="4"/>
                    <w:left w:val="singl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vMerge/>
                  <w:tcBorders>
                    <w:top w:val="none" w:color="000000" w:sz="4"/>
                    <w:left w:val="single" w:color="000000" w:sz="4"/>
                    <w:bottom w:val="single" w:color="000000" w:sz="4"/>
                    <w:right w:val="single" w:color="000000" w:sz="4"/>
                  </w:tcBorders>
                </w:tcPr>
                <w:p/>
              </w:tc>
              <w:tc>
                <w:tcPr>
                  <w:tcW w:type="dxa" w:w="2456"/>
                  <w:tcBorders>
                    <w:top w:val="none" w:color="000000" w:sz="4"/>
                    <w:left w:val="single" w:color="000000" w:sz="4"/>
                    <w:bottom w:val="single" w:color="000000" w:sz="4"/>
                    <w:right w:val="single" w:color="000000" w:sz="4"/>
                  </w:tcBorders>
                  <w:vAlign w:val="top"/>
                </w:tcPr>
                <w:p>
                  <w:pPr>
                    <w:jc w:val="both"/>
                  </w:pPr>
                  <w:r>
                    <w:rPr>
                      <w:sz w:val="21"/>
                    </w:rPr>
                    <w:t>2.通过链接资源，协助服务对象申请《广州市特殊困难老年人家庭及居住区公共设施无障碍改造项目资金管理办法》等相关文件规定的无障碍改造、适老化家居改造相关补贴。主要指平安通服务，包括紧急呼援服务、定位服务、咨询转介务、心理慰藉、</w:t>
                  </w:r>
                </w:p>
              </w:tc>
              <w:tc>
                <w:tcPr>
                  <w:tcW w:type="dxa" w:w="423"/>
                  <w:tcBorders>
                    <w:top w:val="none" w:color="000000" w:sz="4"/>
                    <w:left w:val="single" w:color="000000" w:sz="4"/>
                    <w:bottom w:val="single" w:color="000000" w:sz="4"/>
                    <w:right w:val="single" w:color="000000" w:sz="4"/>
                  </w:tcBorders>
                  <w:vAlign w:val="top"/>
                </w:tcPr>
                <w:p>
                  <w:pPr>
                    <w:jc w:val="both"/>
                  </w:pPr>
                  <w:r>
                    <w:rPr>
                      <w:sz w:val="21"/>
                    </w:rPr>
                    <w:t>提供</w:t>
                  </w:r>
                  <w:r>
                    <w:rPr>
                      <w:sz w:val="21"/>
                    </w:rPr>
                    <w:t>/不提供</w:t>
                  </w:r>
                </w:p>
              </w:tc>
              <w:tc>
                <w:tcPr>
                  <w:tcW w:type="dxa" w:w="591"/>
                  <w:tcBorders>
                    <w:top w:val="none" w:color="000000" w:sz="4"/>
                    <w:left w:val="single" w:color="000000" w:sz="4"/>
                    <w:bottom w:val="single" w:color="000000" w:sz="4"/>
                    <w:right w:val="single" w:color="000000" w:sz="4"/>
                  </w:tcBorders>
                  <w:vAlign w:val="top"/>
                </w:tcPr>
                <w:p>
                  <w:pPr>
                    <w:jc w:val="both"/>
                  </w:pPr>
                  <w:r>
                    <w:rPr>
                      <w:sz w:val="21"/>
                    </w:rPr>
                    <w:t>提供</w:t>
                  </w:r>
                </w:p>
              </w:tc>
            </w:tr>
            <w:tr>
              <w:tc>
                <w:tcPr>
                  <w:tcW w:type="dxa" w:w="421"/>
                  <w:vMerge w:val="restart"/>
                  <w:tcBorders>
                    <w:top w:val="none" w:color="000000" w:sz="4"/>
                    <w:left w:val="single" w:color="000000" w:sz="4"/>
                    <w:bottom w:val="single" w:color="000000" w:sz="4"/>
                    <w:right w:val="single" w:color="000000" w:sz="4"/>
                  </w:tcBorders>
                  <w:vAlign w:val="top"/>
                </w:tcPr>
                <w:p>
                  <w:pPr>
                    <w:jc w:val="right"/>
                  </w:pPr>
                  <w:r>
                    <w:rPr>
                      <w:sz w:val="21"/>
                    </w:rPr>
                    <w:t>12</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日间托管</w:t>
                  </w:r>
                </w:p>
              </w:tc>
              <w:tc>
                <w:tcPr>
                  <w:tcW w:type="dxa" w:w="522"/>
                  <w:tcBorders>
                    <w:top w:val="none" w:color="000000" w:sz="4"/>
                    <w:left w:val="single" w:color="000000" w:sz="4"/>
                    <w:bottom w:val="single" w:color="000000" w:sz="4"/>
                    <w:right w:val="single" w:color="000000" w:sz="4"/>
                  </w:tcBorders>
                  <w:vAlign w:val="top"/>
                </w:tcPr>
                <w:p>
                  <w:pPr>
                    <w:jc w:val="center"/>
                  </w:pPr>
                  <w:r>
                    <w:rPr>
                      <w:sz w:val="21"/>
                    </w:rPr>
                    <w:t>助餐配餐</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午餐</w:t>
                  </w:r>
                </w:p>
              </w:tc>
              <w:tc>
                <w:tcPr>
                  <w:tcW w:type="dxa" w:w="423"/>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1</w:t>
                  </w:r>
                  <w:r>
                    <w:rPr>
                      <w:sz w:val="21"/>
                    </w:rPr>
                    <w:t>2</w:t>
                  </w:r>
                  <w:r>
                    <w:rPr>
                      <w:sz w:val="21"/>
                    </w:rPr>
                    <w:t>40</w:t>
                  </w:r>
                </w:p>
              </w:tc>
              <w:tc>
                <w:tcPr>
                  <w:tcW w:type="dxa" w:w="591"/>
                  <w:vMerge w:val="restart"/>
                  <w:tcBorders>
                    <w:top w:val="none" w:color="000000" w:sz="4"/>
                    <w:left w:val="singl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康复训练</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使用中心器械：步行器、固定单车、手臂滑轮、平衡杠、肋木、扶梯、手指训练器等器械开展的康复或保健训练。</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健康管理</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体温、血压、</w:t>
                  </w:r>
                  <w:r>
                    <w:rPr>
                      <w:sz w:val="21"/>
                    </w:rPr>
                    <w:t>血糖</w:t>
                  </w:r>
                  <w:r>
                    <w:rPr>
                      <w:sz w:val="21"/>
                    </w:rPr>
                    <w:t>监测，健康操运动等</w:t>
                  </w:r>
                  <w:r>
                    <w:rPr>
                      <w:sz w:val="21"/>
                    </w:rPr>
                    <w:t>。</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文化娱乐</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棋牌、歌舞、打球、绘画、看书、兴趣学习等</w:t>
                  </w:r>
                  <w:r>
                    <w:rPr>
                      <w:sz w:val="21"/>
                    </w:rPr>
                    <w:t>。</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vAlign w:val="top"/>
                </w:tcPr>
                <w:p>
                  <w:pPr>
                    <w:jc w:val="center"/>
                  </w:pPr>
                  <w:r>
                    <w:rPr>
                      <w:sz w:val="21"/>
                    </w:rPr>
                    <w:t>午间休息</w:t>
                  </w:r>
                </w:p>
              </w:tc>
              <w:tc>
                <w:tcPr>
                  <w:tcW w:type="dxa" w:w="2456"/>
                  <w:tcBorders>
                    <w:top w:val="none" w:color="000000" w:sz="4"/>
                    <w:left w:val="single" w:color="000000" w:sz="4"/>
                    <w:bottom w:val="single" w:color="000000" w:sz="4"/>
                    <w:right w:val="single" w:color="000000" w:sz="4"/>
                  </w:tcBorders>
                  <w:vAlign w:val="top"/>
                </w:tcPr>
                <w:p>
                  <w:pPr>
                    <w:jc w:val="left"/>
                  </w:pPr>
                  <w:r>
                    <w:rPr>
                      <w:sz w:val="21"/>
                    </w:rPr>
                    <w:t>提供床位</w:t>
                  </w:r>
                  <w:r>
                    <w:rPr>
                      <w:sz w:val="21"/>
                    </w:rPr>
                    <w:t>。</w:t>
                  </w:r>
                </w:p>
              </w:tc>
              <w:tc>
                <w:tcPr>
                  <w:tcW w:type="dxa" w:w="423"/>
                  <w:tcBorders>
                    <w:top w:val="none" w:color="000000" w:sz="4"/>
                    <w:left w:val="single" w:color="000000" w:sz="4"/>
                    <w:bottom w:val="single" w:color="000000" w:sz="4"/>
                    <w:right w:val="single" w:color="000000" w:sz="4"/>
                  </w:tcBorders>
                  <w:vAlign w:val="top"/>
                </w:tcPr>
                <w:p>
                  <w:pPr>
                    <w:jc w:val="center"/>
                  </w:pPr>
                  <w:r>
                    <w:rPr>
                      <w:sz w:val="21"/>
                    </w:rPr>
                    <w:t>床位数</w:t>
                  </w:r>
                </w:p>
              </w:tc>
              <w:tc>
                <w:tcPr>
                  <w:tcW w:type="dxa" w:w="591"/>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421"/>
                  <w:vMerge w:val="restart"/>
                  <w:tcBorders>
                    <w:top w:val="none" w:color="000000" w:sz="4"/>
                    <w:left w:val="single" w:color="000000" w:sz="4"/>
                    <w:bottom w:val="single" w:color="000000" w:sz="4"/>
                    <w:right w:val="single" w:color="000000" w:sz="4"/>
                  </w:tcBorders>
                  <w:shd w:fill="FFFFFF"/>
                  <w:vAlign w:val="top"/>
                </w:tcPr>
                <w:p>
                  <w:pPr>
                    <w:jc w:val="right"/>
                  </w:pPr>
                  <w:r>
                    <w:rPr>
                      <w:sz w:val="21"/>
                    </w:rPr>
                    <w:t>13</w:t>
                  </w:r>
                </w:p>
              </w:tc>
              <w:tc>
                <w:tcPr>
                  <w:tcW w:type="dxa" w:w="591"/>
                  <w:vMerge w:val="restart"/>
                  <w:tcBorders>
                    <w:top w:val="none" w:color="000000" w:sz="4"/>
                    <w:left w:val="single" w:color="000000" w:sz="4"/>
                    <w:bottom w:val="single" w:color="000000" w:sz="4"/>
                    <w:right w:val="single" w:color="000000" w:sz="4"/>
                  </w:tcBorders>
                  <w:vAlign w:val="top"/>
                </w:tcPr>
                <w:p>
                  <w:pPr>
                    <w:jc w:val="center"/>
                  </w:pPr>
                  <w:r>
                    <w:rPr>
                      <w:sz w:val="21"/>
                    </w:rPr>
                    <w:t>临时托养</w:t>
                  </w:r>
                </w:p>
              </w:tc>
              <w:tc>
                <w:tcPr>
                  <w:tcW w:type="dxa" w:w="522"/>
                  <w:tcBorders>
                    <w:top w:val="none" w:color="000000" w:sz="4"/>
                    <w:left w:val="single" w:color="000000" w:sz="4"/>
                    <w:bottom w:val="single" w:color="000000" w:sz="4"/>
                    <w:right w:val="single" w:color="000000" w:sz="4"/>
                  </w:tcBorders>
                  <w:shd w:fill="FFFFFF"/>
                  <w:vAlign w:val="top"/>
                </w:tcPr>
                <w:p>
                  <w:pPr>
                    <w:jc w:val="center"/>
                  </w:pPr>
                  <w:r>
                    <w:rPr>
                      <w:sz w:val="21"/>
                    </w:rPr>
                    <w:t>助餐配餐</w:t>
                  </w:r>
                </w:p>
              </w:tc>
              <w:tc>
                <w:tcPr>
                  <w:tcW w:type="dxa" w:w="2456"/>
                  <w:tcBorders>
                    <w:top w:val="none" w:color="000000" w:sz="4"/>
                    <w:left w:val="single" w:color="000000" w:sz="4"/>
                    <w:bottom w:val="single" w:color="000000" w:sz="4"/>
                    <w:right w:val="single" w:color="000000" w:sz="4"/>
                  </w:tcBorders>
                  <w:shd w:fill="FFFFFF"/>
                  <w:vAlign w:val="top"/>
                </w:tcPr>
                <w:p>
                  <w:pPr>
                    <w:jc w:val="left"/>
                  </w:pPr>
                  <w:r>
                    <w:rPr>
                      <w:sz w:val="21"/>
                    </w:rPr>
                    <w:t>早餐、午餐、晚餐</w:t>
                  </w:r>
                  <w:r>
                    <w:rPr>
                      <w:sz w:val="21"/>
                    </w:rPr>
                    <w:t>。</w:t>
                  </w:r>
                </w:p>
              </w:tc>
              <w:tc>
                <w:tcPr>
                  <w:tcW w:type="dxa" w:w="423"/>
                  <w:vMerge w:val="restart"/>
                  <w:tcBorders>
                    <w:top w:val="none" w:color="000000" w:sz="4"/>
                    <w:left w:val="single" w:color="000000" w:sz="4"/>
                    <w:bottom w:val="single" w:color="000000" w:sz="4"/>
                    <w:right w:val="single" w:color="000000" w:sz="4"/>
                  </w:tcBorders>
                  <w:shd w:fill="FFFFFF"/>
                  <w:vAlign w:val="top"/>
                </w:tcPr>
                <w:p>
                  <w:pPr>
                    <w:jc w:val="center"/>
                  </w:pPr>
                  <w:r>
                    <w:rPr>
                      <w:sz w:val="21"/>
                    </w:rPr>
                    <w:t>工时</w:t>
                  </w:r>
                </w:p>
              </w:tc>
              <w:tc>
                <w:tcPr>
                  <w:tcW w:type="dxa" w:w="591"/>
                  <w:vMerge w:val="restart"/>
                  <w:tcBorders>
                    <w:top w:val="none" w:color="000000" w:sz="4"/>
                    <w:left w:val="single" w:color="000000" w:sz="4"/>
                    <w:bottom w:val="single" w:color="000000" w:sz="4"/>
                    <w:right w:val="single" w:color="000000" w:sz="4"/>
                  </w:tcBorders>
                  <w:shd w:fill="FFFFFF"/>
                  <w:vAlign w:val="top"/>
                </w:tcPr>
                <w:p>
                  <w:pPr>
                    <w:jc w:val="center"/>
                  </w:pPr>
                  <w:r>
                    <w:rPr>
                      <w:sz w:val="21"/>
                    </w:rPr>
                    <w:t>3</w:t>
                  </w:r>
                  <w:r>
                    <w:rPr>
                      <w:sz w:val="21"/>
                    </w:rPr>
                    <w:t>00</w:t>
                  </w:r>
                </w:p>
              </w:tc>
              <w:tc>
                <w:tcPr>
                  <w:tcW w:type="dxa" w:w="591"/>
                  <w:vMerge w:val="restart"/>
                  <w:tcBorders>
                    <w:top w:val="none" w:color="000000" w:sz="4"/>
                    <w:left w:val="single" w:color="000000" w:sz="4"/>
                    <w:bottom w:val="single" w:color="000000" w:sz="4"/>
                    <w:right w:val="single" w:color="000000" w:sz="4"/>
                  </w:tcBorders>
                  <w:shd w:fill="FFFFFF"/>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shd w:fill="FFFFFF"/>
                  <w:vAlign w:val="top"/>
                </w:tcPr>
                <w:p>
                  <w:pPr>
                    <w:jc w:val="center"/>
                  </w:pPr>
                  <w:r>
                    <w:rPr>
                      <w:sz w:val="21"/>
                    </w:rPr>
                    <w:t>个人护理</w:t>
                  </w:r>
                </w:p>
              </w:tc>
              <w:tc>
                <w:tcPr>
                  <w:tcW w:type="dxa" w:w="2456"/>
                  <w:tcBorders>
                    <w:top w:val="none" w:color="000000" w:sz="4"/>
                    <w:left w:val="single" w:color="000000" w:sz="4"/>
                    <w:bottom w:val="single" w:color="000000" w:sz="4"/>
                    <w:right w:val="single" w:color="000000" w:sz="4"/>
                  </w:tcBorders>
                  <w:shd w:fill="FFFFFF"/>
                  <w:vAlign w:val="top"/>
                </w:tcPr>
                <w:p>
                  <w:pPr>
                    <w:jc w:val="left"/>
                  </w:pPr>
                  <w:r>
                    <w:rPr>
                      <w:sz w:val="21"/>
                    </w:rPr>
                    <w:t>晨间护理；晚间护理；皮肤外用药物涂擦；留置尿管护理；人工肛门便袋护理；协助穿（脱）衣；洗头；洗脸；梳头；剃须；刷牙；漱口；口腔清洁；洗手；洗足；洗澡；床上擦浴；女性会阴清洁；修剪指（趾）甲；褥疮预防；叩背排痰等。</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shd w:fill="FFFFFF"/>
                  <w:vAlign w:val="top"/>
                </w:tcPr>
                <w:p>
                  <w:pPr>
                    <w:jc w:val="center"/>
                  </w:pPr>
                  <w:r>
                    <w:rPr>
                      <w:sz w:val="21"/>
                    </w:rPr>
                    <w:t>康复训练</w:t>
                  </w:r>
                </w:p>
              </w:tc>
              <w:tc>
                <w:tcPr>
                  <w:tcW w:type="dxa" w:w="2456"/>
                  <w:tcBorders>
                    <w:top w:val="none" w:color="000000" w:sz="4"/>
                    <w:left w:val="single" w:color="000000" w:sz="4"/>
                    <w:bottom w:val="single" w:color="000000" w:sz="4"/>
                    <w:right w:val="single" w:color="000000" w:sz="4"/>
                  </w:tcBorders>
                  <w:shd w:fill="FFFFFF"/>
                  <w:vAlign w:val="top"/>
                </w:tcPr>
                <w:p>
                  <w:pPr>
                    <w:jc w:val="left"/>
                  </w:pPr>
                  <w:r>
                    <w:rPr>
                      <w:sz w:val="21"/>
                    </w:rPr>
                    <w:t>使用中心器械：步行器、固定单车、手臂滑轮、平衡杠、肋木、扶梯、手指训练器等器械开展的康复或训练。</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shd w:fill="FFFFFF"/>
                  <w:vAlign w:val="top"/>
                </w:tcPr>
                <w:p>
                  <w:pPr>
                    <w:jc w:val="center"/>
                  </w:pPr>
                  <w:r>
                    <w:rPr>
                      <w:sz w:val="21"/>
                    </w:rPr>
                    <w:t>文化娱乐</w:t>
                  </w:r>
                </w:p>
              </w:tc>
              <w:tc>
                <w:tcPr>
                  <w:tcW w:type="dxa" w:w="2456"/>
                  <w:tcBorders>
                    <w:top w:val="none" w:color="000000" w:sz="4"/>
                    <w:left w:val="single" w:color="000000" w:sz="4"/>
                    <w:bottom w:val="single" w:color="000000" w:sz="4"/>
                    <w:right w:val="single" w:color="000000" w:sz="4"/>
                  </w:tcBorders>
                  <w:shd w:fill="FFFFFF"/>
                  <w:vAlign w:val="top"/>
                </w:tcPr>
                <w:p>
                  <w:pPr>
                    <w:jc w:val="left"/>
                  </w:pPr>
                  <w:r>
                    <w:rPr>
                      <w:sz w:val="21"/>
                    </w:rPr>
                    <w:t>棋牌、歌舞、打球、绘画、看书、兴趣学习等</w:t>
                  </w:r>
                  <w:r>
                    <w:rPr>
                      <w:sz w:val="21"/>
                    </w:rPr>
                    <w:t>。</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shd w:fill="FFFFFF"/>
                  <w:vAlign w:val="top"/>
                </w:tcPr>
                <w:p>
                  <w:pPr>
                    <w:jc w:val="center"/>
                  </w:pPr>
                  <w:r>
                    <w:rPr>
                      <w:sz w:val="21"/>
                    </w:rPr>
                    <w:t>医疗保健</w:t>
                  </w:r>
                </w:p>
              </w:tc>
              <w:tc>
                <w:tcPr>
                  <w:tcW w:type="dxa" w:w="2456"/>
                  <w:tcBorders>
                    <w:top w:val="none" w:color="000000" w:sz="4"/>
                    <w:left w:val="single" w:color="000000" w:sz="4"/>
                    <w:bottom w:val="single" w:color="000000" w:sz="4"/>
                    <w:right w:val="single" w:color="000000" w:sz="4"/>
                  </w:tcBorders>
                  <w:shd w:fill="FFFFFF"/>
                  <w:vAlign w:val="top"/>
                </w:tcPr>
                <w:p>
                  <w:pPr>
                    <w:jc w:val="left"/>
                  </w:pPr>
                  <w:r>
                    <w:rPr>
                      <w:sz w:val="21"/>
                    </w:rPr>
                    <w:t>体温、心率、血压、血糖监测，健康操运动、用药等</w:t>
                  </w:r>
                  <w:r>
                    <w:rPr>
                      <w:sz w:val="21"/>
                    </w:rPr>
                    <w:t>。</w:t>
                  </w:r>
                </w:p>
              </w:tc>
            </w:tr>
            <w:tr>
              <w:tc>
                <w:tcPr>
                  <w:tcW w:type="dxa" w:w="421"/>
                  <w:vMerge/>
                  <w:tcBorders>
                    <w:top w:val="none" w:color="000000" w:sz="4"/>
                    <w:left w:val="single" w:color="000000" w:sz="4"/>
                    <w:bottom w:val="single" w:color="000000" w:sz="4"/>
                    <w:right w:val="single" w:color="000000" w:sz="4"/>
                  </w:tcBorders>
                </w:tcPr>
                <w:p/>
              </w:tc>
              <w:tc>
                <w:tcPr>
                  <w:tcW w:type="dxa" w:w="591"/>
                  <w:vMerge/>
                  <w:tcBorders>
                    <w:top w:val="none" w:color="000000" w:sz="4"/>
                    <w:left w:val="single" w:color="000000" w:sz="4"/>
                    <w:bottom w:val="single" w:color="000000" w:sz="4"/>
                    <w:right w:val="single" w:color="000000" w:sz="4"/>
                  </w:tcBorders>
                </w:tcPr>
                <w:p/>
              </w:tc>
              <w:tc>
                <w:tcPr>
                  <w:tcW w:type="dxa" w:w="522"/>
                  <w:tcBorders>
                    <w:top w:val="none" w:color="000000" w:sz="4"/>
                    <w:left w:val="single" w:color="000000" w:sz="4"/>
                    <w:bottom w:val="single" w:color="000000" w:sz="4"/>
                    <w:right w:val="single" w:color="000000" w:sz="4"/>
                  </w:tcBorders>
                  <w:shd w:fill="FFFFFF"/>
                  <w:vAlign w:val="top"/>
                </w:tcPr>
                <w:p>
                  <w:pPr>
                    <w:jc w:val="center"/>
                  </w:pPr>
                  <w:r>
                    <w:rPr>
                      <w:sz w:val="21"/>
                    </w:rPr>
                    <w:t>夜间住宿</w:t>
                  </w:r>
                </w:p>
              </w:tc>
              <w:tc>
                <w:tcPr>
                  <w:tcW w:type="dxa" w:w="2456"/>
                  <w:tcBorders>
                    <w:top w:val="none" w:color="000000" w:sz="4"/>
                    <w:left w:val="single" w:color="000000" w:sz="4"/>
                    <w:bottom w:val="single" w:color="000000" w:sz="4"/>
                    <w:right w:val="single" w:color="000000" w:sz="4"/>
                  </w:tcBorders>
                  <w:shd w:fill="FFFFFF"/>
                  <w:vAlign w:val="top"/>
                </w:tcPr>
                <w:p>
                  <w:pPr>
                    <w:jc w:val="left"/>
                  </w:pPr>
                  <w:r>
                    <w:rPr>
                      <w:sz w:val="21"/>
                    </w:rPr>
                    <w:t>提供床位</w:t>
                  </w:r>
                  <w:r>
                    <w:rPr>
                      <w:sz w:val="21"/>
                    </w:rPr>
                    <w:t>。</w:t>
                  </w:r>
                </w:p>
              </w:tc>
              <w:tc>
                <w:tcPr>
                  <w:tcW w:type="dxa" w:w="423"/>
                  <w:tcBorders>
                    <w:top w:val="none" w:color="000000" w:sz="4"/>
                    <w:left w:val="single" w:color="000000" w:sz="4"/>
                    <w:bottom w:val="single" w:color="000000" w:sz="4"/>
                    <w:right w:val="single" w:color="000000" w:sz="4"/>
                  </w:tcBorders>
                  <w:shd w:fill="FFFFFF"/>
                  <w:vAlign w:val="top"/>
                </w:tcPr>
                <w:p>
                  <w:pPr>
                    <w:jc w:val="center"/>
                  </w:pPr>
                  <w:r>
                    <w:rPr>
                      <w:sz w:val="21"/>
                    </w:rPr>
                    <w:t>床位数</w:t>
                  </w:r>
                </w:p>
              </w:tc>
              <w:tc>
                <w:tcPr>
                  <w:tcW w:type="dxa" w:w="591"/>
                  <w:tcBorders>
                    <w:top w:val="none" w:color="000000" w:sz="4"/>
                    <w:left w:val="single" w:color="000000" w:sz="4"/>
                    <w:bottom w:val="single" w:color="000000" w:sz="4"/>
                    <w:right w:val="single" w:color="000000" w:sz="4"/>
                  </w:tcBorders>
                  <w:shd w:fill="FFFFFF"/>
                  <w:vAlign w:val="top"/>
                </w:tcPr>
                <w:p>
                  <w:pPr>
                    <w:jc w:val="center"/>
                  </w:pPr>
                  <w:r>
                    <w:rPr>
                      <w:sz w:val="21"/>
                    </w:rPr>
                    <w:t>10</w:t>
                  </w:r>
                </w:p>
              </w:tc>
            </w:tr>
          </w:tbl>
          <w:p>
            <w:r>
              <w:rPr/>
              <w:t xml:space="preserve"> </w:t>
            </w:r>
          </w:p>
          <w:p>
            <w:pPr>
              <w:jc w:val="both"/>
            </w:pPr>
            <w:r>
              <w:rPr>
                <w:sz w:val="21"/>
              </w:rPr>
              <w:t>（注：</w:t>
            </w:r>
            <w:r>
              <w:rPr>
                <w:sz w:val="21"/>
              </w:rPr>
              <w:t>1.工时计算：（1）个人年度总工时=8小时/天*245天=1960小时；（2）项目专业服务年度总工时=1960小时*5人=9800小时；（3）个人年度间接服务工时=年度会议时数+年度培训时数=2小时/周*49周+15小时=113小时；（4）项目年度直接服务工时=项目专业服务年度总工时﹣项目年度间接服务工时﹣1名预留员工年度服务工时=9800﹣113*5﹣1960=7275小时；（5）项目年度最低服务工时=项目年度直接服务工时=7275小时；项目年度最高服务工时=项目专业服务年度总工时×110%=9800×110%=10780小时。</w:t>
            </w:r>
          </w:p>
          <w:p>
            <w:pPr>
              <w:jc w:val="both"/>
            </w:pPr>
            <w:r>
              <w:rPr>
                <w:sz w:val="21"/>
              </w:rPr>
              <w:t>2.</w:t>
            </w:r>
            <w:r>
              <w:rPr>
                <w:sz w:val="21"/>
              </w:rPr>
              <w:t>服务工时可采用综合定额方式计算，其中生活照料、助餐配餐、康复护理、医疗保健、日间托管等</w:t>
            </w:r>
            <w:r>
              <w:rPr>
                <w:sz w:val="21"/>
              </w:rPr>
              <w:t>5项服务的工时合计不少于年度最低服务总工时的75%。</w:t>
            </w:r>
          </w:p>
          <w:p>
            <w:pPr>
              <w:jc w:val="both"/>
            </w:pPr>
            <w:r>
              <w:rPr>
                <w:sz w:val="21"/>
              </w:rPr>
              <w:t>3.</w:t>
            </w:r>
            <w:r>
              <w:rPr>
                <w:sz w:val="21"/>
              </w:rPr>
              <w:t>如因政策变动或服务指标要求有调整，成交供应商应按政策最新的指标要求完成。）</w:t>
            </w:r>
          </w:p>
          <w:p/>
          <w:p>
            <w:pPr>
              <w:ind w:firstLine="422"/>
              <w:jc w:val="center"/>
            </w:pPr>
            <w:r>
              <w:rPr>
                <w:b/>
                <w:sz w:val="21"/>
              </w:rPr>
              <w:t>表</w:t>
            </w:r>
            <w:r>
              <w:rPr>
                <w:b/>
                <w:sz w:val="21"/>
              </w:rPr>
              <w:t>5 关键服务指标要求</w:t>
            </w:r>
          </w:p>
          <w:p>
            <w:pPr>
              <w:ind w:firstLine="422"/>
              <w:jc w:val="center"/>
            </w:pPr>
            <w:r>
              <w:rPr/>
              <w:t xml:space="preserve"> </w:t>
            </w:r>
          </w:p>
          <w:tbl>
            <w:tblPr>
              <w:tblBorders>
                <w:top w:val="none" w:color="000000" w:sz="4"/>
                <w:left w:val="none" w:color="000000" w:sz="4"/>
                <w:bottom w:val="none" w:color="000000" w:sz="4"/>
                <w:right w:val="none" w:color="000000" w:sz="4"/>
                <w:insideH w:val="none"/>
                <w:insideV w:val="none"/>
              </w:tblBorders>
            </w:tblPr>
            <w:tblGrid>
              <w:gridCol w:w="3714"/>
              <w:gridCol w:w="1883"/>
            </w:tblGrid>
            <w:tr>
              <w:tc>
                <w:tcPr>
                  <w:tcW w:type="dxa" w:w="3714"/>
                  <w:tcBorders>
                    <w:top w:val="single" w:color="000000" w:sz="4"/>
                    <w:left w:val="single" w:color="000000" w:sz="4"/>
                    <w:bottom w:val="single" w:color="000000" w:sz="4"/>
                    <w:right w:val="single" w:color="000000" w:sz="4"/>
                  </w:tcBorders>
                  <w:vAlign w:val="top"/>
                </w:tcPr>
                <w:p>
                  <w:pPr>
                    <w:jc w:val="center"/>
                  </w:pPr>
                  <w:r>
                    <w:rPr>
                      <w:b/>
                      <w:sz w:val="21"/>
                    </w:rPr>
                    <w:t>指标</w:t>
                  </w:r>
                </w:p>
              </w:tc>
              <w:tc>
                <w:tcPr>
                  <w:tcW w:type="dxa" w:w="1883"/>
                  <w:tcBorders>
                    <w:top w:val="single" w:color="000000" w:sz="4"/>
                    <w:left w:val="single" w:color="000000" w:sz="4"/>
                    <w:bottom w:val="single" w:color="000000" w:sz="4"/>
                    <w:right w:val="single" w:color="000000" w:sz="4"/>
                  </w:tcBorders>
                  <w:vAlign w:val="top"/>
                </w:tcPr>
                <w:p>
                  <w:pPr>
                    <w:jc w:val="center"/>
                  </w:pPr>
                  <w:r>
                    <w:rPr>
                      <w:b/>
                      <w:sz w:val="21"/>
                    </w:rPr>
                    <w:t>年度服务指标要求</w:t>
                  </w:r>
                </w:p>
              </w:tc>
            </w:tr>
            <w:tr>
              <w:tc>
                <w:tcPr>
                  <w:tcW w:type="dxa" w:w="3714"/>
                  <w:tcBorders>
                    <w:top w:val="none" w:color="000000" w:sz="4"/>
                    <w:left w:val="single" w:color="000000" w:sz="4"/>
                    <w:bottom w:val="single" w:color="000000" w:sz="4"/>
                    <w:right w:val="single" w:color="000000" w:sz="4"/>
                  </w:tcBorders>
                  <w:vAlign w:val="top"/>
                </w:tcPr>
                <w:p>
                  <w:pPr>
                    <w:jc w:val="center"/>
                  </w:pPr>
                  <w:r>
                    <w:rPr>
                      <w:sz w:val="21"/>
                    </w:rPr>
                    <w:t>符合建设验收指引的</w:t>
                  </w:r>
                  <w:r>
                    <w:rPr>
                      <w:sz w:val="21"/>
                    </w:rPr>
                    <w:t>综合养老服务中心（</w:t>
                  </w:r>
                  <w:r>
                    <w:rPr>
                      <w:sz w:val="21"/>
                    </w:rPr>
                    <w:t>颐康中心</w:t>
                  </w:r>
                  <w:r>
                    <w:rPr>
                      <w:sz w:val="21"/>
                    </w:rPr>
                    <w:t>）</w:t>
                  </w:r>
                </w:p>
              </w:tc>
              <w:tc>
                <w:tcPr>
                  <w:tcW w:type="dxa" w:w="188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714"/>
                  <w:tcBorders>
                    <w:top w:val="none" w:color="000000" w:sz="4"/>
                    <w:left w:val="single" w:color="000000" w:sz="4"/>
                    <w:bottom w:val="single" w:color="000000" w:sz="4"/>
                    <w:right w:val="single" w:color="000000" w:sz="4"/>
                  </w:tcBorders>
                  <w:vAlign w:val="top"/>
                </w:tcPr>
                <w:p>
                  <w:pPr>
                    <w:jc w:val="center"/>
                  </w:pPr>
                  <w:r>
                    <w:rPr>
                      <w:sz w:val="21"/>
                    </w:rPr>
                    <w:t>综合养老服务中心（嵌入式养老院）</w:t>
                  </w:r>
                </w:p>
              </w:tc>
              <w:tc>
                <w:tcPr>
                  <w:tcW w:type="dxa" w:w="188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714"/>
                  <w:tcBorders>
                    <w:top w:val="none" w:color="000000" w:sz="4"/>
                    <w:left w:val="single" w:color="000000" w:sz="4"/>
                    <w:bottom w:val="single" w:color="000000" w:sz="4"/>
                    <w:right w:val="single" w:color="000000" w:sz="4"/>
                  </w:tcBorders>
                  <w:vAlign w:val="top"/>
                </w:tcPr>
                <w:p>
                  <w:pPr>
                    <w:jc w:val="center"/>
                  </w:pPr>
                  <w:r>
                    <w:rPr>
                      <w:sz w:val="21"/>
                    </w:rPr>
                    <w:t>每个村居设置至少</w:t>
                  </w:r>
                  <w:r>
                    <w:rPr>
                      <w:sz w:val="21"/>
                    </w:rPr>
                    <w:t>1个颐康服务站</w:t>
                  </w:r>
                </w:p>
              </w:tc>
              <w:tc>
                <w:tcPr>
                  <w:tcW w:type="dxa" w:w="1883"/>
                  <w:tcBorders>
                    <w:top w:val="none" w:color="000000" w:sz="4"/>
                    <w:left w:val="single" w:color="000000" w:sz="4"/>
                    <w:bottom w:val="single" w:color="000000" w:sz="4"/>
                    <w:right w:val="single" w:color="000000" w:sz="4"/>
                  </w:tcBorders>
                  <w:vAlign w:val="top"/>
                </w:tcPr>
                <w:p>
                  <w:pPr>
                    <w:jc w:val="center"/>
                  </w:pPr>
                  <w:r>
                    <w:rPr>
                      <w:sz w:val="21"/>
                    </w:rPr>
                    <w:t>11</w:t>
                  </w:r>
                </w:p>
              </w:tc>
            </w:tr>
            <w:tr>
              <w:tc>
                <w:tcPr>
                  <w:tcW w:type="dxa" w:w="3714"/>
                  <w:tcBorders>
                    <w:top w:val="none" w:color="000000" w:sz="4"/>
                    <w:left w:val="single" w:color="000000" w:sz="4"/>
                    <w:bottom w:val="single" w:color="000000" w:sz="4"/>
                    <w:right w:val="single" w:color="000000" w:sz="4"/>
                  </w:tcBorders>
                  <w:vAlign w:val="top"/>
                </w:tcPr>
                <w:p>
                  <w:pPr>
                    <w:jc w:val="center"/>
                  </w:pPr>
                  <w:r>
                    <w:rPr>
                      <w:sz w:val="21"/>
                    </w:rPr>
                    <w:t>特殊困难老年人月探访率</w:t>
                  </w:r>
                </w:p>
              </w:tc>
              <w:tc>
                <w:tcPr>
                  <w:tcW w:type="dxa" w:w="1883"/>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3714"/>
                  <w:tcBorders>
                    <w:top w:val="none" w:color="000000" w:sz="4"/>
                    <w:left w:val="single" w:color="000000" w:sz="4"/>
                    <w:bottom w:val="single" w:color="000000" w:sz="4"/>
                    <w:right w:val="single" w:color="000000" w:sz="4"/>
                  </w:tcBorders>
                  <w:vAlign w:val="top"/>
                </w:tcPr>
                <w:p>
                  <w:pPr>
                    <w:jc w:val="center"/>
                  </w:pPr>
                  <w:r>
                    <w:rPr>
                      <w:sz w:val="21"/>
                    </w:rPr>
                    <w:t>社区颐康服务站服务村（居）覆盖率</w:t>
                  </w:r>
                </w:p>
              </w:tc>
              <w:tc>
                <w:tcPr>
                  <w:tcW w:type="dxa" w:w="1883"/>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3714"/>
                  <w:tcBorders>
                    <w:top w:val="none" w:color="000000" w:sz="4"/>
                    <w:left w:val="single" w:color="000000" w:sz="4"/>
                    <w:bottom w:val="single" w:color="000000" w:sz="4"/>
                    <w:right w:val="single" w:color="000000" w:sz="4"/>
                  </w:tcBorders>
                  <w:vAlign w:val="top"/>
                </w:tcPr>
                <w:p>
                  <w:pPr>
                    <w:jc w:val="center"/>
                  </w:pPr>
                  <w:r>
                    <w:rPr>
                      <w:sz w:val="21"/>
                    </w:rPr>
                    <w:t>“家政+养老”上门服务人数</w:t>
                  </w:r>
                </w:p>
              </w:tc>
              <w:tc>
                <w:tcPr>
                  <w:tcW w:type="dxa" w:w="1883"/>
                  <w:tcBorders>
                    <w:top w:val="none" w:color="000000" w:sz="4"/>
                    <w:left w:val="single" w:color="000000" w:sz="4"/>
                    <w:bottom w:val="single" w:color="000000" w:sz="4"/>
                    <w:right w:val="single" w:color="000000" w:sz="4"/>
                  </w:tcBorders>
                  <w:vAlign w:val="top"/>
                </w:tcPr>
                <w:p>
                  <w:pPr>
                    <w:jc w:val="center"/>
                  </w:pPr>
                  <w:r>
                    <w:rPr>
                      <w:sz w:val="21"/>
                    </w:rPr>
                    <w:t>“家政+养老”服务</w:t>
                  </w:r>
                  <w:r>
                    <w:rPr>
                      <w:sz w:val="21"/>
                    </w:rPr>
                    <w:t>覆盖率不低于户籍老年人口的</w:t>
                  </w:r>
                  <w:r>
                    <w:rPr>
                      <w:sz w:val="21"/>
                    </w:rPr>
                    <w:t>2.5%</w:t>
                  </w:r>
                </w:p>
              </w:tc>
            </w:tr>
            <w:tr>
              <w:tc>
                <w:tcPr>
                  <w:tcW w:type="dxa" w:w="3714"/>
                  <w:tcBorders>
                    <w:top w:val="none" w:color="000000" w:sz="4"/>
                    <w:left w:val="single" w:color="000000" w:sz="4"/>
                    <w:bottom w:val="single" w:color="000000" w:sz="4"/>
                    <w:right w:val="single" w:color="000000" w:sz="4"/>
                  </w:tcBorders>
                  <w:vAlign w:val="top"/>
                </w:tcPr>
                <w:p>
                  <w:pPr>
                    <w:jc w:val="center"/>
                  </w:pPr>
                  <w:r>
                    <w:rPr>
                      <w:sz w:val="21"/>
                    </w:rPr>
                    <w:t>享受助餐配餐服务的</w:t>
                  </w:r>
                  <w:r>
                    <w:rPr>
                      <w:sz w:val="21"/>
                    </w:rPr>
                    <w:t>60周岁及以上老年人数量</w:t>
                  </w:r>
                </w:p>
              </w:tc>
              <w:tc>
                <w:tcPr>
                  <w:tcW w:type="dxa" w:w="1883"/>
                  <w:tcBorders>
                    <w:top w:val="none" w:color="000000" w:sz="4"/>
                    <w:left w:val="single" w:color="000000" w:sz="4"/>
                    <w:bottom w:val="single" w:color="000000" w:sz="4"/>
                    <w:right w:val="single" w:color="000000" w:sz="4"/>
                  </w:tcBorders>
                  <w:vAlign w:val="top"/>
                </w:tcPr>
                <w:p>
                  <w:pPr>
                    <w:jc w:val="center"/>
                  </w:pPr>
                  <w:r>
                    <w:rPr>
                      <w:sz w:val="21"/>
                    </w:rPr>
                    <w:t>享受助餐配餐的老年人</w:t>
                  </w:r>
                  <w:r>
                    <w:rPr>
                      <w:sz w:val="21"/>
                    </w:rPr>
                    <w:t>服务人次</w:t>
                  </w:r>
                  <w:r>
                    <w:rPr>
                      <w:sz w:val="21"/>
                    </w:rPr>
                    <w:t>≥</w:t>
                  </w:r>
                  <w:r>
                    <w:rPr>
                      <w:sz w:val="21"/>
                    </w:rPr>
                    <w:t>10000</w:t>
                  </w:r>
                </w:p>
              </w:tc>
            </w:tr>
            <w:tr>
              <w:tc>
                <w:tcPr>
                  <w:tcW w:type="dxa" w:w="3714"/>
                  <w:tcBorders>
                    <w:top w:val="none" w:color="000000" w:sz="4"/>
                    <w:left w:val="single" w:color="000000" w:sz="4"/>
                    <w:bottom w:val="single" w:color="000000" w:sz="4"/>
                    <w:right w:val="single" w:color="000000" w:sz="4"/>
                  </w:tcBorders>
                  <w:vAlign w:val="top"/>
                </w:tcPr>
                <w:p>
                  <w:pPr>
                    <w:jc w:val="center"/>
                  </w:pPr>
                  <w:r>
                    <w:rPr>
                      <w:sz w:val="21"/>
                    </w:rPr>
                    <w:t>自建厨房模式的长者饭堂建设</w:t>
                  </w:r>
                </w:p>
              </w:tc>
              <w:tc>
                <w:tcPr>
                  <w:tcW w:type="dxa" w:w="188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714"/>
                  <w:tcBorders>
                    <w:top w:val="none" w:color="000000" w:sz="4"/>
                    <w:left w:val="single" w:color="000000" w:sz="4"/>
                    <w:bottom w:val="single" w:color="000000" w:sz="4"/>
                    <w:right w:val="single" w:color="000000" w:sz="4"/>
                  </w:tcBorders>
                  <w:vAlign w:val="top"/>
                </w:tcPr>
                <w:p>
                  <w:pPr>
                    <w:jc w:val="center"/>
                  </w:pPr>
                  <w:r>
                    <w:rPr>
                      <w:sz w:val="21"/>
                    </w:rPr>
                    <w:t>与基层卫生服务机构（含护理站）签约开展医疗服务签约率</w:t>
                  </w:r>
                </w:p>
              </w:tc>
              <w:tc>
                <w:tcPr>
                  <w:tcW w:type="dxa" w:w="1883"/>
                  <w:tcBorders>
                    <w:top w:val="none" w:color="000000" w:sz="4"/>
                    <w:left w:val="single" w:color="000000" w:sz="4"/>
                    <w:bottom w:val="single" w:color="000000" w:sz="4"/>
                    <w:right w:val="single" w:color="000000" w:sz="4"/>
                  </w:tcBorders>
                  <w:vAlign w:val="top"/>
                </w:tcPr>
                <w:p>
                  <w:pPr>
                    <w:jc w:val="center"/>
                  </w:pPr>
                  <w:r>
                    <w:rPr>
                      <w:sz w:val="21"/>
                    </w:rPr>
                    <w:t>100%</w:t>
                  </w:r>
                </w:p>
              </w:tc>
            </w:tr>
          </w:tbl>
          <w:p>
            <w:r>
              <w:rPr/>
              <w:t xml:space="preserve"> </w:t>
            </w:r>
          </w:p>
          <w:p>
            <w:pPr>
              <w:jc w:val="both"/>
            </w:pPr>
            <w:r>
              <w:rPr>
                <w:sz w:val="21"/>
              </w:rPr>
              <w:t>（注：</w:t>
            </w:r>
            <w:r>
              <w:rPr>
                <w:sz w:val="21"/>
              </w:rPr>
              <w:t>1.如因政策变动或服务指标要求有调整，中标人应按政策最新的指标要求完成。</w:t>
            </w:r>
          </w:p>
          <w:p>
            <w:pPr>
              <w:jc w:val="both"/>
            </w:pPr>
            <w:r>
              <w:rPr>
                <w:sz w:val="21"/>
              </w:rPr>
              <w:t>2.目前均禾街道辖区内户籍老人实际人数为4563人。人数有变化时，采购人将以书面形式另行通知。）</w:t>
            </w:r>
          </w:p>
          <w:p>
            <w:pPr>
              <w:jc w:val="both"/>
            </w:pPr>
          </w:p>
          <w:p>
            <w:pPr>
              <w:jc w:val="both"/>
            </w:pPr>
            <w:r>
              <w:rPr>
                <w:b/>
                <w:sz w:val="21"/>
              </w:rPr>
              <w:t>三、响应供应商和人员要求</w:t>
            </w:r>
          </w:p>
          <w:p>
            <w:r>
              <w:rPr>
                <w:b/>
                <w:sz w:val="21"/>
              </w:rPr>
              <w:t>（一）响应供应商要求</w:t>
            </w:r>
          </w:p>
          <w:p>
            <w:r>
              <w:rPr>
                <w:sz w:val="21"/>
              </w:rPr>
              <w:t>1.响应供应商具备相关综合养老服务设施运营经验，且取得良好及以上成效</w:t>
            </w:r>
            <w:r>
              <w:rPr>
                <w:sz w:val="21"/>
              </w:rPr>
              <w:t>；</w:t>
            </w:r>
          </w:p>
          <w:p>
            <w:r>
              <w:rPr>
                <w:sz w:val="21"/>
              </w:rPr>
              <w:t>2.按照养老服务等相关法律法规和行业标准，配备与服务和运营相适应且具备相应从业资格的养老护理员、医生、护士、康复治疗师、社会工作师、家政服务员、财务人员、工勤人员等，配备经验丰富的专职中心主任</w:t>
            </w:r>
            <w:r>
              <w:rPr>
                <w:sz w:val="21"/>
              </w:rPr>
              <w:t>；</w:t>
            </w:r>
          </w:p>
          <w:p>
            <w:r>
              <w:rPr>
                <w:sz w:val="21"/>
              </w:rPr>
              <w:t>3.具备从事养老、餐饮服务、医疗服务等相关资质</w:t>
            </w:r>
            <w:r>
              <w:rPr>
                <w:sz w:val="21"/>
              </w:rPr>
              <w:t>；</w:t>
            </w:r>
          </w:p>
          <w:p>
            <w:r>
              <w:rPr>
                <w:sz w:val="21"/>
              </w:rPr>
              <w:t>4.响应供应商统一纳入广州市居家养老综合信息服务平台供应商库，接受政府部门的监督管理，按照政府部门的要求开展服务；</w:t>
            </w:r>
          </w:p>
          <w:p>
            <w:pPr>
              <w:ind w:firstLine="420"/>
              <w:jc w:val="left"/>
            </w:pPr>
            <w:r>
              <w:rPr>
                <w:sz w:val="21"/>
              </w:rPr>
              <w:t>5.按照合同等约定履行提供服务的义务，认真组织实施项目，按时完成项目任务，保证服务数量、质量和效果，主动接受有关部门、服务对象及社会监督，严禁响应供应商将服务项目交由其他服务供应机构实际承担的转包行为；</w:t>
            </w:r>
          </w:p>
          <w:p>
            <w:r>
              <w:rPr>
                <w:sz w:val="21"/>
              </w:rPr>
              <w:t>6.严格按照合同等约定使用服务设施，严禁擅自改变服务设施功能和用途，主动接受政府部门管理和指导；认真落实消防、环保、卫生、安全管理等相关法律法规要求，购买场所责任保险；</w:t>
            </w:r>
          </w:p>
          <w:p>
            <w:r>
              <w:rPr>
                <w:sz w:val="21"/>
              </w:rPr>
              <w:t>7.提供医疗服务的应获得医疗机构执业许可证，提供餐饮服务的应获得食品经营许可证；</w:t>
            </w:r>
          </w:p>
          <w:p>
            <w:r>
              <w:rPr>
                <w:sz w:val="21"/>
              </w:rPr>
              <w:t>8.能有效管理社区居家养老服务相关文件和档案，真实完整记录并及时更新服务对象信息，保护个人信息安全，与服务对象的服务协议签约率及建档率达100%；</w:t>
            </w:r>
          </w:p>
          <w:p>
            <w:r>
              <w:rPr>
                <w:sz w:val="21"/>
              </w:rPr>
              <w:t>9.具有合理、详细的项目经费使用计划和预算明细，严格遵守相关财政财务规定，加强自身监督，确保政府购买服务项目资金规范管理和使用，并按要求及时向政府部门提供资金的使用情况、项目执行情况、成果总结等材料；</w:t>
            </w:r>
          </w:p>
          <w:p>
            <w:r>
              <w:rPr>
                <w:sz w:val="21"/>
              </w:rPr>
              <w:t>10.建立服务风险防范制度，为工作人员购买人身意外保险；</w:t>
            </w:r>
          </w:p>
          <w:p>
            <w:r>
              <w:rPr>
                <w:sz w:val="21"/>
              </w:rPr>
              <w:t>11.建立完善的规章制度和工作流程，包括财务、人事、运营、公共安全、卫生、资产、服务等方面的管理制度和应急措施。</w:t>
            </w:r>
          </w:p>
          <w:p>
            <w:r>
              <w:rPr>
                <w:b/>
                <w:sz w:val="21"/>
              </w:rPr>
              <w:t>（二）人员要求</w:t>
            </w:r>
          </w:p>
          <w:p>
            <w:pPr>
              <w:ind w:firstLine="210"/>
              <w:jc w:val="left"/>
            </w:pPr>
            <w:r>
              <w:rPr>
                <w:sz w:val="21"/>
              </w:rPr>
              <w:t>★</w:t>
            </w:r>
            <w:r>
              <w:rPr>
                <w:sz w:val="21"/>
              </w:rPr>
              <w:t>1.在项目开展期间，为本项目配备不少于</w:t>
            </w:r>
            <w:r>
              <w:rPr>
                <w:sz w:val="21"/>
              </w:rPr>
              <w:t>10</w:t>
            </w:r>
            <w:r>
              <w:rPr>
                <w:sz w:val="21"/>
              </w:rPr>
              <w:t xml:space="preserve"> </w:t>
            </w:r>
            <w:r>
              <w:rPr>
                <w:sz w:val="21"/>
              </w:rPr>
              <w:t>名工作人员，专职人员不得少于</w:t>
            </w:r>
            <w:r>
              <w:rPr>
                <w:sz w:val="21"/>
              </w:rPr>
              <w:t>5 人。其中，应为本项目配备专职项目负责人</w:t>
            </w:r>
            <w:r>
              <w:rPr>
                <w:sz w:val="21"/>
                <w:u w:val="single"/>
              </w:rPr>
              <w:t xml:space="preserve"> </w:t>
            </w:r>
            <w:r>
              <w:rPr>
                <w:sz w:val="21"/>
                <w:u w:val="single"/>
              </w:rPr>
              <w:t>1</w:t>
            </w:r>
            <w:r>
              <w:rPr>
                <w:sz w:val="21"/>
              </w:rPr>
              <w:t>名，执业医师</w:t>
            </w:r>
            <w:r>
              <w:rPr>
                <w:sz w:val="21"/>
                <w:u w:val="single"/>
              </w:rPr>
              <w:t xml:space="preserve"> </w:t>
            </w:r>
            <w:r>
              <w:rPr>
                <w:sz w:val="21"/>
                <w:u w:val="single"/>
              </w:rPr>
              <w:t>1</w:t>
            </w:r>
            <w:r>
              <w:rPr>
                <w:sz w:val="21"/>
              </w:rPr>
              <w:t>名（可为兼职），执业护士</w:t>
            </w:r>
            <w:r>
              <w:rPr>
                <w:sz w:val="21"/>
                <w:u w:val="single"/>
              </w:rPr>
              <w:t xml:space="preserve"> </w:t>
            </w:r>
            <w:r>
              <w:rPr>
                <w:sz w:val="21"/>
                <w:u w:val="single"/>
              </w:rPr>
              <w:t>1</w:t>
            </w:r>
            <w:r>
              <w:rPr>
                <w:sz w:val="21"/>
              </w:rPr>
              <w:t>名，康复治疗师</w:t>
            </w:r>
            <w:r>
              <w:rPr>
                <w:sz w:val="21"/>
                <w:u w:val="single"/>
              </w:rPr>
              <w:t xml:space="preserve"> </w:t>
            </w:r>
            <w:r>
              <w:rPr>
                <w:sz w:val="21"/>
                <w:u w:val="single"/>
              </w:rPr>
              <w:t>1</w:t>
            </w:r>
            <w:r>
              <w:rPr>
                <w:sz w:val="21"/>
              </w:rPr>
              <w:t>名，社会工作师</w:t>
            </w:r>
            <w:r>
              <w:rPr>
                <w:sz w:val="21"/>
                <w:u w:val="single"/>
              </w:rPr>
              <w:t xml:space="preserve"> </w:t>
            </w:r>
            <w:r>
              <w:rPr>
                <w:sz w:val="21"/>
                <w:u w:val="single"/>
              </w:rPr>
              <w:t>1</w:t>
            </w:r>
            <w:r>
              <w:rPr>
                <w:sz w:val="21"/>
              </w:rPr>
              <w:t>名，养老护理员</w:t>
            </w:r>
            <w:r>
              <w:rPr>
                <w:sz w:val="21"/>
                <w:u w:val="single"/>
              </w:rPr>
              <w:t xml:space="preserve"> </w:t>
            </w:r>
            <w:r>
              <w:rPr>
                <w:sz w:val="21"/>
                <w:u w:val="single"/>
              </w:rPr>
              <w:t>1</w:t>
            </w:r>
            <w:r>
              <w:rPr>
                <w:sz w:val="21"/>
              </w:rPr>
              <w:t>名</w:t>
            </w:r>
            <w:r>
              <w:rPr>
                <w:sz w:val="21"/>
              </w:rPr>
              <w:t>，</w:t>
            </w:r>
            <w:r>
              <w:rPr>
                <w:sz w:val="21"/>
              </w:rPr>
              <w:t>其他</w:t>
            </w:r>
            <w:r>
              <w:rPr>
                <w:sz w:val="21"/>
              </w:rPr>
              <w:t>服务</w:t>
            </w:r>
            <w:r>
              <w:rPr>
                <w:sz w:val="21"/>
              </w:rPr>
              <w:t>工作人员</w:t>
            </w:r>
            <w:r>
              <w:rPr>
                <w:sz w:val="21"/>
                <w:u w:val="single"/>
              </w:rPr>
              <w:t xml:space="preserve"> </w:t>
            </w:r>
            <w:r>
              <w:rPr>
                <w:sz w:val="21"/>
                <w:u w:val="single"/>
              </w:rPr>
              <w:t>4</w:t>
            </w:r>
            <w:r>
              <w:rPr>
                <w:sz w:val="21"/>
              </w:rPr>
              <w:t>名</w:t>
            </w:r>
            <w:r>
              <w:rPr>
                <w:sz w:val="21"/>
              </w:rPr>
              <w:t>（</w:t>
            </w:r>
            <w:r>
              <w:rPr>
                <w:sz w:val="21"/>
              </w:rPr>
              <w:t>专职人员不得少于</w:t>
            </w:r>
            <w:r>
              <w:rPr>
                <w:sz w:val="21"/>
              </w:rPr>
              <w:t>5 人</w:t>
            </w:r>
            <w:r>
              <w:rPr>
                <w:sz w:val="21"/>
              </w:rPr>
              <w:t>）</w:t>
            </w:r>
            <w:r>
              <w:rPr>
                <w:sz w:val="21"/>
              </w:rPr>
              <w:t>。响应供应商承诺在服务期内必须保证投入的工作人员数量不能减少，服务期中如有人事变动问题，必须保证能达到响应时承诺投入的人员。（提供书面承诺函加盖公章）</w:t>
            </w:r>
          </w:p>
          <w:p>
            <w:r>
              <w:rPr>
                <w:sz w:val="21"/>
              </w:rPr>
              <w:t>2.提供上门生活照料服务的，保障上门服务人员与服务对象的比例不低于1</w:t>
            </w:r>
            <w:r>
              <w:rPr>
                <w:sz w:val="21"/>
              </w:rPr>
              <w:t>:</w:t>
            </w:r>
            <w:r>
              <w:rPr>
                <w:sz w:val="21"/>
              </w:rPr>
              <w:t>10；</w:t>
            </w:r>
          </w:p>
          <w:p>
            <w:r>
              <w:rPr>
                <w:sz w:val="21"/>
              </w:rPr>
              <w:t>3.提供康复护理服务的，护理人员与服务对象的配备比例不低于1</w:t>
            </w:r>
            <w:r>
              <w:rPr>
                <w:sz w:val="21"/>
              </w:rPr>
              <w:t>:</w:t>
            </w:r>
            <w:r>
              <w:rPr>
                <w:sz w:val="21"/>
              </w:rPr>
              <w:t>10，护理人员应具有护理、康复治疗专业技术教育背景或从业资格；</w:t>
            </w:r>
          </w:p>
          <w:p>
            <w:r>
              <w:rPr>
                <w:sz w:val="21"/>
              </w:rPr>
              <w:t>4.提供医疗保健类服务的，应配备执业医师、执业护士、康复治疗师、技师等专业人员；</w:t>
            </w:r>
          </w:p>
          <w:p>
            <w:r>
              <w:rPr>
                <w:sz w:val="21"/>
              </w:rPr>
              <w:t>5.应配备具有财会专业教育背景或持有财会职业资格证书的人员管理财务；</w:t>
            </w:r>
          </w:p>
          <w:p>
            <w:r>
              <w:rPr>
                <w:sz w:val="21"/>
              </w:rPr>
              <w:t>6.成交供应商应保障服务人员上岗前接受不少于10学时的岗前培训</w:t>
            </w:r>
            <w:r>
              <w:rPr>
                <w:sz w:val="21"/>
              </w:rPr>
              <w:t>，</w:t>
            </w:r>
            <w:r>
              <w:rPr>
                <w:sz w:val="21"/>
              </w:rPr>
              <w:t>每年在岗培训时间不少于</w:t>
            </w:r>
            <w:r>
              <w:rPr>
                <w:sz w:val="21"/>
              </w:rPr>
              <w:t>15学时。</w:t>
            </w:r>
          </w:p>
          <w:p>
            <w:r>
              <w:rPr>
                <w:b/>
                <w:sz w:val="21"/>
              </w:rPr>
              <w:t>（三）服务要求</w:t>
            </w:r>
          </w:p>
          <w:p>
            <w:r>
              <w:rPr>
                <w:sz w:val="21"/>
              </w:rPr>
              <w:t>1.对辖区内老年人的服务覆盖率达到100%。优先为社区居家养老服务资助对象、独居、高龄失能、计划生育特殊家庭等特殊困难老年人群提供服务；</w:t>
            </w:r>
          </w:p>
          <w:p>
            <w:r>
              <w:rPr>
                <w:sz w:val="21"/>
              </w:rPr>
              <w:t>2.提供的服务项目应参照广州市地方标准《广州市居家社区养老服务管理办法》的要求开展；</w:t>
            </w:r>
          </w:p>
          <w:p>
            <w:r>
              <w:rPr>
                <w:sz w:val="21"/>
              </w:rPr>
              <w:t>3.为服务对象制订详细具体的服务方案，并做好服务记录；</w:t>
            </w:r>
          </w:p>
          <w:p>
            <w:r>
              <w:rPr>
                <w:sz w:val="21"/>
              </w:rPr>
              <w:t>4.服务项目完成率达到100%，服务对象满意率达到80%及以上；</w:t>
            </w:r>
          </w:p>
          <w:p>
            <w:r>
              <w:rPr>
                <w:sz w:val="21"/>
              </w:rPr>
              <w:t>5.服务人员应遵循职业操守，按规定开展服务；</w:t>
            </w:r>
          </w:p>
          <w:p>
            <w:r>
              <w:rPr>
                <w:sz w:val="21"/>
              </w:rPr>
              <w:t>6.能有效管理社区居家养老服务相关文件和档案，真实完整记录并及时更新服务对象信息，保护个人信息安全，与服务对象的服务协议签约率及建档率达100%，能够根据服务对象的实际需求制订详细具体的服务方案，并做好服务记录。</w:t>
            </w:r>
          </w:p>
          <w:p>
            <w:r>
              <w:rPr>
                <w:b/>
                <w:sz w:val="21"/>
              </w:rPr>
              <w:t>（四）服务收费</w:t>
            </w:r>
          </w:p>
          <w:p>
            <w:r>
              <w:rPr>
                <w:sz w:val="21"/>
              </w:rPr>
              <w:t>1.成交供应商开展的服务项目费用按照《广州市社区居家养老服务项目清单与指导参考价（试行）》（穗居家养老服务指导中心办〔2018〕6号）的要求执行。</w:t>
            </w:r>
          </w:p>
          <w:p>
            <w:r>
              <w:rPr>
                <w:sz w:val="21"/>
              </w:rPr>
              <w:t>2.成交供应商收费标准必须向社会公开，公开载体包括各级人民政府或民政部门官方网站、成交供应商的网站、宣传栏等。</w:t>
            </w:r>
          </w:p>
          <w:p>
            <w:pPr>
              <w:jc w:val="both"/>
            </w:pPr>
            <w:r>
              <w:rPr>
                <w:b/>
                <w:sz w:val="21"/>
              </w:rPr>
              <w:t>四、保密要求</w:t>
            </w:r>
          </w:p>
          <w:p>
            <w:pPr>
              <w:ind w:firstLine="420"/>
              <w:jc w:val="both"/>
            </w:pPr>
            <w:r>
              <w:rPr>
                <w:sz w:val="21"/>
              </w:rPr>
              <w:t>1.成交供应商须对本项目涉及服务对象的个人相关信息进行保密，未经服务对象或其法定监护人书面许可，不得对外披露，不得以任何形式提供给第三方，不得在参与本项目工作之外使用这些保密信息。</w:t>
            </w:r>
          </w:p>
          <w:p>
            <w:pPr>
              <w:ind w:firstLine="420"/>
              <w:jc w:val="both"/>
            </w:pPr>
            <w:r>
              <w:rPr>
                <w:sz w:val="21"/>
              </w:rPr>
              <w:t>2.成交供应商在本项目终止后不得保留以任何形式存储的服务对象的任何信息数据，不得利用该项目之保密信息数据为其他的单位（包括自办单位）或项目服务。</w:t>
            </w:r>
          </w:p>
          <w:p>
            <w:pPr>
              <w:jc w:val="both"/>
            </w:pPr>
            <w:r>
              <w:rPr>
                <w:b/>
                <w:sz w:val="21"/>
              </w:rPr>
              <w:t>五、监管条款</w:t>
            </w:r>
          </w:p>
          <w:p>
            <w:pPr>
              <w:ind w:firstLine="420"/>
              <w:jc w:val="both"/>
            </w:pPr>
            <w:r>
              <w:rPr>
                <w:sz w:val="21"/>
              </w:rPr>
              <w:t>1.成交供应商必须无条件接受采购人及上级部门的监督管理。</w:t>
            </w:r>
          </w:p>
          <w:p>
            <w:pPr>
              <w:ind w:firstLine="420"/>
              <w:jc w:val="both"/>
            </w:pPr>
            <w:r>
              <w:rPr>
                <w:sz w:val="21"/>
              </w:rPr>
              <w:t>2.采购人有权制定、修订对本项目的考核制度和评分标准，对成交供应商的运营行为进行考核、评分，并根据考评结果作出相应的处理。</w:t>
            </w:r>
          </w:p>
          <w:p>
            <w:pPr>
              <w:ind w:firstLine="420"/>
              <w:jc w:val="both"/>
            </w:pPr>
            <w:r>
              <w:rPr>
                <w:sz w:val="21"/>
              </w:rPr>
              <w:t>3.运营期间发生安全卫生责任事故（包括但不限于消防事故、食品药品事故、人身安全事故等），或出现欺老虐老行为、伙食费未按照非营利性原则收取、未购买机构意外责任保险或入住对象满意率调查低于80%的，民政部门将停止资助，并责令限期整改，出现其他管理服务、安全稳定问题的，依据《广东省养老服务条例》、《养老机构管理办法》等相关规定予以处理。</w:t>
            </w:r>
          </w:p>
          <w:p>
            <w:pPr>
              <w:jc w:val="both"/>
            </w:pPr>
            <w:r>
              <w:rPr>
                <w:b/>
                <w:sz w:val="21"/>
              </w:rPr>
              <w:t>六、终止和退出机制</w:t>
            </w:r>
          </w:p>
          <w:p>
            <w:pPr>
              <w:ind w:firstLine="420"/>
              <w:jc w:val="both"/>
            </w:pPr>
            <w:r>
              <w:rPr>
                <w:sz w:val="21"/>
              </w:rPr>
              <w:t>1.项目运营过程中，如运营期届满或成交供应商提前终止时，成交供应商应及时做好机构交接工作，保障机构正常运营或入住老人妥善安置，双方应在合同终止60日前向白云区民政部门提交终止合同情况报告及入住对象安置方案，经批准后实施。双方共同委托专业会计师事务所进行资产清算，妥善做好资产和账目交接，运营届满应按时移交政府，移交前产生的一切债务或纠纷由成交供应商自行负责。</w:t>
            </w:r>
          </w:p>
          <w:p>
            <w:pPr>
              <w:ind w:firstLine="420"/>
              <w:jc w:val="both"/>
            </w:pPr>
            <w:r>
              <w:rPr>
                <w:sz w:val="21"/>
              </w:rPr>
              <w:t>2.因不可抗力因素或政府政策原因影响合同执行的，双方不承担违约责任，相关补偿按当期有关政策执行。</w:t>
            </w:r>
          </w:p>
          <w:p>
            <w:pPr>
              <w:ind w:firstLine="420"/>
              <w:jc w:val="both"/>
            </w:pPr>
            <w:r>
              <w:rPr>
                <w:sz w:val="21"/>
              </w:rPr>
              <w:t>3.本项目合同生效后即具有法律约束力，双方均不得随意变更或解除。合同需要变更或解除时，须经双方共同协商，达成一致意见。</w:t>
            </w:r>
          </w:p>
          <w:p>
            <w:pPr>
              <w:ind w:firstLine="420"/>
              <w:jc w:val="both"/>
            </w:pPr>
            <w:r>
              <w:rPr>
                <w:sz w:val="21"/>
              </w:rPr>
              <w:t>4.成交供应商有下列情形之一的，采购人及民政部门有权责令其限期整改；情节严重的，应当解除合同，并依法移交有关部门追究责任：</w:t>
            </w:r>
          </w:p>
          <w:p>
            <w:pPr>
              <w:ind w:firstLine="420"/>
              <w:jc w:val="both"/>
            </w:pPr>
            <w:r>
              <w:rPr>
                <w:sz w:val="21"/>
              </w:rPr>
              <w:t>4.1利用本项目场所实施非法活动，违法经营或损害公共利益及违反本合同相关约定的。若因成交供应商违背法律法规行为可能造成采购人在行政、经济上的责任，对造成损失的由成交供应商负全责；</w:t>
            </w:r>
          </w:p>
          <w:p>
            <w:pPr>
              <w:ind w:firstLine="420"/>
              <w:jc w:val="both"/>
            </w:pPr>
            <w:r>
              <w:rPr>
                <w:sz w:val="21"/>
              </w:rPr>
              <w:t>4.2以本项目的经营权向第三方进行转包、担保、保证、抵押或其他有损害采购人权益的，以及以国有资产进行抵押、融资、贷款，或违反协议约定的收费标准或捐赠管理制度，造成严重后果的；</w:t>
            </w:r>
          </w:p>
          <w:p>
            <w:pPr>
              <w:ind w:firstLine="420"/>
              <w:jc w:val="both"/>
            </w:pPr>
            <w:r>
              <w:rPr>
                <w:sz w:val="21"/>
              </w:rPr>
              <w:t>4.3未经采购人同意，擅自变更法人代表或运营方的；</w:t>
            </w:r>
          </w:p>
          <w:p>
            <w:pPr>
              <w:ind w:firstLine="420"/>
              <w:jc w:val="both"/>
            </w:pPr>
            <w:r>
              <w:rPr>
                <w:sz w:val="21"/>
              </w:rPr>
              <w:t>4.4擅自改变经营范围的；</w:t>
            </w:r>
          </w:p>
          <w:p>
            <w:pPr>
              <w:ind w:firstLine="420"/>
              <w:jc w:val="both"/>
            </w:pPr>
            <w:r>
              <w:rPr>
                <w:sz w:val="21"/>
              </w:rPr>
              <w:t>4.5损毁设施或改变设施用途的，无法保障养老机构设施、设备正常运转的；</w:t>
            </w:r>
          </w:p>
          <w:p>
            <w:pPr>
              <w:ind w:firstLine="420"/>
              <w:jc w:val="both"/>
            </w:pPr>
            <w:r>
              <w:rPr>
                <w:sz w:val="21"/>
              </w:rPr>
              <w:t>4.6造成重大安全事故的；</w:t>
            </w:r>
          </w:p>
          <w:p>
            <w:pPr>
              <w:ind w:firstLine="420"/>
              <w:jc w:val="both"/>
            </w:pPr>
            <w:r>
              <w:rPr>
                <w:sz w:val="21"/>
              </w:rPr>
              <w:t>4.7经采购人或上级部门评估为不合格、要求整改后未按时整改或整改后仍然不合要求的；</w:t>
            </w:r>
          </w:p>
          <w:p>
            <w:pPr>
              <w:ind w:firstLine="420"/>
              <w:jc w:val="both"/>
            </w:pPr>
            <w:r>
              <w:rPr>
                <w:sz w:val="21"/>
              </w:rPr>
              <w:t>4.8经营资质降级或丧失的；</w:t>
            </w:r>
          </w:p>
          <w:p>
            <w:pPr>
              <w:ind w:firstLine="420"/>
              <w:jc w:val="both"/>
            </w:pPr>
            <w:r>
              <w:rPr>
                <w:sz w:val="21"/>
              </w:rPr>
              <w:t>4.9违反国家法律法规、违反合同的其他情形。</w:t>
            </w:r>
          </w:p>
          <w:p>
            <w:pPr>
              <w:jc w:val="both"/>
            </w:pPr>
            <w:r>
              <w:rPr>
                <w:b/>
                <w:sz w:val="21"/>
              </w:rPr>
              <w:t>七、其他要求</w:t>
            </w:r>
          </w:p>
          <w:p>
            <w:pPr>
              <w:ind w:firstLine="420"/>
              <w:jc w:val="both"/>
            </w:pPr>
            <w:r>
              <w:rPr>
                <w:sz w:val="21"/>
              </w:rPr>
              <w:t>1.服务期间如遇到国家规定的广州市职工最低工资标准发生调整，采购人将不作任何调整，具体以广州市有关部门颁发的文件为准。</w:t>
            </w:r>
          </w:p>
          <w:p>
            <w:pPr>
              <w:ind w:firstLine="420"/>
              <w:jc w:val="both"/>
            </w:pPr>
            <w:r>
              <w:rPr>
                <w:sz w:val="21"/>
              </w:rPr>
              <w:t>2.成交供应商如需要对服务设施进行改造，改造方案需先报采购人审核，经采购人同意后方可实施。</w:t>
            </w:r>
          </w:p>
          <w:p>
            <w:pPr>
              <w:ind w:firstLine="420"/>
              <w:jc w:val="both"/>
            </w:pPr>
            <w:r>
              <w:rPr>
                <w:sz w:val="21"/>
              </w:rPr>
              <w:t>3.服务期间如成交供应商在年度内的服务质量评估不合格的，采购人有权解除合同并不向成交供应商做任何赔偿或补偿。在解除合同至采购人确定接替的社区居家养老服务机构正式履行合同前，成交供应商仍要为原服务对象提供合同约定的服务，费用按实际人数及服务时间进行结算。合同履行完毕或解除合同后，成交供应商应与接替的居家养老服务机构做好服务内容、相关档案等的交接工作。</w:t>
            </w:r>
          </w:p>
          <w:p>
            <w:pPr>
              <w:ind w:firstLine="420"/>
              <w:jc w:val="both"/>
            </w:pPr>
            <w:r>
              <w:rPr>
                <w:sz w:val="21"/>
              </w:rPr>
              <w:t>4.采购人与成交供应商签订合同后15天内，成交供应商需按采购人要求完善均禾街综合养老服务中心、社区颐康服务站、长者饭堂等标牌标识，相关费用由成交供应商承担。</w:t>
            </w:r>
          </w:p>
          <w:p>
            <w:pPr>
              <w:ind w:firstLine="420"/>
              <w:jc w:val="both"/>
            </w:pPr>
            <w:r>
              <w:rPr>
                <w:sz w:val="21"/>
              </w:rPr>
              <w:t>5.成交供应商应当按照建筑、消防、食品安全、医疗卫生等法律、法规和国家、省、市有关标准开展服务活动；应与服务对象签订服务协议，购买机构责任保险和场地险；须申请纳入长期护理保险协议定点服务机构，其内设医疗机构按规定纳入医保定点机构，便于为老年人提供综合性、全方位的养老服务。</w:t>
            </w:r>
          </w:p>
          <w:p>
            <w:pPr>
              <w:ind w:firstLine="420"/>
              <w:jc w:val="both"/>
            </w:pPr>
            <w:r>
              <w:rPr>
                <w:sz w:val="21"/>
              </w:rPr>
              <w:t>6.运营期间，成交供应商应守法经营，遵守国家的各项法律规定，遵守上级部门的管理公约，必须按有关部门要求认真落实安全生产工作，如因成交供应商原因（包括但不限于安全生产等工作落实不到位等）造成发生事故，或被有关行政主管部门处罚或者责令整改的，因此造成的一切损害损失及法律责任均由成交供应商承担。</w:t>
            </w:r>
          </w:p>
          <w:p>
            <w:pPr>
              <w:ind w:firstLine="420"/>
              <w:jc w:val="both"/>
            </w:pPr>
            <w:r>
              <w:rPr>
                <w:sz w:val="21"/>
              </w:rPr>
              <w:t>7.成交供应商不得以本项目的经营权向第三方进行分包、转包、担保、保证、抵押、融资、贷款或其他有损害采购人权益的行为。</w:t>
            </w:r>
          </w:p>
          <w:p>
            <w:pPr>
              <w:ind w:firstLine="420"/>
              <w:jc w:val="both"/>
            </w:pPr>
            <w:r>
              <w:rPr>
                <w:sz w:val="21"/>
              </w:rPr>
              <w:t>8.成交供应商应自行负责相关行政审批。运营期间未经采购人同意，成交供应商不得转租或改变经营项目。</w:t>
            </w:r>
          </w:p>
          <w:p>
            <w:pPr>
              <w:ind w:firstLine="420"/>
              <w:jc w:val="both"/>
            </w:pPr>
            <w:r>
              <w:rPr>
                <w:sz w:val="21"/>
              </w:rPr>
              <w:t>9.运营期间，不得发生欺老、虐老等违法行为，不得从事与养老服务无关的经营活动，不得利用本项目场地从事违法犯罪行为（包括但不限于生产、销售、经营国家规定的违禁品等），不得从事任何其他违法活动。成交供应商不得发行与本项目相关的商业预付卡，不得利用本项目的任何场地以产品展示的方式向服务对象推销所谓的保健食品或者保健器材等，如经发现上述任一情况的，采购人可视严重程度自行选择单方立即解除合同并按相关法律追究法律责任。运营期间，因成交供应商经营活动发生的一切纠纷，由成交供应商自行承担全部法律责任。</w:t>
            </w:r>
          </w:p>
          <w:p>
            <w:pPr>
              <w:ind w:firstLine="420"/>
              <w:jc w:val="both"/>
            </w:pPr>
            <w:r>
              <w:rPr>
                <w:sz w:val="21"/>
              </w:rPr>
              <w:t>10.如采购人或政府职能部门收到关于</w:t>
            </w:r>
            <w:r>
              <w:rPr>
                <w:sz w:val="21"/>
              </w:rPr>
              <w:t>成交</w:t>
            </w:r>
            <w:r>
              <w:rPr>
                <w:sz w:val="21"/>
              </w:rPr>
              <w:t>供应商违法建设、对老人存在暴力或不文明的行为的投诉或反映，采购人有权责令成交供应商在限期内改正，并依照相关的规定追究成交供应商的违约责任。</w:t>
            </w:r>
          </w:p>
          <w:p>
            <w:pPr>
              <w:ind w:firstLine="210"/>
              <w:jc w:val="both"/>
            </w:pPr>
            <w:r>
              <w:rPr>
                <w:sz w:val="21"/>
              </w:rPr>
              <w:t>★11.</w:t>
            </w:r>
            <w:r>
              <w:rPr>
                <w:sz w:val="21"/>
              </w:rPr>
              <w:t>成交供应商须于签订合同之日起开始运营街道综合养老服务中心（颐康中心）及社区颐康服务站</w:t>
            </w:r>
            <w:r>
              <w:rPr>
                <w:sz w:val="21"/>
              </w:rPr>
              <w:t>。（提供书面承诺函，格式自拟）</w:t>
            </w:r>
          </w:p>
          <w:p>
            <w:pPr>
              <w:ind w:firstLine="420"/>
              <w:jc w:val="both"/>
            </w:pPr>
            <w:r>
              <w:rPr>
                <w:sz w:val="21"/>
              </w:rPr>
              <w:t>12.与成交供应商的特殊约定：</w:t>
            </w:r>
          </w:p>
          <w:p>
            <w:pPr>
              <w:ind w:firstLine="420"/>
              <w:jc w:val="both"/>
            </w:pPr>
            <w:r>
              <w:rPr>
                <w:sz w:val="21"/>
              </w:rPr>
              <w:t>（</w:t>
            </w:r>
            <w:r>
              <w:rPr>
                <w:sz w:val="21"/>
              </w:rPr>
              <w:t>1）颐康中心命名为“广州市白云区均禾街综合养老服务中心（颐康中心）”并对外挂牌，由白云区民政局编号管理，成交供应商不得冠名。</w:t>
            </w:r>
          </w:p>
          <w:p>
            <w:pPr>
              <w:ind w:firstLine="210"/>
              <w:jc w:val="both"/>
            </w:pPr>
            <w:r>
              <w:rPr>
                <w:sz w:val="21"/>
              </w:rPr>
              <w:t>★（2）服务期间，如广州市、白云区关于养老服务的相关政策调整（包括但不限于居家社区养老政策、综合养老服务项目建设及运营政策等）、服务要求、场地建设和验收标准、重点服务对象人数、补贴标准发生变化等，成交供应商必须无条件接受，并严格按有关要求执行，成交供应商与采购人应根据最新政策签订补充协议，补充协议和原运营合同具有同等法律效力。（提供书面承诺函，格式自拟）</w:t>
            </w:r>
          </w:p>
          <w:p>
            <w:pPr>
              <w:ind w:firstLine="420"/>
              <w:jc w:val="both"/>
            </w:pPr>
            <w:r>
              <w:rPr>
                <w:sz w:val="21"/>
              </w:rPr>
              <w:t>（</w:t>
            </w:r>
            <w:r>
              <w:rPr>
                <w:sz w:val="21"/>
              </w:rPr>
              <w:t>3）服务期间，政府补助经费（包括但不限于颐康中心助餐配餐补贴、政府资助对象上门补助等经费）根据养老相关政策法规规定拨付，根据实际服务量进行结算。</w:t>
            </w:r>
          </w:p>
          <w:p>
            <w:pPr>
              <w:ind w:firstLine="420"/>
              <w:jc w:val="both"/>
            </w:pPr>
            <w:r>
              <w:rPr>
                <w:sz w:val="21"/>
              </w:rPr>
              <w:t>13.成交供应商需支付颐康中心前期设施设备及建设费用，初步评估投入资金约4780000元（人民币肆佰柒拾捌万元整），最终以第三方机构资产评估报告和采购人核定的金额为准。（提供书面承诺函，格式自拟）</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广州市白云区人民政府均禾街道办事处</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标准的80%（即下浮20%）收取。招标代理服务费由成交供应商在领取《成交通知书》前一次性向采购代理机构交纳以下金额：￥22,880.00元（大写：人民币贰万贰仟捌佰捌拾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郭俊贤、陈蔚</w:t>
      </w:r>
    </w:p>
    <w:p>
      <w:pPr>
        <w:ind w:firstLine="480"/>
      </w:pPr>
      <w:r>
        <w:rPr/>
        <w:t>电话：</w:t>
      </w:r>
      <w:r>
        <w:rPr/>
        <w:t>020-87687427、87688049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政府采购监督管理机构名称：广州市白云区财政局政府采购科</w:t>
      </w:r>
    </w:p>
    <w:p>
      <w:r>
        <w:rPr/>
        <w:t>地  址：广州市白云区河田西路68号</w:t>
      </w:r>
    </w:p>
    <w:p>
      <w:r>
        <w:rPr/>
        <w:t>电  话：020-26092703</w:t>
      </w:r>
    </w:p>
    <w:p>
      <w:r>
        <w:rPr/>
        <w:t>邮  编：510080</w:t>
      </w:r>
    </w:p>
    <w:p>
      <w:r>
        <w:rPr/>
        <w:t>传  真：020-26092703</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均禾街综合养老服务中心（颐康中心)及颐康服务站运营)：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采购包1（均禾街综合养老服务中心（颐康中心)及颐康服务站运营）：</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响应供应商提供的货物全部由符合政策要求的小型或微型企业制造（工程的施工单位全部为符合政策要求的小型、微型企业，或者服务全部由符合政策要求的小型、微型企业承接），对响应供应商的报价给予P1的价格扣除，即：评标价＝投标价×（1-P1）。 5.参加本项目响应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成交供应商享受中小企业扶持政策的，随成交结果公开成交供应商的《中小企业声明函》。供应商提供《中小企业声明函》内容不实的，属于提供虚假材料谋取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采购包1（均禾街综合养老服务中心（颐康中心)及颐康服务站运营）：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单位负责人为同一人或者存在直接控股、管理关系的不同供应商，不得同时参加本采购项目（采购包）响应。 为本项目提供整体设计、规范编制或者项目管理、监理、检测等服务的供应商，不得再参与本项目投标。 响应承诺函相关承诺要求内容。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采购包1（均禾街综合养老服务中心（颐康中心)及颐康服务站运营）：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工时报价固定唯一且在采购文件规定的范围之内</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采购包1(均禾街综合养老服务中心（颐康中心)及颐康服务站运营):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技术部分50.0分</w:t>
            </w:r>
          </w:p>
          <w:p>
            <w:r>
              <w:rPr/>
              <w:t>综合信用分5.0分</w:t>
            </w:r>
          </w:p>
          <w:p>
            <w:r>
              <w:rPr/>
              <w:t>报价得分20.0分</w:t>
            </w:r>
          </w:p>
        </w:tc>
      </w:tr>
      <w:tr>
        <w:tc>
          <w:tcPr>
            <w:tcW w:type="dxa" w:w="922"/>
            <w:gridSpan w:val="2"/>
            <w:vMerge w:val="restart"/>
          </w:tcPr>
          <w:p>
            <w:pPr>
              <w:jc w:val="center"/>
            </w:pPr>
            <w:r>
              <w:rPr/>
              <w:t>技术部分</w:t>
            </w:r>
          </w:p>
        </w:tc>
        <w:tc>
          <w:tcPr>
            <w:tcW w:type="dxa" w:w="2307"/>
          </w:tcPr>
          <w:p>
            <w:pPr>
              <w:jc w:val="left"/>
            </w:pPr>
            <w:r>
              <w:rPr/>
              <w:t>服务响应情况 (2.0分)</w:t>
            </w:r>
          </w:p>
        </w:tc>
        <w:tc>
          <w:tcPr>
            <w:tcW w:type="dxa" w:w="5076"/>
          </w:tcPr>
          <w:p>
            <w:pPr>
              <w:jc w:val="left"/>
            </w:pPr>
            <w:r>
              <w:rPr/>
              <w:t>响应供应商对采购人服务需求的响应程度： 1.优于采购需求要求，得2分； 2.完全符合采购需求要求，得1分； 3.不符合或偏离采购需求要求，得0分。 备注：如采购需求有明确要求提供的证明资料，则以采购需求中要求的为准，无或未按要求提供证明材料的不得分；如采购需求中无明确证明材料的，以响应文件中的《技术和服务要求响应表》中的偏离情况说明填写内容为准，未填写的视为负偏离。</w:t>
            </w:r>
          </w:p>
        </w:tc>
      </w:tr>
      <w:tr>
        <w:tc>
          <w:tcPr>
            <w:tcW w:type="dxa" w:w="922"/>
            <w:gridSpan w:val="2"/>
            <w:vMerge/>
          </w:tcPr>
          <w:p/>
        </w:tc>
        <w:tc>
          <w:tcPr>
            <w:tcW w:type="dxa" w:w="2307"/>
          </w:tcPr>
          <w:p>
            <w:pPr>
              <w:jc w:val="left"/>
            </w:pPr>
            <w:r>
              <w:rPr/>
              <w:t>项目计划的专业服务内容 (10.0分)</w:t>
            </w:r>
            <w:r>
              <w:rPr/>
              <w:t>，（等次分值选择：</w:t>
            </w:r>
            <w:r>
              <w:rPr/>
              <w:t>0.0;</w:t>
            </w:r>
            <w:r>
              <w:rPr/>
              <w:t>1.0;</w:t>
            </w:r>
            <w:r>
              <w:rPr/>
              <w:t>4.0;</w:t>
            </w:r>
            <w:r>
              <w:rPr/>
              <w:t>7.0;</w:t>
            </w:r>
            <w:r>
              <w:rPr/>
              <w:t>10.0;</w:t>
            </w:r>
            <w:r>
              <w:rPr/>
              <w:t>）</w:t>
            </w:r>
          </w:p>
        </w:tc>
        <w:tc>
          <w:tcPr>
            <w:tcW w:type="dxa" w:w="5076"/>
          </w:tcPr>
          <w:p>
            <w:pPr>
              <w:jc w:val="left"/>
            </w:pPr>
            <w:r>
              <w:rPr/>
              <w:t>1.非常熟悉项目内容，针对本项目制定了完善和详细的实施计划、服务供给、应急预案内容、对进度把控及方案质量保证有详细的说明，内容切实可行，有创新特色，得10分； 2.比较熟悉项目内容，能针对本项目制定相应的实施计划、服务供给、应急预案内容，方案内容较为具体明确，具有一定的可执行性，对进度把控及方案质量保证有相关的说明，内容具有一定的可行性，得7分； 3.了解项目内容，能针对本项目制定相应的实施计划、服务供给内容，但内容不够全面具体，不够细化，对进度把控及方案质量保证有一些说明，内容较为简略，可行性较差，得4分； 4.不了解项目内容，不能针对本项目制定相应的实施计划、服务供给内容，对进度把控及方案质量没有说明，或内容简单粗略，不具有可行性，得1分。 5.无或其他不得分。</w:t>
            </w:r>
          </w:p>
        </w:tc>
      </w:tr>
      <w:tr>
        <w:tc>
          <w:tcPr>
            <w:tcW w:type="dxa" w:w="922"/>
            <w:gridSpan w:val="2"/>
            <w:vMerge/>
          </w:tcPr>
          <w:p/>
        </w:tc>
        <w:tc>
          <w:tcPr>
            <w:tcW w:type="dxa" w:w="2307"/>
          </w:tcPr>
          <w:p>
            <w:pPr>
              <w:jc w:val="left"/>
            </w:pPr>
            <w:r>
              <w:rPr/>
              <w:t>拟投入项目的专业团队人员情况（一） (4.0分)</w:t>
            </w:r>
          </w:p>
        </w:tc>
        <w:tc>
          <w:tcPr>
            <w:tcW w:type="dxa" w:w="5076"/>
          </w:tcPr>
          <w:p>
            <w:pPr>
              <w:jc w:val="left"/>
            </w:pPr>
            <w:r>
              <w:rPr/>
              <w:t>（一）为本项目配备的专职的项目负责人： 1.具有5年或以上养老服务或社会工作服务工作经验； 2.具备中级或高级社会工作师；（提供证书复印件）； 以上每符合一项得2分，最高4分。 注：响应文件中提供相关资质证件、工作经验（工作经验证明可以为项目合同等能证明工作经验的资料）证明文件复印件，及供应商为其缴纳的响应截止前6个月内任意一个月的社保证明复印件。</w:t>
            </w:r>
          </w:p>
        </w:tc>
      </w:tr>
      <w:tr>
        <w:tc>
          <w:tcPr>
            <w:tcW w:type="dxa" w:w="922"/>
            <w:gridSpan w:val="2"/>
            <w:vMerge/>
          </w:tcPr>
          <w:p/>
        </w:tc>
        <w:tc>
          <w:tcPr>
            <w:tcW w:type="dxa" w:w="2307"/>
          </w:tcPr>
          <w:p>
            <w:pPr>
              <w:jc w:val="left"/>
            </w:pPr>
            <w:r>
              <w:rPr/>
              <w:t>拟投入项目的专业团队人员情况（二） (2.0分)</w:t>
            </w:r>
          </w:p>
        </w:tc>
        <w:tc>
          <w:tcPr>
            <w:tcW w:type="dxa" w:w="5076"/>
          </w:tcPr>
          <w:p>
            <w:pPr>
              <w:jc w:val="left"/>
            </w:pPr>
            <w:r>
              <w:rPr/>
              <w:t>（二）本项目配备执业医师的情况： 1.专职的执业医师，每配备1位得2分； 2.兼职的执业医师，每配备1位得1分。 可累计，最高得2分。 注：同时提供执业医师证书及劳动合同、身份证证明复印件加盖公章，资料不全不得分。</w:t>
            </w:r>
          </w:p>
        </w:tc>
      </w:tr>
      <w:tr>
        <w:tc>
          <w:tcPr>
            <w:tcW w:type="dxa" w:w="922"/>
            <w:gridSpan w:val="2"/>
            <w:vMerge/>
          </w:tcPr>
          <w:p/>
        </w:tc>
        <w:tc>
          <w:tcPr>
            <w:tcW w:type="dxa" w:w="2307"/>
          </w:tcPr>
          <w:p>
            <w:pPr>
              <w:jc w:val="left"/>
            </w:pPr>
            <w:r>
              <w:rPr/>
              <w:t>拟投入项目的专业团队人员情况（三） (6.0分)</w:t>
            </w:r>
          </w:p>
        </w:tc>
        <w:tc>
          <w:tcPr>
            <w:tcW w:type="dxa" w:w="5076"/>
          </w:tcPr>
          <w:p>
            <w:pPr>
              <w:jc w:val="left"/>
            </w:pPr>
            <w:r>
              <w:rPr/>
              <w:t>（三）为本项目配备执业护士的情况： 1.专职的执业护士，每配备1位得2分； 2.兼职的执业护士，每配备1位得1分。 可累计，本项最高得6分。 注：同时提供执业护士证书及劳动合同、身份证证明复印件加盖公章，资料不全不得分。</w:t>
            </w:r>
          </w:p>
        </w:tc>
      </w:tr>
      <w:tr>
        <w:tc>
          <w:tcPr>
            <w:tcW w:type="dxa" w:w="922"/>
            <w:gridSpan w:val="2"/>
            <w:vMerge/>
          </w:tcPr>
          <w:p/>
        </w:tc>
        <w:tc>
          <w:tcPr>
            <w:tcW w:type="dxa" w:w="2307"/>
          </w:tcPr>
          <w:p>
            <w:pPr>
              <w:jc w:val="left"/>
            </w:pPr>
            <w:r>
              <w:rPr/>
              <w:t>拟投入项目的专业团队人员情况（四） (4.0分)</w:t>
            </w:r>
          </w:p>
        </w:tc>
        <w:tc>
          <w:tcPr>
            <w:tcW w:type="dxa" w:w="5076"/>
          </w:tcPr>
          <w:p>
            <w:pPr>
              <w:jc w:val="left"/>
            </w:pPr>
            <w:r>
              <w:rPr/>
              <w:t>（四）为本项目配备专职社会工作师的情况： 1.中级或以上的社会工作师，每配备1位，得2分； 2.初级的社会工作师，每配备1位，得1分。 可累计，最高得4分。 注：同时提供社会工作证书及劳动合同、身份证证明复印件加盖公章，资料不全不得分。</w:t>
            </w:r>
          </w:p>
        </w:tc>
      </w:tr>
      <w:tr>
        <w:tc>
          <w:tcPr>
            <w:tcW w:type="dxa" w:w="922"/>
            <w:gridSpan w:val="2"/>
            <w:vMerge/>
          </w:tcPr>
          <w:p/>
        </w:tc>
        <w:tc>
          <w:tcPr>
            <w:tcW w:type="dxa" w:w="2307"/>
          </w:tcPr>
          <w:p>
            <w:pPr>
              <w:jc w:val="left"/>
            </w:pPr>
            <w:r>
              <w:rPr/>
              <w:t>拟投入项目的专业团队人员情况（五） (6.0分)</w:t>
            </w:r>
          </w:p>
        </w:tc>
        <w:tc>
          <w:tcPr>
            <w:tcW w:type="dxa" w:w="5076"/>
          </w:tcPr>
          <w:p>
            <w:pPr>
              <w:jc w:val="left"/>
            </w:pPr>
            <w:r>
              <w:rPr/>
              <w:t>（五）为本项目配备专职养老护理员的情况： 每配备1位得1分，最高得6分。 注：同时提供养老护理员证书（或养老护理员培训证书）、劳动合同、身份证证明复印件加盖公章，资料不全不得分。</w:t>
            </w:r>
          </w:p>
        </w:tc>
      </w:tr>
      <w:tr>
        <w:tc>
          <w:tcPr>
            <w:tcW w:type="dxa" w:w="922"/>
            <w:gridSpan w:val="2"/>
            <w:vMerge/>
          </w:tcPr>
          <w:p/>
        </w:tc>
        <w:tc>
          <w:tcPr>
            <w:tcW w:type="dxa" w:w="2307"/>
          </w:tcPr>
          <w:p>
            <w:pPr>
              <w:jc w:val="left"/>
            </w:pPr>
            <w:r>
              <w:rPr/>
              <w:t>项目计划实施的制度保障 (8.0分)</w:t>
            </w:r>
            <w:r>
              <w:rPr/>
              <w:t>，（等次分值选择：</w:t>
            </w:r>
            <w:r>
              <w:rPr/>
              <w:t>0.0;</w:t>
            </w:r>
            <w:r>
              <w:rPr/>
              <w:t>2.0;</w:t>
            </w:r>
            <w:r>
              <w:rPr/>
              <w:t>5.0;</w:t>
            </w:r>
            <w:r>
              <w:rPr/>
              <w:t>8.0;</w:t>
            </w:r>
            <w:r>
              <w:rPr/>
              <w:t>）</w:t>
            </w:r>
          </w:p>
        </w:tc>
        <w:tc>
          <w:tcPr>
            <w:tcW w:type="dxa" w:w="5076"/>
          </w:tcPr>
          <w:p>
            <w:pPr>
              <w:jc w:val="left"/>
            </w:pPr>
            <w:r>
              <w:rPr/>
              <w:t>是否有针对项目计划实施制定合理、可行的工作制度，保障服务计划有效实施： 1.有系统的服务保障制度，工作制度具体科学、安排合理性强，可执行性强，得8分； 2.有系统的服务保障制度，但相关工作制度科学性一般、不够具体、安排合理性一般、不够完善，可执行性较差，得5分； 3.有服务保障制度，但可执行性较低的，制度不详细、合理性差，欠考虑，得2分； 4.无相关保障运行制度的，得0分。</w:t>
            </w:r>
          </w:p>
        </w:tc>
      </w:tr>
      <w:tr>
        <w:tc>
          <w:tcPr>
            <w:tcW w:type="dxa" w:w="922"/>
            <w:gridSpan w:val="2"/>
            <w:vMerge/>
          </w:tcPr>
          <w:p/>
        </w:tc>
        <w:tc>
          <w:tcPr>
            <w:tcW w:type="dxa" w:w="2307"/>
          </w:tcPr>
          <w:p>
            <w:pPr>
              <w:jc w:val="left"/>
            </w:pPr>
            <w:r>
              <w:rPr/>
              <w:t>项目经费预算保障要求 (8.0分)</w:t>
            </w:r>
            <w:r>
              <w:rPr/>
              <w:t>，（等次分值选择：</w:t>
            </w:r>
            <w:r>
              <w:rPr/>
              <w:t>0.0;</w:t>
            </w:r>
            <w:r>
              <w:rPr/>
              <w:t>2.0;</w:t>
            </w:r>
            <w:r>
              <w:rPr/>
              <w:t>5.0;</w:t>
            </w:r>
            <w:r>
              <w:rPr/>
              <w:t>8.0;</w:t>
            </w:r>
            <w:r>
              <w:rPr/>
              <w:t>）</w:t>
            </w:r>
          </w:p>
        </w:tc>
        <w:tc>
          <w:tcPr>
            <w:tcW w:type="dxa" w:w="5076"/>
          </w:tcPr>
          <w:p>
            <w:pPr>
              <w:jc w:val="left"/>
            </w:pPr>
            <w:r>
              <w:rPr/>
              <w:t>响应供应商是否具有合理、详细的项目经费使用计划和预算明细，对工作中各种可能的支出考虑是否全面细致，是否符合政府购买服务的相关规定，能否确保项目顺利实施： 1.项目经费预算科目清晰，全面考虑了工作中各项可能性支出，预算明细合理且符合政府购买服务的相关规定，得8分； 2.项目经费预算科目清晰，较全面考虑了工作中各项可能性支出，预算明细较合理且符合政府购买服务的相关规定，得5分； 3.项目经费预算科目清晰，但对工作中各项主要性支出考虑不够全面，预算明细基本合理，得2分； 4.无项目经费预算或项目经费预算科目不清晰，均得0分。</w:t>
            </w:r>
          </w:p>
        </w:tc>
      </w:tr>
      <w:tr>
        <w:tc>
          <w:tcPr>
            <w:tcW w:type="dxa" w:w="922"/>
            <w:gridSpan w:val="2"/>
            <w:vMerge w:val="restart"/>
          </w:tcPr>
          <w:p>
            <w:pPr>
              <w:jc w:val="center"/>
            </w:pPr>
            <w:r>
              <w:rPr/>
              <w:t>商务部分</w:t>
            </w:r>
          </w:p>
        </w:tc>
        <w:tc>
          <w:tcPr>
            <w:tcW w:type="dxa" w:w="2307"/>
          </w:tcPr>
          <w:p>
            <w:pPr>
              <w:jc w:val="left"/>
            </w:pPr>
            <w:r>
              <w:rPr/>
              <w:t>响应供应商财务执行能力（一） (2.0分)</w:t>
            </w:r>
          </w:p>
        </w:tc>
        <w:tc>
          <w:tcPr>
            <w:tcW w:type="dxa" w:w="5076"/>
          </w:tcPr>
          <w:p>
            <w:pPr>
              <w:jc w:val="left"/>
            </w:pPr>
            <w:r>
              <w:rPr/>
              <w:t>响应供应商是否有专业的财会人员： （一）财会专业人员情况： 1.有财会专业教育背景或持财会职业资格证书的财会人员，会计和出纳均为专职的，得2分； 2.有财会专业教育背景或持财会职业资格证书的财会人员，会计或出纳为兼职的，得1分。 注：提供相关人员学历证书或资格证书等证明材料以及提供相关人员在本单位任职的证明材料（如加盖所在地区政府有关部门印章的打印日期在本项目响应截止日之前六个月内任意一个月的《投保单》或《社会保险参保人员证明》，或单位代缴个人所得税税单等。）要求在对应人名处圈记并能清楚分辨所在单位。（如兼职人员的可提供有效雇佣关系证明材料）。不提供不得分。</w:t>
            </w:r>
          </w:p>
        </w:tc>
      </w:tr>
      <w:tr>
        <w:tc>
          <w:tcPr>
            <w:tcW w:type="dxa" w:w="922"/>
            <w:gridSpan w:val="2"/>
            <w:vMerge/>
          </w:tcPr>
          <w:p/>
        </w:tc>
        <w:tc>
          <w:tcPr>
            <w:tcW w:type="dxa" w:w="2307"/>
          </w:tcPr>
          <w:p>
            <w:pPr>
              <w:jc w:val="left"/>
            </w:pPr>
            <w:r>
              <w:rPr/>
              <w:t>响应供应商财务执行能力（二） (5.0分)</w:t>
            </w:r>
            <w:r>
              <w:rPr/>
              <w:t>，（等次分值选择：</w:t>
            </w:r>
            <w:r>
              <w:rPr/>
              <w:t>0.0;</w:t>
            </w:r>
            <w:r>
              <w:rPr/>
              <w:t>1.0;</w:t>
            </w:r>
            <w:r>
              <w:rPr/>
              <w:t>3.0;</w:t>
            </w:r>
            <w:r>
              <w:rPr/>
              <w:t>5.0;</w:t>
            </w:r>
            <w:r>
              <w:rPr/>
              <w:t>）</w:t>
            </w:r>
          </w:p>
        </w:tc>
        <w:tc>
          <w:tcPr>
            <w:tcW w:type="dxa" w:w="5076"/>
          </w:tcPr>
          <w:p>
            <w:pPr>
              <w:jc w:val="left"/>
            </w:pPr>
            <w:r>
              <w:rPr/>
              <w:t>响应供应商是否有健全的财务管理机制 （二）财务管理制度情况： 1.财务管理、财务审核、财务监督机制健全，可行性强，有清晰的经费预算、费用报批、物资采购程序，合理性和可操作性强，财务记录详细，得5分； 2.财务管理、财务审核、财务监督制度较为健全，具有一定的可行性，有经费预算、费用报批、物资采购程序，合理性和可操作性较强，有财务记录，但不够详细具体，得3分； 3.财务管理、财务审核、财务监督制度不够全面，可行性较差，经费预算、费用报批、物资采购程序不明确，可操作性差，无相关财务记录，得1分； 4.无或其他不得分。</w:t>
            </w:r>
          </w:p>
        </w:tc>
      </w:tr>
      <w:tr>
        <w:tc>
          <w:tcPr>
            <w:tcW w:type="dxa" w:w="922"/>
            <w:gridSpan w:val="2"/>
            <w:vMerge/>
          </w:tcPr>
          <w:p/>
        </w:tc>
        <w:tc>
          <w:tcPr>
            <w:tcW w:type="dxa" w:w="2307"/>
          </w:tcPr>
          <w:p>
            <w:pPr>
              <w:jc w:val="left"/>
            </w:pPr>
            <w:r>
              <w:rPr/>
              <w:t>响应供应商同类服务业绩 (5.0分)</w:t>
            </w:r>
          </w:p>
        </w:tc>
        <w:tc>
          <w:tcPr>
            <w:tcW w:type="dxa" w:w="5076"/>
          </w:tcPr>
          <w:p>
            <w:pPr>
              <w:jc w:val="left"/>
            </w:pPr>
            <w:r>
              <w:rPr/>
              <w:t>响应供应商自2020年1月1日至今承接综合养老服务或居家养老服务项目，每提供一项业绩得1分，最高5分。 备注：响应文件中提供合同或中标通知书复印件。</w:t>
            </w:r>
          </w:p>
        </w:tc>
      </w:tr>
      <w:tr>
        <w:tc>
          <w:tcPr>
            <w:tcW w:type="dxa" w:w="922"/>
            <w:gridSpan w:val="2"/>
            <w:vMerge/>
          </w:tcPr>
          <w:p/>
        </w:tc>
        <w:tc>
          <w:tcPr>
            <w:tcW w:type="dxa" w:w="2307"/>
          </w:tcPr>
          <w:p>
            <w:pPr>
              <w:jc w:val="left"/>
            </w:pPr>
            <w:r>
              <w:rPr/>
              <w:t>响应供应商综合实力（一） (5.0分)</w:t>
            </w:r>
            <w:r>
              <w:rPr/>
              <w:t>，（等次分值选择：</w:t>
            </w:r>
            <w:r>
              <w:rPr/>
              <w:t>0.0;</w:t>
            </w:r>
            <w:r>
              <w:rPr/>
              <w:t>1.0;</w:t>
            </w:r>
            <w:r>
              <w:rPr/>
              <w:t>3.0;</w:t>
            </w:r>
            <w:r>
              <w:rPr/>
              <w:t>5.0;</w:t>
            </w:r>
            <w:r>
              <w:rPr/>
              <w:t>）</w:t>
            </w:r>
          </w:p>
        </w:tc>
        <w:tc>
          <w:tcPr>
            <w:tcW w:type="dxa" w:w="5076"/>
          </w:tcPr>
          <w:p>
            <w:pPr>
              <w:jc w:val="left"/>
            </w:pPr>
            <w:r>
              <w:rPr/>
              <w:t>响应供应商是否拥有健全合理的组织架构，是否明确员工职责范围和工作守则： 1.响应供应商拥有健全合理的组织架构，内部分工协作明确，员工职责范围和工作守则具体明确，可实行性强，得5分； 2.响应供应商拥有的组织架构不够全面，内部分工协作不够具体明确，员工职责范围和工作守则较为简单，可实行性较弱，得3分； 3.响应供应商拥有的组织架构不清晰，内部分工不明确，员工职责范围和工作守则简略或不明确，不具有可执行性，得1分； 4.无或其他不得分。</w:t>
            </w:r>
          </w:p>
        </w:tc>
      </w:tr>
      <w:tr>
        <w:tc>
          <w:tcPr>
            <w:tcW w:type="dxa" w:w="922"/>
            <w:gridSpan w:val="2"/>
            <w:vMerge/>
          </w:tcPr>
          <w:p/>
        </w:tc>
        <w:tc>
          <w:tcPr>
            <w:tcW w:type="dxa" w:w="2307"/>
          </w:tcPr>
          <w:p>
            <w:pPr>
              <w:jc w:val="left"/>
            </w:pPr>
            <w:r>
              <w:rPr/>
              <w:t>响应供应商综合实力（二） (8.0分)</w:t>
            </w:r>
          </w:p>
        </w:tc>
        <w:tc>
          <w:tcPr>
            <w:tcW w:type="dxa" w:w="5076"/>
          </w:tcPr>
          <w:p>
            <w:pPr>
              <w:jc w:val="left"/>
            </w:pPr>
            <w:r>
              <w:rPr/>
              <w:t>响应供应商具有有效期内的质量管理体系认证证书、环境管理体系认证证书、职业健康安全管理体系认证证书、养老服务认证证书，每具有一个得2分，本项最高得8分。不提供不得分。 备注：同时提供证书复印件，否则不得分。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统一采用量多优先法计算，即按采购文件要求且计划投入本项目的服务总工时数量最多的为评审基准工时，其服务总工时评审为满分。其他响应供应商服务总工时分统一按照下列公式计算：响应服务总工时得分=（投入本项目的服务总工时量÷评审基准工时）×20。  评审过程中，不得去掉最高服务总工时和最低服务总工时。  因落实政府采购政策进行工时调整的，以调整后的评审基准工时和响应服务总工时为准。</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6.汇总、排序</w:t>
      </w:r>
    </w:p>
    <w:p>
      <w:pPr>
        <w:ind w:firstLine="480"/>
      </w:pPr>
    </w:p>
    <w:p/>
    <w:p>
      <w:r>
        <w:rPr/>
        <w:t>采购包1：</w:t>
      </w:r>
    </w:p>
    <w:p/>
    <w:p>
      <w:r>
        <w:rPr/>
        <w:t>评标结果按评审后总得分由高到低顺序排列。总得分相同的按响应报价由低到高顺序排列。得分且响应报价相同的，按照服务指标优劣顺序推荐。排名第一的响应供应商为第一成交候选供应商，排名第二的响应供应商为第二成交候选供应商，排名第三的响应供应商为第三成交候选供应商。</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left"/>
      </w:pPr>
      <w:r>
        <w:rPr>
          <w:b/>
          <w:sz w:val="21"/>
        </w:rPr>
        <w:t>注：</w:t>
      </w:r>
    </w:p>
    <w:p>
      <w:pPr>
        <w:ind w:firstLine="211"/>
        <w:jc w:val="left"/>
      </w:pPr>
      <w:r>
        <w:rPr>
          <w:b/>
          <w:sz w:val="21"/>
        </w:rPr>
        <w:t>1</w:t>
      </w:r>
      <w:r>
        <w:rPr>
          <w:b/>
          <w:sz w:val="21"/>
        </w:rPr>
        <w:t>.</w:t>
      </w:r>
      <w:r>
        <w:rPr>
          <w:b/>
          <w:sz w:val="21"/>
        </w:rPr>
        <w:t>合同具体事项须根据采购文件的约定及乙方响应文件的承诺执行；</w:t>
      </w:r>
    </w:p>
    <w:p>
      <w:pPr>
        <w:ind w:firstLine="211"/>
        <w:jc w:val="left"/>
      </w:pPr>
    </w:p>
    <w:p>
      <w:pPr>
        <w:jc w:val="both"/>
      </w:pPr>
    </w:p>
    <w:p>
      <w:pPr>
        <w:jc w:val="center"/>
      </w:pPr>
      <w:r>
        <w:rPr/>
        <w:t xml:space="preserve"> </w:t>
      </w:r>
    </w:p>
    <w:p>
      <w:pPr>
        <w:jc w:val="center"/>
      </w:pPr>
      <w:r>
        <w:rPr>
          <w:b/>
          <w:color w:val="000000"/>
          <w:sz w:val="72"/>
        </w:rPr>
        <w:t>采</w:t>
      </w:r>
      <w:r>
        <w:rPr>
          <w:b/>
          <w:color w:val="000000"/>
          <w:sz w:val="72"/>
        </w:rPr>
        <w:t>购</w:t>
      </w:r>
      <w:r>
        <w:rPr>
          <w:b/>
          <w:color w:val="000000"/>
          <w:sz w:val="72"/>
        </w:rPr>
        <w:t>合</w:t>
      </w:r>
      <w:r>
        <w:rPr>
          <w:b/>
          <w:color w:val="000000"/>
          <w:sz w:val="72"/>
        </w:rPr>
        <w:t>同</w:t>
      </w:r>
    </w:p>
    <w:p>
      <w:pPr>
        <w:jc w:val="center"/>
      </w:pPr>
      <w:r>
        <w:rPr/>
        <w:t xml:space="preserve"> </w:t>
      </w:r>
    </w:p>
    <w:p>
      <w:pPr>
        <w:jc w:val="center"/>
      </w:pPr>
      <w:r>
        <w:rPr/>
        <w:t xml:space="preserve"> </w:t>
      </w:r>
    </w:p>
    <w:p>
      <w:pPr>
        <w:ind w:firstLine="420"/>
        <w:jc w:val="both"/>
      </w:pPr>
    </w:p>
    <w:p>
      <w:pPr>
        <w:ind w:firstLine="420"/>
        <w:jc w:val="both"/>
      </w:pPr>
    </w:p>
    <w:p>
      <w:pPr>
        <w:jc w:val="center"/>
      </w:pPr>
      <w:r>
        <w:rPr>
          <w:b/>
          <w:color w:val="000000"/>
          <w:sz w:val="72"/>
        </w:rPr>
        <w:t>（模板）</w:t>
      </w:r>
    </w:p>
    <w:p>
      <w:pPr>
        <w:jc w:val="center"/>
      </w:pPr>
      <w:r>
        <w:rPr/>
        <w:t xml:space="preserve"> </w:t>
      </w:r>
    </w:p>
    <w:p>
      <w:pPr>
        <w:jc w:val="center"/>
      </w:pPr>
      <w:r>
        <w:rPr/>
        <w:t xml:space="preserve"> </w:t>
      </w:r>
    </w:p>
    <w:p>
      <w:pPr>
        <w:ind w:firstLine="420"/>
        <w:jc w:val="both"/>
      </w:pPr>
    </w:p>
    <w:p>
      <w:pPr>
        <w:ind w:firstLine="420"/>
        <w:jc w:val="both"/>
      </w:pPr>
    </w:p>
    <w:p>
      <w:pPr>
        <w:jc w:val="center"/>
      </w:pPr>
    </w:p>
    <w:p>
      <w:pPr>
        <w:jc w:val="center"/>
      </w:pPr>
    </w:p>
    <w:p>
      <w:pPr>
        <w:jc w:val="center"/>
      </w:pPr>
    </w:p>
    <w:p>
      <w:pPr>
        <w:jc w:val="center"/>
      </w:pPr>
      <w:r>
        <w:rPr>
          <w:color w:val="000000"/>
          <w:sz w:val="48"/>
        </w:rPr>
        <w:t>广州市白云区人民政府均禾街道综合养老</w:t>
      </w:r>
    </w:p>
    <w:p>
      <w:pPr>
        <w:jc w:val="center"/>
      </w:pPr>
      <w:r>
        <w:rPr>
          <w:color w:val="000000"/>
          <w:sz w:val="48"/>
        </w:rPr>
        <w:t>服务中心（颐康中心</w:t>
      </w:r>
      <w:r>
        <w:rPr>
          <w:color w:val="000000"/>
          <w:sz w:val="48"/>
        </w:rPr>
        <w:t>)及颐康服务站项目</w:t>
      </w:r>
    </w:p>
    <w:p>
      <w:pPr>
        <w:jc w:val="center"/>
      </w:pPr>
      <w:r>
        <w:rPr>
          <w:color w:val="000000"/>
          <w:sz w:val="48"/>
        </w:rPr>
        <w:t>运营合同</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p>
    <w:p>
      <w:pPr>
        <w:jc w:val="center"/>
      </w:pPr>
    </w:p>
    <w:p>
      <w:pPr>
        <w:jc w:val="center"/>
      </w:pPr>
    </w:p>
    <w:p>
      <w:pPr>
        <w:jc w:val="center"/>
      </w:pPr>
    </w:p>
    <w:p>
      <w:pPr>
        <w:jc w:val="center"/>
      </w:pPr>
      <w:r>
        <w:rPr>
          <w:color w:val="000000"/>
          <w:sz w:val="48"/>
        </w:rPr>
        <w:t>签订日期：</w:t>
      </w:r>
      <w:r>
        <w:rPr>
          <w:color w:val="000000"/>
          <w:sz w:val="48"/>
        </w:rPr>
        <w:t xml:space="preserve">   </w:t>
      </w:r>
      <w:r>
        <w:rPr>
          <w:color w:val="000000"/>
          <w:sz w:val="48"/>
        </w:rPr>
        <w:t>年</w:t>
      </w:r>
      <w:r>
        <w:rPr>
          <w:color w:val="000000"/>
          <w:sz w:val="48"/>
        </w:rPr>
        <w:t xml:space="preserve">   </w:t>
      </w:r>
      <w:r>
        <w:rPr>
          <w:color w:val="000000"/>
          <w:sz w:val="48"/>
        </w:rPr>
        <w:t>月</w:t>
      </w:r>
      <w:r>
        <w:rPr>
          <w:color w:val="000000"/>
          <w:sz w:val="48"/>
        </w:rPr>
        <w:t xml:space="preserve">   </w:t>
      </w:r>
      <w:r>
        <w:rPr>
          <w:color w:val="000000"/>
          <w:sz w:val="48"/>
        </w:rPr>
        <w:t>日</w:t>
      </w:r>
    </w:p>
    <w:p>
      <w:pPr>
        <w:jc w:val="center"/>
      </w:pPr>
    </w:p>
    <w:p>
      <w:pPr>
        <w:jc w:val="center"/>
      </w:pPr>
      <w:r>
        <w:rPr>
          <w:b/>
          <w:sz w:val="21"/>
        </w:rPr>
        <w:t>说明</w:t>
      </w:r>
    </w:p>
    <w:p>
      <w:pPr>
        <w:jc w:val="both"/>
      </w:pPr>
      <w:r>
        <w:rPr>
          <w:sz w:val="21"/>
        </w:rPr>
        <w:t>1.本合同文本为示范文本，由广州市居家养老服务指导中心制定。使用单位或个人可在有关法律法规、规定的范围内，结合实际情况调整合同相应内容。</w:t>
      </w:r>
    </w:p>
    <w:p>
      <w:pPr>
        <w:jc w:val="both"/>
      </w:pPr>
      <w:r>
        <w:rPr>
          <w:sz w:val="21"/>
        </w:rPr>
        <w:t>2.本合同适用于本市行政区域内街道（镇）采取政府购买服务方式举办服务项目的情况。</w:t>
      </w:r>
    </w:p>
    <w:p>
      <w:pPr>
        <w:jc w:val="both"/>
      </w:pPr>
      <w:r>
        <w:rPr>
          <w:sz w:val="21"/>
        </w:rPr>
        <w:t>3.当事人应当审慎签订合同，在签订本合同前，要仔细阅读合同条款，特别是审阅其中具有选择性、补充性、修改性的内容，注意防范潜在的风险。</w:t>
      </w:r>
    </w:p>
    <w:p>
      <w:pPr>
        <w:jc w:val="both"/>
      </w:pPr>
      <w:r>
        <w:rPr>
          <w:sz w:val="21"/>
        </w:rPr>
        <w:t>4.本合同文本“□”中选择内容、空格部位填写内容及其他需要删除或添加的内容，当事人应当协商确定。“□”中选择内容，以划“√”方式选定；对于实际情况未发生或当事人不作约定时，应当在空格部位打“×”，以示删除。</w:t>
      </w:r>
    </w:p>
    <w:p>
      <w:pPr>
        <w:jc w:val="both"/>
      </w:pPr>
      <w:r>
        <w:rPr>
          <w:sz w:val="21"/>
        </w:rPr>
        <w:t>5.当事人可针对本合同文本中没有约定或者约定不明确的内容，根据社区居家养老服务的具体情况在相关条款后的空白行中进行补充约定，也可以另行签订补充协议。</w:t>
      </w:r>
    </w:p>
    <w:p>
      <w:pPr>
        <w:jc w:val="both"/>
      </w:pPr>
      <w:r>
        <w:rPr>
          <w:sz w:val="21"/>
        </w:rPr>
        <w:t>6.当事人可根据实际情况决定本合同原件的份数，并在签订合同时认真核对，以确保各份合同内容一致；在任何情况下，当事人都应当至少持有一份合同原件。</w:t>
      </w:r>
    </w:p>
    <w:p>
      <w:pPr>
        <w:jc w:val="both"/>
      </w:pPr>
      <w:r>
        <w:rPr>
          <w:sz w:val="21"/>
        </w:rPr>
        <w:t xml:space="preserve"> </w:t>
      </w:r>
    </w:p>
    <w:p>
      <w:pPr>
        <w:jc w:val="both"/>
      </w:pPr>
    </w:p>
    <w:p/>
    <w:p>
      <w:r>
        <w:rPr/>
        <w:t xml:space="preserve"> </w:t>
      </w:r>
    </w:p>
    <w:p>
      <w:pPr>
        <w:jc w:val="both"/>
      </w:pPr>
      <w:r>
        <w:rPr>
          <w:b/>
          <w:sz w:val="21"/>
        </w:rPr>
        <w:t>甲方（街道办事处或镇政府）</w:t>
      </w:r>
    </w:p>
    <w:p>
      <w:pPr>
        <w:jc w:val="both"/>
      </w:pPr>
      <w:r>
        <w:rPr>
          <w:sz w:val="21"/>
        </w:rPr>
        <w:t>单位名称：</w:t>
      </w:r>
      <w:r>
        <w:rPr>
          <w:sz w:val="21"/>
          <w:u w:val="single"/>
        </w:rPr>
        <w:t xml:space="preserve">                                         </w:t>
      </w:r>
    </w:p>
    <w:p>
      <w:pPr>
        <w:jc w:val="both"/>
      </w:pPr>
      <w:r>
        <w:rPr>
          <w:sz w:val="21"/>
        </w:rPr>
        <w:t>法定代表人：</w:t>
      </w:r>
      <w:r>
        <w:rPr>
          <w:sz w:val="21"/>
          <w:u w:val="single"/>
        </w:rPr>
        <w:t xml:space="preserve">             </w:t>
      </w:r>
      <w:r>
        <w:rPr>
          <w:sz w:val="21"/>
        </w:rPr>
        <w:t xml:space="preserve">     </w:t>
      </w:r>
      <w:r>
        <w:rPr>
          <w:sz w:val="21"/>
        </w:rPr>
        <w:t>联系电话：</w:t>
      </w:r>
      <w:r>
        <w:rPr>
          <w:sz w:val="21"/>
          <w:u w:val="single"/>
        </w:rPr>
        <w:t xml:space="preserve">           </w:t>
      </w:r>
    </w:p>
    <w:p>
      <w:pPr>
        <w:jc w:val="both"/>
      </w:pPr>
      <w:r>
        <w:rPr>
          <w:sz w:val="21"/>
        </w:rPr>
        <w:t>单位地址：</w:t>
      </w:r>
      <w:r>
        <w:rPr>
          <w:sz w:val="21"/>
          <w:u w:val="single"/>
        </w:rPr>
        <w:t xml:space="preserve">                                         </w:t>
      </w:r>
      <w:r>
        <w:rPr>
          <w:sz w:val="21"/>
        </w:rPr>
        <w:t xml:space="preserve">                                </w:t>
      </w:r>
    </w:p>
    <w:p>
      <w:pPr>
        <w:jc w:val="both"/>
      </w:pPr>
      <w:r>
        <w:rPr>
          <w:sz w:val="21"/>
        </w:rPr>
        <w:t xml:space="preserve"> </w:t>
      </w:r>
    </w:p>
    <w:p>
      <w:pPr>
        <w:jc w:val="both"/>
      </w:pPr>
    </w:p>
    <w:p>
      <w:pPr>
        <w:jc w:val="both"/>
      </w:pPr>
      <w:r>
        <w:rPr>
          <w:b/>
          <w:sz w:val="21"/>
        </w:rPr>
        <w:t>乙方（服务供应商）</w:t>
      </w:r>
    </w:p>
    <w:p>
      <w:pPr>
        <w:jc w:val="both"/>
      </w:pPr>
      <w:r>
        <w:rPr>
          <w:sz w:val="21"/>
        </w:rPr>
        <w:t>机构名称：</w:t>
      </w:r>
      <w:r>
        <w:rPr>
          <w:sz w:val="21"/>
          <w:u w:val="single"/>
        </w:rPr>
        <w:t xml:space="preserve">                                               </w:t>
      </w:r>
    </w:p>
    <w:p>
      <w:pPr>
        <w:jc w:val="both"/>
      </w:pPr>
      <w:r>
        <w:rPr>
          <w:sz w:val="21"/>
        </w:rPr>
        <w:t>法定代表人：</w:t>
      </w:r>
      <w:r>
        <w:rPr>
          <w:sz w:val="21"/>
          <w:u w:val="single"/>
        </w:rPr>
        <w:t xml:space="preserve">             </w:t>
      </w:r>
      <w:r>
        <w:rPr>
          <w:sz w:val="21"/>
        </w:rPr>
        <w:t xml:space="preserve">     </w:t>
      </w:r>
      <w:r>
        <w:rPr>
          <w:sz w:val="21"/>
        </w:rPr>
        <w:t>机构电话：</w:t>
      </w:r>
      <w:r>
        <w:rPr>
          <w:sz w:val="21"/>
          <w:u w:val="single"/>
        </w:rPr>
        <w:t xml:space="preserve">                 </w:t>
      </w:r>
    </w:p>
    <w:p>
      <w:pPr>
        <w:jc w:val="both"/>
      </w:pPr>
      <w:r>
        <w:rPr>
          <w:sz w:val="21"/>
        </w:rPr>
        <w:t>联系人：</w:t>
      </w:r>
      <w:r>
        <w:rPr>
          <w:sz w:val="21"/>
          <w:u w:val="single"/>
        </w:rPr>
        <w:t xml:space="preserve">                  </w:t>
      </w:r>
      <w:r>
        <w:rPr>
          <w:sz w:val="21"/>
        </w:rPr>
        <w:t xml:space="preserve">   </w:t>
      </w:r>
      <w:r>
        <w:rPr>
          <w:sz w:val="21"/>
        </w:rPr>
        <w:t>联系电话：</w:t>
      </w:r>
      <w:r>
        <w:rPr>
          <w:sz w:val="21"/>
          <w:u w:val="single"/>
        </w:rPr>
        <w:t xml:space="preserve">                 </w:t>
      </w:r>
    </w:p>
    <w:p>
      <w:pPr>
        <w:jc w:val="both"/>
      </w:pPr>
      <w:r>
        <w:rPr>
          <w:sz w:val="21"/>
        </w:rPr>
        <w:t>机构地址：</w:t>
      </w:r>
      <w:r>
        <w:rPr>
          <w:sz w:val="21"/>
          <w:u w:val="single"/>
        </w:rPr>
        <w:t xml:space="preserve">                                               </w:t>
      </w:r>
      <w:r>
        <w:rPr>
          <w:sz w:val="21"/>
        </w:rPr>
        <w:t xml:space="preserve">                                                 </w:t>
      </w:r>
    </w:p>
    <w:p>
      <w:pPr>
        <w:jc w:val="both"/>
      </w:pPr>
      <w:r>
        <w:rPr>
          <w:sz w:val="21"/>
        </w:rPr>
        <w:t xml:space="preserve"> </w:t>
      </w:r>
    </w:p>
    <w:p>
      <w:pPr>
        <w:jc w:val="left"/>
      </w:pPr>
      <w:r>
        <w:rPr>
          <w:sz w:val="21"/>
        </w:rPr>
        <w:t xml:space="preserve"> </w:t>
      </w:r>
    </w:p>
    <w:p>
      <w:pPr>
        <w:ind w:firstLine="420"/>
        <w:jc w:val="left"/>
      </w:pPr>
      <w:r>
        <w:rPr>
          <w:sz w:val="21"/>
        </w:rPr>
        <w:t>根据《中华人民共和国政府采购法》《中华人民共和国民法典》《政府向社会组织购买服务暂行办法》《广州市居家社区养老服务管理办法》等有关规定，甲、乙双方在平等、自愿、协商一致的基础上，就甲方向乙方购买的居家社区养老服务签订本合同如下：</w:t>
      </w:r>
    </w:p>
    <w:p>
      <w:pPr>
        <w:jc w:val="both"/>
      </w:pPr>
      <w:r>
        <w:rPr>
          <w:sz w:val="21"/>
        </w:rPr>
        <w:t xml:space="preserve"> </w:t>
      </w:r>
    </w:p>
    <w:p>
      <w:pPr>
        <w:ind w:firstLine="482"/>
        <w:jc w:val="center"/>
      </w:pPr>
      <w:r>
        <w:rPr>
          <w:b/>
          <w:sz w:val="21"/>
        </w:rPr>
        <w:t>一、合同金额及支付方式</w:t>
      </w:r>
    </w:p>
    <w:p>
      <w:pPr>
        <w:ind w:firstLine="482"/>
        <w:jc w:val="left"/>
      </w:pPr>
      <w:r>
        <w:rPr>
          <w:b/>
          <w:sz w:val="21"/>
        </w:rPr>
        <w:t>1.1</w:t>
      </w:r>
      <w:r>
        <w:rPr>
          <w:b/>
          <w:sz w:val="21"/>
        </w:rPr>
        <w:t xml:space="preserve"> </w:t>
      </w:r>
      <w:r>
        <w:rPr>
          <w:b/>
          <w:sz w:val="21"/>
        </w:rPr>
        <w:t>运营经费</w:t>
      </w:r>
    </w:p>
    <w:p>
      <w:pPr>
        <w:ind w:firstLine="420"/>
        <w:jc w:val="left"/>
      </w:pPr>
      <w:r>
        <w:rPr>
          <w:sz w:val="21"/>
        </w:rPr>
        <w:t>1.1.1</w:t>
      </w:r>
      <w:r>
        <w:rPr>
          <w:sz w:val="21"/>
        </w:rPr>
        <w:t xml:space="preserve"> </w:t>
      </w:r>
      <w:r>
        <w:rPr>
          <w:sz w:val="21"/>
        </w:rPr>
        <w:t>基础运营经费</w:t>
      </w:r>
    </w:p>
    <w:p>
      <w:pPr>
        <w:ind w:firstLine="420"/>
        <w:jc w:val="left"/>
      </w:pPr>
      <w:r>
        <w:rPr>
          <w:sz w:val="21"/>
        </w:rPr>
        <w:t>《广州市居家</w:t>
      </w:r>
      <w:r>
        <w:rPr>
          <w:sz w:val="21"/>
        </w:rPr>
        <w:t>社区</w:t>
      </w:r>
      <w:r>
        <w:rPr>
          <w:sz w:val="21"/>
        </w:rPr>
        <w:t>养老</w:t>
      </w:r>
      <w:r>
        <w:rPr>
          <w:sz w:val="21"/>
        </w:rPr>
        <w:t>服务</w:t>
      </w:r>
      <w:r>
        <w:rPr>
          <w:sz w:val="21"/>
        </w:rPr>
        <w:t>管理办法》规定</w:t>
      </w:r>
      <w:r>
        <w:rPr>
          <w:sz w:val="21"/>
        </w:rPr>
        <w:t>镇街级、社区级服务设施运营经费每年每个分别为</w:t>
      </w:r>
      <w:r>
        <w:rPr>
          <w:sz w:val="21"/>
        </w:rPr>
        <w:t>40</w:t>
      </w:r>
      <w:r>
        <w:rPr>
          <w:sz w:val="21"/>
        </w:rPr>
        <w:t>万元、</w:t>
      </w:r>
      <w:r>
        <w:rPr>
          <w:sz w:val="21"/>
        </w:rPr>
        <w:t>5</w:t>
      </w:r>
      <w:r>
        <w:rPr>
          <w:sz w:val="21"/>
        </w:rPr>
        <w:t>万元。均禾街综合养老服务中心（颐康中心）及均禾街</w:t>
      </w:r>
      <w:r>
        <w:rPr>
          <w:sz w:val="21"/>
        </w:rPr>
        <w:t>10</w:t>
      </w:r>
      <w:r>
        <w:rPr>
          <w:sz w:val="21"/>
        </w:rPr>
        <w:t>个颐康服务站的运营经费总</w:t>
      </w:r>
      <w:r>
        <w:rPr>
          <w:sz w:val="21"/>
        </w:rPr>
        <w:t>金额为：（大写）</w:t>
      </w:r>
      <w:r>
        <w:rPr>
          <w:sz w:val="21"/>
          <w:u w:val="single"/>
        </w:rPr>
        <w:t>玖拾万元整。</w:t>
      </w:r>
    </w:p>
    <w:p>
      <w:pPr>
        <w:ind w:firstLine="420"/>
        <w:jc w:val="left"/>
      </w:pPr>
      <w:r>
        <w:rPr>
          <w:sz w:val="21"/>
        </w:rPr>
        <w:t>1.1.</w:t>
      </w:r>
      <w:r>
        <w:rPr>
          <w:sz w:val="21"/>
        </w:rPr>
        <w:t>2</w:t>
      </w:r>
      <w:r>
        <w:rPr>
          <w:sz w:val="21"/>
        </w:rPr>
        <w:t xml:space="preserve"> </w:t>
      </w:r>
      <w:r>
        <w:rPr>
          <w:sz w:val="21"/>
        </w:rPr>
        <w:t>服务奖励：</w:t>
      </w:r>
    </w:p>
    <w:p>
      <w:pPr>
        <w:ind w:firstLine="420"/>
        <w:jc w:val="left"/>
      </w:pPr>
      <w:r>
        <w:rPr>
          <w:sz w:val="21"/>
        </w:rPr>
        <w:t>《广州市居家</w:t>
      </w:r>
      <w:r>
        <w:rPr>
          <w:sz w:val="21"/>
        </w:rPr>
        <w:t>社区</w:t>
      </w:r>
      <w:r>
        <w:rPr>
          <w:sz w:val="21"/>
        </w:rPr>
        <w:t>养老</w:t>
      </w:r>
      <w:r>
        <w:rPr>
          <w:sz w:val="21"/>
        </w:rPr>
        <w:t>服务</w:t>
      </w:r>
      <w:r>
        <w:rPr>
          <w:sz w:val="21"/>
        </w:rPr>
        <w:t>管理办法》规定</w:t>
      </w:r>
      <w:r>
        <w:rPr>
          <w:sz w:val="21"/>
        </w:rPr>
        <w:t>街道级、社区（村）级社区养老服务设施满</w:t>
      </w:r>
      <w:r>
        <w:rPr>
          <w:sz w:val="21"/>
        </w:rPr>
        <w:t>12</w:t>
      </w:r>
      <w:r>
        <w:rPr>
          <w:sz w:val="21"/>
        </w:rPr>
        <w:t>个月且经服务评估评定为合格及以上等级的，应当享受相应等级的服务奖励。街道级社区养老服务设施服务评估为优秀、良好、合格等级的，每年每个分别给予</w:t>
      </w:r>
      <w:r>
        <w:rPr>
          <w:sz w:val="21"/>
        </w:rPr>
        <w:t>30</w:t>
      </w:r>
      <w:r>
        <w:rPr>
          <w:sz w:val="21"/>
        </w:rPr>
        <w:t>万、</w:t>
      </w:r>
      <w:r>
        <w:rPr>
          <w:sz w:val="21"/>
        </w:rPr>
        <w:t>20</w:t>
      </w:r>
      <w:r>
        <w:rPr>
          <w:sz w:val="21"/>
        </w:rPr>
        <w:t>万、</w:t>
      </w:r>
      <w:r>
        <w:rPr>
          <w:sz w:val="21"/>
        </w:rPr>
        <w:t>10</w:t>
      </w:r>
      <w:r>
        <w:rPr>
          <w:sz w:val="21"/>
        </w:rPr>
        <w:t>万元的服务奖励；社区（村）级社区养老服务设施服务评估为优秀、良好、合格等级的，每年每个分别给予</w:t>
      </w:r>
      <w:r>
        <w:rPr>
          <w:sz w:val="21"/>
        </w:rPr>
        <w:t>3</w:t>
      </w:r>
      <w:r>
        <w:rPr>
          <w:sz w:val="21"/>
        </w:rPr>
        <w:t>万元、</w:t>
      </w:r>
      <w:r>
        <w:rPr>
          <w:sz w:val="21"/>
        </w:rPr>
        <w:t>2</w:t>
      </w:r>
      <w:r>
        <w:rPr>
          <w:sz w:val="21"/>
        </w:rPr>
        <w:t>万元、</w:t>
      </w:r>
      <w:r>
        <w:rPr>
          <w:sz w:val="21"/>
        </w:rPr>
        <w:t>1</w:t>
      </w:r>
      <w:r>
        <w:rPr>
          <w:sz w:val="21"/>
        </w:rPr>
        <w:t>万元服务奖励。</w:t>
      </w:r>
    </w:p>
    <w:p>
      <w:pPr>
        <w:ind w:firstLine="420"/>
        <w:jc w:val="left"/>
      </w:pPr>
      <w:r>
        <w:rPr>
          <w:sz w:val="21"/>
        </w:rPr>
        <w:t>1.1.</w:t>
      </w:r>
      <w:r>
        <w:rPr>
          <w:sz w:val="21"/>
        </w:rPr>
        <w:t>3</w:t>
      </w:r>
      <w:r>
        <w:rPr>
          <w:sz w:val="21"/>
        </w:rPr>
        <w:t>支付方式：</w:t>
      </w:r>
    </w:p>
    <w:p>
      <w:pPr>
        <w:ind w:firstLine="420"/>
        <w:jc w:val="left"/>
      </w:pPr>
      <w:r>
        <w:rPr>
          <w:sz w:val="21"/>
        </w:rPr>
        <w:t>A</w:t>
      </w:r>
      <w:r>
        <w:rPr>
          <w:sz w:val="21"/>
        </w:rPr>
        <w:t xml:space="preserve">．分 段 划 拨（ √ ）   </w:t>
      </w:r>
      <w:r>
        <w:rPr>
          <w:sz w:val="21"/>
        </w:rPr>
        <w:t>B</w:t>
      </w:r>
      <w:r>
        <w:rPr>
          <w:sz w:val="21"/>
        </w:rPr>
        <w:t>．按 月 划 拨 （    ）</w:t>
      </w:r>
    </w:p>
    <w:p>
      <w:pPr>
        <w:ind w:firstLine="420"/>
        <w:jc w:val="left"/>
      </w:pPr>
      <w:r>
        <w:rPr>
          <w:sz w:val="21"/>
        </w:rPr>
        <w:t>C</w:t>
      </w:r>
      <w:r>
        <w:rPr>
          <w:sz w:val="21"/>
        </w:rPr>
        <w:t xml:space="preserve">．按 季 划 拨（    ）   </w:t>
      </w:r>
      <w:r>
        <w:rPr>
          <w:sz w:val="21"/>
        </w:rPr>
        <w:t>D</w:t>
      </w:r>
      <w:r>
        <w:rPr>
          <w:sz w:val="21"/>
        </w:rPr>
        <w:t>．项目完成结算（    ）</w:t>
      </w:r>
    </w:p>
    <w:p>
      <w:pPr>
        <w:ind w:firstLine="420"/>
        <w:jc w:val="left"/>
      </w:pPr>
      <w:r>
        <w:rPr>
          <w:sz w:val="21"/>
        </w:rPr>
        <w:t>第一次划拨时间：合同签订并收到乙方开具的等额合法有效且符合甲方财务要求的发票后</w:t>
      </w:r>
      <w:r>
        <w:rPr>
          <w:sz w:val="21"/>
        </w:rPr>
        <w:t>5</w:t>
      </w:r>
      <w:r>
        <w:rPr>
          <w:sz w:val="21"/>
        </w:rPr>
        <w:t>个工作日内办理支付手续；划拨比例：均禾街综合养老服务中心（颐康中心</w:t>
      </w:r>
      <w:r>
        <w:rPr>
          <w:sz w:val="21"/>
        </w:rPr>
        <w:t>)</w:t>
      </w:r>
      <w:r>
        <w:rPr>
          <w:sz w:val="21"/>
        </w:rPr>
        <w:t>及均禾街社区颐康服务站运营经费的</w:t>
      </w:r>
      <w:r>
        <w:rPr>
          <w:sz w:val="21"/>
        </w:rPr>
        <w:t>50%</w:t>
      </w:r>
      <w:r>
        <w:rPr>
          <w:sz w:val="21"/>
        </w:rPr>
        <w:t>，即金额</w:t>
      </w:r>
      <w:r>
        <w:rPr>
          <w:sz w:val="21"/>
        </w:rPr>
        <w:t>45</w:t>
      </w:r>
      <w:r>
        <w:rPr>
          <w:sz w:val="21"/>
        </w:rPr>
        <w:t>万元。</w:t>
      </w:r>
    </w:p>
    <w:p>
      <w:pPr>
        <w:ind w:firstLine="420"/>
        <w:jc w:val="left"/>
      </w:pPr>
      <w:r>
        <w:rPr>
          <w:sz w:val="21"/>
        </w:rPr>
        <w:t>第二次划拨时间：年度服务质量评估合格以上并收到乙方开具的等额合法有效且符合甲方财务要求的发票后</w:t>
      </w:r>
      <w:r>
        <w:rPr>
          <w:sz w:val="21"/>
        </w:rPr>
        <w:t>5</w:t>
      </w:r>
      <w:r>
        <w:rPr>
          <w:sz w:val="21"/>
        </w:rPr>
        <w:t>个工作日内办理支付手续，划拨比例：均禾街综合养老服务中心（颐康中心</w:t>
      </w:r>
      <w:r>
        <w:rPr>
          <w:sz w:val="21"/>
        </w:rPr>
        <w:t>)</w:t>
      </w:r>
      <w:r>
        <w:rPr>
          <w:sz w:val="21"/>
        </w:rPr>
        <w:t>及均禾街社区颐康服务站运营经费的</w:t>
      </w:r>
      <w:r>
        <w:rPr>
          <w:sz w:val="21"/>
        </w:rPr>
        <w:t>50%</w:t>
      </w:r>
      <w:r>
        <w:rPr>
          <w:sz w:val="21"/>
        </w:rPr>
        <w:t>，即金额</w:t>
      </w:r>
      <w:r>
        <w:rPr>
          <w:sz w:val="21"/>
        </w:rPr>
        <w:t>45</w:t>
      </w:r>
      <w:r>
        <w:rPr>
          <w:sz w:val="21"/>
        </w:rPr>
        <w:t>万元；以及均禾街综合养老服务中心（颐康中心</w:t>
      </w:r>
      <w:r>
        <w:rPr>
          <w:sz w:val="21"/>
        </w:rPr>
        <w:t>)</w:t>
      </w:r>
      <w:r>
        <w:rPr>
          <w:sz w:val="21"/>
        </w:rPr>
        <w:t>及均禾街社区颐康服务站服务评估结果对应等级的服务奖励。</w:t>
      </w:r>
    </w:p>
    <w:p>
      <w:pPr>
        <w:ind w:firstLine="420"/>
        <w:jc w:val="left"/>
      </w:pPr>
      <w:r>
        <w:rPr>
          <w:sz w:val="21"/>
        </w:rPr>
        <w:t>以上付款须以甲方已收到下拨的专项经费、相关质量评估结果、拨付经费通知下达到为前提，如款项下拨的时间、质量评估结果、拨付经费通知下达时间延迟的，甲方的付款时间也相应顺延，不视为甲方违约。</w:t>
      </w:r>
    </w:p>
    <w:p>
      <w:pPr>
        <w:ind w:firstLine="482"/>
        <w:jc w:val="left"/>
      </w:pPr>
      <w:r>
        <w:rPr>
          <w:b/>
          <w:sz w:val="21"/>
        </w:rPr>
        <w:t>1.2</w:t>
      </w:r>
      <w:r>
        <w:rPr>
          <w:b/>
          <w:sz w:val="21"/>
        </w:rPr>
        <w:t xml:space="preserve"> </w:t>
      </w:r>
      <w:r>
        <w:rPr>
          <w:b/>
          <w:sz w:val="21"/>
        </w:rPr>
        <w:t>服务资助经费</w:t>
      </w:r>
    </w:p>
    <w:p>
      <w:pPr>
        <w:ind w:firstLine="420"/>
        <w:jc w:val="both"/>
      </w:pPr>
      <w:r>
        <w:rPr>
          <w:sz w:val="21"/>
        </w:rPr>
        <w:t>乙方的服务对象属《广州市居家社区养老服务管理办法》第二十六条规定的政府购买服务资助对象的，资助费用根据乙方实际开展服务的情况，由甲方每半年向乙方进行拨付。</w:t>
      </w:r>
    </w:p>
    <w:tbl>
      <w:tblPr>
        <w:tblW w:w="0" w:type="auto"/>
        <w:tblBorders>
          <w:top w:val="none" w:color="000000" w:sz="4"/>
          <w:left w:val="none" w:color="000000" w:sz="4"/>
          <w:bottom w:val="none" w:color="000000" w:sz="4"/>
          <w:right w:val="none" w:color="000000" w:sz="4"/>
          <w:insideH w:val="none"/>
          <w:insideV w:val="none"/>
        </w:tblBorders>
      </w:tblPr>
      <w:tblGrid>
        <w:gridCol w:w="2402"/>
        <w:gridCol w:w="3296"/>
        <w:gridCol w:w="2592"/>
      </w:tblGrid>
      <w:tr>
        <w:tc>
          <w:tcPr>
            <w:tcW w:type="dxa" w:w="2402"/>
            <w:tcBorders>
              <w:top w:val="single" w:color="000000" w:sz="4"/>
              <w:left w:val="single" w:color="000000" w:sz="4"/>
              <w:bottom w:val="single" w:color="000000" w:sz="4"/>
              <w:right w:val="single" w:color="000000" w:sz="4"/>
            </w:tcBorders>
            <w:vAlign w:val="top"/>
          </w:tcPr>
          <w:p>
            <w:pPr>
              <w:jc w:val="center"/>
            </w:pPr>
            <w:r>
              <w:rPr>
                <w:b/>
                <w:sz w:val="21"/>
              </w:rPr>
              <w:t>资助对象类型</w:t>
            </w:r>
          </w:p>
        </w:tc>
        <w:tc>
          <w:tcPr>
            <w:tcW w:type="dxa" w:w="3296"/>
            <w:tcBorders>
              <w:top w:val="single" w:color="000000" w:sz="4"/>
              <w:left w:val="single" w:color="000000" w:sz="4"/>
              <w:bottom w:val="single" w:color="000000" w:sz="4"/>
              <w:right w:val="single" w:color="000000" w:sz="4"/>
            </w:tcBorders>
            <w:vAlign w:val="top"/>
          </w:tcPr>
          <w:p>
            <w:pPr>
              <w:jc w:val="center"/>
            </w:pPr>
            <w:r>
              <w:rPr>
                <w:b/>
                <w:sz w:val="21"/>
              </w:rPr>
              <w:t>服务人数（约）</w:t>
            </w:r>
          </w:p>
        </w:tc>
        <w:tc>
          <w:tcPr>
            <w:tcW w:type="dxa" w:w="2592"/>
            <w:tcBorders>
              <w:top w:val="single" w:color="000000" w:sz="4"/>
              <w:left w:val="single" w:color="000000" w:sz="4"/>
              <w:bottom w:val="single" w:color="000000" w:sz="4"/>
              <w:right w:val="single" w:color="000000" w:sz="4"/>
            </w:tcBorders>
            <w:vAlign w:val="top"/>
          </w:tcPr>
          <w:p>
            <w:pPr>
              <w:jc w:val="center"/>
            </w:pPr>
            <w:r>
              <w:rPr>
                <w:b/>
                <w:sz w:val="21"/>
              </w:rPr>
              <w:t>资助金额（人</w:t>
            </w:r>
            <w:r>
              <w:rPr>
                <w:b/>
                <w:sz w:val="21"/>
              </w:rPr>
              <w:t>/元/月）</w:t>
            </w:r>
          </w:p>
        </w:tc>
      </w:tr>
      <w:tr>
        <w:tc>
          <w:tcPr>
            <w:tcW w:type="dxa" w:w="2402"/>
            <w:tcBorders>
              <w:top w:val="none" w:color="000000" w:sz="4"/>
              <w:left w:val="single" w:color="000000" w:sz="4"/>
              <w:bottom w:val="single" w:color="000000" w:sz="4"/>
              <w:right w:val="single" w:color="000000" w:sz="4"/>
            </w:tcBorders>
            <w:vAlign w:val="top"/>
          </w:tcPr>
          <w:p>
            <w:pPr>
              <w:jc w:val="center"/>
            </w:pPr>
            <w:r>
              <w:rPr>
                <w:sz w:val="21"/>
              </w:rPr>
              <w:t>第一类资助对象中重度失能的</w:t>
            </w:r>
          </w:p>
        </w:tc>
        <w:tc>
          <w:tcPr>
            <w:tcW w:type="dxa" w:w="329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92"/>
            <w:tcBorders>
              <w:top w:val="none" w:color="000000" w:sz="4"/>
              <w:left w:val="single" w:color="000000" w:sz="4"/>
              <w:bottom w:val="single" w:color="000000" w:sz="4"/>
              <w:right w:val="single" w:color="000000" w:sz="4"/>
            </w:tcBorders>
            <w:vAlign w:val="top"/>
          </w:tcPr>
          <w:p>
            <w:pPr>
              <w:jc w:val="center"/>
            </w:pPr>
            <w:r>
              <w:rPr>
                <w:sz w:val="21"/>
              </w:rPr>
              <w:t>600</w:t>
            </w:r>
          </w:p>
        </w:tc>
      </w:tr>
      <w:tr>
        <w:tc>
          <w:tcPr>
            <w:tcW w:type="dxa" w:w="2402"/>
            <w:tcBorders>
              <w:top w:val="none" w:color="000000" w:sz="4"/>
              <w:left w:val="single" w:color="000000" w:sz="4"/>
              <w:bottom w:val="single" w:color="000000" w:sz="4"/>
              <w:right w:val="single" w:color="000000" w:sz="4"/>
            </w:tcBorders>
            <w:vAlign w:val="top"/>
          </w:tcPr>
          <w:p>
            <w:pPr>
              <w:jc w:val="center"/>
            </w:pPr>
            <w:r>
              <w:rPr>
                <w:sz w:val="21"/>
              </w:rPr>
              <w:t>第一类资助对象中非重度失能的</w:t>
            </w:r>
          </w:p>
        </w:tc>
        <w:tc>
          <w:tcPr>
            <w:tcW w:type="dxa" w:w="3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92"/>
            <w:tcBorders>
              <w:top w:val="none" w:color="000000" w:sz="4"/>
              <w:left w:val="single" w:color="000000" w:sz="4"/>
              <w:bottom w:val="single" w:color="000000" w:sz="4"/>
              <w:right w:val="single" w:color="000000" w:sz="4"/>
            </w:tcBorders>
            <w:vAlign w:val="top"/>
          </w:tcPr>
          <w:p>
            <w:pPr>
              <w:jc w:val="center"/>
            </w:pPr>
            <w:r>
              <w:rPr>
                <w:sz w:val="21"/>
              </w:rPr>
              <w:t>400</w:t>
            </w:r>
          </w:p>
        </w:tc>
      </w:tr>
      <w:tr>
        <w:tc>
          <w:tcPr>
            <w:tcW w:type="dxa" w:w="2402"/>
            <w:tcBorders>
              <w:top w:val="none" w:color="000000" w:sz="4"/>
              <w:left w:val="single" w:color="000000" w:sz="4"/>
              <w:bottom w:val="single" w:color="000000" w:sz="4"/>
              <w:right w:val="single" w:color="000000" w:sz="4"/>
            </w:tcBorders>
            <w:vAlign w:val="top"/>
          </w:tcPr>
          <w:p>
            <w:pPr>
              <w:jc w:val="center"/>
            </w:pPr>
            <w:r>
              <w:rPr>
                <w:sz w:val="21"/>
              </w:rPr>
              <w:t>第二类资助对象</w:t>
            </w:r>
          </w:p>
        </w:tc>
        <w:tc>
          <w:tcPr>
            <w:tcW w:type="dxa" w:w="3296"/>
            <w:tcBorders>
              <w:top w:val="none" w:color="000000" w:sz="4"/>
              <w:left w:val="single" w:color="000000" w:sz="4"/>
              <w:bottom w:val="single" w:color="000000" w:sz="4"/>
              <w:right w:val="single" w:color="000000" w:sz="4"/>
            </w:tcBorders>
            <w:vAlign w:val="top"/>
          </w:tcPr>
          <w:p>
            <w:pPr>
              <w:jc w:val="center"/>
            </w:pPr>
            <w:r>
              <w:rPr>
                <w:sz w:val="21"/>
              </w:rPr>
              <w:t>/</w:t>
            </w:r>
          </w:p>
        </w:tc>
        <w:tc>
          <w:tcPr>
            <w:tcW w:type="dxa" w:w="2592"/>
            <w:tcBorders>
              <w:top w:val="none" w:color="000000" w:sz="4"/>
              <w:left w:val="single" w:color="000000" w:sz="4"/>
              <w:bottom w:val="single" w:color="000000" w:sz="4"/>
              <w:right w:val="single" w:color="000000" w:sz="4"/>
            </w:tcBorders>
            <w:vAlign w:val="top"/>
          </w:tcPr>
          <w:p>
            <w:pPr>
              <w:jc w:val="center"/>
            </w:pPr>
            <w:r>
              <w:rPr>
                <w:sz w:val="21"/>
              </w:rPr>
              <w:t>200</w:t>
            </w:r>
          </w:p>
        </w:tc>
      </w:tr>
    </w:tbl>
    <w:p>
      <w:pPr>
        <w:ind w:firstLine="420"/>
        <w:jc w:val="both"/>
      </w:pPr>
      <w:r>
        <w:rPr>
          <w:sz w:val="21"/>
        </w:rPr>
        <w:t>（注：第一类资助对象每人每月</w:t>
      </w:r>
      <w:r>
        <w:rPr>
          <w:sz w:val="21"/>
        </w:rPr>
        <w:t>400</w:t>
      </w:r>
      <w:r>
        <w:rPr>
          <w:sz w:val="21"/>
        </w:rPr>
        <w:t>元，第二类资助对象每人每月</w:t>
      </w:r>
      <w:r>
        <w:rPr>
          <w:sz w:val="21"/>
        </w:rPr>
        <w:t>200</w:t>
      </w:r>
      <w:r>
        <w:rPr>
          <w:sz w:val="21"/>
        </w:rPr>
        <w:t>元。经评估为重度失能的，每人每月增加护理资助</w:t>
      </w:r>
      <w:r>
        <w:rPr>
          <w:sz w:val="21"/>
        </w:rPr>
        <w:t>200</w:t>
      </w:r>
      <w:r>
        <w:rPr>
          <w:sz w:val="21"/>
        </w:rPr>
        <w:t>元。）</w:t>
      </w:r>
    </w:p>
    <w:p>
      <w:pPr>
        <w:ind w:firstLine="482"/>
        <w:jc w:val="center"/>
      </w:pPr>
      <w:r>
        <w:rPr>
          <w:b/>
          <w:sz w:val="21"/>
        </w:rPr>
        <w:t>二、项目内容</w:t>
      </w:r>
    </w:p>
    <w:p>
      <w:pPr>
        <w:ind w:firstLine="482"/>
        <w:jc w:val="left"/>
      </w:pPr>
      <w:r>
        <w:rPr>
          <w:b/>
          <w:sz w:val="21"/>
        </w:rPr>
        <w:t>2.1</w:t>
      </w:r>
      <w:r>
        <w:rPr>
          <w:b/>
          <w:sz w:val="21"/>
        </w:rPr>
        <w:t xml:space="preserve"> </w:t>
      </w:r>
      <w:r>
        <w:rPr>
          <w:b/>
          <w:sz w:val="21"/>
        </w:rPr>
        <w:t>服务项目</w:t>
      </w:r>
    </w:p>
    <w:p>
      <w:pPr>
        <w:ind w:firstLine="420"/>
        <w:jc w:val="left"/>
      </w:pPr>
      <w:r>
        <w:rPr>
          <w:sz w:val="21"/>
        </w:rPr>
        <w:t>根据广州市养老服务规定，为了更好地满足服务区域内的老年人多元化、个性化的服务需求，通过上门和到服务点等形式，为有需要的老年人提供养老服务向导、助餐配餐、生活照料、定期巡访、辅具租赁、平安通、家庭照护培训、文体教育、居家适老化改造、家庭养老床位、日间托管、临时托养、医养康养、康复护理等基本养老服务的功能，重点为有需求的失能、失智老年人提供服务。</w:t>
      </w:r>
    </w:p>
    <w:p>
      <w:pPr>
        <w:ind w:firstLine="482"/>
        <w:jc w:val="left"/>
      </w:pPr>
      <w:r>
        <w:rPr>
          <w:b/>
          <w:sz w:val="21"/>
        </w:rPr>
        <w:t>2.2</w:t>
      </w:r>
      <w:r>
        <w:rPr>
          <w:b/>
          <w:sz w:val="21"/>
        </w:rPr>
        <w:t xml:space="preserve"> </w:t>
      </w:r>
      <w:r>
        <w:rPr>
          <w:b/>
          <w:sz w:val="21"/>
        </w:rPr>
        <w:t>服务设施</w:t>
      </w:r>
    </w:p>
    <w:p>
      <w:pPr>
        <w:ind w:firstLine="480"/>
        <w:jc w:val="left"/>
      </w:pPr>
      <w:r>
        <w:rPr>
          <w:sz w:val="21"/>
        </w:rPr>
        <w:t>乙方承接甲方</w:t>
      </w:r>
      <w:r>
        <w:rPr>
          <w:sz w:val="21"/>
        </w:rPr>
        <w:t>√</w:t>
      </w:r>
      <w:r>
        <w:rPr>
          <w:sz w:val="21"/>
        </w:rPr>
        <w:t>无偿</w:t>
      </w:r>
      <w:r>
        <w:rPr>
          <w:sz w:val="21"/>
        </w:rPr>
        <w:t>□</w:t>
      </w:r>
      <w:r>
        <w:rPr>
          <w:sz w:val="21"/>
        </w:rPr>
        <w:t>抵偿</w:t>
      </w:r>
      <w:r>
        <w:rPr>
          <w:sz w:val="21"/>
        </w:rPr>
        <w:t>提供的以下服务设施，用于开展服务：</w:t>
      </w:r>
    </w:p>
    <w:p>
      <w:pPr>
        <w:ind w:firstLine="420"/>
        <w:jc w:val="left"/>
      </w:pPr>
      <w:r>
        <w:rPr>
          <w:sz w:val="21"/>
        </w:rPr>
        <w:t>均禾街综合养老服务中心（颐康中心），辖内长者饭堂（助餐点）、社区颐康服务站。</w:t>
      </w:r>
    </w:p>
    <w:p>
      <w:pPr>
        <w:ind w:firstLine="420"/>
        <w:jc w:val="left"/>
      </w:pPr>
      <w:r>
        <w:rPr>
          <w:sz w:val="21"/>
        </w:rPr>
        <w:t>提供的服务设施的地址、设备等具体情况另页作为本合同附件。</w:t>
      </w:r>
    </w:p>
    <w:p>
      <w:pPr>
        <w:ind w:firstLine="422"/>
        <w:jc w:val="left"/>
      </w:pPr>
      <w:r>
        <w:rPr>
          <w:b/>
          <w:sz w:val="21"/>
        </w:rPr>
        <w:t>2.3</w:t>
      </w:r>
      <w:r>
        <w:rPr>
          <w:b/>
          <w:sz w:val="21"/>
        </w:rPr>
        <w:t xml:space="preserve"> </w:t>
      </w:r>
      <w:r>
        <w:rPr>
          <w:b/>
          <w:sz w:val="21"/>
        </w:rPr>
        <w:t>服务地域范围</w:t>
      </w:r>
      <w:r>
        <w:rPr>
          <w:sz w:val="21"/>
        </w:rPr>
        <w:t>：广州市白云区均禾街</w:t>
      </w:r>
    </w:p>
    <w:p>
      <w:pPr>
        <w:ind w:firstLine="422"/>
        <w:jc w:val="left"/>
      </w:pPr>
      <w:r>
        <w:rPr>
          <w:b/>
          <w:sz w:val="21"/>
        </w:rPr>
        <w:t>2.4</w:t>
      </w:r>
      <w:r>
        <w:rPr>
          <w:b/>
          <w:sz w:val="21"/>
        </w:rPr>
        <w:t xml:space="preserve"> </w:t>
      </w:r>
      <w:r>
        <w:rPr>
          <w:b/>
          <w:sz w:val="21"/>
        </w:rPr>
        <w:t>服务对象：</w:t>
      </w:r>
      <w:r>
        <w:rPr>
          <w:sz w:val="21"/>
        </w:rPr>
        <w:t>以政府购买服务资助对象作为重点对象，服务覆盖率须达到</w:t>
      </w:r>
      <w:r>
        <w:rPr>
          <w:sz w:val="21"/>
        </w:rPr>
        <w:t>100%</w:t>
      </w:r>
      <w:r>
        <w:rPr>
          <w:sz w:val="21"/>
        </w:rPr>
        <w:t>；同时，发展区域内的老年群体成为服务对象，服务覆盖率须达到</w:t>
      </w:r>
      <w:r>
        <w:rPr>
          <w:sz w:val="21"/>
        </w:rPr>
        <w:t>100%</w:t>
      </w:r>
      <w:r>
        <w:rPr>
          <w:sz w:val="21"/>
        </w:rPr>
        <w:t>。</w:t>
      </w:r>
    </w:p>
    <w:p>
      <w:pPr>
        <w:ind w:firstLine="422"/>
        <w:jc w:val="left"/>
      </w:pPr>
      <w:r>
        <w:rPr>
          <w:b/>
          <w:sz w:val="21"/>
        </w:rPr>
        <w:t>2.5</w:t>
      </w:r>
      <w:r>
        <w:rPr>
          <w:b/>
          <w:sz w:val="21"/>
        </w:rPr>
        <w:t xml:space="preserve"> </w:t>
      </w:r>
      <w:r>
        <w:rPr>
          <w:b/>
          <w:sz w:val="21"/>
        </w:rPr>
        <w:t>人员要求</w:t>
      </w:r>
    </w:p>
    <w:p>
      <w:pPr>
        <w:ind w:firstLine="420"/>
        <w:jc w:val="left"/>
      </w:pPr>
      <w:r>
        <w:rPr>
          <w:sz w:val="21"/>
        </w:rPr>
        <w:t>2.5.1</w:t>
      </w:r>
      <w:r>
        <w:rPr>
          <w:sz w:val="21"/>
        </w:rPr>
        <w:t xml:space="preserve"> </w:t>
      </w:r>
      <w:r>
        <w:rPr>
          <w:sz w:val="21"/>
        </w:rPr>
        <w:t>在项目开展期间，乙方保障为本项目配备专职项目管理人员</w:t>
      </w:r>
      <w:r>
        <w:rPr>
          <w:sz w:val="21"/>
        </w:rPr>
        <w:t>1</w:t>
      </w:r>
      <w:r>
        <w:rPr>
          <w:sz w:val="21"/>
        </w:rPr>
        <w:t>人，执业医师</w:t>
      </w:r>
      <w:r>
        <w:rPr>
          <w:sz w:val="21"/>
          <w:u w:val="single"/>
        </w:rPr>
        <w:t xml:space="preserve">   </w:t>
      </w:r>
      <w:r>
        <w:rPr>
          <w:sz w:val="21"/>
        </w:rPr>
        <w:t>人，执业护士</w:t>
      </w:r>
      <w:r>
        <w:rPr>
          <w:sz w:val="21"/>
          <w:u w:val="single"/>
        </w:rPr>
        <w:t xml:space="preserve">   </w:t>
      </w:r>
      <w:r>
        <w:rPr>
          <w:sz w:val="21"/>
        </w:rPr>
        <w:t>人，康复治疗师</w:t>
      </w:r>
      <w:r>
        <w:rPr>
          <w:sz w:val="21"/>
          <w:u w:val="single"/>
        </w:rPr>
        <w:t xml:space="preserve">   </w:t>
      </w:r>
      <w:r>
        <w:rPr>
          <w:sz w:val="21"/>
        </w:rPr>
        <w:t>人，社会工作师</w:t>
      </w:r>
      <w:r>
        <w:rPr>
          <w:sz w:val="21"/>
          <w:u w:val="single"/>
        </w:rPr>
        <w:t xml:space="preserve">   </w:t>
      </w:r>
      <w:r>
        <w:rPr>
          <w:sz w:val="21"/>
        </w:rPr>
        <w:t>人，养老护理员</w:t>
      </w:r>
      <w:r>
        <w:rPr>
          <w:sz w:val="21"/>
          <w:u w:val="single"/>
        </w:rPr>
        <w:t xml:space="preserve">   </w:t>
      </w:r>
      <w:r>
        <w:rPr>
          <w:sz w:val="21"/>
        </w:rPr>
        <w:t>人，其他工作人员</w:t>
      </w:r>
      <w:r>
        <w:rPr>
          <w:sz w:val="21"/>
          <w:u w:val="single"/>
        </w:rPr>
        <w:t xml:space="preserve">   </w:t>
      </w:r>
      <w:r>
        <w:rPr>
          <w:sz w:val="21"/>
        </w:rPr>
        <w:t>人。（注：应根据项目实际需求进行人员要求设置。）乙方承诺在服务期内必须保证投入的工作人员数量不能减少，服务期中如有人事变动问题，必须保证能达到响应时承诺投入的人员；</w:t>
      </w:r>
    </w:p>
    <w:p>
      <w:pPr>
        <w:ind w:firstLine="420"/>
        <w:jc w:val="left"/>
      </w:pPr>
      <w:r>
        <w:rPr>
          <w:sz w:val="21"/>
        </w:rPr>
        <w:t>2.5.2</w:t>
      </w:r>
      <w:r>
        <w:rPr>
          <w:sz w:val="21"/>
        </w:rPr>
        <w:t xml:space="preserve"> </w:t>
      </w:r>
      <w:r>
        <w:rPr>
          <w:sz w:val="21"/>
        </w:rPr>
        <w:t>所有工作人员上岗前需接受不少于</w:t>
      </w:r>
      <w:r>
        <w:rPr>
          <w:sz w:val="21"/>
        </w:rPr>
        <w:t>10</w:t>
      </w:r>
      <w:r>
        <w:rPr>
          <w:sz w:val="21"/>
        </w:rPr>
        <w:t>学时的岗前培训，每年在岗培训时间不少于</w:t>
      </w:r>
      <w:r>
        <w:rPr>
          <w:sz w:val="21"/>
        </w:rPr>
        <w:t>15</w:t>
      </w:r>
      <w:r>
        <w:rPr>
          <w:sz w:val="21"/>
        </w:rPr>
        <w:t>学时</w:t>
      </w:r>
      <w:r>
        <w:rPr>
          <w:sz w:val="21"/>
        </w:rPr>
        <w:t>。</w:t>
      </w:r>
    </w:p>
    <w:p>
      <w:pPr>
        <w:ind w:firstLine="422"/>
        <w:jc w:val="left"/>
      </w:pPr>
      <w:r>
        <w:rPr>
          <w:b/>
          <w:sz w:val="21"/>
        </w:rPr>
        <w:t>2.6</w:t>
      </w:r>
      <w:r>
        <w:rPr>
          <w:b/>
          <w:sz w:val="21"/>
        </w:rPr>
        <w:t xml:space="preserve"> </w:t>
      </w:r>
      <w:r>
        <w:rPr>
          <w:b/>
          <w:sz w:val="21"/>
        </w:rPr>
        <w:t>服务要求</w:t>
      </w:r>
    </w:p>
    <w:p>
      <w:pPr>
        <w:ind w:firstLine="420"/>
        <w:jc w:val="left"/>
      </w:pPr>
      <w:r>
        <w:rPr>
          <w:sz w:val="21"/>
        </w:rPr>
        <w:t>2.6.1</w:t>
      </w:r>
      <w:r>
        <w:rPr>
          <w:sz w:val="21"/>
        </w:rPr>
        <w:t xml:space="preserve"> </w:t>
      </w:r>
      <w:r>
        <w:rPr>
          <w:sz w:val="21"/>
        </w:rPr>
        <w:t>基础性服务要求</w:t>
      </w:r>
    </w:p>
    <w:p>
      <w:pPr>
        <w:ind w:firstLine="420"/>
        <w:jc w:val="left"/>
      </w:pPr>
      <w:r>
        <w:rPr>
          <w:sz w:val="21"/>
        </w:rPr>
        <w:t>（</w:t>
      </w:r>
      <w:r>
        <w:rPr>
          <w:sz w:val="21"/>
        </w:rPr>
        <w:t>1</w:t>
      </w:r>
      <w:r>
        <w:rPr>
          <w:sz w:val="21"/>
        </w:rPr>
        <w:t>）乙方能严格按照合同使用服务设施，自觉接受民政部门管理和指导，认真落实消防、环保、卫生、安全管理等相关法律法规要求，并购买场所责任保险；</w:t>
      </w:r>
    </w:p>
    <w:p>
      <w:pPr>
        <w:ind w:firstLine="420"/>
        <w:jc w:val="left"/>
      </w:pPr>
      <w:r>
        <w:rPr>
          <w:sz w:val="21"/>
        </w:rPr>
        <w:t>（</w:t>
      </w:r>
      <w:r>
        <w:rPr>
          <w:sz w:val="21"/>
        </w:rPr>
        <w:t>2</w:t>
      </w:r>
      <w:r>
        <w:rPr>
          <w:sz w:val="21"/>
        </w:rPr>
        <w:t>）乙方能有效管理社区居家养老服务相关文件和档案，真实完整记录并及时更新服务对象信息，保护个人信息安全，与服务对象的服务协议签约率及建档率达</w:t>
      </w:r>
      <w:r>
        <w:rPr>
          <w:sz w:val="21"/>
        </w:rPr>
        <w:t>100%</w:t>
      </w:r>
      <w:r>
        <w:rPr>
          <w:sz w:val="21"/>
        </w:rPr>
        <w:t>；</w:t>
      </w:r>
    </w:p>
    <w:p>
      <w:pPr>
        <w:ind w:firstLine="420"/>
        <w:jc w:val="left"/>
      </w:pPr>
      <w:r>
        <w:rPr>
          <w:sz w:val="21"/>
        </w:rPr>
        <w:t>（</w:t>
      </w:r>
      <w:r>
        <w:rPr>
          <w:sz w:val="21"/>
        </w:rPr>
        <w:t>3</w:t>
      </w:r>
      <w:r>
        <w:rPr>
          <w:sz w:val="21"/>
        </w:rPr>
        <w:t>）乙方建立防范服务风险制度，为工作人员购买人身意外保险；</w:t>
      </w:r>
    </w:p>
    <w:p>
      <w:pPr>
        <w:ind w:firstLine="420"/>
        <w:jc w:val="left"/>
      </w:pPr>
      <w:r>
        <w:rPr>
          <w:sz w:val="21"/>
        </w:rPr>
        <w:t>（</w:t>
      </w:r>
      <w:r>
        <w:rPr>
          <w:sz w:val="21"/>
        </w:rPr>
        <w:t>4</w:t>
      </w:r>
      <w:r>
        <w:rPr>
          <w:sz w:val="21"/>
        </w:rPr>
        <w:t>）乙方提供康复护理的机构，护理人员与服务对象的配备比例不低于</w:t>
      </w:r>
      <w:r>
        <w:rPr>
          <w:sz w:val="21"/>
        </w:rPr>
        <w:t>1:10</w:t>
      </w:r>
      <w:r>
        <w:rPr>
          <w:sz w:val="21"/>
        </w:rPr>
        <w:t>，护理人员应具有专业技术教育背景或从业资格；</w:t>
      </w:r>
    </w:p>
    <w:p>
      <w:pPr>
        <w:ind w:firstLine="420"/>
        <w:jc w:val="left"/>
      </w:pPr>
      <w:r>
        <w:rPr>
          <w:sz w:val="21"/>
        </w:rPr>
        <w:t>（</w:t>
      </w:r>
      <w:r>
        <w:rPr>
          <w:sz w:val="21"/>
        </w:rPr>
        <w:t>5</w:t>
      </w:r>
      <w:r>
        <w:rPr>
          <w:sz w:val="21"/>
        </w:rPr>
        <w:t>）乙方纳入广州市居家养老综合信息服务平台供应商库，接受政府部门的监督管理，按照政府部门的要求开展服务。</w:t>
      </w:r>
    </w:p>
    <w:p>
      <w:pPr>
        <w:ind w:firstLine="420"/>
        <w:jc w:val="left"/>
      </w:pPr>
      <w:r>
        <w:rPr>
          <w:sz w:val="21"/>
        </w:rPr>
        <w:t>（</w:t>
      </w:r>
      <w:r>
        <w:rPr>
          <w:sz w:val="21"/>
        </w:rPr>
        <w:t>6</w:t>
      </w:r>
      <w:r>
        <w:rPr>
          <w:sz w:val="21"/>
        </w:rPr>
        <w:t>）按照广州市推进具备综合功能的社区养老服务供应商建设的工作部署，乙方需具备提供养老全托服务的能力，或者承诺在中标后根据甲方需求发展全托服务能力。</w:t>
      </w:r>
    </w:p>
    <w:p>
      <w:pPr>
        <w:ind w:firstLine="420"/>
        <w:jc w:val="left"/>
      </w:pPr>
      <w:r>
        <w:rPr>
          <w:sz w:val="21"/>
        </w:rPr>
        <w:t>2.6.2</w:t>
      </w:r>
      <w:r>
        <w:rPr>
          <w:sz w:val="21"/>
        </w:rPr>
        <w:t xml:space="preserve"> </w:t>
      </w:r>
      <w:r>
        <w:rPr>
          <w:sz w:val="21"/>
        </w:rPr>
        <w:t>综合性服务要求</w:t>
      </w:r>
    </w:p>
    <w:p>
      <w:pPr>
        <w:ind w:firstLine="420"/>
        <w:jc w:val="left"/>
      </w:pPr>
      <w:r>
        <w:rPr>
          <w:sz w:val="21"/>
        </w:rPr>
        <w:t>（</w:t>
      </w:r>
      <w:r>
        <w:rPr>
          <w:sz w:val="21"/>
        </w:rPr>
        <w:t>1</w:t>
      </w:r>
      <w:r>
        <w:rPr>
          <w:sz w:val="21"/>
        </w:rPr>
        <w:t>）乙方应建立健全机构规章制度，满足社区居家养老工作顺利开展的需要；</w:t>
      </w:r>
    </w:p>
    <w:p>
      <w:pPr>
        <w:ind w:firstLine="420"/>
        <w:jc w:val="left"/>
      </w:pPr>
      <w:r>
        <w:rPr>
          <w:sz w:val="21"/>
        </w:rPr>
        <w:t>（</w:t>
      </w:r>
      <w:r>
        <w:rPr>
          <w:sz w:val="21"/>
        </w:rPr>
        <w:t>2</w:t>
      </w:r>
      <w:r>
        <w:rPr>
          <w:sz w:val="21"/>
        </w:rPr>
        <w:t>）乙方应建立健全机构服务规范，做到服务专业、流程合理、记录完整、监督到位；</w:t>
      </w:r>
    </w:p>
    <w:p>
      <w:pPr>
        <w:ind w:firstLine="420"/>
        <w:jc w:val="left"/>
      </w:pPr>
      <w:r>
        <w:rPr>
          <w:sz w:val="21"/>
        </w:rPr>
        <w:t>（</w:t>
      </w:r>
      <w:r>
        <w:rPr>
          <w:sz w:val="21"/>
        </w:rPr>
        <w:t>3</w:t>
      </w:r>
      <w:r>
        <w:rPr>
          <w:sz w:val="21"/>
        </w:rPr>
        <w:t>）乙方应不断完善组织架构，组建专业的服务团队；</w:t>
      </w:r>
    </w:p>
    <w:p>
      <w:pPr>
        <w:ind w:firstLine="420"/>
        <w:jc w:val="left"/>
      </w:pPr>
      <w:r>
        <w:rPr>
          <w:sz w:val="21"/>
        </w:rPr>
        <w:t>（</w:t>
      </w:r>
      <w:r>
        <w:rPr>
          <w:sz w:val="21"/>
        </w:rPr>
        <w:t>4</w:t>
      </w:r>
      <w:r>
        <w:rPr>
          <w:sz w:val="21"/>
        </w:rPr>
        <w:t>）乙方应在服务范围内开展专业的需求调查，积极引导老年群体参与服务活动，根据需求情况拓展创新服务；</w:t>
      </w:r>
    </w:p>
    <w:p>
      <w:pPr>
        <w:ind w:firstLine="420"/>
        <w:jc w:val="left"/>
      </w:pPr>
      <w:r>
        <w:rPr>
          <w:sz w:val="21"/>
        </w:rPr>
        <w:t>（</w:t>
      </w:r>
      <w:r>
        <w:rPr>
          <w:sz w:val="21"/>
        </w:rPr>
        <w:t>5</w:t>
      </w:r>
      <w:r>
        <w:rPr>
          <w:sz w:val="21"/>
        </w:rPr>
        <w:t>）乙方选择承接的服务有专业资质要求的，乙方需配备具有对应资质的人员或链接具备资质的社会资源开展服务。</w:t>
      </w:r>
    </w:p>
    <w:p>
      <w:pPr>
        <w:ind w:firstLine="420"/>
        <w:jc w:val="left"/>
      </w:pPr>
      <w:r>
        <w:rPr>
          <w:sz w:val="21"/>
        </w:rPr>
        <w:t>2.6.3</w:t>
      </w:r>
      <w:r>
        <w:rPr>
          <w:sz w:val="21"/>
        </w:rPr>
        <w:t xml:space="preserve"> </w:t>
      </w:r>
      <w:r>
        <w:rPr>
          <w:sz w:val="21"/>
        </w:rPr>
        <w:t>专业服务要求</w:t>
      </w:r>
    </w:p>
    <w:p>
      <w:pPr>
        <w:ind w:firstLine="420"/>
        <w:jc w:val="left"/>
      </w:pPr>
      <w:r>
        <w:rPr>
          <w:sz w:val="21"/>
        </w:rPr>
        <w:t>甲方向乙方购买的服务项目，乙方须按照广州市地方标准《社区居家养老服务规范》的要求开展服务。</w:t>
      </w:r>
    </w:p>
    <w:p>
      <w:pPr>
        <w:ind w:firstLine="482"/>
        <w:jc w:val="center"/>
      </w:pPr>
      <w:r>
        <w:rPr>
          <w:b/>
          <w:sz w:val="21"/>
        </w:rPr>
        <w:t>服务指标表</w:t>
      </w:r>
    </w:p>
    <w:tbl>
      <w:tblPr>
        <w:tblW w:w="0" w:type="auto"/>
        <w:tblBorders>
          <w:top w:val="none" w:color="000000" w:sz="4"/>
          <w:left w:val="none" w:color="000000" w:sz="4"/>
          <w:bottom w:val="none" w:color="000000" w:sz="4"/>
          <w:right w:val="none" w:color="000000" w:sz="4"/>
          <w:insideH w:val="none"/>
          <w:insideV w:val="none"/>
        </w:tblBorders>
      </w:tblPr>
      <w:tblGrid>
        <w:gridCol w:w="610"/>
        <w:gridCol w:w="711"/>
        <w:gridCol w:w="971"/>
        <w:gridCol w:w="3480"/>
        <w:gridCol w:w="707"/>
        <w:gridCol w:w="794"/>
        <w:gridCol w:w="706"/>
      </w:tblGrid>
      <w:tr>
        <w:tc>
          <w:tcPr>
            <w:tcW w:type="dxa" w:w="61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711"/>
            <w:tcBorders>
              <w:top w:val="single" w:color="000000" w:sz="4"/>
              <w:left w:val="single" w:color="000000" w:sz="4"/>
              <w:bottom w:val="single" w:color="000000" w:sz="4"/>
              <w:right w:val="single" w:color="000000" w:sz="4"/>
            </w:tcBorders>
            <w:vAlign w:val="top"/>
          </w:tcPr>
          <w:p>
            <w:pPr>
              <w:jc w:val="center"/>
            </w:pPr>
            <w:r>
              <w:rPr>
                <w:b/>
                <w:sz w:val="21"/>
              </w:rPr>
              <w:t>服务类别</w:t>
            </w:r>
          </w:p>
        </w:tc>
        <w:tc>
          <w:tcPr>
            <w:tcW w:type="dxa" w:w="971"/>
            <w:tcBorders>
              <w:top w:val="single" w:color="000000" w:sz="4"/>
              <w:left w:val="single" w:color="000000" w:sz="4"/>
              <w:bottom w:val="single" w:color="000000" w:sz="4"/>
              <w:right w:val="single" w:color="000000" w:sz="4"/>
            </w:tcBorders>
            <w:vAlign w:val="top"/>
          </w:tcPr>
          <w:p>
            <w:pPr>
              <w:jc w:val="center"/>
            </w:pPr>
            <w:r>
              <w:rPr>
                <w:b/>
                <w:sz w:val="21"/>
              </w:rPr>
              <w:t>服务项目</w:t>
            </w:r>
          </w:p>
        </w:tc>
        <w:tc>
          <w:tcPr>
            <w:tcW w:type="dxa" w:w="3480"/>
            <w:tcBorders>
              <w:top w:val="single" w:color="000000" w:sz="4"/>
              <w:left w:val="single" w:color="000000" w:sz="4"/>
              <w:bottom w:val="single" w:color="000000" w:sz="4"/>
              <w:right w:val="single" w:color="000000" w:sz="4"/>
            </w:tcBorders>
            <w:vAlign w:val="top"/>
          </w:tcPr>
          <w:p>
            <w:pPr>
              <w:jc w:val="center"/>
            </w:pPr>
            <w:r>
              <w:rPr>
                <w:b/>
                <w:sz w:val="21"/>
              </w:rPr>
              <w:t>服务内容</w:t>
            </w:r>
          </w:p>
        </w:tc>
        <w:tc>
          <w:tcPr>
            <w:tcW w:type="dxa" w:w="707"/>
            <w:tcBorders>
              <w:top w:val="single" w:color="000000" w:sz="4"/>
              <w:left w:val="single" w:color="000000" w:sz="4"/>
              <w:bottom w:val="single" w:color="000000" w:sz="4"/>
              <w:right w:val="single" w:color="000000" w:sz="4"/>
            </w:tcBorders>
            <w:vAlign w:val="top"/>
          </w:tcPr>
          <w:p>
            <w:pPr>
              <w:jc w:val="center"/>
            </w:pPr>
            <w:r>
              <w:rPr>
                <w:b/>
                <w:sz w:val="21"/>
              </w:rPr>
              <w:t>指标单位</w:t>
            </w:r>
          </w:p>
        </w:tc>
        <w:tc>
          <w:tcPr>
            <w:tcW w:type="dxa" w:w="794"/>
            <w:tcBorders>
              <w:top w:val="single" w:color="000000" w:sz="4"/>
              <w:left w:val="single" w:color="000000" w:sz="4"/>
              <w:bottom w:val="single" w:color="000000" w:sz="4"/>
              <w:right w:val="single" w:color="000000" w:sz="4"/>
            </w:tcBorders>
            <w:vAlign w:val="top"/>
          </w:tcPr>
          <w:p>
            <w:pPr>
              <w:jc w:val="center"/>
            </w:pPr>
            <w:r>
              <w:rPr>
                <w:b/>
                <w:sz w:val="21"/>
              </w:rPr>
              <w:t>最低量化指标</w:t>
            </w:r>
          </w:p>
        </w:tc>
        <w:tc>
          <w:tcPr>
            <w:tcW w:type="dxa" w:w="706"/>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610"/>
            <w:vMerge w:val="restart"/>
            <w:tcBorders>
              <w:top w:val="none" w:color="000000" w:sz="4"/>
              <w:left w:val="single" w:color="000000" w:sz="4"/>
              <w:bottom w:val="single" w:color="000000" w:sz="4"/>
              <w:right w:val="single" w:color="000000" w:sz="4"/>
            </w:tcBorders>
            <w:vAlign w:val="top"/>
          </w:tcPr>
          <w:p>
            <w:pPr>
              <w:jc w:val="both"/>
            </w:pPr>
            <w:r>
              <w:rPr>
                <w:sz w:val="21"/>
              </w:rPr>
              <w:t>1</w:t>
            </w:r>
          </w:p>
        </w:tc>
        <w:tc>
          <w:tcPr>
            <w:tcW w:type="dxa" w:w="711"/>
            <w:vMerge w:val="restart"/>
            <w:tcBorders>
              <w:top w:val="none" w:color="000000" w:sz="4"/>
              <w:left w:val="single" w:color="000000" w:sz="4"/>
              <w:bottom w:val="single" w:color="000000" w:sz="4"/>
              <w:right w:val="single" w:color="000000" w:sz="4"/>
            </w:tcBorders>
            <w:vAlign w:val="top"/>
          </w:tcPr>
          <w:p>
            <w:pPr>
              <w:jc w:val="both"/>
            </w:pPr>
            <w:r>
              <w:rPr>
                <w:sz w:val="21"/>
              </w:rPr>
              <w:t>生活照料</w:t>
            </w:r>
          </w:p>
          <w:p>
            <w:pPr>
              <w:jc w:val="both"/>
            </w:pPr>
            <w:r>
              <w:rPr>
                <w:sz w:val="21"/>
              </w:rPr>
              <w:t>（通用服务）</w:t>
            </w:r>
          </w:p>
        </w:tc>
        <w:tc>
          <w:tcPr>
            <w:tcW w:type="dxa" w:w="971"/>
            <w:tcBorders>
              <w:top w:val="none" w:color="000000" w:sz="4"/>
              <w:left w:val="single" w:color="000000" w:sz="4"/>
              <w:bottom w:val="single" w:color="000000" w:sz="4"/>
              <w:right w:val="single" w:color="000000" w:sz="4"/>
            </w:tcBorders>
            <w:vAlign w:val="top"/>
          </w:tcPr>
          <w:p>
            <w:pPr>
              <w:jc w:val="both"/>
            </w:pPr>
            <w:r>
              <w:rPr>
                <w:sz w:val="21"/>
              </w:rPr>
              <w:t>助洁服务</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1.居家清洁：对客厅、卧室、厨房、洗浴间、卫生间等居家环境进行清扫、清洁；</w:t>
            </w:r>
          </w:p>
          <w:p>
            <w:pPr>
              <w:jc w:val="both"/>
            </w:pPr>
            <w:r>
              <w:rPr>
                <w:sz w:val="21"/>
              </w:rPr>
              <w:t>2.物品整理：整理床铺（铺床、叠被子）及其他物品。</w:t>
            </w:r>
          </w:p>
        </w:tc>
        <w:tc>
          <w:tcPr>
            <w:tcW w:type="dxa" w:w="707"/>
            <w:vMerge w:val="restart"/>
            <w:tcBorders>
              <w:top w:val="none" w:color="000000" w:sz="4"/>
              <w:left w:val="single" w:color="000000" w:sz="4"/>
              <w:bottom w:val="single" w:color="000000" w:sz="4"/>
              <w:right w:val="single" w:color="000000" w:sz="4"/>
            </w:tcBorders>
            <w:vAlign w:val="top"/>
          </w:tcPr>
          <w:p>
            <w:pPr>
              <w:jc w:val="both"/>
            </w:pPr>
            <w:r>
              <w:rPr>
                <w:sz w:val="21"/>
              </w:rPr>
              <w:t>工时</w:t>
            </w:r>
          </w:p>
        </w:tc>
        <w:tc>
          <w:tcPr>
            <w:tcW w:type="dxa" w:w="794"/>
            <w:vMerge w:val="restart"/>
            <w:tcBorders>
              <w:top w:val="none" w:color="000000" w:sz="4"/>
              <w:left w:val="single" w:color="000000" w:sz="4"/>
              <w:bottom w:val="single" w:color="000000" w:sz="4"/>
              <w:right w:val="single" w:color="000000" w:sz="4"/>
            </w:tcBorders>
            <w:vAlign w:val="top"/>
          </w:tcPr>
          <w:p>
            <w:pPr>
              <w:jc w:val="both"/>
            </w:pPr>
            <w:r>
              <w:rPr>
                <w:sz w:val="21"/>
              </w:rPr>
              <w:t>1040</w:t>
            </w:r>
          </w:p>
        </w:tc>
        <w:tc>
          <w:tcPr>
            <w:tcW w:type="dxa" w:w="706"/>
            <w:vMerge w:val="restart"/>
            <w:tcBorders>
              <w:top w:val="none" w:color="000000" w:sz="4"/>
              <w:left w:val="single" w:color="000000" w:sz="4"/>
              <w:bottom w:val="single" w:color="000000" w:sz="4"/>
              <w:right w:val="single" w:color="000000" w:sz="4"/>
            </w:tcBorders>
            <w:vAlign w:val="top"/>
          </w:tcPr>
          <w:p>
            <w:pPr>
              <w:jc w:val="both"/>
            </w:pPr>
            <w:r>
              <w:rPr>
                <w:sz w:val="21"/>
              </w:rPr>
              <w:t>可由养老护理员或家政服务员提供服务。</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洗涤服务</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清洗与晾晒衣物、床上用品（床单、被套、枕套）、窗帘、毛巾等。洗涤方式分为上门洗涤和集中送洗，大件、贵重衣物可采用集中送洗方式。</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陪伴就医</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代预约挂号</w:t>
            </w:r>
            <w:r>
              <w:rPr>
                <w:sz w:val="21"/>
              </w:rPr>
              <w:t>、陪诊、协助与医生沟通、取药、缴费、陪同往返、协助出行等。</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陪同外出</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户外活动陪伴，陪护行动不便的服务对象到户外活动、包括（但不限于）参加社区活动、散步、购物等。</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上门做餐</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代买食材、清洗烹饪、协助进食、餐后卫生等。</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代办服务</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代预约挂号、</w:t>
            </w:r>
            <w:r>
              <w:rPr>
                <w:sz w:val="21"/>
              </w:rPr>
              <w:t>银行打薄、排队；代缴纳水电、煤气、话费等；代收寄快递；代领物品；代送物品；代买生活必需品；协助报修设备及物品；协助申请相关事务等。</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日常提示</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根据医嘱或家属要求按时提醒老年人吃药、取药，提醒就医或办理相关事务。</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情感关怀</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陪同聊天、定期探访（上门</w:t>
            </w:r>
            <w:r>
              <w:rPr>
                <w:sz w:val="21"/>
              </w:rPr>
              <w:t>/电访）</w:t>
            </w:r>
            <w:r>
              <w:rPr>
                <w:sz w:val="21"/>
              </w:rPr>
              <w:t>。</w:t>
            </w:r>
          </w:p>
        </w:tc>
      </w:tr>
      <w:tr>
        <w:tc>
          <w:tcPr>
            <w:tcW w:type="dxa" w:w="610"/>
            <w:vMerge/>
            <w:tcBorders>
              <w:top w:val="none" w:color="000000" w:sz="4"/>
              <w:left w:val="single" w:color="000000" w:sz="4"/>
              <w:bottom w:val="single" w:color="000000" w:sz="4"/>
              <w:right w:val="single" w:color="000000" w:sz="4"/>
            </w:tcBorders>
          </w:tcPr>
          <w:p/>
        </w:tc>
        <w:tc>
          <w:tcPr>
            <w:tcW w:type="dxa" w:w="711"/>
            <w:vMerge w:val="restart"/>
            <w:tcBorders>
              <w:top w:val="none" w:color="000000" w:sz="4"/>
              <w:left w:val="single" w:color="000000" w:sz="4"/>
              <w:bottom w:val="single" w:color="000000" w:sz="4"/>
              <w:right w:val="single" w:color="000000" w:sz="4"/>
            </w:tcBorders>
            <w:vAlign w:val="top"/>
          </w:tcPr>
          <w:p>
            <w:pPr>
              <w:jc w:val="both"/>
            </w:pPr>
            <w:r>
              <w:rPr>
                <w:sz w:val="21"/>
              </w:rPr>
              <w:t>生活照料</w:t>
            </w:r>
          </w:p>
          <w:p>
            <w:pPr>
              <w:jc w:val="both"/>
            </w:pPr>
            <w:r>
              <w:rPr>
                <w:sz w:val="21"/>
              </w:rPr>
              <w:t>（专业服务）</w:t>
            </w:r>
          </w:p>
        </w:tc>
        <w:tc>
          <w:tcPr>
            <w:tcW w:type="dxa" w:w="971"/>
            <w:tcBorders>
              <w:top w:val="none" w:color="000000" w:sz="4"/>
              <w:left w:val="single" w:color="000000" w:sz="4"/>
              <w:bottom w:val="single" w:color="000000" w:sz="4"/>
              <w:right w:val="single" w:color="000000" w:sz="4"/>
            </w:tcBorders>
            <w:vAlign w:val="top"/>
          </w:tcPr>
          <w:p>
            <w:pPr>
              <w:jc w:val="both"/>
            </w:pPr>
            <w:r>
              <w:rPr>
                <w:sz w:val="21"/>
              </w:rPr>
              <w:t>个人护理</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1.皮肤外用药物涂擦；留置尿管护理；人工肛门便袋护理；口腔清洁；协助翻身；褥疮预防；叩背排痰等；</w:t>
            </w:r>
          </w:p>
          <w:p>
            <w:pPr>
              <w:jc w:val="both"/>
            </w:pPr>
            <w:r>
              <w:rPr>
                <w:sz w:val="21"/>
              </w:rPr>
              <w:t>2.协助穿（脱）衣；洗脸；梳头；剪发；剃须；刷牙；漱口、洗手；洗足；会阴清洁；修剪指（趾）甲。</w:t>
            </w:r>
          </w:p>
        </w:tc>
        <w:tc>
          <w:tcPr>
            <w:tcW w:type="dxa" w:w="707"/>
            <w:vMerge w:val="restart"/>
            <w:tcBorders>
              <w:top w:val="none" w:color="000000" w:sz="4"/>
              <w:left w:val="single" w:color="000000" w:sz="4"/>
              <w:bottom w:val="single" w:color="000000" w:sz="4"/>
              <w:right w:val="single" w:color="000000" w:sz="4"/>
            </w:tcBorders>
            <w:vAlign w:val="top"/>
          </w:tcPr>
          <w:p>
            <w:pPr>
              <w:jc w:val="both"/>
            </w:pPr>
            <w:r>
              <w:rPr>
                <w:sz w:val="21"/>
              </w:rPr>
              <w:t>工时</w:t>
            </w:r>
          </w:p>
        </w:tc>
        <w:tc>
          <w:tcPr>
            <w:tcW w:type="dxa" w:w="794"/>
            <w:vMerge w:val="restart"/>
            <w:tcBorders>
              <w:top w:val="none" w:color="000000" w:sz="4"/>
              <w:left w:val="single" w:color="000000" w:sz="4"/>
              <w:bottom w:val="single" w:color="000000" w:sz="4"/>
              <w:right w:val="single" w:color="000000" w:sz="4"/>
            </w:tcBorders>
            <w:vAlign w:val="top"/>
          </w:tcPr>
          <w:p>
            <w:pPr>
              <w:jc w:val="both"/>
            </w:pPr>
            <w:r>
              <w:rPr>
                <w:sz w:val="21"/>
              </w:rPr>
              <w:t>338</w:t>
            </w:r>
          </w:p>
        </w:tc>
        <w:tc>
          <w:tcPr>
            <w:tcW w:type="dxa" w:w="706"/>
            <w:vMerge w:val="restart"/>
            <w:tcBorders>
              <w:top w:val="none" w:color="000000" w:sz="4"/>
              <w:left w:val="single" w:color="000000" w:sz="4"/>
              <w:bottom w:val="single" w:color="000000" w:sz="4"/>
              <w:right w:val="single" w:color="000000" w:sz="4"/>
            </w:tcBorders>
            <w:vAlign w:val="top"/>
          </w:tcPr>
          <w:p>
            <w:pPr>
              <w:jc w:val="both"/>
            </w:pPr>
            <w:r>
              <w:rPr>
                <w:sz w:val="21"/>
              </w:rPr>
              <w:t>由养老护理员、康复治疗师、护士等专业人员提供服务。</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转移护理</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协助床上移动；床上体位转换；轮椅转移；移动辅助器应用指导等。</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排泄护理</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协助排便；更换一次性尿裤；会阴护理；留置尿管护理；人工肛门便袋护理等。</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协助进餐</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喂食或帮助服务对象使用辅助器材进食，包括喂水、喂饭、鼻饲、喂药等。</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助浴服务</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洗头；洗澡（温水擦浴、沐浴）；床上浴、更换衣物</w:t>
            </w:r>
            <w:r>
              <w:rPr>
                <w:sz w:val="21"/>
              </w:rPr>
              <w:t>。</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助行服务</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协助服务对象行走、外出、散步，协助其使用助行器</w:t>
            </w:r>
            <w:r>
              <w:rPr>
                <w:sz w:val="21"/>
              </w:rPr>
              <w:t>/步行器移动。</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其他护理</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睡眠照顾（协助脱去衣裤就寝，盖被，定时翻身）；热水袋保暖；更换床上用品。</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日常提示</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根据医嘱或家属要求按时提醒老年人吃药、取药，提醒就医或办理相关事宜。</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情感关怀</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陪同聊天、定期探访（上门</w:t>
            </w:r>
            <w:r>
              <w:rPr>
                <w:sz w:val="21"/>
              </w:rPr>
              <w:t>/电访）</w:t>
            </w:r>
            <w:r>
              <w:rPr>
                <w:sz w:val="21"/>
              </w:rPr>
              <w:t>。</w:t>
            </w:r>
          </w:p>
        </w:tc>
      </w:tr>
      <w:tr>
        <w:tc>
          <w:tcPr>
            <w:tcW w:type="dxa" w:w="610"/>
            <w:vMerge w:val="restart"/>
            <w:tcBorders>
              <w:top w:val="none" w:color="000000" w:sz="4"/>
              <w:left w:val="single" w:color="000000" w:sz="4"/>
              <w:bottom w:val="single" w:color="000000" w:sz="4"/>
              <w:right w:val="single" w:color="000000" w:sz="4"/>
            </w:tcBorders>
            <w:vAlign w:val="top"/>
          </w:tcPr>
          <w:p>
            <w:pPr>
              <w:jc w:val="both"/>
            </w:pPr>
            <w:r>
              <w:rPr>
                <w:sz w:val="21"/>
              </w:rPr>
              <w:t>2</w:t>
            </w:r>
          </w:p>
        </w:tc>
        <w:tc>
          <w:tcPr>
            <w:tcW w:type="dxa" w:w="711"/>
            <w:vMerge w:val="restart"/>
            <w:tcBorders>
              <w:top w:val="none" w:color="000000" w:sz="4"/>
              <w:left w:val="single" w:color="000000" w:sz="4"/>
              <w:bottom w:val="single" w:color="000000" w:sz="4"/>
              <w:right w:val="single" w:color="000000" w:sz="4"/>
            </w:tcBorders>
            <w:vAlign w:val="top"/>
          </w:tcPr>
          <w:p>
            <w:pPr>
              <w:jc w:val="both"/>
            </w:pPr>
            <w:r>
              <w:rPr>
                <w:sz w:val="21"/>
              </w:rPr>
              <w:t>助餐配餐</w:t>
            </w:r>
          </w:p>
        </w:tc>
        <w:tc>
          <w:tcPr>
            <w:tcW w:type="dxa" w:w="971"/>
            <w:tcBorders>
              <w:top w:val="none" w:color="000000" w:sz="4"/>
              <w:left w:val="single" w:color="000000" w:sz="4"/>
              <w:bottom w:val="single" w:color="000000" w:sz="4"/>
              <w:right w:val="single" w:color="000000" w:sz="4"/>
            </w:tcBorders>
            <w:vAlign w:val="top"/>
          </w:tcPr>
          <w:p>
            <w:pPr>
              <w:jc w:val="both"/>
            </w:pPr>
            <w:r>
              <w:rPr>
                <w:sz w:val="21"/>
              </w:rPr>
              <w:t>集中用餐</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在社区长者饭堂集中用餐、打包外带</w:t>
            </w:r>
            <w:r>
              <w:rPr>
                <w:sz w:val="21"/>
              </w:rPr>
              <w:t>。</w:t>
            </w:r>
          </w:p>
        </w:tc>
        <w:tc>
          <w:tcPr>
            <w:tcW w:type="dxa" w:w="707"/>
            <w:vMerge w:val="restart"/>
            <w:tcBorders>
              <w:top w:val="none" w:color="000000" w:sz="4"/>
              <w:left w:val="single" w:color="000000" w:sz="4"/>
              <w:bottom w:val="single" w:color="000000" w:sz="4"/>
              <w:right w:val="single" w:color="000000" w:sz="4"/>
            </w:tcBorders>
            <w:vAlign w:val="top"/>
          </w:tcPr>
          <w:p>
            <w:pPr>
              <w:jc w:val="both"/>
            </w:pPr>
            <w:r>
              <w:rPr>
                <w:sz w:val="21"/>
              </w:rPr>
              <w:t>工时</w:t>
            </w:r>
          </w:p>
        </w:tc>
        <w:tc>
          <w:tcPr>
            <w:tcW w:type="dxa" w:w="794"/>
            <w:vMerge w:val="restart"/>
            <w:tcBorders>
              <w:top w:val="none" w:color="000000" w:sz="4"/>
              <w:left w:val="single" w:color="000000" w:sz="4"/>
              <w:bottom w:val="single" w:color="000000" w:sz="4"/>
              <w:right w:val="single" w:color="000000" w:sz="4"/>
            </w:tcBorders>
            <w:vAlign w:val="top"/>
          </w:tcPr>
          <w:p>
            <w:pPr>
              <w:jc w:val="both"/>
            </w:pPr>
            <w:r>
              <w:rPr>
                <w:sz w:val="21"/>
              </w:rPr>
              <w:t>2335</w:t>
            </w:r>
          </w:p>
        </w:tc>
        <w:tc>
          <w:tcPr>
            <w:tcW w:type="dxa" w:w="706"/>
            <w:vMerge w:val="restart"/>
            <w:tcBorders>
              <w:top w:val="none" w:color="000000" w:sz="4"/>
              <w:left w:val="single" w:color="000000" w:sz="4"/>
              <w:bottom w:val="single" w:color="000000" w:sz="4"/>
              <w:right w:val="single" w:color="000000" w:sz="4"/>
            </w:tcBorders>
            <w:vAlign w:val="top"/>
          </w:tcPr>
          <w:p>
            <w:pPr>
              <w:jc w:val="both"/>
            </w:pPr>
            <w:r>
              <w:rPr>
                <w:sz w:val="21"/>
              </w:rPr>
              <w:t>由助餐配餐点提供服务。</w:t>
            </w:r>
          </w:p>
          <w:p>
            <w:pPr>
              <w:jc w:val="both"/>
            </w:pP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上门送餐</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老年助餐配餐服务机构送餐到家服务；由居家服务员协助使用网络</w:t>
            </w:r>
            <w:r>
              <w:rPr>
                <w:sz w:val="21"/>
              </w:rPr>
              <w:t>订</w:t>
            </w:r>
            <w:r>
              <w:rPr>
                <w:sz w:val="21"/>
              </w:rPr>
              <w:t>餐；居家服务员代购餐后送餐上门。</w:t>
            </w:r>
          </w:p>
        </w:tc>
      </w:tr>
      <w:tr>
        <w:tc>
          <w:tcPr>
            <w:tcW w:type="dxa" w:w="610"/>
            <w:vMerge w:val="restart"/>
            <w:tcBorders>
              <w:top w:val="none" w:color="000000" w:sz="4"/>
              <w:left w:val="single" w:color="000000" w:sz="4"/>
              <w:bottom w:val="single" w:color="000000" w:sz="4"/>
              <w:right w:val="single" w:color="000000" w:sz="4"/>
            </w:tcBorders>
            <w:vAlign w:val="top"/>
          </w:tcPr>
          <w:p>
            <w:pPr>
              <w:jc w:val="both"/>
            </w:pPr>
            <w:r>
              <w:rPr>
                <w:sz w:val="21"/>
              </w:rPr>
              <w:t>3</w:t>
            </w:r>
          </w:p>
        </w:tc>
        <w:tc>
          <w:tcPr>
            <w:tcW w:type="dxa" w:w="711"/>
            <w:vMerge w:val="restart"/>
            <w:tcBorders>
              <w:top w:val="none" w:color="000000" w:sz="4"/>
              <w:left w:val="single" w:color="000000" w:sz="4"/>
              <w:bottom w:val="single" w:color="000000" w:sz="4"/>
              <w:right w:val="single" w:color="000000" w:sz="4"/>
            </w:tcBorders>
            <w:vAlign w:val="top"/>
          </w:tcPr>
          <w:p>
            <w:pPr>
              <w:jc w:val="both"/>
            </w:pPr>
            <w:r>
              <w:rPr>
                <w:sz w:val="21"/>
              </w:rPr>
              <w:t>康复护理</w:t>
            </w:r>
          </w:p>
        </w:tc>
        <w:tc>
          <w:tcPr>
            <w:tcW w:type="dxa" w:w="971"/>
            <w:tcBorders>
              <w:top w:val="none" w:color="000000" w:sz="4"/>
              <w:left w:val="single" w:color="000000" w:sz="4"/>
              <w:bottom w:val="single" w:color="000000" w:sz="4"/>
              <w:right w:val="single" w:color="000000" w:sz="4"/>
            </w:tcBorders>
            <w:vAlign w:val="top"/>
          </w:tcPr>
          <w:p>
            <w:pPr>
              <w:jc w:val="both"/>
            </w:pPr>
            <w:r>
              <w:rPr>
                <w:sz w:val="21"/>
              </w:rPr>
              <w:t>康复咨询</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健康咨询、康复咨询、康复指引</w:t>
            </w:r>
            <w:r>
              <w:rPr>
                <w:sz w:val="21"/>
              </w:rPr>
              <w:t>。</w:t>
            </w:r>
          </w:p>
        </w:tc>
        <w:tc>
          <w:tcPr>
            <w:tcW w:type="dxa" w:w="707"/>
            <w:vMerge w:val="restart"/>
            <w:tcBorders>
              <w:top w:val="none" w:color="000000" w:sz="4"/>
              <w:left w:val="single" w:color="000000" w:sz="4"/>
              <w:bottom w:val="single" w:color="000000" w:sz="4"/>
              <w:right w:val="single" w:color="000000" w:sz="4"/>
            </w:tcBorders>
            <w:vAlign w:val="top"/>
          </w:tcPr>
          <w:p>
            <w:pPr>
              <w:jc w:val="both"/>
            </w:pPr>
            <w:r>
              <w:rPr>
                <w:sz w:val="21"/>
              </w:rPr>
              <w:t>工时</w:t>
            </w:r>
          </w:p>
        </w:tc>
        <w:tc>
          <w:tcPr>
            <w:tcW w:type="dxa" w:w="794"/>
            <w:vMerge w:val="restart"/>
            <w:tcBorders>
              <w:top w:val="none" w:color="000000" w:sz="4"/>
              <w:left w:val="single" w:color="000000" w:sz="4"/>
              <w:bottom w:val="single" w:color="000000" w:sz="4"/>
              <w:right w:val="single" w:color="000000" w:sz="4"/>
            </w:tcBorders>
            <w:vAlign w:val="top"/>
          </w:tcPr>
          <w:p>
            <w:pPr>
              <w:jc w:val="both"/>
            </w:pPr>
            <w:r>
              <w:rPr>
                <w:sz w:val="21"/>
              </w:rPr>
              <w:t>3</w:t>
            </w:r>
            <w:r>
              <w:rPr>
                <w:sz w:val="21"/>
              </w:rPr>
              <w:t>00</w:t>
            </w:r>
          </w:p>
        </w:tc>
        <w:tc>
          <w:tcPr>
            <w:tcW w:type="dxa" w:w="706"/>
            <w:vMerge w:val="restart"/>
            <w:tcBorders>
              <w:top w:val="none" w:color="000000" w:sz="4"/>
              <w:left w:val="single" w:color="000000" w:sz="4"/>
              <w:bottom w:val="single" w:color="000000" w:sz="4"/>
              <w:right w:val="single" w:color="000000" w:sz="4"/>
            </w:tcBorders>
            <w:vAlign w:val="top"/>
          </w:tcPr>
          <w:p>
            <w:pPr>
              <w:jc w:val="both"/>
            </w:pPr>
            <w:r>
              <w:rPr>
                <w:sz w:val="21"/>
              </w:rPr>
              <w:t>由康复治疗师、执业护士、执业医师提供服务。</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器材锻炼</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安全性高、操作简便、老人可自行开展的一般器材锻炼（如按摩椅、手指训练器、拼图、握力器等）。</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康复训练</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肢体类康复训练（如腰椎康复训练、关节放松训练等）、认知感官类训练（如记忆力训练、认知测试等）。</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康复理疗</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针灸理疗、穴位针灸、足部理疗、器械按摩、中风物理治疗、颈肩推拿、按摩推拿、拔罐刮痧</w:t>
            </w:r>
            <w:r>
              <w:rPr>
                <w:sz w:val="21"/>
              </w:rPr>
              <w:t>。</w:t>
            </w:r>
          </w:p>
        </w:tc>
      </w:tr>
      <w:tr>
        <w:tc>
          <w:tcPr>
            <w:tcW w:type="dxa" w:w="610"/>
            <w:vMerge w:val="restart"/>
            <w:tcBorders>
              <w:top w:val="none" w:color="000000" w:sz="4"/>
              <w:left w:val="single" w:color="000000" w:sz="4"/>
              <w:bottom w:val="single" w:color="000000" w:sz="4"/>
              <w:right w:val="single" w:color="000000" w:sz="4"/>
            </w:tcBorders>
            <w:vAlign w:val="top"/>
          </w:tcPr>
          <w:p>
            <w:pPr>
              <w:jc w:val="both"/>
            </w:pPr>
            <w:r>
              <w:rPr>
                <w:sz w:val="21"/>
              </w:rPr>
              <w:t>4</w:t>
            </w:r>
          </w:p>
        </w:tc>
        <w:tc>
          <w:tcPr>
            <w:tcW w:type="dxa" w:w="711"/>
            <w:vMerge w:val="restart"/>
            <w:tcBorders>
              <w:top w:val="none" w:color="000000" w:sz="4"/>
              <w:left w:val="single" w:color="000000" w:sz="4"/>
              <w:bottom w:val="single" w:color="000000" w:sz="4"/>
              <w:right w:val="single" w:color="000000" w:sz="4"/>
            </w:tcBorders>
            <w:vAlign w:val="top"/>
          </w:tcPr>
          <w:p>
            <w:pPr>
              <w:jc w:val="both"/>
            </w:pPr>
            <w:r>
              <w:rPr>
                <w:sz w:val="21"/>
              </w:rPr>
              <w:t>医疗保健</w:t>
            </w:r>
          </w:p>
        </w:tc>
        <w:tc>
          <w:tcPr>
            <w:tcW w:type="dxa" w:w="971"/>
            <w:tcBorders>
              <w:top w:val="none" w:color="000000" w:sz="4"/>
              <w:left w:val="single" w:color="000000" w:sz="4"/>
              <w:bottom w:val="single" w:color="000000" w:sz="4"/>
              <w:right w:val="single" w:color="000000" w:sz="4"/>
            </w:tcBorders>
            <w:vAlign w:val="top"/>
          </w:tcPr>
          <w:p>
            <w:pPr>
              <w:jc w:val="both"/>
            </w:pPr>
            <w:r>
              <w:rPr>
                <w:sz w:val="21"/>
              </w:rPr>
              <w:t>健康档案</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建立健康档案，进行病历记录、个人药物记录、体检记录等，定时跟踪健康情况。</w:t>
            </w:r>
          </w:p>
        </w:tc>
        <w:tc>
          <w:tcPr>
            <w:tcW w:type="dxa" w:w="707"/>
            <w:vMerge w:val="restart"/>
            <w:tcBorders>
              <w:top w:val="none" w:color="000000" w:sz="4"/>
              <w:left w:val="single" w:color="000000" w:sz="4"/>
              <w:bottom w:val="single" w:color="000000" w:sz="4"/>
              <w:right w:val="single" w:color="000000" w:sz="4"/>
            </w:tcBorders>
            <w:vAlign w:val="top"/>
          </w:tcPr>
          <w:p>
            <w:pPr>
              <w:jc w:val="both"/>
            </w:pPr>
            <w:r>
              <w:rPr>
                <w:sz w:val="21"/>
              </w:rPr>
              <w:t>工时</w:t>
            </w:r>
          </w:p>
        </w:tc>
        <w:tc>
          <w:tcPr>
            <w:tcW w:type="dxa" w:w="794"/>
            <w:vMerge w:val="restart"/>
            <w:tcBorders>
              <w:top w:val="none" w:color="000000" w:sz="4"/>
              <w:left w:val="single" w:color="000000" w:sz="4"/>
              <w:bottom w:val="single" w:color="000000" w:sz="4"/>
              <w:right w:val="single" w:color="000000" w:sz="4"/>
            </w:tcBorders>
            <w:vAlign w:val="top"/>
          </w:tcPr>
          <w:p>
            <w:pPr>
              <w:jc w:val="both"/>
            </w:pPr>
            <w:r>
              <w:rPr>
                <w:sz w:val="21"/>
              </w:rPr>
              <w:t>4</w:t>
            </w:r>
            <w:r>
              <w:rPr>
                <w:sz w:val="21"/>
              </w:rPr>
              <w:t>90</w:t>
            </w:r>
          </w:p>
        </w:tc>
        <w:tc>
          <w:tcPr>
            <w:tcW w:type="dxa" w:w="706"/>
            <w:vMerge w:val="restart"/>
            <w:tcBorders>
              <w:top w:val="none" w:color="000000" w:sz="4"/>
              <w:left w:val="single" w:color="000000" w:sz="4"/>
              <w:bottom w:val="single" w:color="000000" w:sz="4"/>
              <w:right w:val="single" w:color="000000" w:sz="4"/>
            </w:tcBorders>
            <w:vAlign w:val="top"/>
          </w:tcPr>
          <w:p>
            <w:pPr>
              <w:jc w:val="both"/>
            </w:pPr>
            <w:r>
              <w:rPr>
                <w:sz w:val="21"/>
              </w:rPr>
              <w:t>由专业医疗机构、医护人员提供。</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预防保健</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1.提供健康咨询、饮食咨询、营养指导、锻炼指导、活动指导服务</w:t>
            </w:r>
            <w:r>
              <w:rPr>
                <w:sz w:val="21"/>
              </w:rPr>
              <w:t>；</w:t>
            </w:r>
          </w:p>
          <w:p>
            <w:pPr>
              <w:jc w:val="both"/>
            </w:pPr>
            <w:r>
              <w:rPr>
                <w:sz w:val="21"/>
              </w:rPr>
              <w:t>2.用药指导与用药观察，日常提示吃药、取药</w:t>
            </w:r>
            <w:r>
              <w:rPr>
                <w:sz w:val="21"/>
              </w:rPr>
              <w:t>；</w:t>
            </w:r>
          </w:p>
          <w:p>
            <w:pPr>
              <w:jc w:val="both"/>
            </w:pPr>
            <w:r>
              <w:rPr>
                <w:sz w:val="21"/>
              </w:rPr>
              <w:t>3.健康宣教、保健知识讲座、保健学习及相关的小组活动</w:t>
            </w:r>
            <w:r>
              <w:rPr>
                <w:sz w:val="21"/>
              </w:rPr>
              <w:t>；</w:t>
            </w:r>
          </w:p>
          <w:p>
            <w:pPr>
              <w:jc w:val="both"/>
            </w:pPr>
            <w:r>
              <w:rPr>
                <w:sz w:val="21"/>
              </w:rPr>
              <w:t>4.社区义诊</w:t>
            </w:r>
            <w:r>
              <w:rPr>
                <w:sz w:val="21"/>
              </w:rPr>
              <w:t>。</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基础监测</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常规生理指数监测，如体温、血压、心率、呼吸、血糖、体重等。</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健康体检</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常规体格检查、血常规、尿常规、大便常规、肝功能、肾功能、空腹血糖、血脂和心电图检测等项目。</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医疗护理</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鼻饲、物理降温、导尿、压疮护理、创口换药、吸氧、造口护理、其他专业护理项目。</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家庭病床</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家庭医生、上门巡诊等</w:t>
            </w:r>
            <w:r>
              <w:rPr>
                <w:sz w:val="21"/>
              </w:rPr>
              <w:t>。</w:t>
            </w:r>
          </w:p>
        </w:tc>
      </w:tr>
      <w:tr>
        <w:tc>
          <w:tcPr>
            <w:tcW w:type="dxa" w:w="610"/>
            <w:vMerge w:val="restart"/>
            <w:tcBorders>
              <w:top w:val="none" w:color="000000" w:sz="4"/>
              <w:left w:val="single" w:color="000000" w:sz="4"/>
              <w:bottom w:val="single" w:color="000000" w:sz="4"/>
              <w:right w:val="single" w:color="000000" w:sz="4"/>
            </w:tcBorders>
            <w:vAlign w:val="top"/>
          </w:tcPr>
          <w:p>
            <w:pPr>
              <w:jc w:val="both"/>
            </w:pPr>
            <w:r>
              <w:rPr>
                <w:sz w:val="21"/>
              </w:rPr>
              <w:t>5</w:t>
            </w:r>
          </w:p>
        </w:tc>
        <w:tc>
          <w:tcPr>
            <w:tcW w:type="dxa" w:w="711"/>
            <w:vMerge w:val="restart"/>
            <w:tcBorders>
              <w:top w:val="none" w:color="000000" w:sz="4"/>
              <w:left w:val="single" w:color="000000" w:sz="4"/>
              <w:bottom w:val="single" w:color="000000" w:sz="4"/>
              <w:right w:val="single" w:color="000000" w:sz="4"/>
            </w:tcBorders>
            <w:vAlign w:val="top"/>
          </w:tcPr>
          <w:p>
            <w:pPr>
              <w:jc w:val="both"/>
            </w:pPr>
            <w:r>
              <w:rPr>
                <w:sz w:val="21"/>
              </w:rPr>
              <w:t>文体教育</w:t>
            </w:r>
          </w:p>
        </w:tc>
        <w:tc>
          <w:tcPr>
            <w:tcW w:type="dxa" w:w="971"/>
            <w:tcBorders>
              <w:top w:val="none" w:color="000000" w:sz="4"/>
              <w:left w:val="single" w:color="000000" w:sz="4"/>
              <w:bottom w:val="single" w:color="000000" w:sz="4"/>
              <w:right w:val="single" w:color="000000" w:sz="4"/>
            </w:tcBorders>
            <w:vAlign w:val="top"/>
          </w:tcPr>
          <w:p>
            <w:pPr>
              <w:jc w:val="both"/>
            </w:pPr>
            <w:r>
              <w:rPr>
                <w:sz w:val="21"/>
              </w:rPr>
              <w:t>娱乐活动</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如棋牌、歌舞、打球、书画、阅读、太极、健康操、八段锦、茶话会、生日会、游园会等。</w:t>
            </w:r>
          </w:p>
        </w:tc>
        <w:tc>
          <w:tcPr>
            <w:tcW w:type="dxa" w:w="707"/>
            <w:vMerge w:val="restart"/>
            <w:tcBorders>
              <w:top w:val="none" w:color="000000" w:sz="4"/>
              <w:left w:val="single" w:color="000000" w:sz="4"/>
              <w:bottom w:val="single" w:color="000000" w:sz="4"/>
              <w:right w:val="single" w:color="000000" w:sz="4"/>
            </w:tcBorders>
            <w:vAlign w:val="top"/>
          </w:tcPr>
          <w:p>
            <w:pPr>
              <w:jc w:val="both"/>
            </w:pPr>
            <w:r>
              <w:rPr>
                <w:sz w:val="21"/>
              </w:rPr>
              <w:t>工时</w:t>
            </w:r>
          </w:p>
        </w:tc>
        <w:tc>
          <w:tcPr>
            <w:tcW w:type="dxa" w:w="794"/>
            <w:vMerge w:val="restart"/>
            <w:tcBorders>
              <w:top w:val="none" w:color="000000" w:sz="4"/>
              <w:left w:val="single" w:color="000000" w:sz="4"/>
              <w:bottom w:val="single" w:color="000000" w:sz="4"/>
              <w:right w:val="single" w:color="000000" w:sz="4"/>
            </w:tcBorders>
            <w:vAlign w:val="top"/>
          </w:tcPr>
          <w:p>
            <w:pPr>
              <w:jc w:val="both"/>
            </w:pPr>
            <w:r>
              <w:rPr>
                <w:sz w:val="21"/>
              </w:rPr>
              <w:t>600</w:t>
            </w:r>
          </w:p>
        </w:tc>
        <w:tc>
          <w:tcPr>
            <w:tcW w:type="dxa" w:w="706"/>
            <w:vMerge w:val="restart"/>
            <w:tcBorders>
              <w:top w:val="none" w:color="000000" w:sz="4"/>
              <w:left w:val="single" w:color="000000" w:sz="4"/>
              <w:bottom w:val="single" w:color="000000" w:sz="4"/>
              <w:right w:val="single" w:color="000000" w:sz="4"/>
            </w:tcBorders>
            <w:vAlign w:val="top"/>
          </w:tcPr>
          <w:p>
            <w:pPr>
              <w:jc w:val="both"/>
            </w:pP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老年教育</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老年课堂，如钢琴、摄影、书法绘画、英语、计算机、编织、手工等。</w:t>
            </w:r>
          </w:p>
        </w:tc>
      </w:tr>
      <w:tr>
        <w:tc>
          <w:tcPr>
            <w:tcW w:type="dxa" w:w="610"/>
            <w:vMerge w:val="restart"/>
            <w:tcBorders>
              <w:top w:val="none" w:color="000000" w:sz="4"/>
              <w:left w:val="single" w:color="000000" w:sz="4"/>
              <w:bottom w:val="single" w:color="000000" w:sz="4"/>
              <w:right w:val="single" w:color="000000" w:sz="4"/>
            </w:tcBorders>
            <w:vAlign w:val="top"/>
          </w:tcPr>
          <w:p>
            <w:pPr>
              <w:jc w:val="both"/>
            </w:pPr>
            <w:r>
              <w:rPr>
                <w:sz w:val="21"/>
              </w:rPr>
              <w:t>6</w:t>
            </w:r>
          </w:p>
        </w:tc>
        <w:tc>
          <w:tcPr>
            <w:tcW w:type="dxa" w:w="711"/>
            <w:vMerge w:val="restart"/>
            <w:tcBorders>
              <w:top w:val="none" w:color="000000" w:sz="4"/>
              <w:left w:val="single" w:color="000000" w:sz="4"/>
              <w:bottom w:val="single" w:color="000000" w:sz="4"/>
              <w:right w:val="single" w:color="000000" w:sz="4"/>
            </w:tcBorders>
            <w:vAlign w:val="top"/>
          </w:tcPr>
          <w:p>
            <w:pPr>
              <w:jc w:val="both"/>
            </w:pPr>
            <w:r>
              <w:rPr>
                <w:sz w:val="21"/>
              </w:rPr>
              <w:t>定期巡访</w:t>
            </w:r>
          </w:p>
        </w:tc>
        <w:tc>
          <w:tcPr>
            <w:tcW w:type="dxa" w:w="971"/>
            <w:tcBorders>
              <w:top w:val="none" w:color="000000" w:sz="4"/>
              <w:left w:val="single" w:color="000000" w:sz="4"/>
              <w:bottom w:val="single" w:color="000000" w:sz="4"/>
              <w:right w:val="single" w:color="000000" w:sz="4"/>
            </w:tcBorders>
            <w:vAlign w:val="top"/>
          </w:tcPr>
          <w:p>
            <w:pPr>
              <w:jc w:val="both"/>
            </w:pPr>
            <w:r>
              <w:rPr>
                <w:sz w:val="21"/>
              </w:rPr>
              <w:t>巡访工作</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制定巡访方案，提供电话问候、上门探视、政策宣传及关爱服务</w:t>
            </w:r>
          </w:p>
        </w:tc>
        <w:tc>
          <w:tcPr>
            <w:tcW w:type="dxa" w:w="707"/>
            <w:vMerge w:val="restart"/>
            <w:tcBorders>
              <w:top w:val="none" w:color="000000" w:sz="4"/>
              <w:left w:val="single" w:color="000000" w:sz="4"/>
              <w:bottom w:val="single" w:color="000000" w:sz="4"/>
              <w:right w:val="single" w:color="000000" w:sz="4"/>
            </w:tcBorders>
            <w:vAlign w:val="top"/>
          </w:tcPr>
          <w:p>
            <w:pPr>
              <w:jc w:val="both"/>
            </w:pPr>
            <w:r>
              <w:rPr>
                <w:sz w:val="21"/>
              </w:rPr>
              <w:t>工时</w:t>
            </w:r>
          </w:p>
        </w:tc>
        <w:tc>
          <w:tcPr>
            <w:tcW w:type="dxa" w:w="794"/>
            <w:vMerge w:val="restart"/>
            <w:tcBorders>
              <w:top w:val="none" w:color="000000" w:sz="4"/>
              <w:left w:val="single" w:color="000000" w:sz="4"/>
              <w:bottom w:val="single" w:color="000000" w:sz="4"/>
              <w:right w:val="single" w:color="000000" w:sz="4"/>
            </w:tcBorders>
            <w:vAlign w:val="top"/>
          </w:tcPr>
          <w:p>
            <w:pPr>
              <w:jc w:val="both"/>
            </w:pPr>
            <w:r>
              <w:rPr>
                <w:sz w:val="21"/>
              </w:rPr>
              <w:t>232</w:t>
            </w:r>
          </w:p>
        </w:tc>
        <w:tc>
          <w:tcPr>
            <w:tcW w:type="dxa" w:w="706"/>
            <w:vMerge w:val="restart"/>
            <w:tcBorders>
              <w:top w:val="none" w:color="000000" w:sz="4"/>
              <w:left w:val="single" w:color="000000" w:sz="4"/>
              <w:bottom w:val="single" w:color="000000" w:sz="4"/>
              <w:right w:val="single" w:color="000000" w:sz="4"/>
            </w:tcBorders>
            <w:vAlign w:val="top"/>
          </w:tcPr>
          <w:p>
            <w:pPr>
              <w:jc w:val="both"/>
            </w:pP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安全排查</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定期巡访居家设施运行情况，排查安全隐患，遇恶劣天气提醒服务对象注意安全。</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服务回访</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定期回访，了解服务对象满意度</w:t>
            </w:r>
            <w:r>
              <w:rPr>
                <w:sz w:val="21"/>
              </w:rPr>
              <w:t>。</w:t>
            </w:r>
          </w:p>
        </w:tc>
      </w:tr>
      <w:tr>
        <w:tc>
          <w:tcPr>
            <w:tcW w:type="dxa" w:w="610"/>
            <w:vMerge w:val="restart"/>
            <w:tcBorders>
              <w:top w:val="none" w:color="000000" w:sz="4"/>
              <w:left w:val="single" w:color="000000" w:sz="4"/>
              <w:bottom w:val="single" w:color="000000" w:sz="4"/>
              <w:right w:val="single" w:color="000000" w:sz="4"/>
            </w:tcBorders>
            <w:vAlign w:val="top"/>
          </w:tcPr>
          <w:p>
            <w:pPr>
              <w:jc w:val="both"/>
            </w:pPr>
            <w:r>
              <w:rPr>
                <w:sz w:val="21"/>
              </w:rPr>
              <w:t>7</w:t>
            </w:r>
          </w:p>
        </w:tc>
        <w:tc>
          <w:tcPr>
            <w:tcW w:type="dxa" w:w="711"/>
            <w:vMerge w:val="restart"/>
            <w:tcBorders>
              <w:top w:val="none" w:color="000000" w:sz="4"/>
              <w:left w:val="single" w:color="000000" w:sz="4"/>
              <w:bottom w:val="single" w:color="000000" w:sz="4"/>
              <w:right w:val="single" w:color="000000" w:sz="4"/>
            </w:tcBorders>
            <w:vAlign w:val="top"/>
          </w:tcPr>
          <w:p>
            <w:pPr>
              <w:jc w:val="both"/>
            </w:pPr>
            <w:r>
              <w:rPr>
                <w:sz w:val="21"/>
              </w:rPr>
              <w:t>家庭养老床位</w:t>
            </w:r>
          </w:p>
        </w:tc>
        <w:tc>
          <w:tcPr>
            <w:tcW w:type="dxa" w:w="971"/>
            <w:tcBorders>
              <w:top w:val="none" w:color="000000" w:sz="4"/>
              <w:left w:val="single" w:color="000000" w:sz="4"/>
              <w:bottom w:val="single" w:color="000000" w:sz="4"/>
              <w:right w:val="single" w:color="000000" w:sz="4"/>
            </w:tcBorders>
            <w:vAlign w:val="top"/>
          </w:tcPr>
          <w:p>
            <w:pPr>
              <w:jc w:val="both"/>
            </w:pPr>
            <w:r>
              <w:rPr>
                <w:sz w:val="21"/>
              </w:rPr>
              <w:t>摸查工作</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联动社区开展需求摸查，政策宣传及协助申请</w:t>
            </w:r>
          </w:p>
        </w:tc>
        <w:tc>
          <w:tcPr>
            <w:tcW w:type="dxa" w:w="707"/>
            <w:vMerge w:val="restart"/>
            <w:tcBorders>
              <w:top w:val="none" w:color="000000" w:sz="4"/>
              <w:left w:val="single" w:color="000000" w:sz="4"/>
              <w:bottom w:val="single" w:color="000000" w:sz="4"/>
              <w:right w:val="single" w:color="000000" w:sz="4"/>
            </w:tcBorders>
            <w:vAlign w:val="top"/>
          </w:tcPr>
          <w:p>
            <w:pPr>
              <w:jc w:val="both"/>
            </w:pPr>
            <w:r>
              <w:rPr>
                <w:sz w:val="21"/>
              </w:rPr>
              <w:t>工时</w:t>
            </w:r>
          </w:p>
        </w:tc>
        <w:tc>
          <w:tcPr>
            <w:tcW w:type="dxa" w:w="794"/>
            <w:vMerge w:val="restart"/>
            <w:tcBorders>
              <w:top w:val="none" w:color="000000" w:sz="4"/>
              <w:left w:val="single" w:color="000000" w:sz="4"/>
              <w:bottom w:val="single" w:color="000000" w:sz="4"/>
              <w:right w:val="single" w:color="000000" w:sz="4"/>
            </w:tcBorders>
            <w:vAlign w:val="top"/>
          </w:tcPr>
          <w:p>
            <w:pPr>
              <w:jc w:val="both"/>
            </w:pPr>
            <w:r>
              <w:rPr>
                <w:sz w:val="21"/>
              </w:rPr>
              <w:t>200</w:t>
            </w:r>
          </w:p>
        </w:tc>
        <w:tc>
          <w:tcPr>
            <w:tcW w:type="dxa" w:w="706"/>
            <w:tcBorders>
              <w:top w:val="none" w:color="000000" w:sz="4"/>
              <w:left w:val="single" w:color="000000" w:sz="4"/>
              <w:bottom w:val="single" w:color="000000" w:sz="4"/>
              <w:right w:val="single" w:color="000000" w:sz="4"/>
            </w:tcBorders>
            <w:vAlign w:val="top"/>
          </w:tcPr>
          <w:p>
            <w:pPr>
              <w:jc w:val="both"/>
            </w:pP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评估准备</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对老年人居家环境和照护需求进行评估，制定相应的适老化和智能化改造方案及服务计划，对接广州市为老服务平台端口</w:t>
            </w:r>
          </w:p>
        </w:tc>
        <w:tc>
          <w:tcPr>
            <w:tcW w:type="dxa" w:w="707"/>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706"/>
            <w:tcBorders>
              <w:top w:val="none" w:color="000000" w:sz="4"/>
              <w:left w:val="single" w:color="000000" w:sz="4"/>
              <w:bottom w:val="single" w:color="000000" w:sz="4"/>
              <w:right w:val="single" w:color="000000" w:sz="4"/>
            </w:tcBorders>
            <w:vAlign w:val="top"/>
          </w:tcPr>
          <w:p>
            <w:pPr>
              <w:jc w:val="both"/>
            </w:pP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入户安装</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智能化和适老化入户安装</w:t>
            </w:r>
          </w:p>
        </w:tc>
        <w:tc>
          <w:tcPr>
            <w:tcW w:type="dxa" w:w="707"/>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706"/>
            <w:tcBorders>
              <w:top w:val="none" w:color="000000" w:sz="4"/>
              <w:left w:val="single" w:color="000000" w:sz="4"/>
              <w:bottom w:val="single" w:color="000000" w:sz="4"/>
              <w:right w:val="single" w:color="000000" w:sz="4"/>
            </w:tcBorders>
            <w:vAlign w:val="top"/>
          </w:tcPr>
          <w:p>
            <w:pPr>
              <w:jc w:val="both"/>
            </w:pP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服务提供</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根据服务计划提供医疗、家政、康复、紧急呼叫及</w:t>
            </w:r>
            <w:r>
              <w:rPr>
                <w:sz w:val="21"/>
              </w:rPr>
              <w:t>24小时监测服务，对产品提供定期上门维护服务</w:t>
            </w:r>
          </w:p>
        </w:tc>
        <w:tc>
          <w:tcPr>
            <w:tcW w:type="dxa" w:w="707"/>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706"/>
            <w:tcBorders>
              <w:top w:val="none" w:color="000000" w:sz="4"/>
              <w:left w:val="single" w:color="000000" w:sz="4"/>
              <w:bottom w:val="single" w:color="000000" w:sz="4"/>
              <w:right w:val="single" w:color="000000" w:sz="4"/>
            </w:tcBorders>
            <w:vAlign w:val="top"/>
          </w:tcPr>
          <w:p>
            <w:pPr>
              <w:jc w:val="both"/>
            </w:pPr>
          </w:p>
        </w:tc>
      </w:tr>
      <w:tr>
        <w:tc>
          <w:tcPr>
            <w:tcW w:type="dxa" w:w="610"/>
            <w:vMerge w:val="restart"/>
            <w:tcBorders>
              <w:top w:val="none" w:color="000000" w:sz="4"/>
              <w:left w:val="single" w:color="000000" w:sz="4"/>
              <w:bottom w:val="single" w:color="000000" w:sz="4"/>
              <w:right w:val="single" w:color="000000" w:sz="4"/>
            </w:tcBorders>
            <w:vAlign w:val="top"/>
          </w:tcPr>
          <w:p>
            <w:pPr>
              <w:jc w:val="both"/>
            </w:pPr>
            <w:r>
              <w:rPr>
                <w:sz w:val="21"/>
              </w:rPr>
              <w:t>8</w:t>
            </w:r>
          </w:p>
        </w:tc>
        <w:tc>
          <w:tcPr>
            <w:tcW w:type="dxa" w:w="711"/>
            <w:vMerge w:val="restart"/>
            <w:tcBorders>
              <w:top w:val="none" w:color="000000" w:sz="4"/>
              <w:left w:val="single" w:color="000000" w:sz="4"/>
              <w:bottom w:val="single" w:color="000000" w:sz="4"/>
              <w:right w:val="single" w:color="000000" w:sz="4"/>
            </w:tcBorders>
            <w:vAlign w:val="top"/>
          </w:tcPr>
          <w:p>
            <w:pPr>
              <w:jc w:val="both"/>
            </w:pPr>
            <w:r>
              <w:rPr>
                <w:sz w:val="21"/>
              </w:rPr>
              <w:t>辅具租赁</w:t>
            </w:r>
          </w:p>
        </w:tc>
        <w:tc>
          <w:tcPr>
            <w:tcW w:type="dxa" w:w="971"/>
            <w:tcBorders>
              <w:top w:val="none" w:color="000000" w:sz="4"/>
              <w:left w:val="single" w:color="000000" w:sz="4"/>
              <w:bottom w:val="single" w:color="000000" w:sz="4"/>
              <w:right w:val="single" w:color="000000" w:sz="4"/>
            </w:tcBorders>
            <w:vAlign w:val="top"/>
          </w:tcPr>
          <w:p>
            <w:pPr>
              <w:jc w:val="both"/>
            </w:pPr>
            <w:r>
              <w:rPr>
                <w:sz w:val="21"/>
              </w:rPr>
              <w:t>展示与咨询</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拐杖、轮椅、坐便器、助行器、生活辅助器具等老年用品展示与介绍。</w:t>
            </w:r>
          </w:p>
        </w:tc>
        <w:tc>
          <w:tcPr>
            <w:tcW w:type="dxa" w:w="707"/>
            <w:vMerge w:val="restart"/>
            <w:tcBorders>
              <w:top w:val="none" w:color="000000" w:sz="4"/>
              <w:left w:val="single" w:color="000000" w:sz="4"/>
              <w:bottom w:val="single" w:color="000000" w:sz="4"/>
              <w:right w:val="single" w:color="000000" w:sz="4"/>
            </w:tcBorders>
            <w:vAlign w:val="top"/>
          </w:tcPr>
          <w:p>
            <w:pPr>
              <w:jc w:val="both"/>
            </w:pPr>
            <w:r>
              <w:rPr>
                <w:sz w:val="21"/>
              </w:rPr>
              <w:t>提供</w:t>
            </w:r>
            <w:r>
              <w:rPr>
                <w:sz w:val="21"/>
              </w:rPr>
              <w:t>/不提供</w:t>
            </w:r>
          </w:p>
        </w:tc>
        <w:tc>
          <w:tcPr>
            <w:tcW w:type="dxa" w:w="794"/>
            <w:vMerge w:val="restart"/>
            <w:tcBorders>
              <w:top w:val="none" w:color="000000" w:sz="4"/>
              <w:left w:val="single" w:color="000000" w:sz="4"/>
              <w:bottom w:val="single" w:color="000000" w:sz="4"/>
              <w:right w:val="single" w:color="000000" w:sz="4"/>
            </w:tcBorders>
            <w:vAlign w:val="top"/>
          </w:tcPr>
          <w:p>
            <w:pPr>
              <w:jc w:val="both"/>
            </w:pPr>
            <w:r>
              <w:rPr>
                <w:sz w:val="21"/>
              </w:rPr>
              <w:t>提供</w:t>
            </w:r>
          </w:p>
        </w:tc>
        <w:tc>
          <w:tcPr>
            <w:tcW w:type="dxa" w:w="706"/>
            <w:vMerge w:val="restart"/>
            <w:tcBorders>
              <w:top w:val="none" w:color="000000" w:sz="4"/>
              <w:left w:val="single" w:color="000000" w:sz="4"/>
              <w:bottom w:val="single" w:color="000000" w:sz="4"/>
              <w:right w:val="single" w:color="000000" w:sz="4"/>
            </w:tcBorders>
            <w:vAlign w:val="top"/>
          </w:tcPr>
          <w:p>
            <w:pPr>
              <w:jc w:val="both"/>
            </w:pP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租赁与回收</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助行器（四脚拐杖、三脚拐杖）、轮椅、代步车、护理床、防褥疮床垫、床面桌、制氧机、助力转移车、洗澡椅、斜躺椅、坐便椅等辅具租赁。</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捐赠与受赠</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老年用品、物资捐赠与受赠</w:t>
            </w:r>
            <w:r>
              <w:rPr>
                <w:sz w:val="21"/>
              </w:rPr>
              <w:t>。</w:t>
            </w:r>
          </w:p>
        </w:tc>
      </w:tr>
      <w:tr>
        <w:tc>
          <w:tcPr>
            <w:tcW w:type="dxa" w:w="610"/>
            <w:vMerge w:val="restart"/>
            <w:tcBorders>
              <w:top w:val="none" w:color="000000" w:sz="4"/>
              <w:left w:val="single" w:color="000000" w:sz="4"/>
              <w:bottom w:val="single" w:color="000000" w:sz="4"/>
              <w:right w:val="single" w:color="000000" w:sz="4"/>
            </w:tcBorders>
            <w:vAlign w:val="top"/>
          </w:tcPr>
          <w:p>
            <w:pPr>
              <w:jc w:val="both"/>
            </w:pPr>
            <w:r>
              <w:rPr>
                <w:sz w:val="21"/>
              </w:rPr>
              <w:t>9</w:t>
            </w:r>
          </w:p>
        </w:tc>
        <w:tc>
          <w:tcPr>
            <w:tcW w:type="dxa" w:w="711"/>
            <w:vMerge w:val="restart"/>
            <w:tcBorders>
              <w:top w:val="none" w:color="000000" w:sz="4"/>
              <w:left w:val="single" w:color="000000" w:sz="4"/>
              <w:bottom w:val="single" w:color="000000" w:sz="4"/>
              <w:right w:val="single" w:color="000000" w:sz="4"/>
            </w:tcBorders>
            <w:vAlign w:val="top"/>
          </w:tcPr>
          <w:p>
            <w:pPr>
              <w:jc w:val="both"/>
            </w:pPr>
            <w:r>
              <w:rPr>
                <w:sz w:val="21"/>
              </w:rPr>
              <w:t>家庭照护培训</w:t>
            </w:r>
          </w:p>
        </w:tc>
        <w:tc>
          <w:tcPr>
            <w:tcW w:type="dxa" w:w="971"/>
            <w:tcBorders>
              <w:top w:val="none" w:color="000000" w:sz="4"/>
              <w:left w:val="single" w:color="000000" w:sz="4"/>
              <w:bottom w:val="single" w:color="000000" w:sz="4"/>
              <w:right w:val="single" w:color="000000" w:sz="4"/>
            </w:tcBorders>
            <w:vAlign w:val="top"/>
          </w:tcPr>
          <w:p>
            <w:pPr>
              <w:jc w:val="both"/>
            </w:pPr>
            <w:r>
              <w:rPr>
                <w:sz w:val="21"/>
              </w:rPr>
              <w:t>需求调查</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面向居家照护的家属及长者开展需求调查，形成调查报告，形成培训计划。</w:t>
            </w:r>
          </w:p>
        </w:tc>
        <w:tc>
          <w:tcPr>
            <w:tcW w:type="dxa" w:w="707"/>
            <w:tcBorders>
              <w:top w:val="none" w:color="000000" w:sz="4"/>
              <w:left w:val="single" w:color="000000" w:sz="4"/>
              <w:bottom w:val="single" w:color="000000" w:sz="4"/>
              <w:right w:val="single" w:color="000000" w:sz="4"/>
            </w:tcBorders>
            <w:vAlign w:val="top"/>
          </w:tcPr>
          <w:p>
            <w:pPr>
              <w:jc w:val="both"/>
            </w:pPr>
            <w:r>
              <w:rPr>
                <w:sz w:val="21"/>
              </w:rPr>
              <w:t>提供</w:t>
            </w:r>
            <w:r>
              <w:rPr>
                <w:sz w:val="21"/>
              </w:rPr>
              <w:t>/不提供</w:t>
            </w:r>
          </w:p>
        </w:tc>
        <w:tc>
          <w:tcPr>
            <w:tcW w:type="dxa" w:w="794"/>
            <w:tcBorders>
              <w:top w:val="none" w:color="000000" w:sz="4"/>
              <w:left w:val="single" w:color="000000" w:sz="4"/>
              <w:bottom w:val="single" w:color="000000" w:sz="4"/>
              <w:right w:val="single" w:color="000000" w:sz="4"/>
            </w:tcBorders>
            <w:vAlign w:val="top"/>
          </w:tcPr>
          <w:p>
            <w:pPr>
              <w:jc w:val="both"/>
            </w:pPr>
            <w:r>
              <w:rPr>
                <w:sz w:val="21"/>
              </w:rPr>
              <w:t>提供</w:t>
            </w:r>
          </w:p>
        </w:tc>
        <w:tc>
          <w:tcPr>
            <w:tcW w:type="dxa" w:w="706"/>
            <w:vMerge w:val="restart"/>
            <w:tcBorders>
              <w:top w:val="none" w:color="000000" w:sz="4"/>
              <w:left w:val="single" w:color="000000" w:sz="4"/>
              <w:bottom w:val="single" w:color="000000" w:sz="4"/>
              <w:right w:val="single" w:color="000000" w:sz="4"/>
            </w:tcBorders>
            <w:vAlign w:val="top"/>
          </w:tcPr>
          <w:p>
            <w:pPr>
              <w:jc w:val="both"/>
            </w:pP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培训开展</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开展不限于照护</w:t>
            </w:r>
            <w:r>
              <w:rPr>
                <w:sz w:val="21"/>
              </w:rPr>
              <w:t>知识</w:t>
            </w:r>
            <w:r>
              <w:rPr>
                <w:sz w:val="21"/>
              </w:rPr>
              <w:t>与技能培训、心理健康咨询和健康管理等养老护理服务培训</w:t>
            </w:r>
          </w:p>
        </w:tc>
        <w:tc>
          <w:tcPr>
            <w:tcW w:type="dxa" w:w="707"/>
            <w:tcBorders>
              <w:top w:val="none" w:color="000000" w:sz="4"/>
              <w:left w:val="single" w:color="000000" w:sz="4"/>
              <w:bottom w:val="single" w:color="000000" w:sz="4"/>
              <w:right w:val="single" w:color="000000" w:sz="4"/>
            </w:tcBorders>
            <w:vAlign w:val="top"/>
          </w:tcPr>
          <w:p>
            <w:pPr>
              <w:jc w:val="both"/>
            </w:pPr>
            <w:r>
              <w:rPr>
                <w:sz w:val="21"/>
              </w:rPr>
              <w:t>工时</w:t>
            </w:r>
          </w:p>
        </w:tc>
        <w:tc>
          <w:tcPr>
            <w:tcW w:type="dxa" w:w="794"/>
            <w:tcBorders>
              <w:top w:val="none" w:color="000000" w:sz="4"/>
              <w:left w:val="single" w:color="000000" w:sz="4"/>
              <w:bottom w:val="single" w:color="000000" w:sz="4"/>
              <w:right w:val="single" w:color="000000" w:sz="4"/>
            </w:tcBorders>
            <w:vAlign w:val="top"/>
          </w:tcPr>
          <w:p>
            <w:pPr>
              <w:jc w:val="both"/>
            </w:pPr>
            <w:r>
              <w:rPr>
                <w:sz w:val="21"/>
              </w:rPr>
              <w:t>100</w:t>
            </w:r>
          </w:p>
        </w:tc>
      </w:tr>
      <w:tr>
        <w:tc>
          <w:tcPr>
            <w:tcW w:type="dxa" w:w="610"/>
            <w:tcBorders>
              <w:top w:val="none" w:color="000000" w:sz="4"/>
              <w:left w:val="single" w:color="000000" w:sz="4"/>
              <w:bottom w:val="single" w:color="000000" w:sz="4"/>
              <w:right w:val="single" w:color="000000" w:sz="4"/>
            </w:tcBorders>
            <w:vAlign w:val="top"/>
          </w:tcPr>
          <w:p>
            <w:pPr>
              <w:jc w:val="both"/>
            </w:pPr>
            <w:r>
              <w:rPr>
                <w:sz w:val="21"/>
              </w:rPr>
              <w:t>10</w:t>
            </w:r>
          </w:p>
        </w:tc>
        <w:tc>
          <w:tcPr>
            <w:tcW w:type="dxa" w:w="711"/>
            <w:tcBorders>
              <w:top w:val="none" w:color="000000" w:sz="4"/>
              <w:left w:val="single" w:color="000000" w:sz="4"/>
              <w:bottom w:val="single" w:color="000000" w:sz="4"/>
              <w:right w:val="single" w:color="000000" w:sz="4"/>
            </w:tcBorders>
            <w:vAlign w:val="top"/>
          </w:tcPr>
          <w:p>
            <w:pPr>
              <w:jc w:val="both"/>
            </w:pPr>
            <w:r>
              <w:rPr>
                <w:sz w:val="21"/>
              </w:rPr>
              <w:t>养老服务向导</w:t>
            </w:r>
          </w:p>
        </w:tc>
        <w:tc>
          <w:tcPr>
            <w:tcW w:type="dxa" w:w="971"/>
            <w:tcBorders>
              <w:top w:val="none" w:color="000000" w:sz="4"/>
              <w:left w:val="single" w:color="000000" w:sz="4"/>
              <w:bottom w:val="single" w:color="000000" w:sz="4"/>
              <w:right w:val="single" w:color="000000" w:sz="4"/>
            </w:tcBorders>
            <w:vAlign w:val="top"/>
          </w:tcPr>
          <w:p>
            <w:pPr>
              <w:jc w:val="both"/>
            </w:pPr>
            <w:r>
              <w:rPr>
                <w:sz w:val="21"/>
              </w:rPr>
              <w:t>咨询申请转介</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养老政策咨询、服务查询、办事指引、服务转介、协助申请平安通的服务等</w:t>
            </w:r>
          </w:p>
        </w:tc>
        <w:tc>
          <w:tcPr>
            <w:tcW w:type="dxa" w:w="707"/>
            <w:tcBorders>
              <w:top w:val="none" w:color="000000" w:sz="4"/>
              <w:left w:val="single" w:color="000000" w:sz="4"/>
              <w:bottom w:val="single" w:color="000000" w:sz="4"/>
              <w:right w:val="single" w:color="000000" w:sz="4"/>
            </w:tcBorders>
            <w:vAlign w:val="top"/>
          </w:tcPr>
          <w:p>
            <w:pPr>
              <w:jc w:val="both"/>
            </w:pPr>
            <w:r>
              <w:rPr>
                <w:sz w:val="21"/>
              </w:rPr>
              <w:t>提供</w:t>
            </w:r>
            <w:r>
              <w:rPr>
                <w:sz w:val="21"/>
              </w:rPr>
              <w:t>/不提供</w:t>
            </w:r>
          </w:p>
        </w:tc>
        <w:tc>
          <w:tcPr>
            <w:tcW w:type="dxa" w:w="794"/>
            <w:tcBorders>
              <w:top w:val="none" w:color="000000" w:sz="4"/>
              <w:left w:val="single" w:color="000000" w:sz="4"/>
              <w:bottom w:val="single" w:color="000000" w:sz="4"/>
              <w:right w:val="single" w:color="000000" w:sz="4"/>
            </w:tcBorders>
            <w:vAlign w:val="top"/>
          </w:tcPr>
          <w:p>
            <w:pPr>
              <w:jc w:val="both"/>
            </w:pPr>
            <w:r>
              <w:rPr>
                <w:sz w:val="21"/>
              </w:rPr>
              <w:t>提供</w:t>
            </w:r>
          </w:p>
        </w:tc>
        <w:tc>
          <w:tcPr>
            <w:tcW w:type="dxa" w:w="706"/>
            <w:tcBorders>
              <w:top w:val="none" w:color="000000" w:sz="4"/>
              <w:left w:val="single" w:color="000000" w:sz="4"/>
              <w:bottom w:val="single" w:color="000000" w:sz="4"/>
              <w:right w:val="single" w:color="000000" w:sz="4"/>
            </w:tcBorders>
            <w:vAlign w:val="top"/>
          </w:tcPr>
          <w:p>
            <w:pPr>
              <w:jc w:val="both"/>
            </w:pPr>
          </w:p>
        </w:tc>
      </w:tr>
      <w:tr>
        <w:tc>
          <w:tcPr>
            <w:tcW w:type="dxa" w:w="610"/>
            <w:vMerge w:val="restart"/>
            <w:tcBorders>
              <w:top w:val="none" w:color="000000" w:sz="4"/>
              <w:left w:val="single" w:color="000000" w:sz="4"/>
              <w:bottom w:val="single" w:color="000000" w:sz="4"/>
              <w:right w:val="single" w:color="000000" w:sz="4"/>
            </w:tcBorders>
            <w:vAlign w:val="top"/>
          </w:tcPr>
          <w:p>
            <w:pPr>
              <w:jc w:val="both"/>
            </w:pPr>
            <w:r>
              <w:rPr>
                <w:sz w:val="21"/>
              </w:rPr>
              <w:t>11</w:t>
            </w:r>
          </w:p>
        </w:tc>
        <w:tc>
          <w:tcPr>
            <w:tcW w:type="dxa" w:w="711"/>
            <w:vMerge w:val="restart"/>
            <w:tcBorders>
              <w:top w:val="none" w:color="000000" w:sz="4"/>
              <w:left w:val="single" w:color="000000" w:sz="4"/>
              <w:bottom w:val="single" w:color="000000" w:sz="4"/>
              <w:right w:val="single" w:color="000000" w:sz="4"/>
            </w:tcBorders>
            <w:vAlign w:val="top"/>
          </w:tcPr>
          <w:p>
            <w:pPr>
              <w:jc w:val="both"/>
            </w:pPr>
            <w:r>
              <w:rPr>
                <w:sz w:val="21"/>
              </w:rPr>
              <w:t>适老化改造</w:t>
            </w:r>
          </w:p>
        </w:tc>
        <w:tc>
          <w:tcPr>
            <w:tcW w:type="dxa" w:w="971"/>
            <w:vMerge w:val="restart"/>
            <w:tcBorders>
              <w:top w:val="none" w:color="000000" w:sz="4"/>
              <w:left w:val="single" w:color="000000" w:sz="4"/>
              <w:bottom w:val="single" w:color="000000" w:sz="4"/>
              <w:right w:val="single" w:color="000000" w:sz="4"/>
            </w:tcBorders>
            <w:vAlign w:val="top"/>
          </w:tcPr>
          <w:p>
            <w:pPr>
              <w:jc w:val="both"/>
            </w:pPr>
            <w:r>
              <w:rPr>
                <w:sz w:val="21"/>
              </w:rPr>
              <w:t>服务开展</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1.上门查看服务对象家居安全，进行安全评估、居家安全教育。</w:t>
            </w:r>
          </w:p>
        </w:tc>
        <w:tc>
          <w:tcPr>
            <w:tcW w:type="dxa" w:w="707"/>
            <w:tcBorders>
              <w:top w:val="none" w:color="000000" w:sz="4"/>
              <w:left w:val="single" w:color="000000" w:sz="4"/>
              <w:bottom w:val="single" w:color="000000" w:sz="4"/>
              <w:right w:val="single" w:color="000000" w:sz="4"/>
            </w:tcBorders>
            <w:vAlign w:val="top"/>
          </w:tcPr>
          <w:p>
            <w:pPr>
              <w:jc w:val="both"/>
            </w:pPr>
            <w:r>
              <w:rPr>
                <w:sz w:val="21"/>
              </w:rPr>
              <w:t>工时</w:t>
            </w:r>
          </w:p>
        </w:tc>
        <w:tc>
          <w:tcPr>
            <w:tcW w:type="dxa" w:w="794"/>
            <w:tcBorders>
              <w:top w:val="none" w:color="000000" w:sz="4"/>
              <w:left w:val="single" w:color="000000" w:sz="4"/>
              <w:bottom w:val="single" w:color="000000" w:sz="4"/>
              <w:right w:val="single" w:color="000000" w:sz="4"/>
            </w:tcBorders>
            <w:vAlign w:val="top"/>
          </w:tcPr>
          <w:p>
            <w:pPr>
              <w:jc w:val="both"/>
            </w:pPr>
            <w:r>
              <w:rPr>
                <w:sz w:val="21"/>
              </w:rPr>
              <w:t>100</w:t>
            </w:r>
          </w:p>
        </w:tc>
        <w:tc>
          <w:tcPr>
            <w:tcW w:type="dxa" w:w="706"/>
            <w:vMerge w:val="restart"/>
            <w:tcBorders>
              <w:top w:val="none" w:color="000000" w:sz="4"/>
              <w:left w:val="single" w:color="000000" w:sz="4"/>
              <w:bottom w:val="single" w:color="000000" w:sz="4"/>
              <w:right w:val="single" w:color="000000" w:sz="4"/>
            </w:tcBorders>
            <w:vAlign w:val="top"/>
          </w:tcPr>
          <w:p>
            <w:pPr>
              <w:jc w:val="both"/>
            </w:pP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vMerge/>
            <w:tcBorders>
              <w:top w:val="none" w:color="000000" w:sz="4"/>
              <w:left w:val="single" w:color="000000" w:sz="4"/>
              <w:bottom w:val="single" w:color="000000" w:sz="4"/>
              <w:right w:val="single" w:color="000000" w:sz="4"/>
            </w:tcBorders>
          </w:tcPr>
          <w:p/>
        </w:tc>
        <w:tc>
          <w:tcPr>
            <w:tcW w:type="dxa" w:w="3480"/>
            <w:tcBorders>
              <w:top w:val="none" w:color="000000" w:sz="4"/>
              <w:left w:val="single" w:color="000000" w:sz="4"/>
              <w:bottom w:val="single" w:color="000000" w:sz="4"/>
              <w:right w:val="single" w:color="000000" w:sz="4"/>
            </w:tcBorders>
            <w:vAlign w:val="top"/>
          </w:tcPr>
          <w:p>
            <w:pPr>
              <w:jc w:val="both"/>
            </w:pPr>
            <w:r>
              <w:rPr>
                <w:sz w:val="21"/>
              </w:rPr>
              <w:t>2.通过链接资源，协助服务对象申请《广州市特殊困难老年人家庭及居住区公共设施无障碍改造项目资金管理办法》等相关文件规定的无障碍改造、适老化家居改造相关补贴。主要指平安通服务，包括紧急呼援服务、定位服务、咨询转介务、心理慰藉、</w:t>
            </w:r>
          </w:p>
        </w:tc>
        <w:tc>
          <w:tcPr>
            <w:tcW w:type="dxa" w:w="707"/>
            <w:tcBorders>
              <w:top w:val="none" w:color="000000" w:sz="4"/>
              <w:left w:val="single" w:color="000000" w:sz="4"/>
              <w:bottom w:val="single" w:color="000000" w:sz="4"/>
              <w:right w:val="single" w:color="000000" w:sz="4"/>
            </w:tcBorders>
            <w:vAlign w:val="top"/>
          </w:tcPr>
          <w:p>
            <w:pPr>
              <w:jc w:val="both"/>
            </w:pPr>
            <w:r>
              <w:rPr>
                <w:sz w:val="21"/>
              </w:rPr>
              <w:t>提供</w:t>
            </w:r>
            <w:r>
              <w:rPr>
                <w:sz w:val="21"/>
              </w:rPr>
              <w:t>/不提供</w:t>
            </w:r>
          </w:p>
        </w:tc>
        <w:tc>
          <w:tcPr>
            <w:tcW w:type="dxa" w:w="794"/>
            <w:tcBorders>
              <w:top w:val="none" w:color="000000" w:sz="4"/>
              <w:left w:val="single" w:color="000000" w:sz="4"/>
              <w:bottom w:val="single" w:color="000000" w:sz="4"/>
              <w:right w:val="single" w:color="000000" w:sz="4"/>
            </w:tcBorders>
            <w:vAlign w:val="top"/>
          </w:tcPr>
          <w:p>
            <w:pPr>
              <w:jc w:val="both"/>
            </w:pPr>
            <w:r>
              <w:rPr>
                <w:sz w:val="21"/>
              </w:rPr>
              <w:t>提供</w:t>
            </w:r>
          </w:p>
        </w:tc>
      </w:tr>
      <w:tr>
        <w:tc>
          <w:tcPr>
            <w:tcW w:type="dxa" w:w="610"/>
            <w:vMerge w:val="restart"/>
            <w:tcBorders>
              <w:top w:val="none" w:color="000000" w:sz="4"/>
              <w:left w:val="single" w:color="000000" w:sz="4"/>
              <w:bottom w:val="single" w:color="000000" w:sz="4"/>
              <w:right w:val="single" w:color="000000" w:sz="4"/>
            </w:tcBorders>
            <w:vAlign w:val="top"/>
          </w:tcPr>
          <w:p>
            <w:pPr>
              <w:jc w:val="both"/>
            </w:pPr>
            <w:r>
              <w:rPr>
                <w:sz w:val="21"/>
              </w:rPr>
              <w:t>12</w:t>
            </w:r>
          </w:p>
        </w:tc>
        <w:tc>
          <w:tcPr>
            <w:tcW w:type="dxa" w:w="711"/>
            <w:vMerge w:val="restart"/>
            <w:tcBorders>
              <w:top w:val="none" w:color="000000" w:sz="4"/>
              <w:left w:val="single" w:color="000000" w:sz="4"/>
              <w:bottom w:val="single" w:color="000000" w:sz="4"/>
              <w:right w:val="single" w:color="000000" w:sz="4"/>
            </w:tcBorders>
            <w:vAlign w:val="top"/>
          </w:tcPr>
          <w:p>
            <w:pPr>
              <w:jc w:val="both"/>
            </w:pPr>
            <w:r>
              <w:rPr>
                <w:sz w:val="21"/>
              </w:rPr>
              <w:t>日间托管</w:t>
            </w:r>
          </w:p>
        </w:tc>
        <w:tc>
          <w:tcPr>
            <w:tcW w:type="dxa" w:w="971"/>
            <w:tcBorders>
              <w:top w:val="none" w:color="000000" w:sz="4"/>
              <w:left w:val="single" w:color="000000" w:sz="4"/>
              <w:bottom w:val="single" w:color="000000" w:sz="4"/>
              <w:right w:val="single" w:color="000000" w:sz="4"/>
            </w:tcBorders>
            <w:vAlign w:val="top"/>
          </w:tcPr>
          <w:p>
            <w:pPr>
              <w:jc w:val="both"/>
            </w:pPr>
            <w:r>
              <w:rPr>
                <w:sz w:val="21"/>
              </w:rPr>
              <w:t>助餐配餐</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午餐</w:t>
            </w:r>
          </w:p>
        </w:tc>
        <w:tc>
          <w:tcPr>
            <w:tcW w:type="dxa" w:w="707"/>
            <w:vMerge w:val="restart"/>
            <w:tcBorders>
              <w:top w:val="none" w:color="000000" w:sz="4"/>
              <w:left w:val="single" w:color="000000" w:sz="4"/>
              <w:bottom w:val="single" w:color="000000" w:sz="4"/>
              <w:right w:val="single" w:color="000000" w:sz="4"/>
            </w:tcBorders>
            <w:vAlign w:val="top"/>
          </w:tcPr>
          <w:p>
            <w:pPr>
              <w:jc w:val="both"/>
            </w:pPr>
            <w:r>
              <w:rPr>
                <w:sz w:val="21"/>
              </w:rPr>
              <w:t>工时</w:t>
            </w:r>
          </w:p>
        </w:tc>
        <w:tc>
          <w:tcPr>
            <w:tcW w:type="dxa" w:w="794"/>
            <w:vMerge w:val="restart"/>
            <w:tcBorders>
              <w:top w:val="none" w:color="000000" w:sz="4"/>
              <w:left w:val="single" w:color="000000" w:sz="4"/>
              <w:bottom w:val="single" w:color="000000" w:sz="4"/>
              <w:right w:val="single" w:color="000000" w:sz="4"/>
            </w:tcBorders>
            <w:vAlign w:val="top"/>
          </w:tcPr>
          <w:p>
            <w:pPr>
              <w:jc w:val="both"/>
            </w:pPr>
            <w:r>
              <w:rPr>
                <w:sz w:val="21"/>
              </w:rPr>
              <w:t>1</w:t>
            </w:r>
            <w:r>
              <w:rPr>
                <w:sz w:val="21"/>
              </w:rPr>
              <w:t>2</w:t>
            </w:r>
            <w:r>
              <w:rPr>
                <w:sz w:val="21"/>
              </w:rPr>
              <w:t>40</w:t>
            </w:r>
          </w:p>
        </w:tc>
        <w:tc>
          <w:tcPr>
            <w:tcW w:type="dxa" w:w="706"/>
            <w:vMerge w:val="restart"/>
            <w:tcBorders>
              <w:top w:val="none" w:color="000000" w:sz="4"/>
              <w:left w:val="single" w:color="000000" w:sz="4"/>
              <w:bottom w:val="single" w:color="000000" w:sz="4"/>
              <w:right w:val="single" w:color="000000" w:sz="4"/>
            </w:tcBorders>
            <w:vAlign w:val="top"/>
          </w:tcPr>
          <w:p>
            <w:pPr>
              <w:jc w:val="both"/>
            </w:pP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康复训练</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使用中心器械：步行器、固定单车、手臂滑轮、平衡杠、肋木、扶梯、手指训练器等器械开展的康复或保健训练。</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健康管理</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体温、血压、</w:t>
            </w:r>
            <w:r>
              <w:rPr>
                <w:sz w:val="21"/>
              </w:rPr>
              <w:t>血糖</w:t>
            </w:r>
            <w:r>
              <w:rPr>
                <w:sz w:val="21"/>
              </w:rPr>
              <w:t>监测，健康操运动等</w:t>
            </w:r>
            <w:r>
              <w:rPr>
                <w:sz w:val="21"/>
              </w:rPr>
              <w:t>。</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文化娱乐</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棋牌、歌舞、打球、绘画、看书、兴趣学习等</w:t>
            </w:r>
            <w:r>
              <w:rPr>
                <w:sz w:val="21"/>
              </w:rPr>
              <w:t>。</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vAlign w:val="top"/>
          </w:tcPr>
          <w:p>
            <w:pPr>
              <w:jc w:val="both"/>
            </w:pPr>
            <w:r>
              <w:rPr>
                <w:sz w:val="21"/>
              </w:rPr>
              <w:t>午间休息</w:t>
            </w:r>
          </w:p>
        </w:tc>
        <w:tc>
          <w:tcPr>
            <w:tcW w:type="dxa" w:w="3480"/>
            <w:tcBorders>
              <w:top w:val="none" w:color="000000" w:sz="4"/>
              <w:left w:val="single" w:color="000000" w:sz="4"/>
              <w:bottom w:val="single" w:color="000000" w:sz="4"/>
              <w:right w:val="single" w:color="000000" w:sz="4"/>
            </w:tcBorders>
            <w:vAlign w:val="top"/>
          </w:tcPr>
          <w:p>
            <w:pPr>
              <w:jc w:val="both"/>
            </w:pPr>
            <w:r>
              <w:rPr>
                <w:sz w:val="21"/>
              </w:rPr>
              <w:t>提供床位</w:t>
            </w:r>
            <w:r>
              <w:rPr>
                <w:sz w:val="21"/>
              </w:rPr>
              <w:t>。</w:t>
            </w:r>
          </w:p>
        </w:tc>
        <w:tc>
          <w:tcPr>
            <w:tcW w:type="dxa" w:w="707"/>
            <w:tcBorders>
              <w:top w:val="none" w:color="000000" w:sz="4"/>
              <w:left w:val="single" w:color="000000" w:sz="4"/>
              <w:bottom w:val="single" w:color="000000" w:sz="4"/>
              <w:right w:val="single" w:color="000000" w:sz="4"/>
            </w:tcBorders>
            <w:vAlign w:val="top"/>
          </w:tcPr>
          <w:p>
            <w:pPr>
              <w:jc w:val="both"/>
            </w:pPr>
            <w:r>
              <w:rPr>
                <w:sz w:val="21"/>
              </w:rPr>
              <w:t>床位数</w:t>
            </w:r>
          </w:p>
        </w:tc>
        <w:tc>
          <w:tcPr>
            <w:tcW w:type="dxa" w:w="794"/>
            <w:tcBorders>
              <w:top w:val="none" w:color="000000" w:sz="4"/>
              <w:left w:val="single" w:color="000000" w:sz="4"/>
              <w:bottom w:val="single" w:color="000000" w:sz="4"/>
              <w:right w:val="single" w:color="000000" w:sz="4"/>
            </w:tcBorders>
            <w:vAlign w:val="top"/>
          </w:tcPr>
          <w:p>
            <w:pPr>
              <w:jc w:val="both"/>
            </w:pPr>
            <w:r>
              <w:rPr>
                <w:sz w:val="21"/>
              </w:rPr>
              <w:t>10</w:t>
            </w:r>
          </w:p>
        </w:tc>
      </w:tr>
      <w:tr>
        <w:tc>
          <w:tcPr>
            <w:tcW w:type="dxa" w:w="610"/>
            <w:vMerge w:val="restart"/>
            <w:tcBorders>
              <w:top w:val="none" w:color="000000" w:sz="4"/>
              <w:left w:val="single" w:color="000000" w:sz="4"/>
              <w:bottom w:val="single" w:color="000000" w:sz="4"/>
              <w:right w:val="single" w:color="000000" w:sz="4"/>
            </w:tcBorders>
            <w:shd w:fill="FFFFFF"/>
            <w:vAlign w:val="top"/>
          </w:tcPr>
          <w:p>
            <w:pPr>
              <w:jc w:val="both"/>
            </w:pPr>
            <w:r>
              <w:rPr>
                <w:sz w:val="21"/>
              </w:rPr>
              <w:t>13</w:t>
            </w:r>
          </w:p>
        </w:tc>
        <w:tc>
          <w:tcPr>
            <w:tcW w:type="dxa" w:w="711"/>
            <w:vMerge w:val="restart"/>
            <w:tcBorders>
              <w:top w:val="none" w:color="000000" w:sz="4"/>
              <w:left w:val="single" w:color="000000" w:sz="4"/>
              <w:bottom w:val="single" w:color="000000" w:sz="4"/>
              <w:right w:val="single" w:color="000000" w:sz="4"/>
            </w:tcBorders>
            <w:vAlign w:val="top"/>
          </w:tcPr>
          <w:p>
            <w:pPr>
              <w:jc w:val="both"/>
            </w:pPr>
            <w:r>
              <w:rPr>
                <w:sz w:val="21"/>
              </w:rPr>
              <w:t>临时托养</w:t>
            </w:r>
          </w:p>
        </w:tc>
        <w:tc>
          <w:tcPr>
            <w:tcW w:type="dxa" w:w="971"/>
            <w:tcBorders>
              <w:top w:val="none" w:color="000000" w:sz="4"/>
              <w:left w:val="single" w:color="000000" w:sz="4"/>
              <w:bottom w:val="single" w:color="000000" w:sz="4"/>
              <w:right w:val="single" w:color="000000" w:sz="4"/>
            </w:tcBorders>
            <w:shd w:fill="FFFFFF"/>
            <w:vAlign w:val="top"/>
          </w:tcPr>
          <w:p>
            <w:pPr>
              <w:jc w:val="both"/>
            </w:pPr>
            <w:r>
              <w:rPr>
                <w:sz w:val="21"/>
              </w:rPr>
              <w:t>助餐配餐</w:t>
            </w:r>
          </w:p>
        </w:tc>
        <w:tc>
          <w:tcPr>
            <w:tcW w:type="dxa" w:w="3480"/>
            <w:tcBorders>
              <w:top w:val="none" w:color="000000" w:sz="4"/>
              <w:left w:val="single" w:color="000000" w:sz="4"/>
              <w:bottom w:val="single" w:color="000000" w:sz="4"/>
              <w:right w:val="single" w:color="000000" w:sz="4"/>
            </w:tcBorders>
            <w:shd w:fill="FFFFFF"/>
            <w:vAlign w:val="top"/>
          </w:tcPr>
          <w:p>
            <w:pPr>
              <w:jc w:val="both"/>
            </w:pPr>
            <w:r>
              <w:rPr>
                <w:sz w:val="21"/>
              </w:rPr>
              <w:t>早餐、午餐、晚餐</w:t>
            </w:r>
            <w:r>
              <w:rPr>
                <w:sz w:val="21"/>
              </w:rPr>
              <w:t>。</w:t>
            </w:r>
          </w:p>
        </w:tc>
        <w:tc>
          <w:tcPr>
            <w:tcW w:type="dxa" w:w="707"/>
            <w:vMerge w:val="restart"/>
            <w:tcBorders>
              <w:top w:val="none" w:color="000000" w:sz="4"/>
              <w:left w:val="single" w:color="000000" w:sz="4"/>
              <w:bottom w:val="single" w:color="000000" w:sz="4"/>
              <w:right w:val="single" w:color="000000" w:sz="4"/>
            </w:tcBorders>
            <w:shd w:fill="FFFFFF"/>
            <w:vAlign w:val="top"/>
          </w:tcPr>
          <w:p>
            <w:pPr>
              <w:jc w:val="both"/>
            </w:pPr>
            <w:r>
              <w:rPr>
                <w:sz w:val="21"/>
              </w:rPr>
              <w:t>工时</w:t>
            </w:r>
          </w:p>
        </w:tc>
        <w:tc>
          <w:tcPr>
            <w:tcW w:type="dxa" w:w="794"/>
            <w:vMerge w:val="restart"/>
            <w:tcBorders>
              <w:top w:val="none" w:color="000000" w:sz="4"/>
              <w:left w:val="single" w:color="000000" w:sz="4"/>
              <w:bottom w:val="single" w:color="000000" w:sz="4"/>
              <w:right w:val="single" w:color="000000" w:sz="4"/>
            </w:tcBorders>
            <w:shd w:fill="FFFFFF"/>
            <w:vAlign w:val="top"/>
          </w:tcPr>
          <w:p>
            <w:pPr>
              <w:jc w:val="both"/>
            </w:pPr>
            <w:r>
              <w:rPr>
                <w:sz w:val="21"/>
              </w:rPr>
              <w:t>3</w:t>
            </w:r>
            <w:r>
              <w:rPr>
                <w:sz w:val="21"/>
              </w:rPr>
              <w:t>00</w:t>
            </w:r>
          </w:p>
        </w:tc>
        <w:tc>
          <w:tcPr>
            <w:tcW w:type="dxa" w:w="706"/>
            <w:vMerge w:val="restart"/>
            <w:tcBorders>
              <w:top w:val="none" w:color="000000" w:sz="4"/>
              <w:left w:val="single" w:color="000000" w:sz="4"/>
              <w:bottom w:val="single" w:color="000000" w:sz="4"/>
              <w:right w:val="single" w:color="000000" w:sz="4"/>
            </w:tcBorders>
            <w:shd w:fill="FFFFFF"/>
            <w:vAlign w:val="top"/>
          </w:tcPr>
          <w:p>
            <w:pPr>
              <w:jc w:val="both"/>
            </w:pP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shd w:fill="FFFFFF"/>
            <w:vAlign w:val="top"/>
          </w:tcPr>
          <w:p>
            <w:pPr>
              <w:jc w:val="both"/>
            </w:pPr>
            <w:r>
              <w:rPr>
                <w:sz w:val="21"/>
              </w:rPr>
              <w:t>个人护理</w:t>
            </w:r>
          </w:p>
        </w:tc>
        <w:tc>
          <w:tcPr>
            <w:tcW w:type="dxa" w:w="3480"/>
            <w:tcBorders>
              <w:top w:val="none" w:color="000000" w:sz="4"/>
              <w:left w:val="single" w:color="000000" w:sz="4"/>
              <w:bottom w:val="single" w:color="000000" w:sz="4"/>
              <w:right w:val="single" w:color="000000" w:sz="4"/>
            </w:tcBorders>
            <w:shd w:fill="FFFFFF"/>
            <w:vAlign w:val="top"/>
          </w:tcPr>
          <w:p>
            <w:pPr>
              <w:jc w:val="both"/>
            </w:pPr>
            <w:r>
              <w:rPr>
                <w:sz w:val="21"/>
              </w:rPr>
              <w:t>晨间护理；晚间护理；皮肤外用药物涂擦；留置尿管护理；人工肛门便袋护理；协助穿（脱）衣；洗头；洗脸；梳头；剃须；刷牙；漱口；口腔清洁；洗手；洗足；洗澡；床上擦浴；女性会阴清洁；修剪指（趾）甲；褥疮预防；叩背排痰等。</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shd w:fill="FFFFFF"/>
            <w:vAlign w:val="top"/>
          </w:tcPr>
          <w:p>
            <w:pPr>
              <w:jc w:val="both"/>
            </w:pPr>
            <w:r>
              <w:rPr>
                <w:sz w:val="21"/>
              </w:rPr>
              <w:t>康复训练</w:t>
            </w:r>
          </w:p>
        </w:tc>
        <w:tc>
          <w:tcPr>
            <w:tcW w:type="dxa" w:w="3480"/>
            <w:tcBorders>
              <w:top w:val="none" w:color="000000" w:sz="4"/>
              <w:left w:val="single" w:color="000000" w:sz="4"/>
              <w:bottom w:val="single" w:color="000000" w:sz="4"/>
              <w:right w:val="single" w:color="000000" w:sz="4"/>
            </w:tcBorders>
            <w:shd w:fill="FFFFFF"/>
            <w:vAlign w:val="top"/>
          </w:tcPr>
          <w:p>
            <w:pPr>
              <w:jc w:val="both"/>
            </w:pPr>
            <w:r>
              <w:rPr>
                <w:sz w:val="21"/>
              </w:rPr>
              <w:t>使用中心器械：步行器、固定单车、手臂滑轮、平衡杠、肋木、扶梯、手指训练器等器械开展的康复或训练。</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shd w:fill="FFFFFF"/>
            <w:vAlign w:val="top"/>
          </w:tcPr>
          <w:p>
            <w:pPr>
              <w:jc w:val="both"/>
            </w:pPr>
            <w:r>
              <w:rPr>
                <w:sz w:val="21"/>
              </w:rPr>
              <w:t>文化娱乐</w:t>
            </w:r>
          </w:p>
        </w:tc>
        <w:tc>
          <w:tcPr>
            <w:tcW w:type="dxa" w:w="3480"/>
            <w:tcBorders>
              <w:top w:val="none" w:color="000000" w:sz="4"/>
              <w:left w:val="single" w:color="000000" w:sz="4"/>
              <w:bottom w:val="single" w:color="000000" w:sz="4"/>
              <w:right w:val="single" w:color="000000" w:sz="4"/>
            </w:tcBorders>
            <w:shd w:fill="FFFFFF"/>
            <w:vAlign w:val="top"/>
          </w:tcPr>
          <w:p>
            <w:pPr>
              <w:jc w:val="both"/>
            </w:pPr>
            <w:r>
              <w:rPr>
                <w:sz w:val="21"/>
              </w:rPr>
              <w:t>棋牌、歌舞、打球、绘画、看书、兴趣学习等</w:t>
            </w:r>
            <w:r>
              <w:rPr>
                <w:sz w:val="21"/>
              </w:rPr>
              <w:t>。</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shd w:fill="FFFFFF"/>
            <w:vAlign w:val="top"/>
          </w:tcPr>
          <w:p>
            <w:pPr>
              <w:jc w:val="both"/>
            </w:pPr>
            <w:r>
              <w:rPr>
                <w:sz w:val="21"/>
              </w:rPr>
              <w:t>医疗保健</w:t>
            </w:r>
          </w:p>
        </w:tc>
        <w:tc>
          <w:tcPr>
            <w:tcW w:type="dxa" w:w="3480"/>
            <w:tcBorders>
              <w:top w:val="none" w:color="000000" w:sz="4"/>
              <w:left w:val="single" w:color="000000" w:sz="4"/>
              <w:bottom w:val="single" w:color="000000" w:sz="4"/>
              <w:right w:val="single" w:color="000000" w:sz="4"/>
            </w:tcBorders>
            <w:shd w:fill="FFFFFF"/>
            <w:vAlign w:val="top"/>
          </w:tcPr>
          <w:p>
            <w:pPr>
              <w:jc w:val="both"/>
            </w:pPr>
            <w:r>
              <w:rPr>
                <w:sz w:val="21"/>
              </w:rPr>
              <w:t>体温、心率、血压、血糖监测，健康操运动、用药等</w:t>
            </w:r>
            <w:r>
              <w:rPr>
                <w:sz w:val="21"/>
              </w:rPr>
              <w:t>。</w:t>
            </w:r>
          </w:p>
        </w:tc>
      </w:tr>
      <w:tr>
        <w:tc>
          <w:tcPr>
            <w:tcW w:type="dxa" w:w="610"/>
            <w:vMerge/>
            <w:tcBorders>
              <w:top w:val="none" w:color="000000" w:sz="4"/>
              <w:left w:val="single" w:color="000000" w:sz="4"/>
              <w:bottom w:val="single" w:color="000000" w:sz="4"/>
              <w:right w:val="single" w:color="000000" w:sz="4"/>
            </w:tcBorders>
          </w:tcPr>
          <w:p/>
        </w:tc>
        <w:tc>
          <w:tcPr>
            <w:tcW w:type="dxa" w:w="711"/>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shd w:fill="FFFFFF"/>
            <w:vAlign w:val="top"/>
          </w:tcPr>
          <w:p>
            <w:pPr>
              <w:jc w:val="both"/>
            </w:pPr>
            <w:r>
              <w:rPr>
                <w:sz w:val="21"/>
              </w:rPr>
              <w:t>夜间住宿</w:t>
            </w:r>
          </w:p>
        </w:tc>
        <w:tc>
          <w:tcPr>
            <w:tcW w:type="dxa" w:w="3480"/>
            <w:tcBorders>
              <w:top w:val="none" w:color="000000" w:sz="4"/>
              <w:left w:val="single" w:color="000000" w:sz="4"/>
              <w:bottom w:val="single" w:color="000000" w:sz="4"/>
              <w:right w:val="single" w:color="000000" w:sz="4"/>
            </w:tcBorders>
            <w:shd w:fill="FFFFFF"/>
            <w:vAlign w:val="top"/>
          </w:tcPr>
          <w:p>
            <w:pPr>
              <w:jc w:val="both"/>
            </w:pPr>
            <w:r>
              <w:rPr>
                <w:sz w:val="21"/>
              </w:rPr>
              <w:t>提供床位</w:t>
            </w:r>
            <w:r>
              <w:rPr>
                <w:sz w:val="21"/>
              </w:rPr>
              <w:t>。</w:t>
            </w:r>
          </w:p>
        </w:tc>
        <w:tc>
          <w:tcPr>
            <w:tcW w:type="dxa" w:w="707"/>
            <w:tcBorders>
              <w:top w:val="none" w:color="000000" w:sz="4"/>
              <w:left w:val="single" w:color="000000" w:sz="4"/>
              <w:bottom w:val="single" w:color="000000" w:sz="4"/>
              <w:right w:val="single" w:color="000000" w:sz="4"/>
            </w:tcBorders>
            <w:shd w:fill="FFFFFF"/>
            <w:vAlign w:val="top"/>
          </w:tcPr>
          <w:p>
            <w:pPr>
              <w:jc w:val="both"/>
            </w:pPr>
            <w:r>
              <w:rPr>
                <w:sz w:val="21"/>
              </w:rPr>
              <w:t>床位数</w:t>
            </w:r>
          </w:p>
        </w:tc>
        <w:tc>
          <w:tcPr>
            <w:tcW w:type="dxa" w:w="794"/>
            <w:tcBorders>
              <w:top w:val="none" w:color="000000" w:sz="4"/>
              <w:left w:val="single" w:color="000000" w:sz="4"/>
              <w:bottom w:val="single" w:color="000000" w:sz="4"/>
              <w:right w:val="single" w:color="000000" w:sz="4"/>
            </w:tcBorders>
            <w:shd w:fill="FFFFFF"/>
            <w:vAlign w:val="top"/>
          </w:tcPr>
          <w:p>
            <w:pPr>
              <w:jc w:val="both"/>
            </w:pPr>
            <w:r>
              <w:rPr>
                <w:sz w:val="21"/>
              </w:rPr>
              <w:t>10</w:t>
            </w:r>
          </w:p>
        </w:tc>
      </w:tr>
    </w:tbl>
    <w:p>
      <w:pPr>
        <w:jc w:val="both"/>
      </w:pPr>
    </w:p>
    <w:p>
      <w:pPr>
        <w:ind w:firstLine="482"/>
        <w:jc w:val="center"/>
      </w:pPr>
      <w:r>
        <w:rPr>
          <w:b/>
          <w:sz w:val="21"/>
        </w:rPr>
        <w:t>三、绩效评估</w:t>
      </w:r>
      <w:r>
        <w:rPr>
          <w:b/>
          <w:sz w:val="21"/>
          <w:u w:val="single"/>
        </w:rPr>
        <w:t>（验收要求）</w:t>
      </w:r>
    </w:p>
    <w:p>
      <w:pPr>
        <w:ind w:firstLine="420"/>
        <w:jc w:val="both"/>
      </w:pPr>
      <w:r>
        <w:rPr>
          <w:sz w:val="21"/>
        </w:rPr>
        <w:t>3.1</w:t>
      </w:r>
      <w:r>
        <w:rPr>
          <w:sz w:val="21"/>
        </w:rPr>
        <w:t xml:space="preserve"> </w:t>
      </w:r>
      <w:r>
        <w:rPr>
          <w:sz w:val="21"/>
        </w:rPr>
        <w:t>甲方可根据合同约定的内容不定期对乙方进行抽查与评估。</w:t>
      </w:r>
    </w:p>
    <w:p>
      <w:pPr>
        <w:ind w:firstLine="420"/>
        <w:jc w:val="both"/>
      </w:pPr>
      <w:r>
        <w:rPr>
          <w:sz w:val="21"/>
        </w:rPr>
        <w:t>3.2</w:t>
      </w:r>
      <w:r>
        <w:rPr>
          <w:sz w:val="21"/>
        </w:rPr>
        <w:t xml:space="preserve"> </w:t>
      </w:r>
      <w:r>
        <w:rPr>
          <w:sz w:val="21"/>
        </w:rPr>
        <w:t>乙方每运营满</w:t>
      </w:r>
      <w:r>
        <w:rPr>
          <w:sz w:val="21"/>
        </w:rPr>
        <w:t>1年须提交服务自评报告至甲方处，并由甲方递交至区居家养老服务指导中心，由区居家养老服务指导中心委托的第三方评估机依据《广州市民政局关于开展2023年度居家社区养老服务评估工作的通知》对乙方进行评估。</w:t>
      </w:r>
    </w:p>
    <w:p>
      <w:pPr>
        <w:jc w:val="left"/>
      </w:pPr>
    </w:p>
    <w:p>
      <w:pPr>
        <w:ind w:firstLine="482"/>
        <w:jc w:val="center"/>
      </w:pPr>
      <w:r>
        <w:rPr>
          <w:b/>
          <w:sz w:val="21"/>
        </w:rPr>
        <w:t>四、各方权利与义务</w:t>
      </w:r>
    </w:p>
    <w:p>
      <w:pPr>
        <w:ind w:firstLine="482"/>
        <w:jc w:val="left"/>
      </w:pPr>
      <w:r>
        <w:rPr>
          <w:b/>
          <w:sz w:val="21"/>
        </w:rPr>
        <w:t>4.1</w:t>
      </w:r>
      <w:r>
        <w:rPr>
          <w:b/>
          <w:sz w:val="21"/>
        </w:rPr>
        <w:t xml:space="preserve"> </w:t>
      </w:r>
      <w:r>
        <w:rPr>
          <w:b/>
          <w:sz w:val="21"/>
        </w:rPr>
        <w:t>甲方权利与义务</w:t>
      </w:r>
    </w:p>
    <w:p>
      <w:pPr>
        <w:ind w:firstLine="420"/>
        <w:jc w:val="both"/>
      </w:pPr>
      <w:r>
        <w:rPr>
          <w:sz w:val="21"/>
        </w:rPr>
        <w:t>4.1.1</w:t>
      </w:r>
      <w:r>
        <w:rPr>
          <w:sz w:val="21"/>
        </w:rPr>
        <w:t xml:space="preserve"> </w:t>
      </w:r>
      <w:r>
        <w:rPr>
          <w:sz w:val="21"/>
        </w:rPr>
        <w:t>甲方有权对乙方的项目资金使用情况进行监督与检查。</w:t>
      </w:r>
    </w:p>
    <w:p>
      <w:pPr>
        <w:ind w:firstLine="420"/>
        <w:jc w:val="both"/>
      </w:pPr>
      <w:r>
        <w:rPr>
          <w:sz w:val="21"/>
        </w:rPr>
        <w:t>4.1.2</w:t>
      </w:r>
      <w:r>
        <w:rPr>
          <w:sz w:val="21"/>
        </w:rPr>
        <w:t xml:space="preserve"> </w:t>
      </w:r>
      <w:r>
        <w:rPr>
          <w:sz w:val="21"/>
        </w:rPr>
        <w:t>甲方负责指导本项目工作，对乙方在项目运作过程中的工作进度、工作质量、制度落实等情况进行监督，必要时提出改进意见与建议。</w:t>
      </w:r>
    </w:p>
    <w:p>
      <w:pPr>
        <w:ind w:firstLine="420"/>
        <w:jc w:val="both"/>
      </w:pPr>
      <w:r>
        <w:rPr>
          <w:sz w:val="21"/>
        </w:rPr>
        <w:t>4.1.3</w:t>
      </w:r>
      <w:r>
        <w:rPr>
          <w:sz w:val="21"/>
        </w:rPr>
        <w:t xml:space="preserve"> </w:t>
      </w:r>
      <w:r>
        <w:rPr>
          <w:sz w:val="21"/>
        </w:rPr>
        <w:t>甲方根据乙方的项目承接情况无偿或低偿为乙方提供开展服务所必需的设施设备。</w:t>
      </w:r>
    </w:p>
    <w:p>
      <w:pPr>
        <w:ind w:firstLine="420"/>
        <w:jc w:val="both"/>
      </w:pPr>
      <w:r>
        <w:rPr>
          <w:sz w:val="21"/>
        </w:rPr>
        <w:t>4.1.4</w:t>
      </w:r>
      <w:r>
        <w:rPr>
          <w:sz w:val="21"/>
        </w:rPr>
        <w:t xml:space="preserve"> </w:t>
      </w:r>
      <w:r>
        <w:rPr>
          <w:sz w:val="21"/>
        </w:rPr>
        <w:t>甲方为乙方开展服务提供必要的协助和便利，及时传达社区居家养老服务相关政策。</w:t>
      </w:r>
    </w:p>
    <w:p>
      <w:pPr>
        <w:ind w:firstLine="420"/>
        <w:jc w:val="both"/>
      </w:pPr>
      <w:r>
        <w:rPr>
          <w:sz w:val="21"/>
        </w:rPr>
        <w:t>4.1.5</w:t>
      </w:r>
      <w:r>
        <w:rPr>
          <w:sz w:val="21"/>
        </w:rPr>
        <w:t xml:space="preserve"> </w:t>
      </w:r>
      <w:r>
        <w:rPr>
          <w:sz w:val="21"/>
        </w:rPr>
        <w:t>甲方按照本合同要求向乙方拨付运营经费。</w:t>
      </w:r>
    </w:p>
    <w:p>
      <w:pPr>
        <w:ind w:firstLine="482"/>
        <w:jc w:val="left"/>
      </w:pPr>
      <w:r>
        <w:rPr>
          <w:b/>
          <w:sz w:val="21"/>
        </w:rPr>
        <w:t>4.2</w:t>
      </w:r>
      <w:r>
        <w:rPr>
          <w:b/>
          <w:sz w:val="21"/>
        </w:rPr>
        <w:t xml:space="preserve"> </w:t>
      </w:r>
      <w:r>
        <w:rPr>
          <w:b/>
          <w:sz w:val="21"/>
        </w:rPr>
        <w:t>乙方权利与义务</w:t>
      </w:r>
    </w:p>
    <w:p>
      <w:pPr>
        <w:ind w:firstLine="420"/>
        <w:jc w:val="both"/>
      </w:pPr>
      <w:r>
        <w:rPr>
          <w:sz w:val="21"/>
        </w:rPr>
        <w:t>4.2.1</w:t>
      </w:r>
      <w:r>
        <w:rPr>
          <w:sz w:val="21"/>
        </w:rPr>
        <w:t xml:space="preserve"> </w:t>
      </w:r>
      <w:r>
        <w:rPr>
          <w:sz w:val="21"/>
        </w:rPr>
        <w:t>乙方可要求甲方按本合同的规定按时足额拨付运营经费。</w:t>
      </w:r>
    </w:p>
    <w:p>
      <w:pPr>
        <w:ind w:firstLine="420"/>
        <w:jc w:val="both"/>
      </w:pPr>
      <w:r>
        <w:rPr>
          <w:sz w:val="21"/>
        </w:rPr>
        <w:t>4.2.2</w:t>
      </w:r>
      <w:r>
        <w:rPr>
          <w:sz w:val="21"/>
        </w:rPr>
        <w:t xml:space="preserve"> </w:t>
      </w:r>
      <w:r>
        <w:rPr>
          <w:sz w:val="21"/>
        </w:rPr>
        <w:t>乙方可从甲方处获得必要的工作支持。</w:t>
      </w:r>
    </w:p>
    <w:p>
      <w:pPr>
        <w:ind w:firstLine="420"/>
        <w:jc w:val="both"/>
      </w:pPr>
      <w:r>
        <w:rPr>
          <w:sz w:val="21"/>
        </w:rPr>
        <w:t>4.2.3</w:t>
      </w:r>
      <w:r>
        <w:rPr>
          <w:sz w:val="21"/>
        </w:rPr>
        <w:t xml:space="preserve"> </w:t>
      </w:r>
      <w:r>
        <w:rPr>
          <w:sz w:val="21"/>
        </w:rPr>
        <w:t>乙方须保证提供的所有信息真实合法有效。</w:t>
      </w:r>
    </w:p>
    <w:p>
      <w:pPr>
        <w:ind w:firstLine="420"/>
        <w:jc w:val="both"/>
      </w:pPr>
      <w:r>
        <w:rPr>
          <w:sz w:val="21"/>
        </w:rPr>
        <w:t>4.2.4</w:t>
      </w:r>
      <w:r>
        <w:rPr>
          <w:sz w:val="21"/>
        </w:rPr>
        <w:t xml:space="preserve"> </w:t>
      </w:r>
      <w:r>
        <w:rPr>
          <w:sz w:val="21"/>
        </w:rPr>
        <w:t>乙方须配备足够的、具有专业资质的工作人员开展服务。乙方的工作人员应严格遵守服务机构的规章制度，尊重服务对象，运用专业知识和技巧开展服务。</w:t>
      </w:r>
    </w:p>
    <w:p>
      <w:pPr>
        <w:ind w:firstLine="420"/>
        <w:jc w:val="both"/>
      </w:pPr>
      <w:r>
        <w:rPr>
          <w:sz w:val="21"/>
        </w:rPr>
        <w:t>4.2.5</w:t>
      </w:r>
      <w:r>
        <w:rPr>
          <w:sz w:val="21"/>
        </w:rPr>
        <w:t xml:space="preserve"> </w:t>
      </w:r>
      <w:r>
        <w:rPr>
          <w:sz w:val="21"/>
        </w:rPr>
        <w:t>乙方应定期向甲方反映服务开展情况，在项目评估前提供详实的自评报告，配合甲方及其他政府部门的监督与检查。严禁出现弄虚作假、伪造服务记录的行为，否则应按</w:t>
      </w:r>
      <w:r>
        <w:rPr>
          <w:sz w:val="21"/>
        </w:rPr>
        <w:t>5.2.1约定承担违约责任。</w:t>
      </w:r>
    </w:p>
    <w:p>
      <w:pPr>
        <w:ind w:firstLine="420"/>
        <w:jc w:val="both"/>
      </w:pPr>
      <w:r>
        <w:rPr>
          <w:sz w:val="21"/>
        </w:rPr>
        <w:t>4.2.6</w:t>
      </w:r>
      <w:r>
        <w:rPr>
          <w:sz w:val="21"/>
        </w:rPr>
        <w:t xml:space="preserve"> </w:t>
      </w:r>
      <w:r>
        <w:rPr>
          <w:sz w:val="21"/>
        </w:rPr>
        <w:t>乙方须严格按照相关财务管理规定使用项目资金，专款专用，并接受甲方及其他政府部门的监管，否则应按</w:t>
      </w:r>
      <w:r>
        <w:rPr>
          <w:sz w:val="21"/>
        </w:rPr>
        <w:t>5.2.1约定承担违约责任。如乙方未能在合同期内完成全部项目的服务内容，合同结束后，应按6.8约定承担违约责任。</w:t>
      </w:r>
    </w:p>
    <w:p>
      <w:pPr>
        <w:ind w:firstLine="420"/>
        <w:jc w:val="both"/>
      </w:pPr>
      <w:r>
        <w:rPr>
          <w:sz w:val="21"/>
        </w:rPr>
        <w:t>4.2.7</w:t>
      </w:r>
      <w:r>
        <w:rPr>
          <w:sz w:val="21"/>
        </w:rPr>
        <w:t xml:space="preserve"> </w:t>
      </w:r>
      <w:r>
        <w:rPr>
          <w:sz w:val="21"/>
        </w:rPr>
        <w:t>乙方在履行合同过程中，严禁将服务项目交由其他服务供应机构实际承担的转包行为，否则应按</w:t>
      </w:r>
      <w:r>
        <w:rPr>
          <w:sz w:val="21"/>
        </w:rPr>
        <w:t>5.2.1约定承担违约责任。</w:t>
      </w:r>
    </w:p>
    <w:p>
      <w:pPr>
        <w:ind w:firstLine="420"/>
        <w:jc w:val="both"/>
      </w:pPr>
      <w:r>
        <w:rPr>
          <w:sz w:val="21"/>
        </w:rPr>
        <w:t>4.2.8</w:t>
      </w:r>
      <w:r>
        <w:rPr>
          <w:sz w:val="21"/>
        </w:rPr>
        <w:t xml:space="preserve"> </w:t>
      </w:r>
      <w:r>
        <w:rPr>
          <w:sz w:val="21"/>
        </w:rPr>
        <w:t>乙方应妥善使用并管理甲方提供的设施设备，应建立使用登记制度。乙方自行支付水费、电费、活动开展经费、公共场地意外责任保险及设施设备维护等费用。委托期满后，乙方应按移交清单向甲方返还等额数量、能正常使用的设施设备。如有遗失，乙方应照价赔偿。自然损耗且无维修价值作报废处理的设施设备，如已录入街道固定资产的，乙方应及时向甲方申请报废。</w:t>
      </w:r>
    </w:p>
    <w:p>
      <w:pPr>
        <w:ind w:firstLine="420"/>
        <w:jc w:val="both"/>
      </w:pPr>
      <w:r>
        <w:rPr>
          <w:sz w:val="21"/>
        </w:rPr>
        <w:t>4.2.9</w:t>
      </w:r>
      <w:r>
        <w:rPr>
          <w:sz w:val="21"/>
        </w:rPr>
        <w:t xml:space="preserve"> </w:t>
      </w:r>
      <w:r>
        <w:rPr>
          <w:sz w:val="21"/>
        </w:rPr>
        <w:t>乙方须对本项目涉及服务对象的个人相关信息进行保密，未经服务对象或其法定监护人书面许可，不得对外披露，不得以任何形式提供给第三方，不得在参与本项目工作之外使用这些保密信息，否则应按</w:t>
      </w:r>
      <w:r>
        <w:rPr>
          <w:sz w:val="21"/>
        </w:rPr>
        <w:t>5.2.1约定承担违约责任。</w:t>
      </w:r>
    </w:p>
    <w:p>
      <w:pPr>
        <w:ind w:firstLine="420"/>
        <w:jc w:val="both"/>
      </w:pPr>
      <w:r>
        <w:rPr>
          <w:sz w:val="21"/>
        </w:rPr>
        <w:t>4.2.10</w:t>
      </w:r>
      <w:r>
        <w:rPr>
          <w:sz w:val="21"/>
        </w:rPr>
        <w:t xml:space="preserve"> </w:t>
      </w:r>
      <w:r>
        <w:rPr>
          <w:sz w:val="21"/>
        </w:rPr>
        <w:t>乙方在本项目终止后不得保留以任何形式存储的服务对象的任何信息数据，不得利用该项目之保密信息数据为其他的单位（包括自办单位）或项目服务，否则应按</w:t>
      </w:r>
      <w:r>
        <w:rPr>
          <w:sz w:val="21"/>
        </w:rPr>
        <w:t>5.2.1约定承担违约责任。</w:t>
      </w:r>
    </w:p>
    <w:p>
      <w:pPr>
        <w:ind w:firstLine="420"/>
        <w:jc w:val="both"/>
      </w:pPr>
      <w:r>
        <w:rPr>
          <w:sz w:val="21"/>
        </w:rPr>
        <w:t>4.2.11</w:t>
      </w:r>
      <w:r>
        <w:rPr>
          <w:sz w:val="21"/>
        </w:rPr>
        <w:t xml:space="preserve"> </w:t>
      </w:r>
      <w:r>
        <w:rPr>
          <w:sz w:val="21"/>
        </w:rPr>
        <w:t>本合同期内或本合同结束，乙方暂停或终止服务的，应当配合甲方进行服务交接工作。</w:t>
      </w:r>
    </w:p>
    <w:p>
      <w:pPr>
        <w:ind w:firstLine="420"/>
        <w:jc w:val="both"/>
      </w:pPr>
      <w:r>
        <w:rPr>
          <w:sz w:val="21"/>
        </w:rPr>
        <w:t>4.2.12</w:t>
      </w:r>
      <w:r>
        <w:rPr>
          <w:sz w:val="21"/>
        </w:rPr>
        <w:t xml:space="preserve"> </w:t>
      </w:r>
      <w:r>
        <w:rPr>
          <w:sz w:val="21"/>
        </w:rPr>
        <w:t>乙方在进行本合同约定服务时应做到安全、有序，自觉遵守管理制度，若乙方工作人员在服务期限内发生伤亡等安全事故及财产损失</w:t>
      </w:r>
      <w:r>
        <w:rPr>
          <w:sz w:val="21"/>
        </w:rPr>
        <w:t>,其一切责任及费用由乙方自行负责，甲方不承担任何责任及费用，且甲方有权在乙方未妥善处理完毕上述事故时拒绝支付本合同运营经费。若因此导致甲方对外被索赔的，乙方应对甲方承担相应赔偿责任。</w:t>
      </w:r>
    </w:p>
    <w:p>
      <w:pPr>
        <w:ind w:firstLine="480"/>
        <w:jc w:val="left"/>
      </w:pPr>
      <w:r>
        <w:rPr>
          <w:sz w:val="21"/>
        </w:rPr>
        <w:t xml:space="preserve"> </w:t>
      </w:r>
    </w:p>
    <w:p>
      <w:pPr>
        <w:ind w:firstLine="482"/>
        <w:jc w:val="center"/>
      </w:pPr>
      <w:r>
        <w:rPr>
          <w:b/>
          <w:sz w:val="21"/>
        </w:rPr>
        <w:t>五、合同变更与解除</w:t>
      </w:r>
    </w:p>
    <w:p>
      <w:pPr>
        <w:ind w:firstLine="482"/>
        <w:jc w:val="left"/>
      </w:pPr>
      <w:r>
        <w:rPr>
          <w:b/>
          <w:sz w:val="21"/>
        </w:rPr>
        <w:t>5.1</w:t>
      </w:r>
      <w:r>
        <w:rPr>
          <w:b/>
          <w:sz w:val="21"/>
        </w:rPr>
        <w:t xml:space="preserve"> </w:t>
      </w:r>
      <w:r>
        <w:rPr>
          <w:b/>
          <w:sz w:val="21"/>
        </w:rPr>
        <w:t>合同的变更</w:t>
      </w:r>
    </w:p>
    <w:p>
      <w:pPr>
        <w:ind w:firstLine="420"/>
        <w:jc w:val="both"/>
      </w:pPr>
      <w:r>
        <w:rPr>
          <w:sz w:val="21"/>
        </w:rPr>
        <w:t>因本合同相关政策发生变化的，甲方可以提出合同的变更，并以书面形式通知乙方，经甲、乙双方协商一致，签署补充协议。</w:t>
      </w:r>
    </w:p>
    <w:p>
      <w:pPr>
        <w:ind w:firstLine="482"/>
        <w:jc w:val="left"/>
      </w:pPr>
      <w:r>
        <w:rPr>
          <w:b/>
          <w:sz w:val="21"/>
        </w:rPr>
        <w:t>5.2</w:t>
      </w:r>
      <w:r>
        <w:rPr>
          <w:b/>
          <w:sz w:val="21"/>
        </w:rPr>
        <w:t xml:space="preserve"> </w:t>
      </w:r>
      <w:r>
        <w:rPr>
          <w:b/>
          <w:sz w:val="21"/>
        </w:rPr>
        <w:t>合同的解除</w:t>
      </w:r>
    </w:p>
    <w:p>
      <w:pPr>
        <w:ind w:firstLine="420"/>
        <w:jc w:val="both"/>
      </w:pPr>
      <w:r>
        <w:rPr>
          <w:sz w:val="21"/>
        </w:rPr>
        <w:t>5.2.1</w:t>
      </w:r>
      <w:r>
        <w:rPr>
          <w:sz w:val="21"/>
        </w:rPr>
        <w:t xml:space="preserve"> </w:t>
      </w:r>
      <w:r>
        <w:rPr>
          <w:sz w:val="21"/>
        </w:rPr>
        <w:t>在合同履行过程中，具有以下情形的，甲方有权单方面解除合同，并要求乙方承担本合同总运营经费</w:t>
      </w:r>
      <w:r>
        <w:rPr>
          <w:sz w:val="21"/>
        </w:rPr>
        <w:t>20%的违约金，由此造成甲方的经济损失，乙方应予以赔偿：</w:t>
      </w:r>
    </w:p>
    <w:p>
      <w:pPr>
        <w:ind w:firstLine="420"/>
        <w:jc w:val="both"/>
      </w:pPr>
      <w:r>
        <w:rPr>
          <w:sz w:val="21"/>
        </w:rPr>
        <w:t>（</w:t>
      </w:r>
      <w:r>
        <w:rPr>
          <w:sz w:val="21"/>
        </w:rPr>
        <w:t>1）甲方能提供有效证据证明乙方有违法违约行为的；</w:t>
      </w:r>
    </w:p>
    <w:p>
      <w:pPr>
        <w:ind w:firstLine="420"/>
        <w:jc w:val="both"/>
      </w:pPr>
      <w:r>
        <w:rPr>
          <w:sz w:val="21"/>
        </w:rPr>
        <w:t>（</w:t>
      </w:r>
      <w:r>
        <w:rPr>
          <w:sz w:val="21"/>
        </w:rPr>
        <w:t>2）经区养老服务指导单位的考核评估，乙方未达到相应标准，甲方督促整改后仍不合格的；</w:t>
      </w:r>
    </w:p>
    <w:p>
      <w:pPr>
        <w:ind w:firstLine="420"/>
        <w:jc w:val="both"/>
      </w:pPr>
      <w:r>
        <w:rPr>
          <w:sz w:val="21"/>
        </w:rPr>
        <w:t>（</w:t>
      </w:r>
      <w:r>
        <w:rPr>
          <w:sz w:val="21"/>
        </w:rPr>
        <w:t>3）乙方未经甲方书面同意，将本合同服务项目转包、分包、委托给第三方或与第三方合伙经营的；</w:t>
      </w:r>
    </w:p>
    <w:p>
      <w:pPr>
        <w:ind w:firstLine="420"/>
        <w:jc w:val="both"/>
      </w:pPr>
      <w:r>
        <w:rPr>
          <w:sz w:val="21"/>
        </w:rPr>
        <w:t>（</w:t>
      </w:r>
      <w:r>
        <w:rPr>
          <w:sz w:val="21"/>
        </w:rPr>
        <w:t>4）经甲方查证，乙方有伪造服务记录或挤占、挪用、滥用该合同款项行为的。</w:t>
      </w:r>
    </w:p>
    <w:p>
      <w:pPr>
        <w:ind w:firstLine="420"/>
        <w:jc w:val="both"/>
      </w:pPr>
      <w:r>
        <w:rPr>
          <w:sz w:val="21"/>
        </w:rPr>
        <w:t>（</w:t>
      </w:r>
      <w:r>
        <w:rPr>
          <w:sz w:val="21"/>
        </w:rPr>
        <w:t>5）乙方对外披露本项目涉及服务对象的个人相关信息或在本项目终止后保留以任何形式存储的服务对象的任何信息数据,利用该项目之保密信息数据为其他的单位(包括自办单位) 或项目服务的。</w:t>
      </w:r>
    </w:p>
    <w:p>
      <w:pPr>
        <w:ind w:firstLine="420"/>
        <w:jc w:val="both"/>
      </w:pPr>
      <w:r>
        <w:rPr>
          <w:sz w:val="21"/>
        </w:rPr>
        <w:t>5.2.2</w:t>
      </w:r>
      <w:r>
        <w:rPr>
          <w:sz w:val="21"/>
        </w:rPr>
        <w:t xml:space="preserve"> </w:t>
      </w:r>
      <w:r>
        <w:rPr>
          <w:sz w:val="21"/>
        </w:rPr>
        <w:t>在合同履行过程中，具有以下情形的，乙方有权单方面解除合同，并无需承担违约责任：</w:t>
      </w:r>
    </w:p>
    <w:p>
      <w:pPr>
        <w:ind w:firstLine="420"/>
        <w:jc w:val="both"/>
      </w:pPr>
      <w:r>
        <w:rPr>
          <w:sz w:val="21"/>
        </w:rPr>
        <w:t>（</w:t>
      </w:r>
      <w:r>
        <w:rPr>
          <w:sz w:val="21"/>
        </w:rPr>
        <w:t>1）因甲方自身原因造成项目工作无法开展的；</w:t>
      </w:r>
    </w:p>
    <w:p>
      <w:pPr>
        <w:ind w:firstLine="420"/>
        <w:jc w:val="both"/>
      </w:pPr>
      <w:r>
        <w:rPr>
          <w:sz w:val="21"/>
        </w:rPr>
        <w:t>（</w:t>
      </w:r>
      <w:r>
        <w:rPr>
          <w:sz w:val="21"/>
        </w:rPr>
        <w:t>2）甲方无故克扣、拖欠该合同款项达</w:t>
      </w:r>
      <w:r>
        <w:rPr>
          <w:sz w:val="21"/>
          <w:u w:val="single"/>
        </w:rPr>
        <w:t xml:space="preserve">   </w:t>
      </w:r>
      <w:r>
        <w:rPr>
          <w:sz w:val="21"/>
        </w:rPr>
        <w:t>日的。</w:t>
      </w:r>
    </w:p>
    <w:p>
      <w:pPr>
        <w:ind w:firstLine="420"/>
        <w:jc w:val="both"/>
      </w:pPr>
      <w:r>
        <w:rPr>
          <w:sz w:val="21"/>
        </w:rPr>
        <w:t>5.2.3</w:t>
      </w:r>
      <w:r>
        <w:rPr>
          <w:sz w:val="21"/>
        </w:rPr>
        <w:t xml:space="preserve"> </w:t>
      </w:r>
      <w:r>
        <w:rPr>
          <w:sz w:val="21"/>
        </w:rPr>
        <w:t>协商解除</w:t>
      </w:r>
    </w:p>
    <w:p>
      <w:pPr>
        <w:ind w:firstLine="420"/>
        <w:jc w:val="both"/>
      </w:pPr>
      <w:r>
        <w:rPr>
          <w:sz w:val="21"/>
        </w:rPr>
        <w:t>（</w:t>
      </w:r>
      <w:r>
        <w:rPr>
          <w:sz w:val="21"/>
        </w:rPr>
        <w:t>1）因本合同相关政策原因导致双方无法继续履行合同的，双方可协商解除该合同，甲方按乙方实际提供的服务量结算费用；</w:t>
      </w:r>
    </w:p>
    <w:p>
      <w:pPr>
        <w:ind w:firstLine="420"/>
        <w:jc w:val="both"/>
      </w:pPr>
      <w:r>
        <w:rPr>
          <w:sz w:val="21"/>
        </w:rPr>
        <w:t>（</w:t>
      </w:r>
      <w:r>
        <w:rPr>
          <w:sz w:val="21"/>
        </w:rPr>
        <w:t>2）在合同履行过程中，非因违约行为，双方经过友好协商解除该合同的，乙方退还甲方提供的剩余资源；</w:t>
      </w:r>
    </w:p>
    <w:p>
      <w:pPr>
        <w:ind w:firstLine="420"/>
        <w:jc w:val="both"/>
      </w:pPr>
      <w:r>
        <w:rPr>
          <w:sz w:val="21"/>
        </w:rPr>
        <w:t>（</w:t>
      </w:r>
      <w:r>
        <w:rPr>
          <w:sz w:val="21"/>
        </w:rPr>
        <w:t>3）本合同期满，合同自然结束。</w:t>
      </w:r>
    </w:p>
    <w:p>
      <w:pPr>
        <w:ind w:firstLine="480"/>
        <w:jc w:val="left"/>
      </w:pPr>
      <w:r>
        <w:rPr>
          <w:sz w:val="21"/>
        </w:rPr>
        <w:t xml:space="preserve"> </w:t>
      </w:r>
    </w:p>
    <w:p>
      <w:pPr>
        <w:ind w:firstLine="482"/>
        <w:jc w:val="center"/>
      </w:pPr>
      <w:r>
        <w:rPr>
          <w:b/>
          <w:sz w:val="21"/>
        </w:rPr>
        <w:t>六、违约责任</w:t>
      </w:r>
    </w:p>
    <w:p>
      <w:pPr>
        <w:ind w:firstLine="420"/>
        <w:jc w:val="both"/>
      </w:pPr>
      <w:r>
        <w:rPr>
          <w:sz w:val="21"/>
        </w:rPr>
        <w:t>6.1</w:t>
      </w:r>
      <w:r>
        <w:rPr>
          <w:sz w:val="21"/>
        </w:rPr>
        <w:t xml:space="preserve"> </w:t>
      </w:r>
      <w:r>
        <w:rPr>
          <w:sz w:val="21"/>
        </w:rPr>
        <w:t>本合同在履行过程中发生争议，由甲、乙双方协商解决，协商不成的，可以向甲方所在地有管辖权的人民法院提起诉讼。</w:t>
      </w:r>
    </w:p>
    <w:p>
      <w:pPr>
        <w:ind w:firstLine="420"/>
        <w:jc w:val="both"/>
      </w:pPr>
      <w:r>
        <w:rPr>
          <w:sz w:val="21"/>
        </w:rPr>
        <w:t>6.2</w:t>
      </w:r>
      <w:r>
        <w:rPr>
          <w:sz w:val="21"/>
        </w:rPr>
        <w:t xml:space="preserve"> </w:t>
      </w:r>
      <w:r>
        <w:rPr>
          <w:sz w:val="21"/>
        </w:rPr>
        <w:t>在履行合同过程中，乙方违反本合同的规定，所提供的服务未达到合同要求的，甲方提出书面限期整改通知，乙方应当按照书面意见进行整改。书面限期整改通知累计达三次，乙方未按要求整改或经整改仍未大道合同高要求的；或乙方被投诉，经核实有效而未及时采取积极措施改进累计达三次的，甲方有权终止合同，乙方在</w:t>
      </w:r>
      <w:r>
        <w:rPr>
          <w:sz w:val="21"/>
        </w:rPr>
        <w:t>2年内不得参与政府购买社区居家养老服务项目采购并在收到终止合同通知的5个工作日内退回均禾街综合养老综合服务中心（颐康中心）及均禾街社区颐康服务站基础运营经费的50%，即金额45万元，由此造成甲方的经济损失，乙方应予以赔偿。</w:t>
      </w:r>
    </w:p>
    <w:p>
      <w:pPr>
        <w:ind w:firstLine="420"/>
        <w:jc w:val="both"/>
      </w:pPr>
      <w:r>
        <w:rPr>
          <w:sz w:val="21"/>
        </w:rPr>
        <w:t>6.3</w:t>
      </w:r>
      <w:r>
        <w:rPr>
          <w:sz w:val="21"/>
        </w:rPr>
        <w:t xml:space="preserve"> </w:t>
      </w:r>
      <w:r>
        <w:rPr>
          <w:sz w:val="21"/>
        </w:rPr>
        <w:t>在履行合同过程中，乙方的年度评估等级不合格的</w:t>
      </w:r>
      <w:r>
        <w:rPr>
          <w:sz w:val="21"/>
        </w:rPr>
        <w:t>，</w:t>
      </w:r>
      <w:r>
        <w:rPr>
          <w:sz w:val="21"/>
        </w:rPr>
        <w:t>由区居家养老服务指导中心督促整改。整改后仍不合格的</w:t>
      </w:r>
      <w:r>
        <w:rPr>
          <w:sz w:val="21"/>
        </w:rPr>
        <w:t>，</w:t>
      </w:r>
      <w:r>
        <w:rPr>
          <w:sz w:val="21"/>
        </w:rPr>
        <w:t>由甲方终止合同</w:t>
      </w:r>
      <w:r>
        <w:rPr>
          <w:sz w:val="21"/>
        </w:rPr>
        <w:t>，</w:t>
      </w:r>
      <w:r>
        <w:rPr>
          <w:sz w:val="21"/>
        </w:rPr>
        <w:t>乙方在</w:t>
      </w:r>
      <w:r>
        <w:rPr>
          <w:sz w:val="21"/>
        </w:rPr>
        <w:t>2年内不得参与政府购买社区居家养老服务项目采购并在收到终止合同通知的5个工作日内退回均禾街社区居家养老综合服务中心及均禾街颐康服务站基础运营经费的50%</w:t>
      </w:r>
      <w:r>
        <w:rPr>
          <w:sz w:val="21"/>
        </w:rPr>
        <w:t>，</w:t>
      </w:r>
      <w:r>
        <w:rPr>
          <w:sz w:val="21"/>
        </w:rPr>
        <w:t>即金额</w:t>
      </w:r>
      <w:r>
        <w:rPr>
          <w:sz w:val="21"/>
        </w:rPr>
        <w:t>45万元</w:t>
      </w:r>
      <w:r>
        <w:rPr>
          <w:sz w:val="21"/>
        </w:rPr>
        <w:t>，</w:t>
      </w:r>
      <w:r>
        <w:rPr>
          <w:sz w:val="21"/>
        </w:rPr>
        <w:t>由此造成甲方的经济损失，乙方应予以赔偿。</w:t>
      </w:r>
    </w:p>
    <w:p>
      <w:pPr>
        <w:ind w:firstLine="420"/>
        <w:jc w:val="both"/>
      </w:pPr>
      <w:r>
        <w:rPr>
          <w:sz w:val="21"/>
        </w:rPr>
        <w:t>6.4</w:t>
      </w:r>
      <w:r>
        <w:rPr>
          <w:sz w:val="21"/>
        </w:rPr>
        <w:t xml:space="preserve"> </w:t>
      </w:r>
      <w:r>
        <w:rPr>
          <w:sz w:val="21"/>
        </w:rPr>
        <w:t>乙方在服务中出现重大责任事故的，甲方有权单方解除本合同并要求乙方承担本合同总运营经费</w:t>
      </w:r>
      <w:r>
        <w:rPr>
          <w:sz w:val="21"/>
        </w:rPr>
        <w:t>20%的违约金。若该重大责任事故导致乙方工作人员、甲方或第三方人身财产损害赔偿的，其一切责任及费用由乙方自行负责，甲方不承担任何责任及费用</w:t>
      </w:r>
      <w:r>
        <w:rPr>
          <w:sz w:val="21"/>
        </w:rPr>
        <w:t>，</w:t>
      </w:r>
      <w:r>
        <w:rPr>
          <w:sz w:val="21"/>
        </w:rPr>
        <w:t>且甲方有权在乙方未妥善处理完毕上述事故时拒绝支付本合同运营经费。若因此导致甲方对外被索赔的，乙方应对甲方承担相应赔偿责任。</w:t>
      </w:r>
    </w:p>
    <w:p>
      <w:pPr>
        <w:ind w:firstLine="420"/>
        <w:jc w:val="both"/>
      </w:pPr>
      <w:r>
        <w:rPr>
          <w:sz w:val="21"/>
        </w:rPr>
        <w:t>6.5</w:t>
      </w:r>
      <w:r>
        <w:rPr>
          <w:sz w:val="21"/>
        </w:rPr>
        <w:t xml:space="preserve"> </w:t>
      </w:r>
      <w:r>
        <w:rPr>
          <w:sz w:val="21"/>
        </w:rPr>
        <w:t>根据本合同，甲方因无故克扣、拖欠合同款项导致逾期</w:t>
      </w:r>
      <w:r>
        <w:rPr>
          <w:sz w:val="21"/>
        </w:rPr>
        <w:t>60日未向乙方支付对应款项的，乙方有权临时召回员工或解除合同，并向甲方索要赔偿费用。</w:t>
      </w:r>
    </w:p>
    <w:p>
      <w:pPr>
        <w:ind w:firstLine="420"/>
        <w:jc w:val="both"/>
      </w:pPr>
      <w:r>
        <w:rPr>
          <w:sz w:val="21"/>
        </w:rPr>
        <w:t>6.6</w:t>
      </w:r>
      <w:r>
        <w:rPr>
          <w:sz w:val="21"/>
        </w:rPr>
        <w:t xml:space="preserve"> </w:t>
      </w:r>
      <w:r>
        <w:rPr>
          <w:sz w:val="21"/>
        </w:rPr>
        <w:t>因广州市财政体制改革或其他不可抗力导致项目中断或变化的，不属于违约范畴。</w:t>
      </w:r>
    </w:p>
    <w:p>
      <w:pPr>
        <w:ind w:firstLine="420"/>
        <w:jc w:val="both"/>
      </w:pPr>
      <w:r>
        <w:rPr>
          <w:sz w:val="21"/>
        </w:rPr>
        <w:t>6.7</w:t>
      </w:r>
      <w:r>
        <w:rPr>
          <w:sz w:val="21"/>
        </w:rPr>
        <w:t xml:space="preserve"> </w:t>
      </w:r>
      <w:r>
        <w:rPr>
          <w:sz w:val="21"/>
        </w:rPr>
        <w:t>在合同履行过程中，乙方向甲方寻求合理的与该项目相关的协助、甲方消极对待的，乙方可向区居家养老服务指导中心进行投诉，区居家养老服务指导中心查核属实的，向甲方提出书面限期整改通知，甲方应当按照书面意见进行整改。</w:t>
      </w:r>
    </w:p>
    <w:p>
      <w:pPr>
        <w:ind w:firstLine="420"/>
        <w:jc w:val="both"/>
      </w:pPr>
      <w:r>
        <w:rPr>
          <w:sz w:val="21"/>
        </w:rPr>
        <w:t>6.8 乙方须在本合同期限内完成甲方委托的服务指标，每逾期一日，应按本合同总运营经费 5%o向甲方支付违约金:逾期超过十五日的，甲方有权解除合同，并要求乙方将未提供服务的相应款项返还甲方，且承担本合同总运营经费 20%的违约金，由此造成的甲方经济损失由乙方承担。</w:t>
      </w:r>
    </w:p>
    <w:p>
      <w:pPr>
        <w:ind w:firstLine="420"/>
        <w:jc w:val="both"/>
      </w:pPr>
      <w:r>
        <w:rPr>
          <w:sz w:val="21"/>
        </w:rPr>
        <w:t>6.9</w:t>
      </w:r>
      <w:r>
        <w:rPr>
          <w:sz w:val="21"/>
        </w:rPr>
        <w:t xml:space="preserve"> </w:t>
      </w:r>
      <w:r>
        <w:rPr>
          <w:sz w:val="21"/>
        </w:rPr>
        <w:t>乙方未能严格按本合同要求使用服务设施，违反消防、环保、卫生、安全管理等相关法律法规要求，造成乙方工作人员、甲方或者第三方人身财产损害赔偿的其一切责任及费用由乙方自行负责，甲方不承担任何责任及费用，且甲方有权在乙方未妥善处理完毕上述事故时拒绝支付本合同运营经费。若因此导致甲方对外被索赔的乙方应对甲方承担相应赔偿责任。</w:t>
      </w:r>
    </w:p>
    <w:p>
      <w:pPr>
        <w:ind w:firstLine="420"/>
        <w:jc w:val="both"/>
      </w:pPr>
      <w:r>
        <w:rPr>
          <w:sz w:val="21"/>
        </w:rPr>
        <w:t>6.10 乙方应保证所提供的服务事项不侵犯其他第三方合法权益，保证内容、形式的合法合规。若发生此类纠纷，由乙方承担一切责任。如甲方被第三人主张要求承担赔偿责任的，乙方应对甲方损失承担全部赔偿责任，包括但不限于赔偿款项以及甲方因维权而发生的诉讼费、律师费、差旅费、保全费等全部费用</w:t>
      </w:r>
    </w:p>
    <w:p>
      <w:pPr>
        <w:ind w:firstLine="480"/>
        <w:jc w:val="center"/>
      </w:pPr>
      <w:r>
        <w:rPr>
          <w:b/>
          <w:sz w:val="21"/>
        </w:rPr>
        <w:t>七、当事人协商一致的其他内容</w:t>
      </w:r>
    </w:p>
    <w:p>
      <w:pPr>
        <w:ind w:firstLine="420"/>
        <w:jc w:val="both"/>
      </w:pPr>
      <w:r>
        <w:rPr>
          <w:sz w:val="21"/>
        </w:rPr>
        <w:t>7.1 如乙方需要委托第三方开展服务的，应选择有相应资质的第三方，相关委托协议应提交甲方审核备案并经甲方书面同意方可委托，且乙方对第三方开展的服务向甲方负责。</w:t>
      </w:r>
    </w:p>
    <w:p>
      <w:pPr>
        <w:ind w:firstLine="420"/>
        <w:jc w:val="both"/>
      </w:pPr>
      <w:r>
        <w:rPr>
          <w:sz w:val="21"/>
        </w:rPr>
        <w:t>7.2 关于此项目的助餐配餐服务，甲乙双方作以下约定:甲方对助餐配餐服务具有监督权，乙方对助餐配餐服务具有管理权，长者就餐拨付市级3元/人/次就餐补贴流程如下：乙方与配餐公司按照广州市为老服务综合平台均禾街长者助餐配餐后台数据核对就餐人次和应发补贴金额，向甲方提交就餐补贴拨付申请和服务发票甲方在请款申请批准后的7个工作日内足额拨付就餐补贴经费至乙方账户,再由乙方根据配餐公司的请款申请和餐费发票将就餐补贴划账至配餐公司。</w:t>
      </w:r>
    </w:p>
    <w:p>
      <w:pPr>
        <w:ind w:firstLine="482"/>
        <w:jc w:val="left"/>
      </w:pPr>
      <w:r>
        <w:rPr>
          <w:b/>
          <w:sz w:val="21"/>
        </w:rPr>
        <w:t>（约定内容可以另行附页）</w:t>
      </w:r>
    </w:p>
    <w:p>
      <w:pPr>
        <w:ind w:firstLine="482"/>
        <w:jc w:val="left"/>
      </w:pPr>
      <w:r>
        <w:rPr>
          <w:b/>
          <w:sz w:val="21"/>
        </w:rPr>
        <w:t xml:space="preserve"> </w:t>
      </w:r>
    </w:p>
    <w:p>
      <w:pPr>
        <w:ind w:firstLine="482"/>
        <w:jc w:val="center"/>
      </w:pPr>
      <w:r>
        <w:rPr>
          <w:b/>
          <w:sz w:val="21"/>
        </w:rPr>
        <w:t>八、合同生效及附件</w:t>
      </w:r>
    </w:p>
    <w:p>
      <w:pPr>
        <w:ind w:firstLine="420"/>
        <w:jc w:val="both"/>
      </w:pPr>
      <w:r>
        <w:rPr>
          <w:sz w:val="21"/>
        </w:rPr>
        <w:t>8.1</w:t>
      </w:r>
      <w:r>
        <w:rPr>
          <w:sz w:val="21"/>
        </w:rPr>
        <w:t xml:space="preserve"> </w:t>
      </w:r>
      <w:r>
        <w:rPr>
          <w:sz w:val="21"/>
        </w:rPr>
        <w:t>本合同一式</w:t>
      </w:r>
      <w:r>
        <w:rPr>
          <w:sz w:val="21"/>
          <w:u w:val="single"/>
        </w:rPr>
        <w:t xml:space="preserve">    </w:t>
      </w:r>
      <w:r>
        <w:rPr>
          <w:sz w:val="21"/>
        </w:rPr>
        <w:t>份，甲、乙双方各执</w:t>
      </w:r>
      <w:r>
        <w:rPr>
          <w:sz w:val="21"/>
          <w:u w:val="single"/>
        </w:rPr>
        <w:t xml:space="preserve">    </w:t>
      </w:r>
      <w:r>
        <w:rPr>
          <w:sz w:val="21"/>
        </w:rPr>
        <w:t>份，自甲、乙双方签字或盖章之日起生效。</w:t>
      </w:r>
    </w:p>
    <w:p>
      <w:pPr>
        <w:ind w:firstLine="420"/>
        <w:jc w:val="both"/>
      </w:pPr>
      <w:r>
        <w:rPr>
          <w:sz w:val="21"/>
        </w:rPr>
        <w:t>8.2</w:t>
      </w:r>
      <w:r>
        <w:rPr>
          <w:sz w:val="21"/>
        </w:rPr>
        <w:t xml:space="preserve"> </w:t>
      </w:r>
      <w:r>
        <w:rPr>
          <w:sz w:val="21"/>
        </w:rPr>
        <w:t>合同期限为</w:t>
      </w:r>
      <w:r>
        <w:rPr>
          <w:sz w:val="21"/>
          <w:u w:val="single"/>
        </w:rPr>
        <w:t xml:space="preserve">    </w:t>
      </w:r>
      <w:r>
        <w:rPr>
          <w:sz w:val="21"/>
        </w:rPr>
        <w:t>年，自</w:t>
      </w:r>
      <w:r>
        <w:rPr>
          <w:sz w:val="21"/>
        </w:rPr>
        <w:t xml:space="preserve">      </w:t>
      </w:r>
      <w:r>
        <w:rPr>
          <w:sz w:val="21"/>
        </w:rPr>
        <w:t>年</w:t>
      </w:r>
      <w:r>
        <w:rPr>
          <w:sz w:val="21"/>
        </w:rPr>
        <w:t xml:space="preserve">     </w:t>
      </w:r>
      <w:r>
        <w:rPr>
          <w:sz w:val="21"/>
        </w:rPr>
        <w:t>月</w:t>
      </w:r>
      <w:r>
        <w:rPr>
          <w:sz w:val="21"/>
        </w:rPr>
        <w:t xml:space="preserve">     </w:t>
      </w:r>
      <w:r>
        <w:rPr>
          <w:sz w:val="21"/>
        </w:rPr>
        <w:t>日起至</w:t>
      </w:r>
      <w:r>
        <w:rPr>
          <w:sz w:val="21"/>
        </w:rPr>
        <w:t xml:space="preserve">      </w:t>
      </w:r>
      <w:r>
        <w:rPr>
          <w:sz w:val="21"/>
        </w:rPr>
        <w:t>年</w:t>
      </w:r>
      <w:r>
        <w:rPr>
          <w:sz w:val="21"/>
        </w:rPr>
        <w:t xml:space="preserve">     </w:t>
      </w:r>
      <w:r>
        <w:rPr>
          <w:sz w:val="21"/>
        </w:rPr>
        <w:t>月</w:t>
      </w:r>
      <w:r>
        <w:rPr>
          <w:sz w:val="21"/>
        </w:rPr>
        <w:t xml:space="preserve">     </w:t>
      </w:r>
      <w:r>
        <w:rPr>
          <w:sz w:val="21"/>
        </w:rPr>
        <w:t>日止。</w:t>
      </w:r>
      <w:r>
        <w:rPr>
          <w:sz w:val="21"/>
        </w:rPr>
        <w:t>本项目为服务周期三年（</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的政府采购项目，每年年度评估合格后续签运营合同。因上一年度评估工作延迟导致本年度合同签署时间延迟，本年度合同约定的服务周期可保持不变。</w:t>
      </w:r>
    </w:p>
    <w:p>
      <w:pPr>
        <w:ind w:firstLine="420"/>
        <w:jc w:val="both"/>
      </w:pPr>
      <w:r>
        <w:rPr>
          <w:sz w:val="21"/>
        </w:rPr>
        <w:t>8.3</w:t>
      </w:r>
      <w:r>
        <w:rPr>
          <w:sz w:val="21"/>
        </w:rPr>
        <w:t xml:space="preserve"> </w:t>
      </w:r>
      <w:r>
        <w:rPr>
          <w:sz w:val="21"/>
        </w:rPr>
        <w:t>下列文件为本合同附件：</w:t>
      </w:r>
    </w:p>
    <w:p>
      <w:pPr>
        <w:ind w:firstLine="420"/>
        <w:jc w:val="both"/>
      </w:pPr>
      <w:r>
        <w:rPr>
          <w:sz w:val="21"/>
        </w:rPr>
        <w:t>（</w:t>
      </w:r>
      <w:r>
        <w:rPr>
          <w:sz w:val="21"/>
        </w:rPr>
        <w:t>1）加盖乙方公章的乙方合法注册登记文件复印件</w:t>
      </w:r>
    </w:p>
    <w:p>
      <w:pPr>
        <w:ind w:firstLine="420"/>
        <w:jc w:val="both"/>
      </w:pPr>
      <w:r>
        <w:rPr>
          <w:sz w:val="21"/>
        </w:rPr>
        <w:t>（</w:t>
      </w:r>
      <w:r>
        <w:rPr>
          <w:sz w:val="21"/>
        </w:rPr>
        <w:t>2）加盖甲方公章的服务指标表</w:t>
      </w:r>
    </w:p>
    <w:p>
      <w:pPr>
        <w:ind w:firstLine="420"/>
        <w:jc w:val="both"/>
      </w:pPr>
      <w:r>
        <w:rPr>
          <w:sz w:val="21"/>
        </w:rPr>
        <w:t>（</w:t>
      </w:r>
      <w:r>
        <w:rPr>
          <w:sz w:val="21"/>
        </w:rPr>
        <w:t>3）服务设施一览表</w:t>
      </w:r>
    </w:p>
    <w:p>
      <w:pPr>
        <w:ind w:firstLine="420"/>
        <w:jc w:val="both"/>
      </w:pPr>
      <w:r>
        <w:rPr>
          <w:sz w:val="21"/>
        </w:rPr>
        <w:t>8.4</w:t>
      </w:r>
      <w:r>
        <w:rPr>
          <w:sz w:val="21"/>
        </w:rPr>
        <w:t xml:space="preserve"> </w:t>
      </w:r>
      <w:r>
        <w:rPr>
          <w:sz w:val="21"/>
        </w:rPr>
        <w:t>本合同附件系本合同组成部分，与合同具有同等法律效力。</w:t>
      </w:r>
    </w:p>
    <w:p>
      <w:pPr>
        <w:ind w:firstLine="420"/>
        <w:jc w:val="both"/>
      </w:pPr>
      <w:r>
        <w:rPr>
          <w:sz w:val="21"/>
        </w:rPr>
        <w:t>（本文以下无正文）</w:t>
      </w:r>
    </w:p>
    <w:p>
      <w:pPr>
        <w:ind w:firstLine="420"/>
        <w:jc w:val="both"/>
      </w:pPr>
      <w:r>
        <w:rPr>
          <w:sz w:val="21"/>
        </w:rPr>
        <w:t xml:space="preserve"> </w:t>
      </w:r>
    </w:p>
    <w:p>
      <w:pPr>
        <w:ind w:firstLine="420"/>
        <w:jc w:val="both"/>
      </w:pPr>
      <w:r>
        <w:rPr>
          <w:sz w:val="21"/>
        </w:rPr>
        <w:t xml:space="preserve"> </w:t>
      </w:r>
    </w:p>
    <w:p>
      <w:pPr>
        <w:ind w:firstLine="420"/>
        <w:jc w:val="both"/>
      </w:pPr>
      <w:r>
        <w:rPr>
          <w:sz w:val="21"/>
        </w:rPr>
        <w:t>甲方：（公章）</w:t>
      </w:r>
    </w:p>
    <w:p>
      <w:pPr>
        <w:ind w:firstLine="420"/>
        <w:jc w:val="both"/>
      </w:pPr>
      <w:r>
        <w:rPr>
          <w:sz w:val="21"/>
        </w:rPr>
        <w:t>法定代表人或授权代表（签字）：</w:t>
      </w:r>
    </w:p>
    <w:p>
      <w:pPr>
        <w:ind w:firstLine="420"/>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420"/>
        <w:jc w:val="both"/>
      </w:pPr>
      <w:r>
        <w:rPr>
          <w:sz w:val="21"/>
        </w:rPr>
        <w:t xml:space="preserve"> </w:t>
      </w:r>
    </w:p>
    <w:p>
      <w:pPr>
        <w:ind w:firstLine="420"/>
        <w:jc w:val="both"/>
      </w:pPr>
      <w:r>
        <w:rPr>
          <w:sz w:val="21"/>
        </w:rPr>
        <w:t xml:space="preserve"> </w:t>
      </w:r>
    </w:p>
    <w:p>
      <w:pPr>
        <w:ind w:firstLine="420"/>
        <w:jc w:val="both"/>
      </w:pPr>
      <w:r>
        <w:rPr>
          <w:sz w:val="21"/>
        </w:rPr>
        <w:t xml:space="preserve"> </w:t>
      </w:r>
    </w:p>
    <w:p>
      <w:pPr>
        <w:ind w:firstLine="420"/>
        <w:jc w:val="both"/>
      </w:pPr>
      <w:r>
        <w:rPr>
          <w:sz w:val="21"/>
        </w:rPr>
        <w:t>乙方：（公章）</w:t>
      </w:r>
    </w:p>
    <w:p>
      <w:pPr>
        <w:ind w:firstLine="420"/>
        <w:jc w:val="both"/>
      </w:pPr>
      <w:r>
        <w:rPr>
          <w:sz w:val="21"/>
        </w:rPr>
        <w:t>法定代表人或授权代表（签字）：</w:t>
      </w:r>
    </w:p>
    <w:p>
      <w:pPr>
        <w:ind w:firstLine="420"/>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420"/>
        <w:jc w:val="both"/>
      </w:pPr>
      <w:r>
        <w:rPr>
          <w:sz w:val="21"/>
        </w:rPr>
        <w:t xml:space="preserve"> </w:t>
      </w:r>
    </w:p>
    <w:p>
      <w:pPr>
        <w:jc w:val="both"/>
      </w:pPr>
      <w:r>
        <w:rPr>
          <w:b/>
          <w:sz w:val="21"/>
        </w:rPr>
        <w:t>合同附件：</w:t>
      </w:r>
      <w:r>
        <w:rPr>
          <w:b/>
          <w:sz w:val="21"/>
        </w:rPr>
        <w:t>1.</w:t>
      </w:r>
      <w:r>
        <w:rPr>
          <w:b/>
          <w:sz w:val="21"/>
        </w:rPr>
        <w:t>成交通知书</w:t>
      </w:r>
    </w:p>
    <w:p>
      <w:pPr>
        <w:ind w:firstLine="1050"/>
        <w:jc w:val="both"/>
      </w:pPr>
      <w:r>
        <w:rPr>
          <w:b/>
          <w:sz w:val="21"/>
        </w:rPr>
        <w:t>2.</w:t>
      </w:r>
      <w:r>
        <w:rPr>
          <w:b/>
          <w:sz w:val="21"/>
        </w:rPr>
        <w:t>项目采购文件</w:t>
      </w:r>
    </w:p>
    <w:p>
      <w:pPr>
        <w:ind w:firstLine="1050"/>
        <w:jc w:val="both"/>
      </w:pPr>
      <w:r>
        <w:rPr>
          <w:b/>
          <w:sz w:val="21"/>
        </w:rPr>
        <w:t>3.</w:t>
      </w:r>
      <w:r>
        <w:rPr>
          <w:b/>
          <w:sz w:val="21"/>
        </w:rPr>
        <w:t>乙方响应文件</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440111-2023-05914</w:t>
      </w:r>
    </w:p>
    <w:p>
      <w:pPr>
        <w:jc w:val="center"/>
      </w:pPr>
      <w:r>
        <w:rPr>
          <w:b/>
          <w:sz w:val="24"/>
        </w:rPr>
        <w:t>采购项目编号：</w:t>
      </w:r>
      <w:r>
        <w:rPr>
          <w:b/>
          <w:sz w:val="24"/>
        </w:rPr>
        <w:t>GZGK23D283C0891C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广州市白云区人民政府均禾街道办事处综合养老服务中心（颐康中心)及颐康服务站运营采购项目</w:t>
      </w:r>
      <w:r>
        <w:rPr>
          <w:u w:val="single"/>
        </w:rPr>
        <w:t>”</w:t>
      </w:r>
      <w:r>
        <w:rPr/>
        <w:t>项目的竞争性磋商[采购项目编号为：</w:t>
      </w:r>
      <w:r>
        <w:rPr>
          <w:u w:val="single"/>
        </w:rPr>
        <w:t>GZGK23D283C0891C</w:t>
      </w:r>
      <w:r>
        <w:rPr/>
        <w:t>]，我方愿参与响应。</w:t>
      </w:r>
    </w:p>
    <w:p>
      <w:pPr>
        <w:ind w:firstLine="480"/>
      </w:pPr>
      <w:r>
        <w:rPr/>
        <w:t>我方确认收到贵方提供的</w:t>
      </w:r>
      <w:r>
        <w:rPr>
          <w:u w:val="single"/>
        </w:rPr>
        <w:t>“</w:t>
      </w:r>
      <w:r>
        <w:rPr>
          <w:u w:val="single"/>
        </w:rPr>
        <w:t>广州市白云区人民政府均禾街道办事处综合养老服务中心（颐康中心)及颐康服务站运营采购项目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广州市白云区人民政府均禾街道办事处综合养老服务中心（颐康中心)及颐康服务站运营采购项目</w:t>
      </w:r>
      <w:r>
        <w:rPr/>
        <w:t>”项目采购[采购项目编号为</w:t>
      </w:r>
      <w:r>
        <w:rPr/>
        <w:t>GZGK23D283C0891C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广州市白云区人民政府均禾街道办事处</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广州市白云区人民政府均禾街道办事处综合养老服务中心（颐康中心)及颐康服务站运营采购项目</w:t>
      </w:r>
      <w:r>
        <w:rPr/>
        <w:t>（采购项目编号：</w:t>
      </w:r>
      <w:r>
        <w:rPr/>
        <w:t>GZGK23D283C0891C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