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440001-2024-00317</w:t>
      </w:r>
    </w:p>
    <w:p>
      <w:pPr>
        <w:jc w:val="center"/>
      </w:pPr>
      <w:r>
        <w:rPr>
          <w:b/>
          <w:sz w:val="24"/>
        </w:rPr>
        <w:t>采购项目编号：</w:t>
      </w:r>
      <w:r>
        <w:rPr>
          <w:b/>
          <w:sz w:val="24"/>
        </w:rPr>
        <w:t>GZGK24P004C0011Z</w:t>
      </w:r>
    </w:p>
    <w:p>
      <w:pPr>
        <w:jc w:val="center"/>
      </w:pPr>
      <w:r>
        <w:rPr>
          <w:b/>
          <w:sz w:val="24"/>
        </w:rPr>
        <w:t>项目名称：</w:t>
      </w:r>
      <w:r>
        <w:rPr>
          <w:b/>
          <w:sz w:val="24"/>
        </w:rPr>
        <w:t>汕头大学医学院第二附属医院云胶片系统三年服务项目（2024）</w:t>
      </w:r>
    </w:p>
    <w:p>
      <w:pPr>
        <w:jc w:val="center"/>
      </w:pPr>
      <w:r>
        <w:rPr>
          <w:b/>
          <w:sz w:val="24"/>
        </w:rPr>
        <w:t>采购人：</w:t>
      </w:r>
      <w:r>
        <w:rPr>
          <w:b/>
          <w:sz w:val="24"/>
        </w:rPr>
        <w:t>汕头大学医学院第二附属医院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汕头大学医学院第二附属医院</w:t>
      </w:r>
      <w:r>
        <w:rPr/>
        <w:t>的委托，采用</w:t>
      </w:r>
      <w:r>
        <w:rPr/>
        <w:t>公开招标</w:t>
      </w:r>
      <w:r>
        <w:rPr/>
        <w:t>方式组织采购</w:t>
      </w:r>
      <w:r>
        <w:rPr/>
        <w:t>汕头大学医学院第二附属医院云胶片系统三年服务项目（2024）</w:t>
      </w:r>
      <w:r>
        <w:rPr/>
        <w:t>。欢迎符合资格条件的国内供应商参加投标。</w:t>
      </w:r>
    </w:p>
    <w:p>
      <w:r>
        <w:rPr>
          <w:b/>
          <w:sz w:val="28"/>
        </w:rPr>
        <w:t>一.项目概述</w:t>
      </w:r>
    </w:p>
    <w:p>
      <w:r>
        <w:rPr>
          <w:b/>
          <w:sz w:val="24"/>
        </w:rPr>
        <w:t>1.名称与编号</w:t>
      </w:r>
    </w:p>
    <w:p>
      <w:pPr>
        <w:ind w:firstLine="480"/>
      </w:pPr>
      <w:r>
        <w:rPr/>
        <w:t>项目名称：</w:t>
      </w:r>
      <w:r>
        <w:rPr/>
        <w:t>汕头大学医学院第二附属医院云胶片系统三年服务项目（2024）</w:t>
      </w:r>
    </w:p>
    <w:p>
      <w:pPr>
        <w:ind w:firstLine="480"/>
      </w:pPr>
      <w:r>
        <w:rPr/>
        <w:t>采购计划编号：</w:t>
      </w:r>
      <w:r>
        <w:rPr/>
        <w:t>440001-2024-00317</w:t>
      </w:r>
    </w:p>
    <w:p>
      <w:pPr>
        <w:ind w:firstLine="480"/>
      </w:pPr>
      <w:r>
        <w:rPr/>
        <w:t>采购项目编号：</w:t>
      </w:r>
      <w:r>
        <w:rPr/>
        <w:t>GZGK24P004C0011Z</w:t>
      </w:r>
    </w:p>
    <w:p>
      <w:pPr>
        <w:ind w:firstLine="480"/>
      </w:pPr>
      <w:r>
        <w:rPr/>
        <w:t>采购方式：</w:t>
      </w:r>
      <w:r>
        <w:rPr/>
        <w:t>公开招标</w:t>
      </w:r>
    </w:p>
    <w:p>
      <w:pPr>
        <w:ind w:firstLine="480"/>
      </w:pPr>
      <w:r>
        <w:rPr/>
        <w:t>预算金额：</w:t>
      </w:r>
      <w:r>
        <w:rPr/>
        <w:t>4,255,740.00</w:t>
      </w:r>
      <w:r>
        <w:rPr/>
        <w:t>元</w:t>
      </w:r>
    </w:p>
    <w:p>
      <w:r>
        <w:rPr>
          <w:b/>
          <w:sz w:val="24"/>
        </w:rPr>
        <w:t>2.项目内容及需求情况（采购项目技术规格、参数及要求）</w:t>
      </w:r>
    </w:p>
    <w:p>
      <w:pPr>
        <w:ind w:firstLine="480"/>
      </w:pPr>
    </w:p>
    <w:p/>
    <w:p>
      <w:r>
        <w:rPr/>
        <w:t>采购包1(云胶片系统三年服务):</w:t>
      </w:r>
    </w:p>
    <w:p>
      <w:r>
        <w:rPr/>
        <w:t>采购包预算金额：4,255,740.00元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云计算服务</w:t>
            </w:r>
          </w:p>
        </w:tc>
        <w:tc>
          <w:tcPr>
            <w:tcW w:type="dxa" w:w="2136"/>
          </w:tcPr>
          <w:p>
            <w:r>
              <w:rPr/>
              <w:t>云胶片系统三年服务</w:t>
            </w:r>
          </w:p>
        </w:tc>
        <w:tc>
          <w:tcPr>
            <w:tcW w:type="dxa" w:w="1187"/>
          </w:tcPr>
          <w:p>
            <w:r>
              <w:rPr/>
              <w:t>3.00(年)</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3）具有良好的商业信誉和健全的财务会计制度：供应商必须具有良好的商业信誉和健全的财务会计制度（提供2022年度财务状况报告或2023年至今任意1个月的财务状况报告复印件或基本开户行出具的资信证明）。</w:t>
      </w:r>
    </w:p>
    <w:p/>
    <w:p>
      <w:r>
        <w:rPr/>
        <w:t>4）履行合同所必需的设备和专业技术能力：提供书面承诺声明函（格式自拟）或具有履行合同所必须的设备和专业技术能力的其他证明材料。</w:t>
      </w:r>
    </w:p>
    <w:p/>
    <w:p>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采购包1（云胶片系统三年服务）：</w:t>
      </w:r>
      <w:r>
        <w:rPr/>
        <w:t>本采购包整体不专门面向中小企业。</w:t>
      </w:r>
    </w:p>
    <w:p/>
    <w:p>
      <w:r>
        <w:rPr>
          <w:b/>
          <w:sz w:val="24"/>
        </w:rPr>
        <w:t>3.本项目特定的资格要求：</w:t>
      </w:r>
    </w:p>
    <w:p>
      <w:pPr>
        <w:ind w:firstLine="480"/>
      </w:pPr>
    </w:p>
    <w:p/>
    <w:p>
      <w:r>
        <w:rPr/>
        <w:t>采购包1（云胶片系统三年服务）：</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为本项目提供整体设计、规范编制或者项目管理、监理、检测等服务的供应商，不得再参与本项目投标。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汕头大学医学院第二附属医院</w:t>
      </w:r>
    </w:p>
    <w:p>
      <w:pPr>
        <w:ind w:firstLine="480"/>
      </w:pPr>
      <w:r>
        <w:rPr/>
        <w:t>地址：</w:t>
      </w:r>
      <w:r>
        <w:rPr/>
        <w:t>汕头市东厦北路北段</w:t>
      </w:r>
    </w:p>
    <w:p>
      <w:pPr>
        <w:ind w:firstLine="480"/>
      </w:pPr>
      <w:r>
        <w:rPr/>
        <w:t>联系方式：</w:t>
      </w:r>
      <w:r>
        <w:rPr/>
        <w:t>0754-88915625</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0754-87230486</w:t>
      </w:r>
    </w:p>
    <w:p>
      <w:r>
        <w:rPr>
          <w:b/>
          <w:sz w:val="24"/>
        </w:rPr>
        <w:t>3.项目联系方式</w:t>
      </w:r>
    </w:p>
    <w:p>
      <w:pPr>
        <w:ind w:firstLine="480"/>
      </w:pPr>
      <w:r>
        <w:rPr/>
        <w:t>项目联系人：</w:t>
      </w:r>
      <w:r>
        <w:rPr/>
        <w:t>郑淇筠、陈奕宇</w:t>
      </w:r>
    </w:p>
    <w:p>
      <w:pPr>
        <w:ind w:firstLine="480"/>
      </w:pPr>
      <w:r>
        <w:rPr/>
        <w:t>电话：</w:t>
      </w:r>
      <w:r>
        <w:rPr/>
        <w:t>0754-87230486</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（一）项目编号：</w:t>
      </w:r>
      <w:r>
        <w:rPr>
          <w:sz w:val="21"/>
        </w:rPr>
        <w:t>GZGK24P004C0011Z</w:t>
      </w:r>
    </w:p>
    <w:p>
      <w:pPr>
        <w:jc w:val="both"/>
      </w:pPr>
      <w:r>
        <w:rPr>
          <w:b/>
          <w:sz w:val="21"/>
        </w:rPr>
        <w:t>（二）项目名称：</w:t>
      </w:r>
      <w:r>
        <w:rPr>
          <w:sz w:val="21"/>
        </w:rPr>
        <w:t>汕头大学医学院第二附属医院云胶片系统三年服务项目（2024）</w:t>
      </w:r>
    </w:p>
    <w:p>
      <w:pPr>
        <w:jc w:val="both"/>
      </w:pPr>
      <w:r>
        <w:rPr>
          <w:b/>
          <w:sz w:val="21"/>
        </w:rPr>
        <w:t>（三）总体要求说明：</w:t>
      </w:r>
    </w:p>
    <w:p>
      <w:pPr>
        <w:jc w:val="both"/>
      </w:pPr>
      <w:r>
        <w:rPr>
          <w:sz w:val="21"/>
        </w:rPr>
        <w:t>1、</w:t>
      </w:r>
      <w:r>
        <w:rPr>
          <w:sz w:val="21"/>
        </w:rPr>
        <w:t>标有“★”的条款</w:t>
      </w:r>
      <w:r>
        <w:rPr>
          <w:sz w:val="21"/>
        </w:rPr>
        <w:t>为必须完全满足的实质性要求</w:t>
      </w:r>
      <w:r>
        <w:rPr>
          <w:sz w:val="21"/>
        </w:rPr>
        <w:t>，投标人如有一项带“★”的条款未响应或负偏离，将按无效投标处理。</w:t>
      </w:r>
    </w:p>
    <w:p>
      <w:pPr>
        <w:jc w:val="both"/>
      </w:pPr>
      <w:r>
        <w:rPr>
          <w:sz w:val="21"/>
        </w:rPr>
        <w:t>2、</w:t>
      </w:r>
      <w:r>
        <w:rPr>
          <w:sz w:val="21"/>
        </w:rPr>
        <w:t>标有“▲”的条款为重要性要求，投标人如有“▲”的条款未响应或负偏离的将被严重扣分。</w:t>
      </w:r>
    </w:p>
    <w:p>
      <w:pPr>
        <w:jc w:val="both"/>
      </w:pPr>
      <w:r>
        <w:rPr>
          <w:sz w:val="21"/>
        </w:rPr>
        <w:t>3、</w:t>
      </w:r>
      <w:r>
        <w:rPr>
          <w:sz w:val="21"/>
        </w:rPr>
        <w:t>投标人应对采购需求中的服务指标在响应详细内容中列出明确承诺。如果投标人只注明“正偏离”或“无偏离”，将</w:t>
      </w:r>
      <w:r>
        <w:rPr>
          <w:sz w:val="21"/>
        </w:rPr>
        <w:t>可能</w:t>
      </w:r>
      <w:r>
        <w:rPr>
          <w:sz w:val="21"/>
        </w:rPr>
        <w:t>被视为“负偏离”，从而可能导致严重影响评标结果。</w:t>
      </w:r>
    </w:p>
    <w:p>
      <w:pPr>
        <w:jc w:val="both"/>
      </w:pPr>
      <w:r>
        <w:rPr>
          <w:sz w:val="21"/>
        </w:rPr>
        <w:t>4、</w:t>
      </w:r>
      <w:r>
        <w:rPr>
          <w:sz w:val="21"/>
        </w:rPr>
        <w:t>涉及到软件产品的，必须采购和使用正版软件，项目中涉及计算机办公产品的，必须预装正版操作系统软件。</w:t>
      </w:r>
    </w:p>
    <w:p>
      <w:pPr>
        <w:jc w:val="both"/>
      </w:pPr>
      <w:r>
        <w:rPr>
          <w:sz w:val="21"/>
        </w:rPr>
        <w:t>5、</w:t>
      </w:r>
      <w:r>
        <w:rPr>
          <w:sz w:val="21"/>
        </w:rPr>
        <w:t>投标人没有在投标文件中注明偏离（文字说明或在响应表注明）的参数、配置、条款视为被投标人完全接受。</w:t>
      </w:r>
    </w:p>
    <w:p>
      <w:pPr>
        <w:jc w:val="both"/>
      </w:pPr>
      <w:r>
        <w:rPr>
          <w:sz w:val="21"/>
        </w:rPr>
        <w:t>6、</w:t>
      </w:r>
      <w:r>
        <w:rPr>
          <w:sz w:val="21"/>
        </w:rPr>
        <w:t>投标人应保证，采购人在中华人民共和国使用该服务或服务的任何一部分时，免受第三方提出的侵犯其专利权、商标权、著作权或其它知识产权的起诉。</w:t>
      </w:r>
    </w:p>
    <w:p>
      <w:pPr>
        <w:jc w:val="both"/>
      </w:pPr>
      <w:r>
        <w:rPr>
          <w:sz w:val="21"/>
        </w:rPr>
        <w:t>7、</w:t>
      </w:r>
      <w:r>
        <w:rPr>
          <w:sz w:val="21"/>
        </w:rPr>
        <w:t>不允许中标供应商</w:t>
      </w:r>
      <w:r>
        <w:rPr>
          <w:sz w:val="21"/>
        </w:rPr>
        <w:t>转包、分包项目内容</w:t>
      </w:r>
      <w:r>
        <w:rPr>
          <w:sz w:val="21"/>
        </w:rPr>
        <w:t>。</w:t>
      </w:r>
    </w:p>
    <w:p>
      <w:pPr>
        <w:jc w:val="both"/>
      </w:pPr>
      <w:r>
        <w:rPr>
          <w:sz w:val="21"/>
        </w:rPr>
        <w:t>8、</w:t>
      </w:r>
      <w:r>
        <w:rPr>
          <w:sz w:val="21"/>
        </w:rPr>
        <w:t>小型和微型企业、监狱企业和残疾人福利性单位必须按照投标须知的内容提供相应的资料。</w:t>
      </w:r>
    </w:p>
    <w:p>
      <w:pPr>
        <w:jc w:val="both"/>
      </w:pPr>
      <w:r>
        <w:rPr>
          <w:sz w:val="21"/>
        </w:rPr>
        <w:t>9、</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b/>
          <w:sz w:val="21"/>
        </w:rPr>
        <w:t>（四）其他说明：</w:t>
      </w:r>
    </w:p>
    <w:p>
      <w:pPr>
        <w:jc w:val="both"/>
      </w:pPr>
      <w:r>
        <w:rPr>
          <w:sz w:val="21"/>
        </w:rPr>
        <w:t>1、</w:t>
      </w:r>
      <w:r>
        <w:rPr>
          <w:sz w:val="21"/>
        </w:rPr>
        <w:t>本项目开标方式为远程开标。参与全流程云平台采购项目的供应商登录云平台通过“新供应商开标大厅”进行签到及投标文件的解密，签到需在开标时间前30分钟内完成，不需要委派代表前往开标现场。但为了保证开标程序顺利、高效地完成，投标人亦可委派代表携带CA-key、存储有非加密投标文件的U盘及纸质投标文件前往开标现场进行签到、解密。</w:t>
      </w:r>
    </w:p>
    <w:p>
      <w:pPr>
        <w:jc w:val="both"/>
      </w:pPr>
      <w:r>
        <w:rPr>
          <w:sz w:val="21"/>
        </w:rPr>
        <w:t>2、</w:t>
      </w:r>
      <w:r>
        <w:rPr>
          <w:sz w:val="21"/>
        </w:rPr>
        <w:t>纸质投标文件邮寄地址（邮寄地址：</w:t>
      </w:r>
      <w:r>
        <w:rPr>
          <w:sz w:val="21"/>
        </w:rPr>
        <w:t>广东省汕头市金霞街道高新区科技中路25号聚盛大厦B座511</w:t>
      </w:r>
      <w:r>
        <w:rPr>
          <w:sz w:val="21"/>
        </w:rPr>
        <w:t>，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供应商电脑需提前安装CA签章客户端，并运行CA证书。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p>
    <w:p>
      <w:pPr>
        <w:jc w:val="both"/>
      </w:pPr>
      <w:r>
        <w:rPr>
          <w:b/>
          <w:sz w:val="21"/>
        </w:rPr>
        <w:t>（五）投标报价说明：</w:t>
      </w:r>
    </w:p>
    <w:p>
      <w:pPr>
        <w:ind w:firstLine="420"/>
        <w:jc w:val="both"/>
      </w:pPr>
      <w:r>
        <w:rPr>
          <w:sz w:val="21"/>
        </w:rPr>
        <w:t>投标报价包括：符合云胶片服务招标要求的各项系统安装、实施、调试、开发对接、配套线路、硬件、培训费及保障系统正常运营运行及无条件维护期的维护服务所需的单例费用及年度总费用。</w:t>
      </w:r>
    </w:p>
    <w:p>
      <w:pPr>
        <w:jc w:val="both"/>
      </w:pPr>
      <w:r>
        <w:rPr>
          <w:b/>
          <w:sz w:val="21"/>
        </w:rPr>
        <w:t>（</w:t>
      </w:r>
      <w:r>
        <w:rPr>
          <w:b/>
          <w:sz w:val="21"/>
        </w:rPr>
        <w:t>六</w:t>
      </w:r>
      <w:r>
        <w:rPr>
          <w:b/>
          <w:sz w:val="21"/>
        </w:rPr>
        <w:t>）实现的目标</w:t>
      </w:r>
      <w:r>
        <w:br/>
      </w:r>
      <w:r>
        <w:rPr>
          <w:b/>
          <w:sz w:val="21"/>
        </w:rPr>
        <w:t xml:space="preserve">    </w:t>
      </w:r>
      <w:r>
        <w:rPr>
          <w:sz w:val="21"/>
        </w:rPr>
        <w:t>根据国家卫生计生委出台的《电子病历应用管理规范（试行）》要求，门（急）诊电子病历由医疗机构保管，患者影像数据最后一次就诊之日起保存期限不少于15年，为解决实体胶片存在的问题，需要有一个强大的云胶片平台提供技术支撑，本项目建设目标如下：</w:t>
      </w:r>
    </w:p>
    <w:p>
      <w:pPr>
        <w:jc w:val="both"/>
      </w:pPr>
      <w:r>
        <w:rPr>
          <w:b/>
          <w:sz w:val="21"/>
        </w:rPr>
        <w:t>医院/科室</w:t>
      </w:r>
    </w:p>
    <w:p>
      <w:pPr>
        <w:ind w:firstLine="420"/>
        <w:jc w:val="both"/>
      </w:pPr>
      <w:r>
        <w:rPr>
          <w:sz w:val="21"/>
        </w:rPr>
        <w:t>1、平台上线后，可大幅缩减实体胶片用量，大幅降低医院胶片采购成本。医院的环境管理得到解压减负，各类打印机维护成本降低，降低人力成本和管理成本。</w:t>
      </w:r>
    </w:p>
    <w:p>
      <w:pPr>
        <w:ind w:firstLine="420"/>
        <w:jc w:val="both"/>
      </w:pPr>
      <w:r>
        <w:rPr>
          <w:sz w:val="21"/>
        </w:rPr>
        <w:t>2、异地备份存储，为远程会诊提供了技术基础。</w:t>
      </w:r>
    </w:p>
    <w:p>
      <w:pPr>
        <w:ind w:firstLine="420"/>
        <w:jc w:val="both"/>
      </w:pPr>
      <w:r>
        <w:rPr>
          <w:sz w:val="21"/>
        </w:rPr>
        <w:t>3、减少院内人员滞留，患者检查完可直接离开，图像及报告内容可通过移动终端直接获取，释放院内空间及基础医疗设施。整体改善医技楼医疗环境。</w:t>
      </w:r>
    </w:p>
    <w:p>
      <w:pPr>
        <w:jc w:val="both"/>
      </w:pPr>
      <w:r>
        <w:rPr>
          <w:b/>
          <w:sz w:val="21"/>
        </w:rPr>
        <w:t>患者</w:t>
      </w:r>
    </w:p>
    <w:p>
      <w:pPr>
        <w:ind w:firstLine="420"/>
        <w:jc w:val="both"/>
      </w:pPr>
      <w:r>
        <w:rPr>
          <w:sz w:val="21"/>
        </w:rPr>
        <w:t>（1）保存久：患者历史检查数据存储于云端，形成自己个人的影像档案，根据患者每次检查进行归档。便于异地转诊、分级诊疗和随访监测。</w:t>
      </w:r>
    </w:p>
    <w:p>
      <w:pPr>
        <w:ind w:firstLine="420"/>
        <w:jc w:val="both"/>
      </w:pPr>
      <w:r>
        <w:rPr>
          <w:sz w:val="21"/>
        </w:rPr>
        <w:t>（2）好携带：检查数据电子化存储，患者转诊复诊无需携带实体报告与胶片，直接调阅即可。</w:t>
      </w:r>
    </w:p>
    <w:p>
      <w:pPr>
        <w:ind w:firstLine="420"/>
        <w:jc w:val="both"/>
      </w:pPr>
      <w:r>
        <w:rPr>
          <w:sz w:val="21"/>
        </w:rPr>
        <w:t>（3）易分享：检查数据可一键分享，形成分享二维码或授权码。</w:t>
      </w:r>
    </w:p>
    <w:p>
      <w:pPr>
        <w:jc w:val="both"/>
      </w:pPr>
      <w:r>
        <w:rPr>
          <w:b/>
          <w:sz w:val="21"/>
        </w:rPr>
        <w:t>医生</w:t>
      </w:r>
    </w:p>
    <w:p>
      <w:pPr>
        <w:ind w:firstLine="420"/>
        <w:jc w:val="both"/>
      </w:pPr>
      <w:r>
        <w:rPr>
          <w:sz w:val="21"/>
        </w:rPr>
        <w:t>（1）选择使用云胶片的患者跨院复诊，可带来完整的全序列原始影像作为诊断参照，影像诊断更为准确。</w:t>
      </w:r>
    </w:p>
    <w:p>
      <w:pPr>
        <w:ind w:firstLine="420"/>
        <w:jc w:val="both"/>
      </w:pPr>
      <w:r>
        <w:rPr>
          <w:sz w:val="21"/>
        </w:rPr>
        <w:t>（2）利用平台数据，科研教学以及业内交流沟通具备海量真实数据。</w:t>
      </w:r>
    </w:p>
    <w:p>
      <w:pPr>
        <w:jc w:val="both"/>
      </w:pPr>
      <w:r>
        <w:rPr>
          <w:b/>
          <w:sz w:val="21"/>
        </w:rPr>
        <w:t>（七）</w:t>
      </w:r>
      <w:r>
        <w:rPr>
          <w:b/>
          <w:sz w:val="21"/>
        </w:rPr>
        <w:t>需执行国家相关标准、行业标准、地方标准或者其他标准、规范</w:t>
      </w:r>
    </w:p>
    <w:p/>
    <w:p>
      <w:pPr>
        <w:ind w:firstLine="480"/>
      </w:pPr>
    </w:p>
    <w:p/>
    <w:p>
      <w:r>
        <w:rPr/>
        <w:t>采购包1（云胶片系统三年服务）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服务期限：自合同签订之日起3年。交付期限：合同签订之日起60个工作日内，完成专线、硬件设备、软件系统等安装部署和实施并进入试运行阶段。</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1期：支付比例100%,本项目服务期限共3年，按上传的云胶片例数支付服务费用。 第一年： 第一期：合同签订后，凭中标人提供的等额发票，采购人在5个工作日内按第一年度服务费的30%向中标人支付预付款。 第二期：项目正式上线后，上传的CT/MR云胶片例数达到半年度使用量，中标人出具上线报告、结算清单，并经采购人使用科室及相关职能部门审核签字确认。凭中标人提供的等额发票，采购人在15日内按当年度服务费的20%向中标人支付服务费。 第三期：合同签订满12个月，中标人对本年度上传的CT/MR云胶片例数进行汇算，出具结算清单、年度验收报告，并经采购人使用科室及相关职能部门审核签字确认。如果中标人本年度云胶片系统服务例数超过一年度使用量，则采购人按年度服务费的50%支付当年度剩余服务费。如果中标人本年度云胶片服务例数少于一年度使用量，则采购人按实际服务的例数支付本年度剩余服务费。凭中标人提供的等额发票、结算清单、年度验收报告等资料，采购人在15日内向中标人支付服务费。 第二年： 第一期：合同签订满18个月，凭中标人提供的等额发票，采购人在15日内按年度服务费的50%向中标人支付服务费。 第二期：合同签订满24个月，中标人对本年度新增上传的CT/MR云胶片例数进行汇算，出具结算清单、年度验收报告，并经采购人使用科室及相关职能部门审核签字确认。如果中标人本年云胶片系统服务例数超过一年度使用量，则采购人按年度服务费的50%支付本年度剩余服务费。如果中标人本年度云胶片服务例数少于一年度使用量，则采购人按实际服务的例数支付本年度剩余服务费。凭中标人提供的等额发票、结算清单、年度验收报告等资料，采购人在15日内向中标人支付服务费。 第三年： 第一期：合同签订满30个月，凭中标人提供的等额发票，采购人在15日内按年度服务费的50%向中标人支付服务费。 第二期：合同签订满36个月，中标人对本年度新增上传的CT/MR云胶片例数进行汇算，出具结算清单、年度验收报告，并经采购人影像科及相关职能部门审核签字确认。如果中标人本年度云胶片系统服务例数超过一年度用量，则采购人按年度服务费的50%支付本年度剩余服务费。如果中标人本年度云胶片服务例数少于一年度用量，则采购人按实际服务的例数支付本年度剩余服务费。凭中标人提供的等额发票、结算清单、年度验收报告等资料，采购人在15日内向中标人支付服务费。</w:t>
            </w:r>
          </w:p>
        </w:tc>
      </w:tr>
      <w:tr>
        <w:tc>
          <w:tcPr>
            <w:tcW w:type="dxa" w:w="4153"/>
          </w:tcPr>
          <w:p>
            <w:r>
              <w:rPr/>
              <w:t>验收要求</w:t>
            </w:r>
          </w:p>
        </w:tc>
        <w:tc>
          <w:tcPr>
            <w:tcW w:type="dxa" w:w="4153"/>
          </w:tcPr>
          <w:p/>
          <w:p/>
          <w:p/>
          <w:p>
            <w:r>
              <w:rPr/>
              <w:t>1期：1、采购人按照采购合同规定的服务、安全标准组织对中标供应商履约情况每年进行一次验收，并出具验收书。验收书应当包括每一项服务、安全标准的履约情况。  2、采购人组成验收小组，按照采购合同规定的技术、服务、安全标准组织对中标供应商履约情况进行验收。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售后服务，系统验收合格投入使用后，自该系统验收合格之日起，合作期间每年结算的病例数据提供15年无条件维护期，维护包括结算病例对应的云存储及系统功能维护功能，不包含新产生的功能需求或新系统对接。在无条件维护阶段内，中标供应商为采购人所做维护工作时产生的维护费用及其他相关费用均由中标供应商承担。</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云计算服务</w:t>
            </w:r>
          </w:p>
        </w:tc>
        <w:tc>
          <w:tcPr>
            <w:tcW w:type="dxa" w:w="933"/>
          </w:tcPr>
          <w:p>
            <w:pPr>
              <w:jc w:val="left"/>
            </w:pPr>
            <w:r>
              <w:rPr/>
              <w:t>云胶片系统三年服务</w:t>
            </w:r>
          </w:p>
        </w:tc>
        <w:tc>
          <w:tcPr>
            <w:tcW w:type="dxa" w:w="933"/>
          </w:tcPr>
          <w:p>
            <w:pPr>
              <w:jc w:val="left"/>
            </w:pPr>
            <w:r>
              <w:rPr/>
              <w:t>年</w:t>
            </w:r>
          </w:p>
        </w:tc>
        <w:tc>
          <w:tcPr>
            <w:tcW w:type="dxa" w:w="933"/>
          </w:tcPr>
          <w:p>
            <w:pPr>
              <w:jc w:val="right"/>
            </w:pPr>
            <w:r>
              <w:rPr/>
              <w:t>3.00</w:t>
            </w:r>
          </w:p>
        </w:tc>
        <w:tc>
          <w:tcPr>
            <w:tcW w:type="dxa" w:w="933"/>
          </w:tcPr>
          <w:p>
            <w:pPr>
              <w:jc w:val="right"/>
            </w:pPr>
            <w:r>
              <w:rPr/>
              <w:t>1,418,580.00</w:t>
            </w:r>
          </w:p>
        </w:tc>
        <w:tc>
          <w:tcPr>
            <w:tcW w:type="dxa" w:w="933"/>
          </w:tcPr>
          <w:p>
            <w:pPr>
              <w:jc w:val="right"/>
            </w:pPr>
            <w:r>
              <w:rPr/>
              <w:t>4,255,740.00</w:t>
            </w:r>
          </w:p>
        </w:tc>
        <w:tc>
          <w:tcPr>
            <w:tcW w:type="dxa" w:w="840"/>
          </w:tcPr>
          <w:p>
            <w:r>
              <w:rPr/>
              <w:t>软件和信息技术服务业</w:t>
            </w:r>
          </w:p>
        </w:tc>
        <w:tc>
          <w:tcPr>
            <w:tcW w:type="dxa" w:w="933"/>
          </w:tcPr>
          <w:p>
            <w:r>
              <w:rPr/>
              <w:t>详见附表一</w:t>
            </w:r>
          </w:p>
        </w:tc>
      </w:tr>
    </w:tbl>
    <w:p/>
    <w:p>
      <w:r>
        <w:rPr>
          <w:b/>
        </w:rPr>
        <w:t>附表</w:t>
      </w:r>
      <w:r>
        <w:rPr>
          <w:b/>
        </w:rPr>
        <w:t>一</w:t>
      </w:r>
      <w:r>
        <w:rPr>
          <w:b/>
        </w:rPr>
        <w:t>：</w:t>
      </w:r>
      <w:r>
        <w:rPr>
          <w:b/>
        </w:rPr>
        <w:t>云胶片系统三年服务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w:t>
            </w:r>
            <w:r>
              <w:rPr>
                <w:sz w:val="21"/>
              </w:rPr>
              <w:t>服务项目清单及预算</w:t>
            </w:r>
          </w:p>
          <w:tbl>
            <w:tblPr>
              <w:tblBorders>
                <w:top w:val="none" w:color="000000" w:sz="4"/>
                <w:left w:val="none" w:color="000000" w:sz="4"/>
                <w:bottom w:val="none" w:color="000000" w:sz="4"/>
                <w:right w:val="none" w:color="000000" w:sz="4"/>
                <w:insideH w:val="none"/>
                <w:insideV w:val="none"/>
              </w:tblBorders>
            </w:tblPr>
            <w:tblGrid>
              <w:gridCol w:w="430"/>
              <w:gridCol w:w="1437"/>
              <w:gridCol w:w="850"/>
              <w:gridCol w:w="603"/>
              <w:gridCol w:w="1189"/>
              <w:gridCol w:w="1083"/>
            </w:tblGrid>
            <w:tr>
              <w:tc>
                <w:tcPr>
                  <w:tcW w:type="dxa" w:w="430"/>
                  <w:tcBorders>
                    <w:top w:val="single" w:color="000000" w:sz="4"/>
                    <w:left w:val="single" w:color="000000" w:sz="4"/>
                    <w:bottom w:val="single" w:color="000000" w:sz="4"/>
                    <w:right w:val="single" w:color="000000" w:sz="4"/>
                  </w:tcBorders>
                  <w:shd w:fill="E6E6E6"/>
                  <w:vAlign w:val="top"/>
                </w:tcPr>
                <w:p>
                  <w:pPr>
                    <w:jc w:val="center"/>
                  </w:pPr>
                  <w:r>
                    <w:rPr>
                      <w:b/>
                      <w:sz w:val="21"/>
                    </w:rPr>
                    <w:t>序号</w:t>
                  </w:r>
                </w:p>
              </w:tc>
              <w:tc>
                <w:tcPr>
                  <w:tcW w:type="dxa" w:w="1437"/>
                  <w:tcBorders>
                    <w:top w:val="single" w:color="000000" w:sz="4"/>
                    <w:left w:val="single" w:color="000000" w:sz="4"/>
                    <w:bottom w:val="single" w:color="000000" w:sz="4"/>
                    <w:right w:val="single" w:color="000000" w:sz="4"/>
                  </w:tcBorders>
                  <w:shd w:fill="E6E6E6"/>
                  <w:vAlign w:val="top"/>
                </w:tcPr>
                <w:p>
                  <w:pPr>
                    <w:jc w:val="center"/>
                  </w:pPr>
                  <w:r>
                    <w:rPr>
                      <w:b/>
                      <w:sz w:val="21"/>
                    </w:rPr>
                    <w:t>项目名称</w:t>
                  </w:r>
                </w:p>
              </w:tc>
              <w:tc>
                <w:tcPr>
                  <w:tcW w:type="dxa" w:w="850"/>
                  <w:tcBorders>
                    <w:top w:val="single" w:color="000000" w:sz="4"/>
                    <w:left w:val="single" w:color="000000" w:sz="4"/>
                    <w:bottom w:val="single" w:color="000000" w:sz="4"/>
                    <w:right w:val="single" w:color="000000" w:sz="4"/>
                  </w:tcBorders>
                  <w:shd w:fill="E6E6E6"/>
                  <w:vAlign w:val="top"/>
                </w:tcPr>
                <w:p>
                  <w:pPr>
                    <w:jc w:val="center"/>
                  </w:pPr>
                  <w:r>
                    <w:rPr>
                      <w:b/>
                      <w:sz w:val="21"/>
                    </w:rPr>
                    <w:t>每年预计例数</w:t>
                  </w:r>
                </w:p>
              </w:tc>
              <w:tc>
                <w:tcPr>
                  <w:tcW w:type="dxa" w:w="603"/>
                  <w:tcBorders>
                    <w:top w:val="single" w:color="000000" w:sz="4"/>
                    <w:left w:val="single" w:color="000000" w:sz="4"/>
                    <w:bottom w:val="single" w:color="000000" w:sz="4"/>
                    <w:right w:val="single" w:color="000000" w:sz="4"/>
                  </w:tcBorders>
                  <w:shd w:fill="E6E6E6"/>
                  <w:vAlign w:val="top"/>
                </w:tcPr>
                <w:p>
                  <w:pPr>
                    <w:jc w:val="center"/>
                  </w:pPr>
                  <w:r>
                    <w:rPr>
                      <w:b/>
                      <w:sz w:val="21"/>
                    </w:rPr>
                    <w:t>单位</w:t>
                  </w:r>
                </w:p>
              </w:tc>
              <w:tc>
                <w:tcPr>
                  <w:tcW w:type="dxa" w:w="1189"/>
                  <w:tcBorders>
                    <w:top w:val="single" w:color="000000" w:sz="4"/>
                    <w:left w:val="single" w:color="000000" w:sz="4"/>
                    <w:bottom w:val="single" w:color="000000" w:sz="4"/>
                    <w:right w:val="single" w:color="000000" w:sz="4"/>
                  </w:tcBorders>
                  <w:shd w:fill="E6E6E6"/>
                  <w:vAlign w:val="top"/>
                </w:tcPr>
                <w:p>
                  <w:pPr>
                    <w:jc w:val="center"/>
                  </w:pPr>
                  <w:r>
                    <w:rPr>
                      <w:b/>
                      <w:sz w:val="21"/>
                    </w:rPr>
                    <w:t>单价限价</w:t>
                  </w:r>
                </w:p>
              </w:tc>
              <w:tc>
                <w:tcPr>
                  <w:tcW w:type="dxa" w:w="1083"/>
                  <w:tcBorders>
                    <w:top w:val="single" w:color="000000" w:sz="4"/>
                    <w:left w:val="single" w:color="000000" w:sz="4"/>
                    <w:bottom w:val="single" w:color="000000" w:sz="4"/>
                    <w:right w:val="single" w:color="000000" w:sz="4"/>
                  </w:tcBorders>
                  <w:shd w:fill="E6E6E6"/>
                  <w:vAlign w:val="top"/>
                </w:tcPr>
                <w:p>
                  <w:pPr>
                    <w:jc w:val="center"/>
                  </w:pPr>
                  <w:r>
                    <w:rPr>
                      <w:b/>
                      <w:sz w:val="21"/>
                    </w:rPr>
                    <w:t>年度预算总金额</w:t>
                  </w:r>
                </w:p>
              </w:tc>
            </w:tr>
            <w:tr>
              <w:tc>
                <w:tcPr>
                  <w:tcW w:type="dxa" w:w="43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sz w:val="21"/>
                    </w:rPr>
                    <w:t>云胶片系统三年服务</w:t>
                  </w:r>
                </w:p>
              </w:tc>
              <w:tc>
                <w:tcPr>
                  <w:tcW w:type="dxa" w:w="850"/>
                  <w:tcBorders>
                    <w:top w:val="none" w:color="000000" w:sz="4"/>
                    <w:left w:val="single" w:color="000000" w:sz="4"/>
                    <w:bottom w:val="single" w:color="000000" w:sz="4"/>
                    <w:right w:val="single" w:color="000000" w:sz="4"/>
                  </w:tcBorders>
                  <w:vAlign w:val="top"/>
                </w:tcPr>
                <w:p>
                  <w:pPr>
                    <w:jc w:val="center"/>
                  </w:pPr>
                  <w:r>
                    <w:rPr>
                      <w:sz w:val="21"/>
                    </w:rPr>
                    <w:t>14.2万</w:t>
                  </w:r>
                </w:p>
              </w:tc>
              <w:tc>
                <w:tcPr>
                  <w:tcW w:type="dxa" w:w="603"/>
                  <w:tcBorders>
                    <w:top w:val="none" w:color="000000" w:sz="4"/>
                    <w:left w:val="single" w:color="000000" w:sz="4"/>
                    <w:bottom w:val="single" w:color="000000" w:sz="4"/>
                    <w:right w:val="single" w:color="000000" w:sz="4"/>
                  </w:tcBorders>
                  <w:vAlign w:val="top"/>
                </w:tcPr>
                <w:p>
                  <w:pPr>
                    <w:jc w:val="center"/>
                  </w:pPr>
                  <w:r>
                    <w:rPr>
                      <w:sz w:val="21"/>
                    </w:rPr>
                    <w:t>例</w:t>
                  </w:r>
                </w:p>
              </w:tc>
              <w:tc>
                <w:tcPr>
                  <w:tcW w:type="dxa" w:w="1189"/>
                  <w:tcBorders>
                    <w:top w:val="none" w:color="000000" w:sz="4"/>
                    <w:left w:val="single" w:color="000000" w:sz="4"/>
                    <w:bottom w:val="single" w:color="000000" w:sz="4"/>
                    <w:right w:val="single" w:color="000000" w:sz="4"/>
                  </w:tcBorders>
                  <w:vAlign w:val="top"/>
                </w:tcPr>
                <w:p>
                  <w:pPr>
                    <w:jc w:val="center"/>
                  </w:pPr>
                  <w:r>
                    <w:rPr>
                      <w:sz w:val="21"/>
                    </w:rPr>
                    <w:t>￥</w:t>
                  </w:r>
                  <w:r>
                    <w:rPr>
                      <w:sz w:val="21"/>
                    </w:rPr>
                    <w:t>9.99元/年/例</w:t>
                  </w:r>
                </w:p>
              </w:tc>
              <w:tc>
                <w:tcPr>
                  <w:tcW w:type="dxa" w:w="1083"/>
                  <w:tcBorders>
                    <w:top w:val="none" w:color="000000" w:sz="4"/>
                    <w:left w:val="single" w:color="000000" w:sz="4"/>
                    <w:bottom w:val="single" w:color="000000" w:sz="4"/>
                    <w:right w:val="single" w:color="000000" w:sz="4"/>
                  </w:tcBorders>
                  <w:vAlign w:val="top"/>
                </w:tcPr>
                <w:p>
                  <w:pPr>
                    <w:jc w:val="center"/>
                  </w:pPr>
                  <w:r>
                    <w:rPr>
                      <w:sz w:val="21"/>
                    </w:rPr>
                    <w:t>￥</w:t>
                  </w:r>
                  <w:r>
                    <w:rPr>
                      <w:sz w:val="21"/>
                    </w:rPr>
                    <w:t>141.858万元</w:t>
                  </w:r>
                </w:p>
              </w:tc>
            </w:tr>
            <w:tr>
              <w:tc>
                <w:tcPr>
                  <w:tcW w:type="dxa" w:w="4509"/>
                  <w:gridSpan w:val="5"/>
                  <w:tcBorders>
                    <w:top w:val="none" w:color="000000" w:sz="4"/>
                    <w:left w:val="single" w:color="000000" w:sz="4"/>
                    <w:bottom w:val="single" w:color="000000" w:sz="4"/>
                    <w:right w:val="single" w:color="000000" w:sz="4"/>
                  </w:tcBorders>
                  <w:vAlign w:val="top"/>
                </w:tcPr>
                <w:p>
                  <w:pPr>
                    <w:jc w:val="center"/>
                  </w:pPr>
                  <w:r>
                    <w:rPr>
                      <w:b/>
                      <w:sz w:val="21"/>
                    </w:rPr>
                    <w:t>3年合计总预算</w:t>
                  </w:r>
                </w:p>
              </w:tc>
              <w:tc>
                <w:tcPr>
                  <w:tcW w:type="dxa" w:w="1083"/>
                  <w:tcBorders>
                    <w:top w:val="none" w:color="000000" w:sz="4"/>
                    <w:left w:val="single" w:color="000000" w:sz="4"/>
                    <w:bottom w:val="single" w:color="000000" w:sz="4"/>
                    <w:right w:val="single" w:color="000000" w:sz="4"/>
                  </w:tcBorders>
                  <w:vAlign w:val="top"/>
                </w:tcPr>
                <w:p>
                  <w:pPr>
                    <w:jc w:val="center"/>
                  </w:pPr>
                  <w:r>
                    <w:rPr>
                      <w:sz w:val="21"/>
                    </w:rPr>
                    <w:t>￥</w:t>
                  </w:r>
                  <w:r>
                    <w:rPr>
                      <w:sz w:val="21"/>
                    </w:rPr>
                    <w:t>425.574万元</w:t>
                  </w:r>
                </w:p>
              </w:tc>
            </w:tr>
            <w:tr>
              <w:tc>
                <w:tcPr>
                  <w:tcW w:type="dxa" w:w="5592"/>
                  <w:gridSpan w:val="6"/>
                  <w:tcBorders>
                    <w:top w:val="none" w:color="000000" w:sz="4"/>
                    <w:left w:val="single" w:color="000000" w:sz="4"/>
                    <w:bottom w:val="single" w:color="000000" w:sz="4"/>
                    <w:right w:val="single" w:color="000000" w:sz="4"/>
                  </w:tcBorders>
                  <w:vAlign w:val="top"/>
                </w:tcPr>
                <w:p>
                  <w:pPr>
                    <w:jc w:val="left"/>
                  </w:pPr>
                  <w:r>
                    <w:rPr>
                      <w:sz w:val="21"/>
                    </w:rPr>
                    <w:t>注：</w:t>
                  </w:r>
                  <w:r>
                    <w:rPr>
                      <w:sz w:val="21"/>
                    </w:rPr>
                    <w:t>单盘</w:t>
                  </w:r>
                  <w:r>
                    <w:rPr>
                      <w:sz w:val="21"/>
                    </w:rPr>
                    <w:t>IOPS最大≥30000</w:t>
                  </w:r>
                  <w:r>
                    <w:rPr>
                      <w:color w:val="000000"/>
                      <w:sz w:val="21"/>
                    </w:rPr>
                    <w:t>按采购人</w:t>
                  </w:r>
                  <w:r>
                    <w:rPr>
                      <w:color w:val="000000"/>
                      <w:sz w:val="21"/>
                    </w:rPr>
                    <w:t>PACS系统CT/MR每一份报告（即同一次检查）为一例计算云胶片技术服务费用，服务费不高于人民币</w:t>
                  </w:r>
                  <w:r>
                    <w:rPr>
                      <w:sz w:val="21"/>
                    </w:rPr>
                    <w:t>￥</w:t>
                  </w:r>
                  <w:r>
                    <w:rPr>
                      <w:color w:val="000000"/>
                      <w:sz w:val="21"/>
                    </w:rPr>
                    <w:t>9.99元/例，投标人应在投标文件中明确每例的服务单价，如投标单价超过单价限价则投标无效。</w:t>
                  </w:r>
                </w:p>
              </w:tc>
            </w:tr>
          </w:tbl>
          <w:p>
            <w:pPr>
              <w:jc w:val="left"/>
            </w:pPr>
            <w:r>
              <w:rPr>
                <w:sz w:val="21"/>
              </w:rPr>
              <w:t>2、功能需求及服务要求</w:t>
            </w:r>
          </w:p>
          <w:p>
            <w:pPr>
              <w:jc w:val="left"/>
            </w:pPr>
            <w:r>
              <w:rPr>
                <w:sz w:val="21"/>
              </w:rPr>
              <w:t>（</w:t>
            </w:r>
            <w:r>
              <w:rPr>
                <w:sz w:val="21"/>
              </w:rPr>
              <w:t>1）需求清单</w:t>
            </w:r>
          </w:p>
          <w:tbl>
            <w:tblPr>
              <w:tblInd w:type="dxa" w:w="120"/>
              <w:tblBorders>
                <w:top w:val="none" w:color="000000" w:sz="4"/>
                <w:left w:val="none" w:color="000000" w:sz="4"/>
                <w:bottom w:val="none" w:color="000000" w:sz="4"/>
                <w:right w:val="none" w:color="000000" w:sz="4"/>
                <w:insideH w:val="none"/>
                <w:insideV w:val="none"/>
              </w:tblBorders>
            </w:tblPr>
            <w:tblGrid>
              <w:gridCol w:w="470"/>
              <w:gridCol w:w="395"/>
              <w:gridCol w:w="4731"/>
            </w:tblGrid>
            <w:tr>
              <w:tc>
                <w:tcPr>
                  <w:tcW w:type="dxa" w:w="470"/>
                  <w:tcBorders>
                    <w:top w:val="single" w:color="000000" w:sz="4"/>
                    <w:left w:val="single" w:color="000000" w:sz="4"/>
                    <w:bottom w:val="single" w:color="000000" w:sz="4"/>
                    <w:right w:val="single" w:color="000000" w:sz="4"/>
                  </w:tcBorders>
                  <w:shd w:fill="D9D9D9"/>
                  <w:vAlign w:val="top"/>
                </w:tcPr>
                <w:p>
                  <w:pPr>
                    <w:jc w:val="center"/>
                  </w:pPr>
                  <w:r>
                    <w:rPr>
                      <w:b/>
                      <w:color w:val="000000"/>
                      <w:sz w:val="21"/>
                    </w:rPr>
                    <w:t>一</w:t>
                  </w:r>
                </w:p>
              </w:tc>
              <w:tc>
                <w:tcPr>
                  <w:tcW w:type="dxa" w:w="5126"/>
                  <w:gridSpan w:val="2"/>
                  <w:tcBorders>
                    <w:top w:val="single" w:color="000000" w:sz="4"/>
                    <w:left w:val="none" w:color="000000" w:sz="4"/>
                    <w:bottom w:val="single" w:color="000000" w:sz="4"/>
                    <w:right w:val="single" w:color="000000" w:sz="4"/>
                  </w:tcBorders>
                  <w:shd w:fill="D9D9D9"/>
                  <w:vAlign w:val="top"/>
                </w:tcPr>
                <w:p>
                  <w:pPr>
                    <w:jc w:val="left"/>
                  </w:pPr>
                  <w:r>
                    <w:rPr>
                      <w:b/>
                      <w:sz w:val="21"/>
                    </w:rPr>
                    <w:t>基础层</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731"/>
                  <w:tcBorders>
                    <w:top w:val="single" w:color="000000" w:sz="4"/>
                    <w:left w:val="single" w:color="000000" w:sz="4"/>
                    <w:bottom w:val="single" w:color="000000" w:sz="4"/>
                    <w:right w:val="single" w:color="000000" w:sz="4"/>
                  </w:tcBorders>
                  <w:vAlign w:val="top"/>
                </w:tcPr>
                <w:p>
                  <w:pPr>
                    <w:jc w:val="left"/>
                  </w:pPr>
                  <w:r>
                    <w:rPr>
                      <w:sz w:val="21"/>
                    </w:rPr>
                    <w:t>支持兼容多种云存储类型：包括但不限于本地存储，云存储，混合储存；使用公有云。</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支持兼容医院现有</w:t>
                  </w:r>
                  <w:r>
                    <w:rPr>
                      <w:sz w:val="21"/>
                    </w:rPr>
                    <w:t>PACS系统</w:t>
                  </w:r>
                  <w:r>
                    <w:rPr>
                      <w:sz w:val="21"/>
                    </w:rPr>
                    <w:t>（版本号：</w:t>
                  </w:r>
                  <w:r>
                    <w:rPr>
                      <w:sz w:val="21"/>
                    </w:rPr>
                    <w:t>RIS V3.2，PACS V12）</w:t>
                  </w:r>
                  <w:r>
                    <w:rPr>
                      <w:sz w:val="21"/>
                    </w:rPr>
                    <w:t>，通过平台服务支持当前及历史检查数据的快速迁移，且不影响</w:t>
                  </w:r>
                  <w:r>
                    <w:rPr>
                      <w:sz w:val="21"/>
                    </w:rPr>
                    <w:t>PACS系统的正常运行。</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支持检查影像数据的分级存储，支持院内前置机作为在线存储、云存储作为离线存储。</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支持提供统一身份认证管理，保证访问用户安全性。</w:t>
                  </w:r>
                </w:p>
              </w:tc>
            </w:tr>
            <w:tr>
              <w:tc>
                <w:tcPr>
                  <w:tcW w:type="dxa" w:w="470"/>
                  <w:tcBorders>
                    <w:top w:val="none" w:color="000000" w:sz="4"/>
                    <w:left w:val="single" w:color="000000" w:sz="4"/>
                    <w:bottom w:val="single" w:color="000000" w:sz="4"/>
                    <w:right w:val="single" w:color="000000" w:sz="4"/>
                  </w:tcBorders>
                  <w:vAlign w:val="top"/>
                </w:tcPr>
                <w:p>
                  <w:pPr>
                    <w:jc w:val="center"/>
                  </w:pPr>
                  <w:r>
                    <w:rPr>
                      <w:color w:val="000000"/>
                      <w:sz w:val="21"/>
                    </w:rPr>
                    <w:t>▲</w:t>
                  </w:r>
                </w:p>
              </w:tc>
              <w:tc>
                <w:tcPr>
                  <w:tcW w:type="dxa" w:w="39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支持患者手机端调阅现有</w:t>
                  </w:r>
                  <w:r>
                    <w:rPr>
                      <w:sz w:val="21"/>
                    </w:rPr>
                    <w:t>PACS系统所有历史检查数据，包括图像和报告。（提供软件界面截图）</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支持医生在</w:t>
                  </w:r>
                  <w:r>
                    <w:rPr>
                      <w:sz w:val="21"/>
                    </w:rPr>
                    <w:t>PC端和移动端实时查询患者的当次检查的原始DICOM影像及报告，并支持现有PACS系统患者历史检查影像及报告的查询对比。</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支持提供系统运维审计日志服务，对平台运行状况实时监控，对系统故障、报错等信息记录并保存，使应用系统的运行和通信故障能够及时发现和处理。</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支持提供用户操作审计日志服务，对用户的操作行为进行记录，便于后期追溯。</w:t>
                  </w:r>
                </w:p>
              </w:tc>
            </w:tr>
            <w:tr>
              <w:tc>
                <w:tcPr>
                  <w:tcW w:type="dxa" w:w="470"/>
                  <w:tcBorders>
                    <w:top w:val="none" w:color="000000" w:sz="4"/>
                    <w:left w:val="single" w:color="000000" w:sz="4"/>
                    <w:bottom w:val="single" w:color="000000" w:sz="4"/>
                    <w:right w:val="single" w:color="000000" w:sz="4"/>
                  </w:tcBorders>
                  <w:vAlign w:val="top"/>
                </w:tcPr>
                <w:p>
                  <w:pPr>
                    <w:jc w:val="center"/>
                  </w:pPr>
                  <w:r>
                    <w:rPr>
                      <w:b/>
                      <w:color w:val="000000"/>
                      <w:sz w:val="21"/>
                    </w:rPr>
                    <w:t>二</w:t>
                  </w:r>
                </w:p>
              </w:tc>
              <w:tc>
                <w:tcPr>
                  <w:tcW w:type="dxa" w:w="5126"/>
                  <w:gridSpan w:val="2"/>
                  <w:tcBorders>
                    <w:top w:val="none" w:color="000000" w:sz="4"/>
                    <w:left w:val="single" w:color="000000" w:sz="4"/>
                    <w:bottom w:val="single" w:color="000000" w:sz="4"/>
                    <w:right w:val="single" w:color="000000" w:sz="4"/>
                  </w:tcBorders>
                  <w:vAlign w:val="top"/>
                </w:tcPr>
                <w:p>
                  <w:pPr>
                    <w:jc w:val="left"/>
                  </w:pPr>
                  <w:r>
                    <w:rPr>
                      <w:b/>
                      <w:sz w:val="21"/>
                    </w:rPr>
                    <w:t>数据管理和应用服务</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731"/>
                  <w:tcBorders>
                    <w:top w:val="single" w:color="000000" w:sz="4"/>
                    <w:left w:val="single" w:color="000000" w:sz="4"/>
                    <w:bottom w:val="single" w:color="000000" w:sz="4"/>
                    <w:right w:val="single" w:color="000000" w:sz="4"/>
                  </w:tcBorders>
                  <w:vAlign w:val="top"/>
                </w:tcPr>
                <w:p>
                  <w:pPr>
                    <w:jc w:val="left"/>
                  </w:pPr>
                  <w:r>
                    <w:rPr>
                      <w:sz w:val="21"/>
                    </w:rPr>
                    <w:t>支持根据用户的需求，设置存储设备的影像管理策略，支持影像数据的分布式存储，根据医院的数据量来合理部署云端存储服务。</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支持通过消息队列等中间件机制，提高系统传输访问性能。</w:t>
                  </w:r>
                </w:p>
              </w:tc>
            </w:tr>
            <w:tr>
              <w:tc>
                <w:tcPr>
                  <w:tcW w:type="dxa" w:w="470"/>
                  <w:tcBorders>
                    <w:top w:val="none" w:color="000000" w:sz="4"/>
                    <w:left w:val="single" w:color="000000" w:sz="4"/>
                    <w:bottom w:val="single" w:color="000000" w:sz="4"/>
                    <w:right w:val="single" w:color="000000" w:sz="4"/>
                  </w:tcBorders>
                  <w:vAlign w:val="top"/>
                </w:tcPr>
                <w:p>
                  <w:pPr>
                    <w:jc w:val="center"/>
                  </w:pPr>
                  <w:r>
                    <w:rPr>
                      <w:color w:val="000000"/>
                      <w:sz w:val="21"/>
                    </w:rPr>
                    <w:t>▲</w:t>
                  </w:r>
                </w:p>
              </w:tc>
              <w:tc>
                <w:tcPr>
                  <w:tcW w:type="dxa" w:w="39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支持原始影像、电子胶片、电子报告文件数据统一实现云端归档及管理。（提供软件界面截图）</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支持</w:t>
                  </w:r>
                  <w:r>
                    <w:rPr>
                      <w:sz w:val="21"/>
                    </w:rPr>
                    <w:t>DICOM标准格式的无损压缩，实现原始影像及报告的云端管理应用，节省存储空间。</w:t>
                  </w:r>
                </w:p>
              </w:tc>
            </w:tr>
            <w:tr>
              <w:tc>
                <w:tcPr>
                  <w:tcW w:type="dxa" w:w="470"/>
                  <w:tcBorders>
                    <w:top w:val="none" w:color="000000" w:sz="4"/>
                    <w:left w:val="single" w:color="000000" w:sz="4"/>
                    <w:bottom w:val="single" w:color="000000" w:sz="4"/>
                    <w:right w:val="single" w:color="000000" w:sz="4"/>
                  </w:tcBorders>
                  <w:vAlign w:val="top"/>
                </w:tcPr>
                <w:p>
                  <w:pPr>
                    <w:jc w:val="center"/>
                  </w:pPr>
                  <w:r>
                    <w:rPr>
                      <w:sz w:val="21"/>
                    </w:rPr>
                    <w:t>★</w:t>
                  </w:r>
                </w:p>
              </w:tc>
              <w:tc>
                <w:tcPr>
                  <w:tcW w:type="dxa" w:w="39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对云存储例数无限制。每年度超出</w:t>
                  </w:r>
                  <w:r>
                    <w:rPr>
                      <w:sz w:val="21"/>
                    </w:rPr>
                    <w:t>14.2万例不另外收费。</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支持采购人根据检查时间、归档时间、患者号、检查号等自定义查询归档数据明细，并支持导出对应表格；支持查看影像和下载影像；支持查看按月份以及按设备类型统计的统计图。</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涉及患者隐私的信息，支持对数据进行加密，保证数据存储和传输过程中的信息安全。</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支持数据的迁移、备份、数据删除和恢复等数据管理。</w:t>
                  </w:r>
                </w:p>
              </w:tc>
            </w:tr>
            <w:tr>
              <w:tc>
                <w:tcPr>
                  <w:tcW w:type="dxa" w:w="470"/>
                  <w:tcBorders>
                    <w:top w:val="none" w:color="000000" w:sz="4"/>
                    <w:left w:val="single" w:color="000000" w:sz="4"/>
                    <w:bottom w:val="single" w:color="000000" w:sz="4"/>
                    <w:right w:val="single" w:color="000000" w:sz="4"/>
                  </w:tcBorders>
                  <w:vAlign w:val="top"/>
                </w:tcPr>
                <w:p>
                  <w:pPr>
                    <w:jc w:val="center"/>
                  </w:pPr>
                  <w:r>
                    <w:rPr>
                      <w:b/>
                      <w:color w:val="000000"/>
                      <w:sz w:val="21"/>
                    </w:rPr>
                    <w:t>三</w:t>
                  </w:r>
                </w:p>
              </w:tc>
              <w:tc>
                <w:tcPr>
                  <w:tcW w:type="dxa" w:w="5126"/>
                  <w:gridSpan w:val="2"/>
                  <w:tcBorders>
                    <w:top w:val="none" w:color="000000" w:sz="4"/>
                    <w:left w:val="single" w:color="000000" w:sz="4"/>
                    <w:bottom w:val="single" w:color="000000" w:sz="4"/>
                    <w:right w:val="single" w:color="000000" w:sz="4"/>
                  </w:tcBorders>
                  <w:vAlign w:val="top"/>
                </w:tcPr>
                <w:p>
                  <w:pPr>
                    <w:jc w:val="left"/>
                  </w:pPr>
                  <w:r>
                    <w:rPr>
                      <w:b/>
                      <w:sz w:val="21"/>
                    </w:rPr>
                    <w:t>应用功能</w:t>
                  </w:r>
                </w:p>
              </w:tc>
            </w:tr>
            <w:tr>
              <w:tc>
                <w:tcPr>
                  <w:tcW w:type="dxa" w:w="470"/>
                  <w:tcBorders>
                    <w:top w:val="none" w:color="000000" w:sz="4"/>
                    <w:left w:val="single" w:color="000000" w:sz="4"/>
                    <w:bottom w:val="single" w:color="000000" w:sz="4"/>
                    <w:right w:val="single" w:color="000000" w:sz="4"/>
                  </w:tcBorders>
                  <w:vAlign w:val="top"/>
                </w:tcPr>
                <w:p>
                  <w:pPr>
                    <w:jc w:val="center"/>
                  </w:pPr>
                  <w:r>
                    <w:rPr>
                      <w:color w:val="000000"/>
                      <w:sz w:val="21"/>
                    </w:rPr>
                    <w:t>▲</w:t>
                  </w:r>
                </w:p>
              </w:tc>
              <w:tc>
                <w:tcPr>
                  <w:tcW w:type="dxa" w:w="39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731"/>
                  <w:tcBorders>
                    <w:top w:val="single" w:color="000000" w:sz="4"/>
                    <w:left w:val="single" w:color="000000" w:sz="4"/>
                    <w:bottom w:val="single" w:color="000000" w:sz="4"/>
                    <w:right w:val="single" w:color="000000" w:sz="4"/>
                  </w:tcBorders>
                  <w:vAlign w:val="top"/>
                </w:tcPr>
                <w:p>
                  <w:pPr>
                    <w:jc w:val="left"/>
                  </w:pPr>
                  <w:r>
                    <w:rPr>
                      <w:sz w:val="21"/>
                    </w:rPr>
                    <w:t>支持浏览中的影像分享功能，可以实时生成分享二维码和安全链接发送给第三方，且实现授权验证，该功能后台配置开启或者关闭。（提供软件界面截图）</w:t>
                  </w:r>
                </w:p>
              </w:tc>
            </w:tr>
            <w:tr>
              <w:tc>
                <w:tcPr>
                  <w:tcW w:type="dxa" w:w="470"/>
                  <w:tcBorders>
                    <w:top w:val="none" w:color="000000" w:sz="4"/>
                    <w:left w:val="single" w:color="000000" w:sz="4"/>
                    <w:bottom w:val="single" w:color="000000" w:sz="4"/>
                    <w:right w:val="single" w:color="000000" w:sz="4"/>
                  </w:tcBorders>
                  <w:vAlign w:val="top"/>
                </w:tcPr>
                <w:p>
                  <w:pPr>
                    <w:jc w:val="center"/>
                  </w:pPr>
                  <w:r>
                    <w:rPr>
                      <w:color w:val="000000"/>
                      <w:sz w:val="21"/>
                    </w:rPr>
                    <w:t>▲</w:t>
                  </w:r>
                </w:p>
              </w:tc>
              <w:tc>
                <w:tcPr>
                  <w:tcW w:type="dxa" w:w="39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支持自定义设置分享时效，过期则链接失效；支持脱敏分享，个人敏感信息用</w:t>
                  </w:r>
                  <w:r>
                    <w:rPr>
                      <w:sz w:val="21"/>
                    </w:rPr>
                    <w:t>“</w:t>
                  </w:r>
                  <w:r>
                    <w:rPr>
                      <w:sz w:val="21"/>
                    </w:rPr>
                    <w:t>*</w:t>
                  </w:r>
                  <w:r>
                    <w:rPr>
                      <w:sz w:val="21"/>
                    </w:rPr>
                    <w:t>”或其他符号代替显示；（提供软件界面截图）</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支持</w:t>
                  </w:r>
                  <w:r>
                    <w:rPr>
                      <w:sz w:val="21"/>
                    </w:rPr>
                    <w:t>DICOM3.0设备，支持解析DICOM影像数据，获取患者影像信息。</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支持浏览和下载全部影像，支持浏览器下载影像文件的压缩包，可限定下载次数，该功能后台配置开启或者关闭。</w:t>
                  </w:r>
                </w:p>
              </w:tc>
            </w:tr>
            <w:tr>
              <w:tc>
                <w:tcPr>
                  <w:tcW w:type="dxa" w:w="470"/>
                  <w:tcBorders>
                    <w:top w:val="none" w:color="000000" w:sz="4"/>
                    <w:left w:val="single" w:color="000000" w:sz="4"/>
                    <w:bottom w:val="single" w:color="000000" w:sz="4"/>
                    <w:right w:val="single" w:color="000000" w:sz="4"/>
                  </w:tcBorders>
                  <w:vAlign w:val="top"/>
                </w:tcPr>
                <w:p>
                  <w:pPr>
                    <w:jc w:val="center"/>
                  </w:pPr>
                  <w:r>
                    <w:rPr>
                      <w:color w:val="000000"/>
                      <w:sz w:val="21"/>
                    </w:rPr>
                    <w:t>▲</w:t>
                  </w:r>
                </w:p>
              </w:tc>
              <w:tc>
                <w:tcPr>
                  <w:tcW w:type="dxa" w:w="39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支持脱敏下载影像，个人敏感信息用</w:t>
                  </w:r>
                  <w:r>
                    <w:rPr>
                      <w:sz w:val="21"/>
                    </w:rPr>
                    <w:t>“*”或其他符号代替；（提供软件界面截图）</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支持医院影像科检查数据的云影像，包括但不限于</w:t>
                  </w:r>
                  <w:r>
                    <w:rPr>
                      <w:sz w:val="21"/>
                    </w:rPr>
                    <w:t>CT、MRI；（提供软件界面截图）；</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支持采购人微信公众号、患者扫描报告上的二维码，无需安装</w:t>
                  </w:r>
                  <w:r>
                    <w:rPr>
                      <w:sz w:val="21"/>
                    </w:rPr>
                    <w:t>APP即可查阅云胶片和报告。</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支持采购人按患者号、检查号、检查科室等来屏蔽指定用户是否可查看云影像，支持取消屏蔽，并支持查看屏蔽记录。</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支持按科室来配置患者延迟查看云胶片数据，可设置延迟配置参数字段、延迟查看时间，还可以自定义该场景下给用户的提示语，该功能设置开关，可后台配置开启或者关闭。</w:t>
                  </w:r>
                </w:p>
              </w:tc>
            </w:tr>
            <w:tr>
              <w:tc>
                <w:tcPr>
                  <w:tcW w:type="dxa" w:w="470"/>
                  <w:tcBorders>
                    <w:top w:val="none" w:color="000000" w:sz="4"/>
                    <w:left w:val="single" w:color="000000" w:sz="4"/>
                    <w:bottom w:val="single" w:color="000000" w:sz="4"/>
                    <w:right w:val="single" w:color="000000" w:sz="4"/>
                  </w:tcBorders>
                  <w:vAlign w:val="top"/>
                </w:tcPr>
                <w:p>
                  <w:pPr>
                    <w:jc w:val="center"/>
                  </w:pPr>
                  <w:r>
                    <w:rPr>
                      <w:b/>
                      <w:color w:val="000000"/>
                      <w:sz w:val="21"/>
                    </w:rPr>
                    <w:t>四</w:t>
                  </w:r>
                </w:p>
              </w:tc>
              <w:tc>
                <w:tcPr>
                  <w:tcW w:type="dxa" w:w="5126"/>
                  <w:gridSpan w:val="2"/>
                  <w:tcBorders>
                    <w:top w:val="none" w:color="000000" w:sz="4"/>
                    <w:left w:val="single" w:color="000000" w:sz="4"/>
                    <w:bottom w:val="single" w:color="000000" w:sz="4"/>
                    <w:right w:val="single" w:color="000000" w:sz="4"/>
                  </w:tcBorders>
                  <w:vAlign w:val="top"/>
                </w:tcPr>
                <w:p>
                  <w:pPr>
                    <w:jc w:val="left"/>
                  </w:pPr>
                  <w:r>
                    <w:rPr>
                      <w:b/>
                      <w:sz w:val="21"/>
                    </w:rPr>
                    <w:t>临床应用服务</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731"/>
                  <w:tcBorders>
                    <w:top w:val="single" w:color="000000" w:sz="4"/>
                    <w:left w:val="single" w:color="000000" w:sz="4"/>
                    <w:bottom w:val="single" w:color="000000" w:sz="4"/>
                    <w:right w:val="single" w:color="000000" w:sz="4"/>
                  </w:tcBorders>
                  <w:vAlign w:val="top"/>
                </w:tcPr>
                <w:p>
                  <w:pPr>
                    <w:jc w:val="left"/>
                  </w:pPr>
                  <w:r>
                    <w:rPr>
                      <w:sz w:val="21"/>
                    </w:rPr>
                    <w:t>支持医生通过</w:t>
                  </w:r>
                  <w:r>
                    <w:rPr>
                      <w:sz w:val="21"/>
                    </w:rPr>
                    <w:t>PC端及移动端查询患者当次检查的原始DICOM影像、电子胶片、电子报告及图文诊断报告资料，并支持按需浏览患者的历史检查影像和报告数据。</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支持医生在查看患者历史检查记录面板时，可显示当前患者的所有影像检查记录，并可加载相应的影像和报告。</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支持医生进行</w:t>
                  </w:r>
                  <w:r>
                    <w:rPr>
                      <w:sz w:val="21"/>
                    </w:rPr>
                    <w:t>PC端浏览原始DICOM影像，并具备包括但不限于平移、放大/缩小、调窗（预设值、实时调节、自定义）、旋转（L90，R90）、左右镜像、负像、显隐四角信息、测量、标记、序列播放、序列联动、MPR、伪彩、序列布局、图像布局、定位线、检查对比、重新加载操作。</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支持测量功能，包括但不限于直线测量、矩形测量、椭圆测量、角度测量、点测量。</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支持标记功能，包括但不限于左标记、右标记、文本标记、箭头标记。</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支持</w:t>
                  </w:r>
                  <w:r>
                    <w:rPr>
                      <w:sz w:val="21"/>
                    </w:rPr>
                    <w:t>PC端影像浏览器支持瘦客户端技术，无需安装APP，而且用户设备无需获取管理权限，至少支持谷歌、火狐等两种或以上主流浏览器。</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PC端影像浏览器支持单屏、双屏的工作模式，支持专业显示器的显示。</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支持医生在移动端对</w:t>
                  </w:r>
                  <w:r>
                    <w:rPr>
                      <w:sz w:val="21"/>
                    </w:rPr>
                    <w:t>DICOM影像的浏览功能：包括但不限于序列切换、缩放、移动、旋转、调窗、负像、显隐四角信息、测量、序列播放、MPR、伪彩、重新加载、保存影像的操作；</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支持多种条件查询患者检查数据，包括但不限于按照检查时间、检查医院、检查科室、患者</w:t>
                  </w:r>
                  <w:r>
                    <w:rPr>
                      <w:sz w:val="21"/>
                    </w:rPr>
                    <w:t>ID、检查号、报告状态、患者姓名、住院号、门诊号、设备类型、身份证号、申请医生来筛选患者检查数据。</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支持医生查看分享记录，可通过分享日期、授权码、检查医院、检查科室来查询分享记录数据。</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提供患者检查集中查询平台，支持自定义角色功能权限配置，可供院内放射科医生、临床医院自定义查询患者历史检查信息。</w:t>
                  </w:r>
                </w:p>
              </w:tc>
            </w:tr>
            <w:tr>
              <w:tc>
                <w:tcPr>
                  <w:tcW w:type="dxa" w:w="470"/>
                  <w:tcBorders>
                    <w:top w:val="none" w:color="000000" w:sz="4"/>
                    <w:left w:val="single" w:color="000000" w:sz="4"/>
                    <w:bottom w:val="single" w:color="000000" w:sz="4"/>
                    <w:right w:val="single" w:color="000000" w:sz="4"/>
                  </w:tcBorders>
                  <w:vAlign w:val="top"/>
                </w:tcPr>
                <w:p>
                  <w:pPr>
                    <w:jc w:val="center"/>
                  </w:pPr>
                  <w:r>
                    <w:rPr>
                      <w:color w:val="000000"/>
                      <w:sz w:val="21"/>
                    </w:rPr>
                    <w:t>▲</w:t>
                  </w:r>
                </w:p>
              </w:tc>
              <w:tc>
                <w:tcPr>
                  <w:tcW w:type="dxa" w:w="39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能够从采购人现有</w:t>
                  </w:r>
                  <w:r>
                    <w:rPr>
                      <w:sz w:val="21"/>
                    </w:rPr>
                    <w:t>PACS系统获取影像和患者信息，</w:t>
                  </w:r>
                  <w:r>
                    <w:rPr>
                      <w:sz w:val="21"/>
                    </w:rPr>
                    <w:t>支持影像科医生院外使用手机、平板电脑、连接互联网的</w:t>
                  </w:r>
                  <w:r>
                    <w:rPr>
                      <w:sz w:val="21"/>
                    </w:rPr>
                    <w:t>PC</w:t>
                  </w:r>
                  <w:r>
                    <w:rPr>
                      <w:sz w:val="21"/>
                    </w:rPr>
                    <w:t>阅片、写报告、修改报告、审核报告，并能回传到医院的</w:t>
                  </w:r>
                  <w:r>
                    <w:rPr>
                      <w:sz w:val="21"/>
                    </w:rPr>
                    <w:t>PACS。</w:t>
                  </w:r>
                </w:p>
              </w:tc>
            </w:tr>
            <w:tr>
              <w:tc>
                <w:tcPr>
                  <w:tcW w:type="dxa" w:w="470"/>
                  <w:tcBorders>
                    <w:top w:val="none" w:color="000000" w:sz="4"/>
                    <w:left w:val="single" w:color="000000" w:sz="4"/>
                    <w:bottom w:val="single" w:color="000000" w:sz="4"/>
                    <w:right w:val="single" w:color="000000" w:sz="4"/>
                  </w:tcBorders>
                  <w:vAlign w:val="top"/>
                </w:tcPr>
                <w:p>
                  <w:pPr>
                    <w:jc w:val="center"/>
                  </w:pPr>
                  <w:r>
                    <w:rPr>
                      <w:color w:val="000000"/>
                      <w:sz w:val="21"/>
                    </w:rPr>
                    <w:t>▲</w:t>
                  </w:r>
                </w:p>
              </w:tc>
              <w:tc>
                <w:tcPr>
                  <w:tcW w:type="dxa" w:w="395"/>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云胶片平台需提供辅助诊断模块，该模块集成采购人现有院内第三方系统（深睿</w:t>
                  </w:r>
                  <w:r>
                    <w:rPr>
                      <w:sz w:val="21"/>
                    </w:rPr>
                    <w:t>AI系统）处理结果，实现线上线下AI辅助诊断结果一致，该功能可按需在后台配置开启或者关闭。云胶片平台负责该功能系统对接及双方接口开发。</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支持限制用户调阅影像次数，该功能后台配置开启或者关闭。</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提供支持医院影像专家为其他医院提供影像会诊服务的平台。服务期内如果采购人开展医联体，可以接入其他院区及下级医院，实现分级诊疗，不另外收费。</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支持多用户并发访问影像及图文报告。</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提供患者检查集中查询平台，支持自定义角色功能权限配置，可供院内临床医生、科研单位、跨院专家自定义查询历史检查信息，可授权指定角色按需批量打包下载影像文件。</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云胶片科研平台。</w:t>
                  </w:r>
                </w:p>
              </w:tc>
            </w:tr>
            <w:tr>
              <w:tc>
                <w:tcPr>
                  <w:tcW w:type="dxa" w:w="470"/>
                  <w:tcBorders>
                    <w:top w:val="none" w:color="000000" w:sz="4"/>
                    <w:left w:val="single" w:color="000000" w:sz="4"/>
                    <w:bottom w:val="single" w:color="000000" w:sz="4"/>
                    <w:right w:val="single" w:color="000000" w:sz="4"/>
                  </w:tcBorders>
                  <w:vAlign w:val="top"/>
                </w:tcPr>
                <w:p>
                  <w:pPr>
                    <w:jc w:val="center"/>
                  </w:pPr>
                  <w:r>
                    <w:rPr>
                      <w:b/>
                      <w:sz w:val="21"/>
                    </w:rPr>
                    <w:t>五</w:t>
                  </w:r>
                </w:p>
              </w:tc>
              <w:tc>
                <w:tcPr>
                  <w:tcW w:type="dxa" w:w="5126"/>
                  <w:gridSpan w:val="2"/>
                  <w:tcBorders>
                    <w:top w:val="none" w:color="000000" w:sz="4"/>
                    <w:left w:val="single" w:color="000000" w:sz="4"/>
                    <w:bottom w:val="single" w:color="000000" w:sz="4"/>
                    <w:right w:val="single" w:color="000000" w:sz="4"/>
                  </w:tcBorders>
                  <w:vAlign w:val="top"/>
                </w:tcPr>
                <w:p>
                  <w:pPr>
                    <w:jc w:val="left"/>
                  </w:pPr>
                  <w:r>
                    <w:rPr>
                      <w:b/>
                      <w:sz w:val="21"/>
                    </w:rPr>
                    <w:t>中标供应商在服务期内无条件提供给采购人使用的设备和线路，资产归中标供应商所有，中标供应商负责相关硬件的管理与维护。</w:t>
                  </w:r>
                </w:p>
              </w:tc>
            </w:tr>
            <w:tr>
              <w:tc>
                <w:tcPr>
                  <w:tcW w:type="dxa" w:w="470"/>
                  <w:tcBorders>
                    <w:top w:val="none" w:color="000000" w:sz="4"/>
                    <w:left w:val="single" w:color="000000" w:sz="4"/>
                    <w:bottom w:val="single" w:color="000000" w:sz="4"/>
                    <w:right w:val="single" w:color="000000" w:sz="4"/>
                  </w:tcBorders>
                  <w:vAlign w:val="top"/>
                </w:tcPr>
                <w:p>
                  <w:pPr>
                    <w:jc w:val="both"/>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731"/>
                  <w:tcBorders>
                    <w:top w:val="single" w:color="000000" w:sz="4"/>
                    <w:left w:val="single" w:color="000000" w:sz="4"/>
                    <w:bottom w:val="single" w:color="000000" w:sz="4"/>
                    <w:right w:val="single" w:color="000000" w:sz="4"/>
                  </w:tcBorders>
                  <w:vAlign w:val="top"/>
                </w:tcPr>
                <w:p>
                  <w:pPr>
                    <w:jc w:val="left"/>
                  </w:pPr>
                  <w:r>
                    <w:rPr>
                      <w:sz w:val="21"/>
                    </w:rPr>
                    <w:t>云胶片存储在公有云，保存年限</w:t>
                  </w:r>
                  <w:r>
                    <w:rPr>
                      <w:sz w:val="21"/>
                    </w:rPr>
                    <w:t>≥15年</w:t>
                  </w:r>
                </w:p>
              </w:tc>
            </w:tr>
            <w:tr>
              <w:tc>
                <w:tcPr>
                  <w:tcW w:type="dxa" w:w="470"/>
                  <w:tcBorders>
                    <w:top w:val="none" w:color="000000" w:sz="4"/>
                    <w:left w:val="single" w:color="000000" w:sz="4"/>
                    <w:bottom w:val="single" w:color="000000" w:sz="4"/>
                    <w:right w:val="single" w:color="000000" w:sz="4"/>
                  </w:tcBorders>
                  <w:vAlign w:val="top"/>
                </w:tcPr>
                <w:p>
                  <w:pPr>
                    <w:jc w:val="both"/>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前置服务器</w:t>
                  </w:r>
                  <w:r>
                    <w:rPr>
                      <w:sz w:val="21"/>
                    </w:rPr>
                    <w:t>2台，用于连接采购人PACS系统和云胶片平台。</w:t>
                  </w:r>
                </w:p>
              </w:tc>
            </w:tr>
            <w:tr>
              <w:tc>
                <w:tcPr>
                  <w:tcW w:type="dxa" w:w="470"/>
                  <w:tcBorders>
                    <w:top w:val="none" w:color="000000" w:sz="4"/>
                    <w:left w:val="single" w:color="000000" w:sz="4"/>
                    <w:bottom w:val="single" w:color="000000" w:sz="4"/>
                    <w:right w:val="single" w:color="000000" w:sz="4"/>
                  </w:tcBorders>
                  <w:vAlign w:val="top"/>
                </w:tcPr>
                <w:p>
                  <w:pPr>
                    <w:jc w:val="both"/>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连接前置服务器和云平台的专线，速率</w:t>
                  </w:r>
                  <w:r>
                    <w:rPr>
                      <w:sz w:val="21"/>
                    </w:rPr>
                    <w:t>≥200 Mbps。</w:t>
                  </w:r>
                </w:p>
              </w:tc>
            </w:tr>
            <w:tr>
              <w:tc>
                <w:tcPr>
                  <w:tcW w:type="dxa" w:w="470"/>
                  <w:tcBorders>
                    <w:top w:val="none" w:color="000000" w:sz="4"/>
                    <w:left w:val="single" w:color="000000" w:sz="4"/>
                    <w:bottom w:val="single" w:color="000000" w:sz="4"/>
                    <w:right w:val="single" w:color="000000" w:sz="4"/>
                  </w:tcBorders>
                  <w:vAlign w:val="top"/>
                </w:tcPr>
                <w:p>
                  <w:pPr>
                    <w:jc w:val="both"/>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报告自助</w:t>
                  </w:r>
                  <w:r>
                    <w:rPr>
                      <w:sz w:val="21"/>
                    </w:rPr>
                    <w:t>打印</w:t>
                  </w:r>
                  <w:r>
                    <w:rPr>
                      <w:sz w:val="21"/>
                    </w:rPr>
                    <w:t>终端</w:t>
                  </w:r>
                  <w:r>
                    <w:rPr>
                      <w:sz w:val="21"/>
                    </w:rPr>
                    <w:t>4台，提供</w:t>
                  </w:r>
                  <w:r>
                    <w:rPr>
                      <w:sz w:val="21"/>
                    </w:rPr>
                    <w:t>图文报告打印</w:t>
                  </w:r>
                  <w:r>
                    <w:rPr>
                      <w:sz w:val="21"/>
                    </w:rPr>
                    <w:t>，支持自助服务中心管理。</w:t>
                  </w:r>
                </w:p>
              </w:tc>
            </w:tr>
            <w:tr>
              <w:tc>
                <w:tcPr>
                  <w:tcW w:type="dxa" w:w="470"/>
                  <w:tcBorders>
                    <w:top w:val="none" w:color="000000" w:sz="4"/>
                    <w:left w:val="single" w:color="000000" w:sz="4"/>
                    <w:bottom w:val="single" w:color="000000" w:sz="4"/>
                    <w:right w:val="single" w:color="000000" w:sz="4"/>
                  </w:tcBorders>
                  <w:vAlign w:val="top"/>
                </w:tcPr>
                <w:p>
                  <w:pPr>
                    <w:jc w:val="both"/>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23寸高清阅片终端4台：一体机，支持云胶片二维码扫描，高清彩色阅片。</w:t>
                  </w:r>
                </w:p>
              </w:tc>
            </w:tr>
            <w:tr>
              <w:tc>
                <w:tcPr>
                  <w:tcW w:type="dxa" w:w="470"/>
                  <w:tcBorders>
                    <w:top w:val="none" w:color="000000" w:sz="4"/>
                    <w:left w:val="single" w:color="000000" w:sz="4"/>
                    <w:bottom w:val="single" w:color="000000" w:sz="4"/>
                    <w:right w:val="single" w:color="000000" w:sz="4"/>
                  </w:tcBorders>
                  <w:vAlign w:val="top"/>
                </w:tcPr>
                <w:p>
                  <w:pPr>
                    <w:jc w:val="both"/>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控制工作站</w:t>
                  </w:r>
                  <w:r>
                    <w:rPr>
                      <w:sz w:val="21"/>
                    </w:rPr>
                    <w:t>6台，配置需相当或优于：独立显卡Intel I5 CPU，≥8GB 内存，≥1T固态硬盘，64-bit 操作系统，23寸LCD图像输出设备12台。</w:t>
                  </w:r>
                </w:p>
              </w:tc>
            </w:tr>
            <w:tr>
              <w:tc>
                <w:tcPr>
                  <w:tcW w:type="dxa" w:w="470"/>
                  <w:tcBorders>
                    <w:top w:val="none" w:color="000000" w:sz="4"/>
                    <w:left w:val="single" w:color="000000" w:sz="4"/>
                    <w:bottom w:val="single" w:color="000000" w:sz="4"/>
                    <w:right w:val="single" w:color="000000" w:sz="4"/>
                  </w:tcBorders>
                  <w:vAlign w:val="top"/>
                </w:tcPr>
                <w:p>
                  <w:pPr>
                    <w:jc w:val="center"/>
                  </w:pPr>
                  <w:r>
                    <w:rPr>
                      <w:b/>
                      <w:sz w:val="21"/>
                    </w:rPr>
                    <w:t>六</w:t>
                  </w:r>
                </w:p>
              </w:tc>
              <w:tc>
                <w:tcPr>
                  <w:tcW w:type="dxa" w:w="5126"/>
                  <w:gridSpan w:val="2"/>
                  <w:tcBorders>
                    <w:top w:val="none" w:color="000000" w:sz="4"/>
                    <w:left w:val="single" w:color="000000" w:sz="4"/>
                    <w:bottom w:val="single" w:color="000000" w:sz="4"/>
                    <w:right w:val="single" w:color="000000" w:sz="4"/>
                  </w:tcBorders>
                  <w:vAlign w:val="top"/>
                </w:tcPr>
                <w:p>
                  <w:pPr>
                    <w:jc w:val="left"/>
                  </w:pPr>
                  <w:r>
                    <w:rPr>
                      <w:b/>
                      <w:sz w:val="21"/>
                    </w:rPr>
                    <w:t>公有云主机、云专线基本要求</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731"/>
                  <w:tcBorders>
                    <w:top w:val="single" w:color="000000" w:sz="4"/>
                    <w:left w:val="single" w:color="000000" w:sz="4"/>
                    <w:bottom w:val="single" w:color="000000" w:sz="4"/>
                    <w:right w:val="single" w:color="000000" w:sz="4"/>
                  </w:tcBorders>
                  <w:vAlign w:val="top"/>
                </w:tcPr>
                <w:p>
                  <w:pPr>
                    <w:jc w:val="left"/>
                  </w:pPr>
                  <w:r>
                    <w:rPr>
                      <w:sz w:val="21"/>
                    </w:rPr>
                    <w:t>云主机计算能力要求：支持云硬盘的扩容；单台云主机可挂载多块云硬盘（提供系统功能界面截图或产品官网截图并加盖公章）</w:t>
                  </w:r>
                </w:p>
              </w:tc>
            </w:tr>
            <w:tr>
              <w:tc>
                <w:tcPr>
                  <w:tcW w:type="dxa" w:w="470"/>
                  <w:tcBorders>
                    <w:top w:val="none" w:color="000000" w:sz="4"/>
                    <w:left w:val="single" w:color="000000" w:sz="4"/>
                    <w:bottom w:val="single" w:color="000000" w:sz="4"/>
                    <w:right w:val="single" w:color="000000" w:sz="4"/>
                  </w:tcBorders>
                  <w:vAlign w:val="top"/>
                </w:tcPr>
                <w:p>
                  <w:pPr>
                    <w:jc w:val="center"/>
                  </w:pPr>
                  <w:r>
                    <w:rPr>
                      <w:sz w:val="21"/>
                    </w:rPr>
                    <w:t>▲</w:t>
                  </w:r>
                </w:p>
              </w:tc>
              <w:tc>
                <w:tcPr>
                  <w:tcW w:type="dxa" w:w="39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云主机计算能力要求：支持云主机的反亲和性部署，避免单个物理宿主机故障引起批量云主机故障。（提供系统功能界面截图或产品官网截图并加盖公章）</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云主机存储能力要求：数据持久性要求</w:t>
                  </w:r>
                  <w:r>
                    <w:rPr>
                      <w:sz w:val="21"/>
                    </w:rPr>
                    <w:t>≥99.99995%（提供系统功能界面截图或产品官网截图并加盖公章）</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云主机存储能力要求</w:t>
                  </w:r>
                  <w:r>
                    <w:rPr>
                      <w:sz w:val="21"/>
                    </w:rPr>
                    <w:t>:</w:t>
                  </w:r>
                  <w:r>
                    <w:rPr>
                      <w:sz w:val="21"/>
                    </w:rPr>
                    <w:t xml:space="preserve"> </w:t>
                  </w:r>
                  <w:r>
                    <w:rPr>
                      <w:sz w:val="21"/>
                    </w:rPr>
                    <w:t>采用三副本（提供系统功能界面截图或产品官网截图并加盖公章）</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云主机存储能力要求</w:t>
                  </w:r>
                  <w:r>
                    <w:rPr>
                      <w:sz w:val="21"/>
                    </w:rPr>
                    <w:t>:</w:t>
                  </w:r>
                  <w:r>
                    <w:rPr>
                      <w:sz w:val="21"/>
                    </w:rPr>
                    <w:t xml:space="preserve"> </w:t>
                  </w:r>
                  <w:r>
                    <w:rPr>
                      <w:sz w:val="21"/>
                    </w:rPr>
                    <w:t>支持云硬盘加密功能（提供系统功能界面截图或产品官网截图并加盖公章）</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云主机存储能力要求</w:t>
                  </w:r>
                  <w:r>
                    <w:rPr>
                      <w:sz w:val="21"/>
                    </w:rPr>
                    <w:t>:</w:t>
                  </w:r>
                  <w:r>
                    <w:rPr>
                      <w:sz w:val="21"/>
                    </w:rPr>
                    <w:t xml:space="preserve"> </w:t>
                  </w:r>
                  <w:r>
                    <w:rPr>
                      <w:sz w:val="21"/>
                    </w:rPr>
                    <w:t>单盘</w:t>
                  </w:r>
                  <w:r>
                    <w:rPr>
                      <w:sz w:val="21"/>
                    </w:rPr>
                    <w:t>IOPS最大≥30000（提供系统功能界面截图或产品官网截图并加盖公章）</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云主机存储能力要求</w:t>
                  </w:r>
                  <w:r>
                    <w:rPr>
                      <w:sz w:val="21"/>
                    </w:rPr>
                    <w:t>:</w:t>
                  </w:r>
                  <w:r>
                    <w:rPr>
                      <w:sz w:val="21"/>
                    </w:rPr>
                    <w:t xml:space="preserve"> </w:t>
                  </w:r>
                  <w:r>
                    <w:rPr>
                      <w:sz w:val="21"/>
                    </w:rPr>
                    <w:t>单盘最大吞吐量</w:t>
                  </w:r>
                  <w:r>
                    <w:rPr>
                      <w:sz w:val="21"/>
                    </w:rPr>
                    <w:t>≥350MB/s（提供系统功能界面截图或产品官网截图并加盖公章）</w:t>
                  </w:r>
                </w:p>
              </w:tc>
            </w:tr>
            <w:tr>
              <w:tc>
                <w:tcPr>
                  <w:tcW w:type="dxa" w:w="470"/>
                  <w:tcBorders>
                    <w:top w:val="none" w:color="000000" w:sz="4"/>
                    <w:left w:val="single" w:color="000000" w:sz="4"/>
                    <w:bottom w:val="single" w:color="000000" w:sz="4"/>
                    <w:right w:val="single" w:color="000000" w:sz="4"/>
                  </w:tcBorders>
                  <w:vAlign w:val="top"/>
                </w:tcPr>
                <w:p>
                  <w:pPr>
                    <w:jc w:val="center"/>
                  </w:pPr>
                </w:p>
              </w:tc>
              <w:tc>
                <w:tcPr>
                  <w:tcW w:type="dxa" w:w="39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云专线</w:t>
                  </w:r>
                  <w:r>
                    <w:rPr>
                      <w:sz w:val="21"/>
                    </w:rPr>
                    <w:t>:</w:t>
                  </w:r>
                  <w:r>
                    <w:rPr>
                      <w:sz w:val="21"/>
                    </w:rPr>
                    <w:t xml:space="preserve"> </w:t>
                  </w:r>
                  <w:r>
                    <w:rPr>
                      <w:sz w:val="21"/>
                    </w:rPr>
                    <w:t>具备提供专线接入云机房的能力（提供系统功能界面截图或产品官网截图并加盖公章）</w:t>
                  </w:r>
                </w:p>
              </w:tc>
            </w:tr>
            <w:tr>
              <w:tc>
                <w:tcPr>
                  <w:tcW w:type="dxa" w:w="470"/>
                  <w:tcBorders>
                    <w:top w:val="none" w:color="000000" w:sz="4"/>
                    <w:left w:val="single" w:color="000000" w:sz="4"/>
                    <w:bottom w:val="single" w:color="000000" w:sz="4"/>
                    <w:right w:val="single" w:color="000000" w:sz="4"/>
                  </w:tcBorders>
                  <w:vAlign w:val="top"/>
                </w:tcPr>
                <w:p>
                  <w:pPr>
                    <w:jc w:val="center"/>
                  </w:pPr>
                  <w:r>
                    <w:rPr>
                      <w:sz w:val="21"/>
                    </w:rPr>
                    <w:t>▲</w:t>
                  </w:r>
                </w:p>
              </w:tc>
              <w:tc>
                <w:tcPr>
                  <w:tcW w:type="dxa" w:w="39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4731"/>
                  <w:tcBorders>
                    <w:top w:val="none" w:color="000000" w:sz="4"/>
                    <w:left w:val="single" w:color="000000" w:sz="4"/>
                    <w:bottom w:val="single" w:color="000000" w:sz="4"/>
                    <w:right w:val="single" w:color="000000" w:sz="4"/>
                  </w:tcBorders>
                  <w:vAlign w:val="top"/>
                </w:tcPr>
                <w:p>
                  <w:pPr>
                    <w:jc w:val="left"/>
                  </w:pPr>
                  <w:r>
                    <w:rPr>
                      <w:sz w:val="21"/>
                    </w:rPr>
                    <w:t>云专线</w:t>
                  </w:r>
                  <w:r>
                    <w:rPr>
                      <w:sz w:val="21"/>
                    </w:rPr>
                    <w:t>:</w:t>
                  </w:r>
                  <w:r>
                    <w:rPr>
                      <w:sz w:val="21"/>
                    </w:rPr>
                    <w:t xml:space="preserve"> </w:t>
                  </w:r>
                  <w:r>
                    <w:rPr>
                      <w:sz w:val="21"/>
                    </w:rPr>
                    <w:t>支持双链路主备或双活模式（提供系统功能界面截图或产品官网截图并加盖公章）</w:t>
                  </w:r>
                </w:p>
              </w:tc>
            </w:tr>
          </w:tbl>
          <w:p>
            <w:pPr>
              <w:jc w:val="both"/>
            </w:pPr>
            <w:r>
              <w:rPr>
                <w:sz w:val="21"/>
              </w:rPr>
              <w:t>（</w:t>
            </w:r>
            <w:r>
              <w:rPr>
                <w:sz w:val="21"/>
              </w:rPr>
              <w:t>2</w:t>
            </w:r>
            <w:r>
              <w:rPr>
                <w:sz w:val="21"/>
              </w:rPr>
              <w:t>）服务要求（以下要求需投标人提供承诺函并加盖公章）</w:t>
            </w:r>
          </w:p>
          <w:p>
            <w:pPr>
              <w:jc w:val="both"/>
            </w:pPr>
            <w:r>
              <w:rPr>
                <w:sz w:val="21"/>
              </w:rPr>
              <w:t>1）对接采购人院内现有相关信息系统（接口方式：云胶片定时前往PACS采集或PACS系统主动http推送，结构化数据支持视图或webservice提供，影像文件可通过FTP、Share、QR、Http方式进行下载；云胶片公众号对接，提供秘钥签名，对访问链接数据加密，保证数据安全。），负责双方接口的开发及服务期内维护：PACS、微信公众号等相关系统，该服务已包含在投标报价中。</w:t>
            </w:r>
          </w:p>
          <w:p>
            <w:pPr>
              <w:jc w:val="both"/>
            </w:pPr>
            <w:r>
              <w:rPr>
                <w:sz w:val="21"/>
              </w:rPr>
              <w:t>★2）提供≥1名工程师的驻场服务。提供7*24小时维护服务，响应时间≤30分钟。</w:t>
            </w:r>
          </w:p>
          <w:p>
            <w:pPr>
              <w:jc w:val="both"/>
            </w:pPr>
            <w:r>
              <w:rPr>
                <w:sz w:val="21"/>
              </w:rPr>
              <w:t>3）如有上级指令性任务或者政策性改造要求，中标供应商必须按要求按时完成相应的调整、升级。</w:t>
            </w:r>
          </w:p>
          <w:p>
            <w:pPr>
              <w:jc w:val="both"/>
            </w:pPr>
            <w:r>
              <w:rPr>
                <w:sz w:val="21"/>
              </w:rPr>
              <w:t>4）服务期满后，如更换为其他服务供应商，本项目中标供应商应无条件配合进行数据迁移。</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汕头大学医学院第二附属医院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广东省物价局粤价函〔2013〕1233号》规定的标准费率下浮20%收取，由中标人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具体情况根据开标(开启)时现场代理机构人员设置为准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郑淇筠、陈奕宇</w:t>
      </w:r>
    </w:p>
    <w:p>
      <w:pPr>
        <w:ind w:firstLine="480"/>
      </w:pPr>
      <w:r>
        <w:rPr/>
        <w:t>电话：</w:t>
      </w:r>
      <w:r>
        <w:rPr/>
        <w:t>0754-87230486</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采购包1(云胶片系统三年服务)：综合评分法,是指投标文件满足招标文件全部实质性要求，且按照评审因素的量化指标评审得分最高的投标人为中标候选人的评标方法。（最低报价不是中标的唯一依据。）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采购包1（云胶片系统三年服务）：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响应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采购包1（云胶片系统三年服务）：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供应商必须具有良好的商业信誉和健全的财务会计制度（提供2022年度财务状况报告或2023年至今任意1个月的财务状况报告复印件或基本开户行出具的资信证明）。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提供书面承诺声明函（格式自拟）或具有履行合同所必须的设备和专业技术能力的其他证明材料。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本采购包整体不专门面向中小企业。</w:t>
            </w:r>
          </w:p>
        </w:tc>
      </w:tr>
    </w:tbl>
    <w:p/>
    <w:p>
      <w:pPr>
        <w:ind w:firstLine="480"/>
      </w:pPr>
      <w:r>
        <w:rPr/>
        <w:t>表二符合性审查表：</w:t>
      </w:r>
    </w:p>
    <w:p>
      <w:pPr>
        <w:ind w:firstLine="480"/>
      </w:pPr>
    </w:p>
    <w:p/>
    <w:p>
      <w:r>
        <w:rPr/>
        <w:t>采购包1（云胶片系统三年服务）：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采购包1(云胶片系统三年服务):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带“▲”技术要求响应程度 (9.0分)</w:t>
            </w:r>
          </w:p>
        </w:tc>
        <w:tc>
          <w:tcPr>
            <w:tcW w:type="dxa" w:w="5076"/>
          </w:tcPr>
          <w:p>
            <w:pPr>
              <w:jc w:val="left"/>
            </w:pPr>
            <w:r>
              <w:rPr/>
              <w:t>“技术标准与要求”中所有带“▲”条款（共9项）完全响应或正偏离的，得9分；每有一项未响应或负偏离的扣1分，本项最低扣至0分。 注：如招标文件中有明确提供的证明资料的，则以招标文件中要求的为准，无或未按要求提供证明材料的不得分；如招标文件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jc w:val="left"/>
            </w:pPr>
            <w:r>
              <w:rPr/>
              <w:t>一般技术要求响应程度 (7.8分)</w:t>
            </w:r>
          </w:p>
        </w:tc>
        <w:tc>
          <w:tcPr>
            <w:tcW w:type="dxa" w:w="5076"/>
          </w:tcPr>
          <w:p>
            <w:pPr>
              <w:jc w:val="left"/>
            </w:pPr>
            <w:r>
              <w:rPr/>
              <w:t>一般技术参数条款（“技术标准与要求”中除“★”及“▲”之外的条款）（共52项）每有一项满足要求得0.15分，最高7.8分。</w:t>
            </w:r>
          </w:p>
        </w:tc>
      </w:tr>
      <w:tr>
        <w:tc>
          <w:tcPr>
            <w:tcW w:type="dxa" w:w="922"/>
            <w:gridSpan w:val="2"/>
            <w:vMerge/>
          </w:tcPr>
          <w:p/>
        </w:tc>
        <w:tc>
          <w:tcPr>
            <w:tcW w:type="dxa" w:w="2307"/>
          </w:tcPr>
          <w:p>
            <w:pPr>
              <w:jc w:val="left"/>
            </w:pPr>
            <w:r>
              <w:rPr/>
              <w:t>与系统对接的能力 (5.0分)</w:t>
            </w:r>
          </w:p>
        </w:tc>
        <w:tc>
          <w:tcPr>
            <w:tcW w:type="dxa" w:w="5076"/>
          </w:tcPr>
          <w:p>
            <w:pPr>
              <w:jc w:val="left"/>
            </w:pPr>
            <w:r>
              <w:rPr/>
              <w:t>1、投标人承诺云胶片平台所提供的辅助诊断模块能与采购人院内现用PACS及第三方系统对接的，得2分。 注：需出具承诺函并加盖公章，不提供或专家无法认定的不得分。 2、投标人能够详细说明云胶片平台所提供的辅助诊断模块如何与采购人院内现用PACS及第三方系统对接的，得3分。 注：需出具详细说明书并加盖公章，不提供或专家无法认定的不得分。</w:t>
            </w:r>
          </w:p>
        </w:tc>
      </w:tr>
      <w:tr>
        <w:tc>
          <w:tcPr>
            <w:tcW w:type="dxa" w:w="922"/>
            <w:gridSpan w:val="2"/>
            <w:vMerge/>
          </w:tcPr>
          <w:p/>
        </w:tc>
        <w:tc>
          <w:tcPr>
            <w:tcW w:type="dxa" w:w="2307"/>
          </w:tcPr>
          <w:p>
            <w:pPr>
              <w:jc w:val="left"/>
            </w:pPr>
            <w:r>
              <w:rPr/>
              <w:t>维护服务方案（一） (2.0分)</w:t>
            </w:r>
          </w:p>
        </w:tc>
        <w:tc>
          <w:tcPr>
            <w:tcW w:type="dxa" w:w="5076"/>
          </w:tcPr>
          <w:p>
            <w:pPr>
              <w:jc w:val="left"/>
            </w:pPr>
            <w:r>
              <w:rPr/>
              <w:t>评标委员会根据投标人提供的服务方案（一）进行综合评审，方案应包括（投标文件中方案标题应以下列方案名称命名）： (1)工作流程； (2)服务内容； (3)服务方式； (4)故障应急措施。 提供全部内容得2分，每缺1项扣0.5分。</w:t>
            </w:r>
          </w:p>
        </w:tc>
      </w:tr>
      <w:tr>
        <w:tc>
          <w:tcPr>
            <w:tcW w:type="dxa" w:w="922"/>
            <w:gridSpan w:val="2"/>
            <w:vMerge/>
          </w:tcPr>
          <w:p/>
        </w:tc>
        <w:tc>
          <w:tcPr>
            <w:tcW w:type="dxa" w:w="2307"/>
          </w:tcPr>
          <w:p>
            <w:pPr>
              <w:jc w:val="left"/>
            </w:pPr>
            <w:r>
              <w:rPr/>
              <w:t>维护服务方案（二） (7.2分)</w:t>
            </w:r>
          </w:p>
        </w:tc>
        <w:tc>
          <w:tcPr>
            <w:tcW w:type="dxa" w:w="5076"/>
          </w:tcPr>
          <w:p>
            <w:pPr>
              <w:jc w:val="left"/>
            </w:pPr>
            <w:r>
              <w:rPr/>
              <w:t>评标委员会根据投标人提供维护服务方案（一）的详细内容进行综合评审： （1）服务方案对需求充分响应，对需求全面剖析，全面理解，分别提出具备专业性、实用性的服务方案并有合理可行保障措施，有效保障本项目实施，有利于实现服务效果，得7.2分； （2）服务方案对需求充分响应，对部分需求进行剖析，提出部分具备专业性、实用性的服务方案或者部分合理可行保障措施，基本保障本项目服务实施，部分满足服务效果，得4分； （3）服务方案对需求响应不充分，没有对需求进行理解进行剖析，没有提出体现专业性或针对性的措施，或者措施方案不合理不可行的，无法保障本项目服务实施，达不到服务效果，得1分； （4）无提供的得0分。</w:t>
            </w:r>
          </w:p>
        </w:tc>
      </w:tr>
      <w:tr>
        <w:tc>
          <w:tcPr>
            <w:tcW w:type="dxa" w:w="922"/>
            <w:gridSpan w:val="2"/>
            <w:vMerge/>
          </w:tcPr>
          <w:p/>
        </w:tc>
        <w:tc>
          <w:tcPr>
            <w:tcW w:type="dxa" w:w="2307"/>
          </w:tcPr>
          <w:p>
            <w:pPr>
              <w:jc w:val="left"/>
            </w:pPr>
            <w:r>
              <w:rPr/>
              <w:t>系统安全保障服务方案（一） (2.0分)</w:t>
            </w:r>
          </w:p>
        </w:tc>
        <w:tc>
          <w:tcPr>
            <w:tcW w:type="dxa" w:w="5076"/>
          </w:tcPr>
          <w:p>
            <w:pPr>
              <w:jc w:val="left"/>
            </w:pPr>
            <w:r>
              <w:rPr/>
              <w:t>评标委员会根据投标人提供的系统安全保障服务方案（一）进行综合评审，方案应包括（投标文件中方案标题应以下列方案名称命名）： （1）项目重点难点分析； （2）保障服务措施； （3）方案实施流程； （4）合理化建议。 提供全部内容得2分，每缺1项扣0.5分。</w:t>
            </w:r>
          </w:p>
        </w:tc>
      </w:tr>
      <w:tr>
        <w:tc>
          <w:tcPr>
            <w:tcW w:type="dxa" w:w="922"/>
            <w:gridSpan w:val="2"/>
            <w:vMerge/>
          </w:tcPr>
          <w:p/>
        </w:tc>
        <w:tc>
          <w:tcPr>
            <w:tcW w:type="dxa" w:w="2307"/>
          </w:tcPr>
          <w:p>
            <w:pPr>
              <w:jc w:val="left"/>
            </w:pPr>
            <w:r>
              <w:rPr/>
              <w:t>系统安全保障服务方案（二） (7.0分)</w:t>
            </w:r>
          </w:p>
        </w:tc>
        <w:tc>
          <w:tcPr>
            <w:tcW w:type="dxa" w:w="5076"/>
          </w:tcPr>
          <w:p>
            <w:pPr>
              <w:jc w:val="left"/>
            </w:pPr>
            <w:r>
              <w:rPr/>
              <w:t>评标委员会根据投标人提供系统安全保障服务方案（二）详细内容进行综合评审： （1）针对系统安全保障有全面理解，能全面把握项目的重点难点问题，并针对全部重点难点问题提出具体可行的保障措施和合理化的建议，措施建议细致可行，有利于项目的需求全面满足，得7分； （2）针对系统安全保障有全面理解，针对部分重点难点进行分析，提出针对项目部分重点难点提出具体可行的保障措施或者合理化建议，措施建议基本可行，基本上能满足项目的需求，得4分； （3）只针对部分系统安全保障进行理解分析或者没有分析项目需求，不理解项目额重点难点，提出建议不合理或者不具备操作性，无法满足项目需求的，得1分； （4）无提供的得0分。</w:t>
            </w:r>
          </w:p>
        </w:tc>
      </w:tr>
      <w:tr>
        <w:tc>
          <w:tcPr>
            <w:tcW w:type="dxa" w:w="922"/>
            <w:gridSpan w:val="2"/>
            <w:vMerge w:val="restart"/>
          </w:tcPr>
          <w:p>
            <w:pPr>
              <w:jc w:val="center"/>
            </w:pPr>
            <w:r>
              <w:rPr/>
              <w:t>商务部分</w:t>
            </w:r>
          </w:p>
        </w:tc>
        <w:tc>
          <w:tcPr>
            <w:tcW w:type="dxa" w:w="2307"/>
          </w:tcPr>
          <w:p>
            <w:pPr>
              <w:jc w:val="left"/>
            </w:pPr>
            <w:r>
              <w:rPr/>
              <w:t>数据安全性 (10.0分)</w:t>
            </w:r>
          </w:p>
        </w:tc>
        <w:tc>
          <w:tcPr>
            <w:tcW w:type="dxa" w:w="5076"/>
          </w:tcPr>
          <w:p>
            <w:pPr>
              <w:jc w:val="left"/>
            </w:pPr>
            <w:r>
              <w:rPr/>
              <w:t>1、投标人提供服务的云胶片平台具有云网融合解决方案的能力，具有由具备资质的第三方机构出具的云服务能力评估证书，类别包括云专线、云专网、云组网、多云互联、对等连接、数据中心间VPN，提供证书复印件或证明并加盖投标人公章，此项满分6分，每满足1项得1分。 2、投标人提供服务的云胶片平台通过具备资质的第三方机构的云服务能力（云主机安全增强级、块存储安全、负载均衡安全、物理机安全）检验，提供证书复印件或证明并加盖投标人公章，此项满分2分，每满足1项得0.5分。 3、投标人提供服务的云胶片平台通过具备资质的第三方机构云服务能力（混合云安全能力）检验，提供证书复印件或证明并加盖投标人公章，满足得2分，否则不得分。</w:t>
            </w:r>
          </w:p>
        </w:tc>
      </w:tr>
      <w:tr>
        <w:tc>
          <w:tcPr>
            <w:tcW w:type="dxa" w:w="922"/>
            <w:gridSpan w:val="2"/>
            <w:vMerge/>
          </w:tcPr>
          <w:p/>
        </w:tc>
        <w:tc>
          <w:tcPr>
            <w:tcW w:type="dxa" w:w="2307"/>
          </w:tcPr>
          <w:p>
            <w:pPr>
              <w:jc w:val="left"/>
            </w:pPr>
            <w:r>
              <w:rPr/>
              <w:t>投标人综合实力 (10.0分)</w:t>
            </w:r>
          </w:p>
        </w:tc>
        <w:tc>
          <w:tcPr>
            <w:tcW w:type="dxa" w:w="5076"/>
          </w:tcPr>
          <w:p>
            <w:pPr>
              <w:jc w:val="left"/>
            </w:pPr>
            <w:r>
              <w:rPr/>
              <w:t>1、投标人或本系统服务所使用主要产品的制造商具备： ①质量管理体系认证证书； ②环境管理认证证书；③职业健康管理体系认证证书.。每提供一项得2分，本项最高得6分。（提供以上证书原件扫描件或复印件加盖公章）。  2、云胶片平台信息系统安全等级保护测评三级或以上证明（关键页）、及云胶片系统的全性能检测报告，每提供一项得2分，最高得4分，不提供或专家无法认定的不得分。</w:t>
            </w:r>
          </w:p>
        </w:tc>
      </w:tr>
      <w:tr>
        <w:tc>
          <w:tcPr>
            <w:tcW w:type="dxa" w:w="922"/>
            <w:gridSpan w:val="2"/>
            <w:vMerge/>
          </w:tcPr>
          <w:p/>
        </w:tc>
        <w:tc>
          <w:tcPr>
            <w:tcW w:type="dxa" w:w="2307"/>
          </w:tcPr>
          <w:p>
            <w:pPr>
              <w:jc w:val="left"/>
            </w:pPr>
            <w:r>
              <w:rPr/>
              <w:t>同类项目业绩 (6.0分)</w:t>
            </w:r>
          </w:p>
        </w:tc>
        <w:tc>
          <w:tcPr>
            <w:tcW w:type="dxa" w:w="5076"/>
          </w:tcPr>
          <w:p>
            <w:pPr>
              <w:jc w:val="left"/>
            </w:pPr>
            <w:r>
              <w:rPr/>
              <w:t>投标人或本系统服务所使用主要产品的制造商提供的云胶片平台具备国内相关案例，提供业绩合同或验收报告证明作为同类项目业绩评分，每提供1个业绩得1分，最多得6分。注：提供合同复印件或验收报告证明复印件作为评审依据，不提供或专家无法认定的不得分。</w:t>
            </w:r>
          </w:p>
        </w:tc>
      </w:tr>
      <w:tr>
        <w:tc>
          <w:tcPr>
            <w:tcW w:type="dxa" w:w="922"/>
            <w:gridSpan w:val="2"/>
            <w:vMerge/>
          </w:tcPr>
          <w:p/>
        </w:tc>
        <w:tc>
          <w:tcPr>
            <w:tcW w:type="dxa" w:w="2307"/>
          </w:tcPr>
          <w:p>
            <w:pPr>
              <w:jc w:val="left"/>
            </w:pPr>
            <w:r>
              <w:rPr/>
              <w:t>自主软件研发能力 (4.0分)</w:t>
            </w:r>
          </w:p>
        </w:tc>
        <w:tc>
          <w:tcPr>
            <w:tcW w:type="dxa" w:w="5076"/>
          </w:tcPr>
          <w:p>
            <w:pPr>
              <w:jc w:val="left"/>
            </w:pPr>
            <w:r>
              <w:rPr/>
              <w:t>所提供服务的云胶片平台具有以下著作权的，每项得1分，最高得4分： （1）云端电子胶片系统类软件相关的软件著作权； （2）远程医疗影像类软件相关的软件著作权； （3）影像报告系统类软件相关的软件著作权； （4）远程会诊系统类软件相关的软件著作权； 注：提供以上计算机软件著作权登记证书原件扫描件或复印件加盖公章。软件著作权登记证书名称不一致但功能类似的产品证书，经评委会认可的可相应得分。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r>
        <w:rPr>
          <w:b/>
          <w:sz w:val="21"/>
        </w:rPr>
        <w:t>1、合同具体事项须根据采购文件的约定及乙方投标（响应）文件的承诺执行</w:t>
      </w:r>
      <w:r>
        <w:rPr>
          <w:b/>
          <w:sz w:val="21"/>
        </w:rPr>
        <w:t>。</w:t>
      </w:r>
    </w:p>
    <w:p>
      <w:pPr>
        <w:jc w:val="center"/>
      </w:pPr>
    </w:p>
    <w:p>
      <w:pPr>
        <w:jc w:val="both"/>
      </w:pPr>
      <w:r>
        <w:rPr>
          <w:sz w:val="21"/>
        </w:rPr>
        <w:t>合同编号：</w:t>
      </w:r>
    </w:p>
    <w:p>
      <w:pPr>
        <w:jc w:val="center"/>
      </w:pPr>
      <w:r>
        <w:rPr>
          <w:b/>
          <w:sz w:val="21"/>
        </w:rPr>
        <w:t>汕头大学医学院第二附属医院云胶片系统三年服务项目（</w:t>
      </w:r>
      <w:r>
        <w:rPr>
          <w:b/>
          <w:sz w:val="21"/>
        </w:rPr>
        <w:t>2024）</w:t>
      </w:r>
      <w:r>
        <w:rPr>
          <w:b/>
          <w:sz w:val="21"/>
        </w:rPr>
        <w:t>协议</w:t>
      </w:r>
    </w:p>
    <w:p/>
    <w:p>
      <w:pPr>
        <w:jc w:val="both"/>
      </w:pPr>
      <w:r>
        <w:rPr>
          <w:sz w:val="21"/>
        </w:rPr>
        <w:t>甲方（使用单位）：</w:t>
      </w:r>
      <w:r>
        <w:rPr>
          <w:sz w:val="21"/>
        </w:rPr>
        <w:t>汕头大学医学院第二附属医院</w:t>
      </w:r>
    </w:p>
    <w:p>
      <w:pPr>
        <w:jc w:val="both"/>
      </w:pPr>
      <w:r>
        <w:rPr>
          <w:sz w:val="21"/>
        </w:rPr>
        <w:t>乙方（服务单位）：</w:t>
      </w:r>
      <w:r>
        <w:rPr>
          <w:b/>
          <w:sz w:val="21"/>
        </w:rPr>
        <w:t xml:space="preserve"> </w:t>
      </w:r>
    </w:p>
    <w:p>
      <w:pPr>
        <w:ind w:firstLine="420"/>
        <w:jc w:val="left"/>
      </w:pPr>
      <w:r>
        <w:rPr>
          <w:sz w:val="21"/>
        </w:rPr>
        <w:t>根据《中华人民共和国民法典》及</w:t>
      </w:r>
      <w:r>
        <w:rPr>
          <w:sz w:val="21"/>
          <w:u w:val="single"/>
        </w:rPr>
        <w:t>XXXXXXXXXXXXXXX</w:t>
      </w:r>
      <w:r>
        <w:rPr>
          <w:sz w:val="21"/>
        </w:rPr>
        <w:t>号汕头大学医学院第二附属医院采购</w:t>
      </w:r>
      <w:r>
        <w:rPr>
          <w:sz w:val="21"/>
          <w:u w:val="single"/>
        </w:rPr>
        <w:t>XXXXXXXXXXXXXXXXXXXXXX</w:t>
      </w:r>
      <w:r>
        <w:rPr>
          <w:sz w:val="21"/>
        </w:rPr>
        <w:t>招标项目的招标结果和招标文件的要求，乙方为汕头大学医学院第二附属医院提供</w:t>
      </w:r>
      <w:r>
        <w:rPr>
          <w:sz w:val="21"/>
          <w:u w:val="single"/>
        </w:rPr>
        <w:t>XXXXXXXXXXXXXXXXXX</w:t>
      </w:r>
      <w:r>
        <w:rPr>
          <w:sz w:val="21"/>
        </w:rPr>
        <w:t>服务。经甲乙双方协商一致，签订本合同，共同遵守如下条款：</w:t>
      </w:r>
    </w:p>
    <w:p>
      <w:pPr>
        <w:jc w:val="both"/>
      </w:pPr>
      <w:r>
        <w:rPr>
          <w:b/>
          <w:sz w:val="21"/>
        </w:rPr>
        <w:t>一、服务范围及内容</w:t>
      </w:r>
    </w:p>
    <w:p>
      <w:pPr>
        <w:jc w:val="left"/>
      </w:pPr>
      <w:r>
        <w:rPr>
          <w:sz w:val="21"/>
        </w:rPr>
        <w:t>1. 服务范围：</w:t>
      </w:r>
      <w:r>
        <w:rPr>
          <w:sz w:val="21"/>
        </w:rPr>
        <w:t>乙方向甲方提供</w:t>
      </w:r>
      <w:r>
        <w:rPr>
          <w:sz w:val="21"/>
          <w:u w:val="single"/>
        </w:rPr>
        <w:t>XXXXXXXXXXXXXXXX</w:t>
      </w:r>
      <w:r>
        <w:rPr>
          <w:sz w:val="21"/>
        </w:rPr>
        <w:t>服务。</w:t>
      </w:r>
    </w:p>
    <w:p>
      <w:pPr>
        <w:jc w:val="both"/>
      </w:pPr>
      <w:r>
        <w:rPr>
          <w:sz w:val="21"/>
        </w:rPr>
        <w:t>2. 功能需求及服务要求见附件。</w:t>
      </w:r>
    </w:p>
    <w:p>
      <w:pPr>
        <w:jc w:val="both"/>
      </w:pPr>
      <w:r>
        <w:rPr>
          <w:b/>
          <w:sz w:val="21"/>
        </w:rPr>
        <w:t>二、服务费用</w:t>
      </w:r>
    </w:p>
    <w:p>
      <w:pPr>
        <w:jc w:val="left"/>
      </w:pPr>
      <w:r>
        <w:rPr>
          <w:sz w:val="21"/>
        </w:rPr>
        <w:t>1. 根据双方友好协商，本项目服务费用总计为</w:t>
      </w:r>
      <w:r>
        <w:rPr>
          <w:sz w:val="21"/>
          <w:u w:val="single"/>
        </w:rPr>
        <w:t>XXXXXXXXXXXX</w:t>
      </w:r>
      <w:r>
        <w:rPr>
          <w:sz w:val="21"/>
        </w:rPr>
        <w:t>元，本协议服务期自合同签订起</w:t>
      </w:r>
      <w:r>
        <w:rPr>
          <w:sz w:val="21"/>
          <w:u w:val="single"/>
        </w:rPr>
        <w:t>X</w:t>
      </w:r>
      <w:r>
        <w:rPr>
          <w:sz w:val="21"/>
        </w:rPr>
        <w:t>年。</w:t>
      </w:r>
    </w:p>
    <w:p>
      <w:pPr>
        <w:jc w:val="left"/>
      </w:pPr>
      <w:r>
        <w:rPr>
          <w:sz w:val="21"/>
        </w:rPr>
        <w:t>2. 付款要求及方式：</w:t>
      </w:r>
      <w:r>
        <w:br/>
      </w:r>
      <w:r>
        <w:rPr>
          <w:sz w:val="21"/>
        </w:rPr>
        <w:t>1、按甲方PACS系统CT/MR每一份报告（即同一次检查）为一例计算云胶片技术服务费用，服务费不高于人民币</w:t>
      </w:r>
      <w:r>
        <w:rPr>
          <w:sz w:val="21"/>
          <w:u w:val="single"/>
        </w:rPr>
        <w:t>XXXX</w:t>
      </w:r>
      <w:r>
        <w:rPr>
          <w:sz w:val="21"/>
        </w:rPr>
        <w:t>元</w:t>
      </w:r>
      <w:r>
        <w:rPr>
          <w:sz w:val="21"/>
        </w:rPr>
        <w:t>/例，每年度服务费总额限定为人民币</w:t>
      </w:r>
      <w:r>
        <w:rPr>
          <w:sz w:val="21"/>
          <w:u w:val="single"/>
        </w:rPr>
        <w:t>XXXX</w:t>
      </w:r>
      <w:r>
        <w:rPr>
          <w:sz w:val="21"/>
        </w:rPr>
        <w:t>元。</w:t>
      </w:r>
    </w:p>
    <w:p>
      <w:pPr>
        <w:jc w:val="left"/>
      </w:pPr>
      <w:r>
        <w:rPr>
          <w:sz w:val="21"/>
        </w:rPr>
        <w:t>2、对云存储例数无限制，每年度超出14.2万例不另外收费。</w:t>
      </w:r>
    </w:p>
    <w:p>
      <w:pPr>
        <w:jc w:val="left"/>
      </w:pPr>
      <w:r>
        <w:rPr>
          <w:sz w:val="21"/>
        </w:rPr>
        <w:t>3、云胶片服务乙方收取服务费并提供以上所有功能及服务，不另收其他费用。</w:t>
      </w:r>
    </w:p>
    <w:p>
      <w:pPr>
        <w:jc w:val="left"/>
      </w:pPr>
      <w:r>
        <w:rPr>
          <w:sz w:val="21"/>
        </w:rPr>
        <w:t>4、付款方式：</w:t>
      </w:r>
    </w:p>
    <w:p>
      <w:pPr>
        <w:jc w:val="both"/>
      </w:pPr>
      <w:r>
        <w:rPr>
          <w:sz w:val="21"/>
        </w:rPr>
        <w:t>本项目服务期限共</w:t>
      </w:r>
      <w:r>
        <w:rPr>
          <w:sz w:val="21"/>
        </w:rPr>
        <w:t>3年，按上传的</w:t>
      </w:r>
      <w:r>
        <w:rPr>
          <w:sz w:val="21"/>
        </w:rPr>
        <w:t>云胶片例数</w:t>
      </w:r>
      <w:r>
        <w:rPr>
          <w:sz w:val="21"/>
        </w:rPr>
        <w:t>支付服务费用。</w:t>
      </w:r>
      <w:r>
        <w:br/>
      </w:r>
      <w:r>
        <w:rPr>
          <w:sz w:val="21"/>
        </w:rPr>
        <w:t>第一年：</w:t>
      </w:r>
    </w:p>
    <w:p>
      <w:pPr>
        <w:jc w:val="both"/>
      </w:pPr>
      <w:r>
        <w:rPr>
          <w:sz w:val="21"/>
        </w:rPr>
        <w:t>第一期：合同签订后，凭乙方提供的等额发票，甲方在</w:t>
      </w:r>
      <w:r>
        <w:rPr>
          <w:sz w:val="21"/>
        </w:rPr>
        <w:t>5个工作日内按第一年度服务费的30%向乙方支付预付款。</w:t>
      </w:r>
    </w:p>
    <w:p>
      <w:pPr>
        <w:jc w:val="both"/>
      </w:pPr>
      <w:r>
        <w:rPr>
          <w:sz w:val="21"/>
        </w:rPr>
        <w:t>第二期：项目正式上线后，上传的</w:t>
      </w:r>
      <w:r>
        <w:rPr>
          <w:sz w:val="21"/>
        </w:rPr>
        <w:t>CT/MR云胶片例数达到半年度使用量，乙方出具上线报告、结算清单，并经甲方使用科室及相关职能部门审核签字确认。凭乙方提供的等额发票，甲方在15日内按当年度服务费的20%向乙方支付服务费。</w:t>
      </w:r>
    </w:p>
    <w:p>
      <w:pPr>
        <w:jc w:val="both"/>
      </w:pPr>
      <w:r>
        <w:rPr>
          <w:sz w:val="21"/>
        </w:rPr>
        <w:t>第三期：合同签订满</w:t>
      </w:r>
      <w:r>
        <w:rPr>
          <w:sz w:val="21"/>
        </w:rPr>
        <w:t>12个月，乙方对本年度上传的CT/MR云胶片例数进行汇算，出具结算清单、年度验收报告，并经甲方使用科室及相关职能部门审核签字确认。如果乙方本年度云胶片系统服务例数超过一年度使用量，则甲方按年度服务费的50%支付当年度剩余服务费。如果乙方本年度云胶片服务例数少于一年度使用量，则甲方按实际服务的例数支付本年度剩余服务费。凭乙方提供的等额发票、结算清单、年度验收报告等资料，甲方在15日内向乙方支付服务费。</w:t>
      </w:r>
    </w:p>
    <w:p>
      <w:pPr>
        <w:jc w:val="both"/>
      </w:pPr>
      <w:r>
        <w:rPr>
          <w:sz w:val="21"/>
        </w:rPr>
        <w:t>第二年：</w:t>
      </w:r>
    </w:p>
    <w:p>
      <w:pPr>
        <w:jc w:val="both"/>
      </w:pPr>
      <w:r>
        <w:rPr>
          <w:sz w:val="21"/>
        </w:rPr>
        <w:t>第一期：合同签订满</w:t>
      </w:r>
      <w:r>
        <w:rPr>
          <w:sz w:val="21"/>
        </w:rPr>
        <w:t>18个月，凭乙方提供的等额发票，甲方在15日内按年度服务费的50%向乙方支付服务费。</w:t>
      </w:r>
    </w:p>
    <w:p>
      <w:pPr>
        <w:jc w:val="both"/>
      </w:pPr>
      <w:r>
        <w:rPr>
          <w:sz w:val="21"/>
        </w:rPr>
        <w:t>第二期：合同签订满</w:t>
      </w:r>
      <w:r>
        <w:rPr>
          <w:sz w:val="21"/>
        </w:rPr>
        <w:t>24个月，乙方对本年度新增上传的CT/MR云胶片例数进行汇算，出具结算清单、年度验收报告，并经甲方使用科室及相关职能部门审核签字确认。如果乙方本年云胶片系统服务例数超过一年度使用量，则甲方按年度服务费的50%支付本年度剩余服务费。如果乙方本年度云胶片服务例数少于一年度使用量，则甲方按实际服务的例数支付本年度剩余服务费。凭乙方提供的等额发票、结算清单、年度验收报告等资料，甲方在15日内向乙方支付服务费。</w:t>
      </w:r>
    </w:p>
    <w:p>
      <w:pPr>
        <w:jc w:val="both"/>
      </w:pPr>
      <w:r>
        <w:rPr>
          <w:sz w:val="21"/>
        </w:rPr>
        <w:t>第三年：</w:t>
      </w:r>
    </w:p>
    <w:p>
      <w:pPr>
        <w:jc w:val="both"/>
      </w:pPr>
      <w:r>
        <w:rPr>
          <w:sz w:val="21"/>
        </w:rPr>
        <w:t>第一期：合同签订满</w:t>
      </w:r>
      <w:r>
        <w:rPr>
          <w:sz w:val="21"/>
        </w:rPr>
        <w:t>30个月，凭乙方提供的等额发票，甲方在15日内按年度服务费的50%向乙方支付服务费。</w:t>
      </w:r>
    </w:p>
    <w:p>
      <w:pPr>
        <w:jc w:val="left"/>
      </w:pPr>
      <w:r>
        <w:rPr>
          <w:sz w:val="21"/>
        </w:rPr>
        <w:t>第二期：合同签订满</w:t>
      </w:r>
      <w:r>
        <w:rPr>
          <w:sz w:val="21"/>
        </w:rPr>
        <w:t>36个月，乙方对本年度新增上传的CT/MR云胶片例数进行汇算，出具结算清单、年度验收报告，并经甲方影像科及相关职能部门审核签字确认。如果乙方本年度云胶片系统服务例数超过一年度用量，则甲方按年度服务费的50%支付本年度剩余服务费。如果乙方本年度云胶片服务例数少于一年度用量，则甲方按实际服务的例数支付本年度剩余服务费。凭乙方提供的等额发票、结算清单、年度验收报告等资料，甲方在15日内向乙方支付服务费。</w:t>
      </w:r>
    </w:p>
    <w:p>
      <w:pPr>
        <w:ind w:firstLine="420"/>
        <w:jc w:val="both"/>
      </w:pPr>
      <w:r>
        <w:rPr>
          <w:sz w:val="21"/>
        </w:rPr>
        <w:t>乙方银行账户如下：</w:t>
      </w:r>
    </w:p>
    <w:p>
      <w:pPr>
        <w:ind w:firstLine="420"/>
        <w:jc w:val="both"/>
      </w:pPr>
      <w:r>
        <w:rPr>
          <w:sz w:val="21"/>
        </w:rPr>
        <w:t>公司名称：</w:t>
      </w:r>
    </w:p>
    <w:p>
      <w:pPr>
        <w:ind w:firstLine="420"/>
        <w:jc w:val="both"/>
      </w:pPr>
      <w:r>
        <w:rPr>
          <w:sz w:val="21"/>
        </w:rPr>
        <w:t>开户银行：</w:t>
      </w:r>
    </w:p>
    <w:p>
      <w:pPr>
        <w:ind w:firstLine="420"/>
        <w:jc w:val="both"/>
      </w:pPr>
      <w:r>
        <w:rPr>
          <w:sz w:val="21"/>
        </w:rPr>
        <w:t>银行账号：</w:t>
      </w:r>
    </w:p>
    <w:p>
      <w:pPr>
        <w:jc w:val="both"/>
      </w:pPr>
      <w:r>
        <w:rPr>
          <w:b/>
          <w:sz w:val="21"/>
        </w:rPr>
        <w:t>三、工期要求及服务期限</w:t>
      </w:r>
    </w:p>
    <w:p>
      <w:pPr>
        <w:jc w:val="both"/>
      </w:pPr>
      <w:r>
        <w:rPr>
          <w:sz w:val="21"/>
        </w:rPr>
        <w:t>1. 合同签订之日起</w:t>
      </w:r>
      <w:r>
        <w:rPr>
          <w:sz w:val="21"/>
          <w:u w:val="single"/>
        </w:rPr>
        <w:t>___</w:t>
      </w:r>
      <w:r>
        <w:rPr>
          <w:sz w:val="21"/>
        </w:rPr>
        <w:t>个工作日内，完成专线、硬件设备、软件系统等安装部署和实施并进入试运行阶段。</w:t>
      </w:r>
    </w:p>
    <w:p>
      <w:pPr>
        <w:jc w:val="both"/>
      </w:pPr>
      <w:r>
        <w:rPr>
          <w:sz w:val="21"/>
        </w:rPr>
        <w:t>2. 服务有效期自</w:t>
      </w:r>
      <w:r>
        <w:rPr>
          <w:sz w:val="21"/>
        </w:rPr>
        <w:t>合同签订起</w:t>
      </w:r>
      <w:r>
        <w:rPr>
          <w:sz w:val="21"/>
          <w:u w:val="single"/>
        </w:rPr>
        <w:t>3</w:t>
      </w:r>
      <w:r>
        <w:rPr>
          <w:sz w:val="21"/>
        </w:rPr>
        <w:t>年</w:t>
      </w:r>
      <w:r>
        <w:rPr>
          <w:sz w:val="21"/>
        </w:rPr>
        <w:t>。</w:t>
      </w:r>
    </w:p>
    <w:p>
      <w:pPr>
        <w:jc w:val="both"/>
      </w:pPr>
      <w:r>
        <w:rPr>
          <w:sz w:val="21"/>
        </w:rPr>
        <w:t>3. 甲方未按本协议约定的期限付清服务费用的，乙方有权利不履行本协议所约定的义务。</w:t>
      </w:r>
    </w:p>
    <w:p>
      <w:r>
        <w:rPr>
          <w:sz w:val="21"/>
        </w:rPr>
        <w:t>4.</w:t>
      </w:r>
      <w:r>
        <w:rPr>
          <w:sz w:val="21"/>
        </w:rPr>
        <w:t>系统验收合格投入使用后，可按维护时间分为无偿维护和有偿维护两个阶段，自该系统验收合格之日起，合作期间每年结算的病例数据提供</w:t>
      </w:r>
      <w:r>
        <w:rPr>
          <w:sz w:val="21"/>
        </w:rPr>
        <w:t>15年无偿维护期，维护包含结算病例对应的云存储及系统功能维护等功能，不包含新产生的功能需求或新系统对接。在无偿维护阶段内，中标方为招标方所做维护工作时产生的维护费用及其他相关费用均由中标方承担。无偿维护阶段结束后为系统的有偿维护阶段，维护费用按年度计算，每年维护费用金额原则上不高于合同中该系统金额的10%，具体情况以双方在无偿维护期结束后签订的维护协议确定。</w:t>
      </w:r>
    </w:p>
    <w:p>
      <w:pPr>
        <w:jc w:val="both"/>
      </w:pPr>
      <w:r>
        <w:rPr>
          <w:b/>
          <w:sz w:val="21"/>
        </w:rPr>
        <w:t>四、违约责任</w:t>
      </w:r>
    </w:p>
    <w:p>
      <w:pPr>
        <w:numPr>
          <w:ilvl w:val="0"/>
          <w:numId w:val="1"/>
        </w:numPr>
        <w:jc w:val="both"/>
      </w:pPr>
      <w:r>
        <w:rPr>
          <w:sz w:val="21"/>
        </w:rPr>
        <w:t>乙方逾期提供服务的，应承担甲方因此所遭受的损失；</w:t>
      </w:r>
    </w:p>
    <w:p>
      <w:pPr>
        <w:numPr>
          <w:ilvl w:val="0"/>
          <w:numId w:val="1"/>
        </w:numPr>
        <w:jc w:val="both"/>
      </w:pPr>
      <w:r>
        <w:rPr>
          <w:sz w:val="21"/>
        </w:rPr>
        <w:t>甲方逾期付款的，每逾期一个工作日，按应付款的万分之三向乙方支付滞纳金，滞纳金总额不超过本协议的服务费用。</w:t>
      </w:r>
    </w:p>
    <w:p>
      <w:pPr>
        <w:numPr>
          <w:ilvl w:val="0"/>
          <w:numId w:val="1"/>
        </w:numPr>
        <w:jc w:val="both"/>
      </w:pPr>
      <w:r>
        <w:rPr>
          <w:sz w:val="21"/>
        </w:rPr>
        <w:t>乙方违约而采取的任何补救措施都不能弥补甲方受损害的利益情况下，甲方保留追索相应损失不足部分的权利。</w:t>
      </w:r>
    </w:p>
    <w:p>
      <w:pPr>
        <w:numPr>
          <w:ilvl w:val="0"/>
          <w:numId w:val="1"/>
        </w:numPr>
        <w:jc w:val="both"/>
      </w:pPr>
      <w:r>
        <w:rPr>
          <w:sz w:val="21"/>
        </w:rPr>
        <w:t>乙方承诺不从事商业贿赂行为，一旦被列入商业贿赂不良记录后本协议将解除，并承担违约责任。</w:t>
      </w:r>
    </w:p>
    <w:p>
      <w:pPr>
        <w:jc w:val="both"/>
      </w:pPr>
      <w:r>
        <w:rPr>
          <w:b/>
          <w:sz w:val="21"/>
        </w:rPr>
        <w:t>五、知识产权归属：</w:t>
      </w:r>
    </w:p>
    <w:p>
      <w:pPr>
        <w:numPr>
          <w:ilvl w:val="0"/>
          <w:numId w:val="1"/>
        </w:numPr>
        <w:jc w:val="both"/>
      </w:pPr>
      <w:r>
        <w:rPr>
          <w:sz w:val="21"/>
        </w:rPr>
        <w:t>甲方须对乙方技术开发成果和价格保密，若因甲方泄密导致给乙方造成经济损失的，甲方须赔偿乙方由此产生的全部经济损失。</w:t>
      </w:r>
    </w:p>
    <w:p>
      <w:pPr>
        <w:numPr>
          <w:ilvl w:val="0"/>
          <w:numId w:val="1"/>
        </w:numPr>
        <w:jc w:val="both"/>
      </w:pPr>
      <w:r>
        <w:rPr>
          <w:sz w:val="21"/>
        </w:rPr>
        <w:t>双方负有谨慎保护对方商业秘密及知识产权的义务。未经对方书面允许，任何一方不得披露、自用及许可他人使用。</w:t>
      </w:r>
    </w:p>
    <w:p>
      <w:pPr>
        <w:jc w:val="both"/>
      </w:pPr>
      <w:r>
        <w:rPr>
          <w:b/>
          <w:sz w:val="21"/>
        </w:rPr>
        <w:t>六、技术情况和资料的保密</w:t>
      </w:r>
    </w:p>
    <w:p>
      <w:pPr>
        <w:jc w:val="both"/>
      </w:pPr>
      <w:r>
        <w:rPr>
          <w:sz w:val="21"/>
        </w:rPr>
        <w:t>1. 双方应对本系统的技术情况和资料进行保密，不得向第三方泄露。</w:t>
      </w:r>
    </w:p>
    <w:p>
      <w:pPr>
        <w:jc w:val="both"/>
      </w:pPr>
      <w:r>
        <w:rPr>
          <w:sz w:val="21"/>
        </w:rPr>
        <w:t>2. 乙方应对甲方有关业务方面的情况和资料进行保密，不得向第三方泄露。</w:t>
      </w:r>
    </w:p>
    <w:p>
      <w:pPr>
        <w:jc w:val="both"/>
      </w:pPr>
      <w:r>
        <w:rPr>
          <w:sz w:val="21"/>
        </w:rPr>
        <w:t>3. 如果甲、乙其中一方有意或无意泄密给对方造成损失的，应当承担损害赔偿责任。</w:t>
      </w:r>
    </w:p>
    <w:p>
      <w:pPr>
        <w:jc w:val="both"/>
      </w:pPr>
      <w:r>
        <w:rPr>
          <w:b/>
          <w:sz w:val="21"/>
        </w:rPr>
        <w:t>七、法律诉讼</w:t>
      </w:r>
    </w:p>
    <w:p>
      <w:pPr>
        <w:ind w:firstLine="420"/>
        <w:jc w:val="both"/>
      </w:pPr>
      <w:r>
        <w:rPr>
          <w:sz w:val="21"/>
        </w:rPr>
        <w:t>签约双方在履约中发生争执和分歧，双方应通过友好协商解决，若经协商不能达成协议时，则由合同签订所在地</w:t>
      </w:r>
      <w:r>
        <w:rPr>
          <w:sz w:val="21"/>
          <w:u w:val="single"/>
        </w:rPr>
        <w:t>汕头市</w:t>
      </w:r>
      <w:r>
        <w:rPr>
          <w:sz w:val="21"/>
        </w:rPr>
        <w:t>仲裁机构申请仲裁。受理期间，双方应继续执行合同其余部分。</w:t>
      </w:r>
    </w:p>
    <w:p>
      <w:pPr>
        <w:jc w:val="both"/>
      </w:pPr>
      <w:r>
        <w:rPr>
          <w:b/>
          <w:sz w:val="21"/>
        </w:rPr>
        <w:t>九、其他：</w:t>
      </w:r>
    </w:p>
    <w:p>
      <w:pPr>
        <w:jc w:val="both"/>
      </w:pPr>
      <w:r>
        <w:rPr>
          <w:sz w:val="21"/>
        </w:rPr>
        <w:t>1. 本协议一式陆份，甲方执伍份，乙方执壹份均为正本，具有相同法律效力,经甲、乙双方代表签字并加盖公章后生效。</w:t>
      </w:r>
    </w:p>
    <w:p>
      <w:pPr>
        <w:jc w:val="both"/>
      </w:pPr>
      <w:r>
        <w:rPr>
          <w:sz w:val="21"/>
        </w:rPr>
        <w:t>2. 本合同未尽事宜，由双方协商处理。</w:t>
      </w:r>
    </w:p>
    <w:p>
      <w:pPr>
        <w:ind w:firstLine="422"/>
        <w:jc w:val="both"/>
      </w:pPr>
      <w:r>
        <w:rPr>
          <w:b/>
          <w:sz w:val="21"/>
        </w:rPr>
        <w:t>（以下无正文，为双方盖章处）</w:t>
      </w:r>
    </w:p>
    <w:p>
      <w:pPr>
        <w:jc w:val="both"/>
      </w:pPr>
    </w:p>
    <w:p>
      <w:pPr>
        <w:jc w:val="both"/>
      </w:pPr>
      <w:r>
        <w:rPr>
          <w:sz w:val="21"/>
        </w:rPr>
        <w:t>甲方（盖章）：</w:t>
      </w:r>
      <w:r>
        <w:rPr>
          <w:sz w:val="21"/>
        </w:rPr>
        <w:t xml:space="preserve">                          </w:t>
      </w:r>
      <w:r>
        <w:rPr>
          <w:sz w:val="21"/>
        </w:rPr>
        <w:t>乙方（盖章）：</w:t>
      </w:r>
    </w:p>
    <w:p>
      <w:pPr>
        <w:jc w:val="both"/>
      </w:pPr>
      <w:r>
        <w:rPr>
          <w:sz w:val="21"/>
        </w:rPr>
        <w:t>汕头大学医学院第二附属医院</w:t>
      </w:r>
      <w:r>
        <w:rPr>
          <w:sz w:val="21"/>
        </w:rPr>
        <w:t xml:space="preserve">              </w:t>
      </w:r>
      <w:r>
        <w:rPr>
          <w:sz w:val="21"/>
        </w:rPr>
        <w:t>XXXXXXXXXXXXXX</w:t>
      </w:r>
    </w:p>
    <w:p>
      <w:pPr>
        <w:jc w:val="left"/>
      </w:pPr>
      <w:r>
        <w:rPr>
          <w:sz w:val="21"/>
        </w:rPr>
        <w:t>电</w:t>
      </w:r>
      <w:r>
        <w:rPr>
          <w:sz w:val="21"/>
        </w:rPr>
        <w:t xml:space="preserve">   </w:t>
      </w:r>
      <w:r>
        <w:rPr>
          <w:sz w:val="21"/>
        </w:rPr>
        <w:t>话：</w:t>
      </w:r>
      <w:r>
        <w:rPr>
          <w:sz w:val="21"/>
        </w:rPr>
        <w:t>0754-88915821                  电    话：</w:t>
      </w:r>
      <w:r>
        <w:rPr>
          <w:sz w:val="21"/>
        </w:rPr>
        <w:t>XXX-XXXXXXXXX</w:t>
      </w:r>
    </w:p>
    <w:p>
      <w:pPr>
        <w:jc w:val="both"/>
      </w:pPr>
      <w:r>
        <w:rPr>
          <w:sz w:val="21"/>
        </w:rPr>
        <w:t>电</w:t>
      </w:r>
      <w:r>
        <w:rPr>
          <w:sz w:val="21"/>
        </w:rPr>
        <w:t xml:space="preserve">   </w:t>
      </w:r>
      <w:r>
        <w:rPr>
          <w:sz w:val="21"/>
        </w:rPr>
        <w:t>传：</w:t>
      </w:r>
      <w:r>
        <w:rPr>
          <w:sz w:val="21"/>
        </w:rPr>
        <w:t>0754-88355426                  电    传：</w:t>
      </w:r>
      <w:r>
        <w:rPr>
          <w:sz w:val="21"/>
        </w:rPr>
        <w:t>XXX-XXXXXXXXX</w:t>
      </w:r>
    </w:p>
    <w:p>
      <w:pPr>
        <w:jc w:val="both"/>
      </w:pPr>
      <w:r>
        <w:rPr>
          <w:sz w:val="21"/>
        </w:rPr>
        <w:t>代表人签名：</w:t>
      </w:r>
      <w:r>
        <w:rPr>
          <w:sz w:val="21"/>
        </w:rPr>
        <w:t xml:space="preserve">                            </w:t>
      </w:r>
      <w:r>
        <w:rPr>
          <w:sz w:val="21"/>
        </w:rPr>
        <w:t>代表人签名：</w:t>
      </w:r>
    </w:p>
    <w:p>
      <w:pPr>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p>
      <w:pPr>
        <w:jc w:val="both"/>
      </w:pPr>
      <w:r>
        <w:rPr>
          <w:b/>
          <w:sz w:val="21"/>
        </w:rPr>
        <w:t>附件：功能需求及服务要求</w:t>
      </w:r>
    </w:p>
    <w:p>
      <w:pPr>
        <w:jc w:val="both"/>
      </w:pPr>
      <w:r>
        <w:rPr>
          <w:b/>
          <w:sz w:val="21"/>
        </w:rPr>
        <w:t>附件一：需求清单</w:t>
      </w:r>
    </w:p>
    <w:p>
      <w:pPr>
        <w:jc w:val="both"/>
      </w:pPr>
      <w:r>
        <w:rPr>
          <w:b/>
          <w:sz w:val="21"/>
        </w:rPr>
        <w:t>附件二：服务要求（提供承诺函并加盖公章）</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440001-2024-00317</w:t>
      </w:r>
    </w:p>
    <w:p>
      <w:pPr>
        <w:jc w:val="center"/>
      </w:pPr>
      <w:r>
        <w:rPr>
          <w:b/>
          <w:sz w:val="24"/>
        </w:rPr>
        <w:t>采购项目编号：</w:t>
      </w:r>
      <w:r>
        <w:rPr>
          <w:b/>
          <w:sz w:val="24"/>
        </w:rPr>
        <w:t>GZGK24P004C0011Z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汕头大学医学院第二附属医院云胶片系统三年服务项目（2024）</w:t>
      </w:r>
      <w:r>
        <w:rPr>
          <w:u w:val="single"/>
        </w:rPr>
        <w:t>”</w:t>
      </w:r>
      <w:r>
        <w:rPr/>
        <w:t>项目的招标[采购项目编号为：</w:t>
      </w:r>
      <w:r>
        <w:rPr>
          <w:u w:val="single"/>
        </w:rPr>
        <w:t>GZGK24P004C0011Z</w:t>
      </w:r>
      <w:r>
        <w:rPr/>
        <w:t>]，我方愿参与投标。</w:t>
      </w:r>
    </w:p>
    <w:p>
      <w:pPr>
        <w:ind w:firstLine="480"/>
      </w:pPr>
      <w:r>
        <w:rPr/>
        <w:t>我方确认收到贵方提供的</w:t>
      </w:r>
      <w:r>
        <w:rPr>
          <w:u w:val="single"/>
        </w:rPr>
        <w:t>“</w:t>
      </w:r>
      <w:r>
        <w:rPr>
          <w:u w:val="single"/>
        </w:rPr>
        <w:t>汕头大学医学院第二附属医院云胶片系统三年服务项目（2024）</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汕头大学医学院第二附属医院云胶片系统三年服务项目（2024）</w:t>
      </w:r>
      <w:r>
        <w:rPr/>
        <w:t>”项目采购[采购项目编号为</w:t>
      </w:r>
      <w:r>
        <w:rPr/>
        <w:t>GZGK24P004C0011Z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汕头大学医学院第二附属医院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汕头大学医学院第二附属医院云胶片系统三年服务项目（2024）</w:t>
      </w:r>
      <w:r>
        <w:rPr/>
        <w:t>招标中获中标（采购项目编号：</w:t>
      </w:r>
      <w:r>
        <w:rPr/>
        <w:t>GZGK24P004C0011Z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汕头大学医学院第二附属医院云胶片系统三年服务项目（2024）</w:t>
      </w:r>
      <w:r>
        <w:rPr/>
        <w:t>”项目（采购项目编号：</w:t>
      </w:r>
      <w:r>
        <w:rPr/>
        <w:t>GZGK24P004C0011Z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