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440001-2023-54856</w:t>
      </w:r>
    </w:p>
    <w:p>
      <w:pPr>
        <w:jc w:val="center"/>
      </w:pPr>
      <w:r>
        <w:rPr>
          <w:b/>
          <w:sz w:val="24"/>
        </w:rPr>
        <w:t>采购项目编号：</w:t>
      </w:r>
      <w:r>
        <w:rPr>
          <w:b/>
          <w:sz w:val="24"/>
        </w:rPr>
        <w:t>GZGK23P158A0502Z</w:t>
      </w:r>
    </w:p>
    <w:p>
      <w:pPr>
        <w:jc w:val="center"/>
      </w:pPr>
      <w:r>
        <w:rPr>
          <w:b/>
          <w:sz w:val="24"/>
        </w:rPr>
        <w:t>项目名称：</w:t>
      </w:r>
      <w:r>
        <w:rPr>
          <w:b/>
          <w:sz w:val="24"/>
        </w:rPr>
        <w:t>中山大学附属第六医院普通病房监护仪采购项目</w:t>
      </w:r>
    </w:p>
    <w:p>
      <w:pPr>
        <w:jc w:val="center"/>
      </w:pPr>
      <w:r>
        <w:rPr>
          <w:b/>
          <w:sz w:val="24"/>
        </w:rPr>
        <w:t>采购人：</w:t>
      </w:r>
      <w:r>
        <w:rPr>
          <w:b/>
          <w:sz w:val="24"/>
        </w:rPr>
        <w:t>中山大学附属第六医院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中山大学附属第六医院</w:t>
      </w:r>
      <w:r>
        <w:rPr/>
        <w:t>的委托，采用</w:t>
      </w:r>
      <w:r>
        <w:rPr/>
        <w:t>公开招标</w:t>
      </w:r>
      <w:r>
        <w:rPr/>
        <w:t>方式组织采购</w:t>
      </w:r>
      <w:r>
        <w:rPr/>
        <w:t>中山大学附属第六医院普通病房监护仪采购项目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中山大学附属第六医院普通病房监护仪采购项目</w:t>
      </w:r>
    </w:p>
    <w:p>
      <w:pPr>
        <w:ind w:firstLine="480"/>
      </w:pPr>
      <w:r>
        <w:rPr/>
        <w:t>采购计划编号：</w:t>
      </w:r>
      <w:r>
        <w:rPr/>
        <w:t>440001-2023-54856</w:t>
      </w:r>
    </w:p>
    <w:p>
      <w:pPr>
        <w:ind w:firstLine="480"/>
      </w:pPr>
      <w:r>
        <w:rPr/>
        <w:t>采购项目编号：</w:t>
      </w:r>
      <w:r>
        <w:rPr/>
        <w:t>GZGK23P158A0502Z</w:t>
      </w:r>
    </w:p>
    <w:p>
      <w:pPr>
        <w:ind w:firstLine="480"/>
      </w:pPr>
      <w:r>
        <w:rPr/>
        <w:t>采购方式：</w:t>
      </w:r>
      <w:r>
        <w:rPr/>
        <w:t>公开招标</w:t>
      </w:r>
    </w:p>
    <w:p>
      <w:pPr>
        <w:ind w:firstLine="480"/>
      </w:pPr>
      <w:r>
        <w:rPr/>
        <w:t>预算金额：</w:t>
      </w:r>
      <w:r>
        <w:rPr/>
        <w:t>3,325,000.00</w:t>
      </w:r>
      <w:r>
        <w:rPr/>
        <w:t>元</w:t>
      </w:r>
    </w:p>
    <w:p>
      <w:r>
        <w:rPr>
          <w:b/>
          <w:sz w:val="24"/>
        </w:rPr>
        <w:t>2.项目内容及需求情况（采购项目技术规格、参数及要求）</w:t>
      </w:r>
    </w:p>
    <w:p>
      <w:pPr>
        <w:ind w:firstLine="480"/>
      </w:pPr>
    </w:p>
    <w:p/>
    <w:p>
      <w:r>
        <w:rPr/>
        <w:t>采购包1(普通病房用监护仪A):</w:t>
      </w:r>
    </w:p>
    <w:p>
      <w:r>
        <w:rPr/>
        <w:t>采购包预算金额：2,550,000.00元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医用电子生理参数检测仪器设备</w:t>
            </w:r>
          </w:p>
        </w:tc>
        <w:tc>
          <w:tcPr>
            <w:tcW w:type="dxa" w:w="2136"/>
          </w:tcPr>
          <w:p>
            <w:r>
              <w:rPr/>
              <w:t>普通病房用监护仪A</w:t>
            </w:r>
          </w:p>
        </w:tc>
        <w:tc>
          <w:tcPr>
            <w:tcW w:type="dxa" w:w="1187"/>
          </w:tcPr>
          <w:p>
            <w:r>
              <w:rPr/>
              <w:t>150.00(台)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采购包2(普通病房用监护仪B):</w:t>
      </w:r>
    </w:p>
    <w:p>
      <w:r>
        <w:rPr/>
        <w:t>采购包预算金额：775,000.00元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医用电子生理参数检测仪器设备</w:t>
            </w:r>
          </w:p>
        </w:tc>
        <w:tc>
          <w:tcPr>
            <w:tcW w:type="dxa" w:w="2136"/>
          </w:tcPr>
          <w:p>
            <w:r>
              <w:rPr/>
              <w:t>普通病房用监护仪B</w:t>
            </w:r>
          </w:p>
        </w:tc>
        <w:tc>
          <w:tcPr>
            <w:tcW w:type="dxa" w:w="1187"/>
          </w:tcPr>
          <w:p>
            <w:r>
              <w:rPr/>
              <w:t>50.00(台)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采购包1（普通病房用监护仪A）：</w:t>
      </w:r>
      <w:r>
        <w:rPr/>
        <w:t>本采购包不属于专门面向中小企业采购的项目。</w:t>
      </w:r>
    </w:p>
    <w:p>
      <w:pPr>
        <w:jc w:val="left"/>
      </w:pPr>
    </w:p>
    <w:p>
      <w:r>
        <w:rPr/>
        <w:t>采购包2（普通病房用监护仪B）：</w:t>
      </w:r>
      <w:r>
        <w:rPr/>
        <w:t>本采购包不属于专门面向中小企业采购的项目。</w:t>
      </w:r>
    </w:p>
    <w:p/>
    <w:p>
      <w:r>
        <w:rPr>
          <w:b/>
          <w:sz w:val="24"/>
        </w:rPr>
        <w:t>3.本项目特定的资格要求：</w:t>
      </w:r>
    </w:p>
    <w:p>
      <w:pPr>
        <w:ind w:firstLine="480"/>
      </w:pPr>
    </w:p>
    <w:p/>
    <w:p>
      <w:r>
        <w:rPr/>
        <w:t>采购包1（普通病房用监护仪A）：</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采购包2（普通病房用监护仪B）：</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广州天河区员村二横路26号</w:t>
      </w:r>
    </w:p>
    <w:p>
      <w:pPr>
        <w:ind w:firstLine="480"/>
      </w:pPr>
      <w:r>
        <w:rPr/>
        <w:t>联系方式：</w:t>
      </w:r>
      <w:r>
        <w:rPr/>
        <w:t>020-38254010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020-39977064、020-87688049</w:t>
      </w:r>
    </w:p>
    <w:p>
      <w:r>
        <w:rPr>
          <w:b/>
          <w:sz w:val="24"/>
        </w:rPr>
        <w:t>3.项目联系方式</w:t>
      </w:r>
    </w:p>
    <w:p>
      <w:pPr>
        <w:ind w:firstLine="480"/>
      </w:pPr>
      <w:r>
        <w:rPr/>
        <w:t>项目联系人：</w:t>
      </w:r>
      <w:r>
        <w:rPr/>
        <w:t>段念、陈蔚</w:t>
      </w:r>
    </w:p>
    <w:p>
      <w:pPr>
        <w:ind w:firstLine="480"/>
      </w:pPr>
      <w:r>
        <w:rPr/>
        <w:t>电话：</w:t>
      </w:r>
      <w:r>
        <w:rPr/>
        <w:t>020-39977064、020-87688049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left"/>
      </w:pPr>
      <w:r>
        <w:rPr>
          <w:b/>
          <w:sz w:val="21"/>
        </w:rPr>
        <w:t>（一）项目编号：</w:t>
      </w:r>
      <w:r>
        <w:rPr>
          <w:sz w:val="21"/>
        </w:rPr>
        <w:t>GZGK23P158A0502Z</w:t>
      </w:r>
    </w:p>
    <w:p>
      <w:pPr>
        <w:ind w:firstLine="422"/>
        <w:jc w:val="left"/>
      </w:pPr>
      <w:r>
        <w:rPr>
          <w:b/>
          <w:sz w:val="21"/>
        </w:rPr>
        <w:t>（二）项目名称：</w:t>
      </w:r>
      <w:r>
        <w:rPr>
          <w:sz w:val="21"/>
        </w:rPr>
        <w:t>中山大学附属第六医院普通病房监护仪采购项目</w:t>
      </w:r>
    </w:p>
    <w:p>
      <w:pPr>
        <w:ind w:firstLine="422"/>
        <w:jc w:val="left"/>
      </w:pPr>
      <w:r>
        <w:rPr>
          <w:b/>
          <w:sz w:val="21"/>
        </w:rPr>
        <w:t>（三）总体要求说明：</w:t>
      </w:r>
    </w:p>
    <w:p>
      <w:pPr>
        <w:ind w:firstLine="420"/>
        <w:jc w:val="left"/>
      </w:pPr>
      <w:r>
        <w:rPr>
          <w:sz w:val="21"/>
        </w:rPr>
        <w:t>1</w:t>
      </w:r>
      <w:r>
        <w:rPr>
          <w:sz w:val="21"/>
        </w:rPr>
        <w:t>、标有</w:t>
      </w:r>
      <w:r>
        <w:rPr>
          <w:sz w:val="21"/>
        </w:rPr>
        <w:t>“★”</w:t>
      </w:r>
      <w:r>
        <w:rPr>
          <w:sz w:val="21"/>
        </w:rPr>
        <w:t>的条款为必须完全满足的实质性要求，投标人如有一项带</w:t>
      </w:r>
      <w:r>
        <w:rPr>
          <w:sz w:val="21"/>
        </w:rPr>
        <w:t>“★”</w:t>
      </w:r>
      <w:r>
        <w:rPr>
          <w:sz w:val="21"/>
        </w:rPr>
        <w:t>的条款未响应或负偏离，将按无效投标处理。</w:t>
      </w:r>
    </w:p>
    <w:p>
      <w:pPr>
        <w:ind w:firstLine="420"/>
        <w:jc w:val="left"/>
      </w:pPr>
      <w:r>
        <w:rPr>
          <w:sz w:val="21"/>
        </w:rPr>
        <w:t>2</w:t>
      </w:r>
      <w:r>
        <w:rPr>
          <w:sz w:val="21"/>
        </w:rPr>
        <w:t>、标有</w:t>
      </w:r>
      <w:r>
        <w:rPr>
          <w:sz w:val="21"/>
        </w:rPr>
        <w:t>“▲”</w:t>
      </w:r>
      <w:r>
        <w:rPr>
          <w:sz w:val="21"/>
        </w:rPr>
        <w:t>的条款为重要性要求，投标人如有</w:t>
      </w:r>
      <w:r>
        <w:rPr>
          <w:sz w:val="21"/>
        </w:rPr>
        <w:t>“▲”</w:t>
      </w:r>
      <w:r>
        <w:rPr>
          <w:sz w:val="21"/>
        </w:rPr>
        <w:t>的条款未响应或负偏离的将被严重扣分。</w:t>
      </w:r>
    </w:p>
    <w:p>
      <w:pPr>
        <w:ind w:firstLine="420"/>
        <w:jc w:val="left"/>
      </w:pPr>
      <w:r>
        <w:rPr>
          <w:sz w:val="21"/>
        </w:rPr>
        <w:t>3</w:t>
      </w:r>
      <w:r>
        <w:rPr>
          <w:sz w:val="21"/>
        </w:rPr>
        <w:t>、投标人必须承诺提供厂商原装、全新的、符合国家及用户提出的有关质量标准的设备。</w:t>
      </w:r>
    </w:p>
    <w:p>
      <w:pPr>
        <w:ind w:firstLine="420"/>
        <w:jc w:val="left"/>
      </w:pPr>
      <w:r>
        <w:rPr>
          <w:sz w:val="21"/>
        </w:rPr>
        <w:t>4</w:t>
      </w:r>
      <w:r>
        <w:rPr>
          <w:sz w:val="21"/>
        </w:rPr>
        <w:t>、投标人应对采购需求中的设备性能和技术指标在响应详细内容中列出具体数值。如果投标人只注明</w:t>
      </w:r>
      <w:r>
        <w:rPr>
          <w:sz w:val="21"/>
        </w:rPr>
        <w:t>“</w:t>
      </w:r>
      <w:r>
        <w:rPr>
          <w:sz w:val="21"/>
        </w:rPr>
        <w:t>正偏离</w:t>
      </w:r>
      <w:r>
        <w:rPr>
          <w:sz w:val="21"/>
        </w:rPr>
        <w:t>”</w:t>
      </w:r>
      <w:r>
        <w:rPr>
          <w:sz w:val="21"/>
        </w:rPr>
        <w:t>或</w:t>
      </w:r>
      <w:r>
        <w:rPr>
          <w:sz w:val="21"/>
        </w:rPr>
        <w:t>“</w:t>
      </w:r>
      <w:r>
        <w:rPr>
          <w:sz w:val="21"/>
        </w:rPr>
        <w:t>无偏离</w:t>
      </w:r>
      <w:r>
        <w:rPr>
          <w:sz w:val="21"/>
        </w:rPr>
        <w:t>”</w:t>
      </w:r>
      <w:r>
        <w:rPr>
          <w:sz w:val="21"/>
        </w:rPr>
        <w:t>，将可能被视为</w:t>
      </w:r>
      <w:r>
        <w:rPr>
          <w:sz w:val="21"/>
        </w:rPr>
        <w:t>“</w:t>
      </w:r>
      <w:r>
        <w:rPr>
          <w:sz w:val="21"/>
        </w:rPr>
        <w:t>负偏离</w:t>
      </w:r>
      <w:r>
        <w:rPr>
          <w:sz w:val="21"/>
        </w:rPr>
        <w:t>”</w:t>
      </w:r>
      <w:r>
        <w:rPr>
          <w:sz w:val="21"/>
        </w:rPr>
        <w:t>，从而可能导致严重影响评标结果。</w:t>
      </w:r>
    </w:p>
    <w:p>
      <w:pPr>
        <w:ind w:firstLine="420"/>
        <w:jc w:val="left"/>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ind w:firstLine="420"/>
        <w:jc w:val="left"/>
      </w:pPr>
      <w:r>
        <w:rPr>
          <w:sz w:val="21"/>
        </w:rPr>
        <w:t>6</w:t>
      </w:r>
      <w:r>
        <w:rPr>
          <w:sz w:val="21"/>
        </w:rPr>
        <w:t>、凡列入《中华人民共和国实施强制性产品认证的产品目录》的产品在验收时必须出具</w:t>
      </w:r>
      <w:r>
        <w:rPr>
          <w:sz w:val="21"/>
        </w:rPr>
        <w:t>CCC</w:t>
      </w:r>
      <w:r>
        <w:rPr>
          <w:sz w:val="21"/>
        </w:rPr>
        <w:t>认证证书复印件，并以在产品外部加施认证标志作为验收依据之一。</w:t>
      </w:r>
    </w:p>
    <w:p>
      <w:pPr>
        <w:ind w:firstLine="420"/>
        <w:jc w:val="left"/>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left"/>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left"/>
      </w:pPr>
      <w:r>
        <w:rPr>
          <w:sz w:val="21"/>
        </w:rPr>
        <w:t>9</w:t>
      </w:r>
      <w:r>
        <w:rPr>
          <w:sz w:val="21"/>
        </w:rPr>
        <w:t>、涉及到软件产品的，必须采购和使用正版软件，项目中涉及计算机办公产品的，必须预装正版操作系统软件。</w:t>
      </w:r>
    </w:p>
    <w:p>
      <w:pPr>
        <w:ind w:firstLine="420"/>
        <w:jc w:val="left"/>
      </w:pPr>
      <w:r>
        <w:rPr>
          <w:sz w:val="21"/>
        </w:rPr>
        <w:t>10</w:t>
      </w:r>
      <w:r>
        <w:rPr>
          <w:sz w:val="21"/>
        </w:rPr>
        <w:t>、投标人没有在投标文件中注明偏离（文字说明或在响应表注明）的参数、配置、条款视为被投标人完全接受。</w:t>
      </w:r>
    </w:p>
    <w:p>
      <w:pPr>
        <w:ind w:firstLine="420"/>
        <w:jc w:val="left"/>
      </w:pPr>
      <w:r>
        <w:rPr>
          <w:sz w:val="21"/>
        </w:rPr>
        <w:t>11</w:t>
      </w:r>
      <w:r>
        <w:rPr>
          <w:sz w:val="21"/>
        </w:rPr>
        <w:t>、投标人应保证，采购人在中华人民共和国使用该货物或货物的任何一部分时，免受第三方提出的侵犯其专利权、商标权、著作权或其它知识产权的起诉。</w:t>
      </w:r>
    </w:p>
    <w:p>
      <w:pPr>
        <w:ind w:firstLine="420"/>
        <w:jc w:val="left"/>
      </w:pPr>
      <w:r>
        <w:rPr>
          <w:sz w:val="21"/>
        </w:rPr>
        <w:t>12</w:t>
      </w:r>
      <w:r>
        <w:rPr>
          <w:sz w:val="21"/>
        </w:rPr>
        <w:t>、如果投标产品是进口产品的，中标供应商协助办理所有的进口手续。</w:t>
      </w:r>
    </w:p>
    <w:p>
      <w:pPr>
        <w:ind w:firstLine="420"/>
        <w:jc w:val="left"/>
      </w:pPr>
      <w:r>
        <w:rPr>
          <w:sz w:val="21"/>
        </w:rPr>
        <w:t>13</w:t>
      </w:r>
      <w:r>
        <w:rPr>
          <w:sz w:val="21"/>
        </w:rPr>
        <w:t>、不允许中标供应商转包、分包中标采购包的内容。</w:t>
      </w:r>
    </w:p>
    <w:p>
      <w:pPr>
        <w:ind w:firstLine="420"/>
        <w:jc w:val="left"/>
      </w:pPr>
      <w:r>
        <w:rPr>
          <w:sz w:val="21"/>
        </w:rPr>
        <w:t>14</w:t>
      </w:r>
      <w:r>
        <w:rPr>
          <w:sz w:val="21"/>
        </w:rPr>
        <w:t>、小型和微型企业、监狱企业和残疾人福利性单位必须按照招标（采购）文件第三章内容提供相应的资料。</w:t>
      </w:r>
    </w:p>
    <w:p>
      <w:pPr>
        <w:ind w:firstLine="420"/>
        <w:jc w:val="left"/>
      </w:pPr>
      <w:r>
        <w:rPr>
          <w:sz w:val="21"/>
        </w:rPr>
        <w:t>15</w:t>
      </w:r>
      <w:r>
        <w:rPr>
          <w:sz w:val="21"/>
        </w:rPr>
        <w:t>、需落实政府采购政策为：促进中小企业发展政策、支持监狱企业发展政策、支持残疾人福利性单位发展政策、优先采购节能产品、环境标志产品相关政策等。</w:t>
      </w:r>
    </w:p>
    <w:p>
      <w:pPr>
        <w:ind w:firstLine="420"/>
        <w:jc w:val="left"/>
      </w:pPr>
      <w:r>
        <w:rPr>
          <w:sz w:val="21"/>
        </w:rPr>
        <w:t>16</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ind w:firstLine="420"/>
        <w:jc w:val="left"/>
      </w:pPr>
      <w:r>
        <w:rPr>
          <w:sz w:val="21"/>
        </w:rPr>
        <w:t>★1</w:t>
      </w:r>
      <w:r>
        <w:rPr>
          <w:sz w:val="21"/>
        </w:rPr>
        <w:t>7</w:t>
      </w:r>
      <w:r>
        <w:rPr>
          <w:sz w:val="21"/>
        </w:rPr>
        <w:t>、采购包</w:t>
      </w:r>
      <w:r>
        <w:rPr>
          <w:sz w:val="21"/>
        </w:rPr>
        <w:t>1</w:t>
      </w:r>
      <w:r>
        <w:rPr>
          <w:sz w:val="21"/>
        </w:rPr>
        <w:t>：投标产品应具备《医疗器械注册证》（无强制要求的除外，以国家药品监督管理局网上的数据库中查询的数据为准）；投标人若为经销商须提供第二类医疗器械经营备案凭证或承诺签订合同前取得第二类医疗器械经营备案凭证（须在投标文件内提供证明文件复印件或承诺函），若为生产厂家则须提供《医疗器械生产许可证》（须在投标文件内提供证明文件复印件）。</w:t>
      </w:r>
    </w:p>
    <w:p>
      <w:pPr>
        <w:ind w:firstLine="420"/>
        <w:jc w:val="left"/>
      </w:pPr>
      <w:r>
        <w:rPr>
          <w:sz w:val="21"/>
        </w:rPr>
        <w:t>★</w:t>
      </w:r>
      <w:r>
        <w:rPr>
          <w:sz w:val="21"/>
        </w:rPr>
        <w:t>18</w:t>
      </w:r>
      <w:r>
        <w:rPr>
          <w:sz w:val="21"/>
        </w:rPr>
        <w:t>、采购包</w:t>
      </w:r>
      <w:r>
        <w:rPr>
          <w:sz w:val="21"/>
        </w:rPr>
        <w:t>2</w:t>
      </w:r>
      <w:r>
        <w:rPr>
          <w:sz w:val="21"/>
        </w:rPr>
        <w:t>：投标产品应具备《医疗器械注册证》（无强制要求的除外，以国家药品监督管理局网上的数据库中查询的数据为准）；投标人若为经销商须提供第二类医疗器械经营备案凭证或承诺签订合同前取得第二类医疗器械经营备案凭证（须在投标文件内提供证明文件复印件或承诺函），若为生产厂家则须提供《医疗器械生产许可证》（须在投标文件内提供证明文件复印件）。</w:t>
      </w:r>
    </w:p>
    <w:p>
      <w:pPr>
        <w:ind w:firstLine="422"/>
        <w:jc w:val="left"/>
      </w:pPr>
      <w:r>
        <w:rPr>
          <w:b/>
          <w:sz w:val="21"/>
        </w:rPr>
        <w:t>（四）其他说明：</w:t>
      </w:r>
    </w:p>
    <w:p>
      <w:pPr>
        <w:ind w:firstLine="420"/>
        <w:jc w:val="both"/>
      </w:pPr>
      <w:r>
        <w:rPr>
          <w:sz w:val="21"/>
        </w:rPr>
        <w:t>1</w:t>
      </w:r>
      <w:r>
        <w:rPr>
          <w:sz w:val="21"/>
        </w:rPr>
        <w:t>、 本项目开标方式为远程开标。参与全流程云平台采购项目的供应商登录云平台通过</w:t>
      </w:r>
      <w:r>
        <w:rPr>
          <w:sz w:val="21"/>
        </w:rPr>
        <w:t>“</w:t>
      </w:r>
      <w:r>
        <w:rPr>
          <w:sz w:val="21"/>
        </w:rPr>
        <w:t>新供应商开标大厅</w:t>
      </w:r>
      <w:r>
        <w:rPr>
          <w:sz w:val="21"/>
        </w:rPr>
        <w:t>”</w:t>
      </w:r>
      <w:r>
        <w:rPr>
          <w:sz w:val="21"/>
        </w:rPr>
        <w:t>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ind w:firstLine="420"/>
        <w:jc w:val="both"/>
      </w:pPr>
      <w:r>
        <w:rPr>
          <w:sz w:val="21"/>
        </w:rPr>
        <w:t>2</w:t>
      </w:r>
      <w:r>
        <w:rPr>
          <w:sz w:val="21"/>
        </w:rPr>
        <w:t>、 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w:t>
      </w:r>
      <w:r>
        <w:rPr>
          <w:sz w:val="21"/>
        </w:rPr>
        <w:t>、 供应商电脑需提前安装</w:t>
      </w:r>
      <w:r>
        <w:rPr>
          <w:sz w:val="21"/>
        </w:rPr>
        <w:t>CA</w:t>
      </w:r>
      <w:r>
        <w:rPr>
          <w:sz w:val="21"/>
        </w:rPr>
        <w:t>签章客户端，并运行</w:t>
      </w:r>
      <w:r>
        <w:rPr>
          <w:sz w:val="21"/>
        </w:rPr>
        <w:t>CA</w:t>
      </w:r>
      <w:r>
        <w:rPr>
          <w:sz w:val="21"/>
        </w:rPr>
        <w:t>证书。</w:t>
      </w:r>
    </w:p>
    <w:p>
      <w:pPr>
        <w:ind w:firstLine="420"/>
        <w:jc w:val="both"/>
      </w:pPr>
      <w:r>
        <w:rPr>
          <w:sz w:val="21"/>
        </w:rPr>
        <w:t>4</w:t>
      </w:r>
      <w:r>
        <w:rPr>
          <w:sz w:val="21"/>
        </w:rPr>
        <w:t>、 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pPr>
        <w:ind w:firstLine="422"/>
        <w:jc w:val="left"/>
      </w:pPr>
      <w:r>
        <w:rPr>
          <w:b/>
          <w:sz w:val="21"/>
        </w:rPr>
        <w:t>（五）投标报价说明：</w:t>
      </w:r>
    </w:p>
    <w:p>
      <w:pPr>
        <w:ind w:firstLine="420"/>
        <w:jc w:val="left"/>
      </w:pPr>
      <w:r>
        <w:rPr>
          <w:sz w:val="21"/>
        </w:rPr>
        <w:t>投标报价包括：货物的设计、制造、包装、仓储、运输、保险、安装、调试、试运行、验收、培训、技术服务（包括技术资料、图纸的提供）、安装现场配合、货物的计量检定</w:t>
      </w:r>
      <w:r>
        <w:rPr>
          <w:sz w:val="21"/>
        </w:rPr>
        <w:t>/</w:t>
      </w:r>
      <w:r>
        <w:rPr>
          <w:sz w:val="21"/>
        </w:rPr>
        <w:t>校准费、货物送到采购人指定地点所需的搬运、吊装等一切费用、质保期保障服务等的全部含税费用。采购人无须向投标人另外支付任何费用。</w:t>
      </w:r>
    </w:p>
    <w:p>
      <w:pPr>
        <w:jc w:val="both"/>
      </w:pPr>
      <w:r>
        <w:rPr>
          <w:b/>
          <w:sz w:val="21"/>
        </w:rPr>
        <w:t>（六）</w:t>
      </w:r>
      <w:r>
        <w:rPr>
          <w:b/>
          <w:sz w:val="21"/>
        </w:rPr>
        <w:t>实现的功能</w:t>
      </w:r>
    </w:p>
    <w:p>
      <w:pPr>
        <w:ind w:firstLine="422"/>
        <w:jc w:val="left"/>
      </w:pPr>
      <w:r>
        <w:rPr>
          <w:sz w:val="21"/>
        </w:rPr>
        <w:t>用于监测病人各项生命体征、心率、血压、呼吸、氧饱和度等监测。</w:t>
      </w:r>
    </w:p>
    <w:p>
      <w:pPr>
        <w:ind w:firstLine="422"/>
        <w:jc w:val="left"/>
      </w:pPr>
      <w:r>
        <w:rPr>
          <w:b/>
          <w:sz w:val="21"/>
        </w:rPr>
        <w:t>（七）需执行国家相关标准、行业标准、地方标准或者其他标准、规范</w:t>
      </w:r>
    </w:p>
    <w:p/>
    <w:p>
      <w:pPr>
        <w:ind w:firstLine="480"/>
      </w:pPr>
    </w:p>
    <w:p/>
    <w:p>
      <w:r>
        <w:rPr/>
        <w:t>采购包1（普通病房用监护仪A）</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供货期限：合同签订之日起两年或实际供货数量达到标的数量，先到者为准结束合同。</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1期：支付比例100%,每批次合同设备全部到指定地点交付并完成安装及验收合格，中标人按采购人要求提供相关验收资料后3个月内由采购人向中标人支付该批次货物的全部货款： （1）中标人开具的正式发票，发票中货物名称、型号规格必须与合同一致； （2）设备验收表。</w:t>
            </w:r>
          </w:p>
        </w:tc>
      </w:tr>
      <w:tr>
        <w:tc>
          <w:tcPr>
            <w:tcW w:type="dxa" w:w="4153"/>
          </w:tcPr>
          <w:p>
            <w:r>
              <w:rPr/>
              <w:t>验收要求</w:t>
            </w:r>
          </w:p>
        </w:tc>
        <w:tc>
          <w:tcPr>
            <w:tcW w:type="dxa" w:w="4153"/>
          </w:tcPr>
          <w:p/>
          <w:p/>
          <w:p/>
          <w:p>
            <w:r>
              <w:rPr/>
              <w:t>1期：1、合同设备安装、培训，合同配置清单的货物齐全后7个工作日内验收，验收应在双方共同参加下进行。 2、验收按国家有关的规定、规范进行。验收时如发现所交付的设备有短装、次品、损坏或其它不符合本合同规定之情形者，采购人应作出详尽的现场记录，或由双方签署备忘录。此现场记录或备忘录可用作补充、缺失和更换损坏部件的有效证据。由此产生的有关费用由中标人承担。 3、如果合同设备运输和安装过程中因事故造成货物短缺、损坏，乙方应及时安排换装，以保证合同设备安装的成功完成。换货的相关费用由中标人承担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（一）供货期限，合同签订之日起两年</w:t>
            </w:r>
          </w:p>
          <w:p/>
          <w:p>
            <w:r>
              <w:rPr/>
              <w:t>（二）项目说明，实际供货总数量达到预计数量或供货期限满，先到者为准，合同结束。</w:t>
            </w:r>
          </w:p>
          <w:p/>
          <w:p>
            <w:r>
              <w:rPr/>
              <w:t>（三）包装与运输，设备的包装均应有良好的防湿、防锈、防潮、防雨、防腐及防碰撞的措施。凡由于包装不良造成的损失和由此产生的费用均由中标供应商承担。</w:t>
            </w:r>
          </w:p>
          <w:p/>
          <w:p>
            <w:r>
              <w:rPr/>
              <w:t>（四）安装与调试，1、</w:t>
              <w:tab/>
              <w:t>中标供应商必须按项目进度安排计划，派出适当的技术人员到安装现场负责安装和调试工作。在安装施工期间，严格遵守采购人的有关规定。 2、</w:t>
              <w:tab/>
              <w:t>中标供应商必须依照项目采购文件的要求和投标文件的承诺，将设备、系统安装并调试至正常运行的最佳状态。</w:t>
            </w:r>
          </w:p>
          <w:p/>
          <w:p>
            <w:r>
              <w:rPr/>
              <w:t>（五）技术培训，1、</w:t>
              <w:tab/>
              <w:t>中标供应商每台设备提供现场安装调试和培训。 2、</w:t>
              <w:tab/>
              <w:t>应提供完整的培训计划和方案，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所需全部费用均由中标供应商负责。</w:t>
            </w:r>
          </w:p>
          <w:p/>
          <w:p>
            <w:r>
              <w:rPr/>
              <w:t>（六）质量保证期，1、投标人保证合同设备(包括零配件)是全新、未曾使用过的，且必须是最新医疗器械注册证有效期之内生产，其质量、规格及技术特征符合合同附件的要求。 2、合同设备保修期为整机免费原厂保修≥5年（包含维护、保养、所有零配件等），以本项目第一次验收签字之日期一个月后起保（即以《中山大学附属第六医院医疗设备/通用设备安装验收表》中使用科室负责人确认签名之日期一个月后起保）。并提供终身维修服务。保修期内，所有服务及配件全部包含在报价中。“技术标准与要求”中另有要求的，以其中的要求为准。 3、质量保证期内中标供应商对所供货物实行包修、包换、包退、包维护保养，保修期后设备维修配件更换只收取成本费用。且每季度定期校准和保养，并提供书面保养报告及整机质量评估报告。 4、保修期内非因采购人的人为原因而出现产品质量及安装问题，由中标供应商负责包修、包换或包退，并承担因此而产生的一切费用。中标供应商应在收到采购人通知后按照采购人要求派员到现场维修(技术要求另有规定除外)。 5、下列情况不属于免费保修范畴：   5.1不按照乙方提供的正确使用方法而引致设备故障损坏；   5.2擅自改装设备；   5.3各种人为因素或天灾等外来因素造成的损坏。 6、因设备的质量问题而发生争议，由广东省或广州市质检部门进行质量鉴定。设备符合质量标准的，鉴定费用由采购人承担；设备不符合质量标准的，鉴定费用由中标供应商承担。</w:t>
            </w:r>
          </w:p>
          <w:p/>
          <w:p>
            <w:r>
              <w:rPr/>
              <w:t>（七）售后服务，对采购人的服务通知，中标供应商在接报后 2小时内响应，24小时内到达现场，设备故障后需3天内完成维修，并保障设备正常运行。若设备维修后仍无法正常运行或中标供应商无法在设备故障后3天内完成维修，中标供应商须及时提供同功能备用机保障甲方正常工作。</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医用电子生理参数检测仪器设备</w:t>
            </w:r>
          </w:p>
        </w:tc>
        <w:tc>
          <w:tcPr>
            <w:tcW w:type="dxa" w:w="831"/>
          </w:tcPr>
          <w:p>
            <w:pPr>
              <w:jc w:val="left"/>
            </w:pPr>
            <w:r>
              <w:rPr/>
              <w:t>普通病房用监护仪A</w:t>
            </w:r>
          </w:p>
        </w:tc>
        <w:tc>
          <w:tcPr>
            <w:tcW w:type="dxa" w:w="831"/>
          </w:tcPr>
          <w:p>
            <w:pPr>
              <w:jc w:val="left"/>
            </w:pPr>
            <w:r>
              <w:rPr/>
              <w:t>台</w:t>
            </w:r>
          </w:p>
        </w:tc>
        <w:tc>
          <w:tcPr>
            <w:tcW w:type="dxa" w:w="831"/>
          </w:tcPr>
          <w:p>
            <w:pPr>
              <w:jc w:val="right"/>
            </w:pPr>
            <w:r>
              <w:rPr/>
              <w:t>150.00</w:t>
            </w:r>
          </w:p>
        </w:tc>
        <w:tc>
          <w:tcPr>
            <w:tcW w:type="dxa" w:w="831"/>
          </w:tcPr>
          <w:p>
            <w:pPr>
              <w:jc w:val="right"/>
            </w:pPr>
            <w:r>
              <w:rPr/>
              <w:t>17,000.00</w:t>
            </w:r>
          </w:p>
        </w:tc>
        <w:tc>
          <w:tcPr>
            <w:tcW w:type="dxa" w:w="831"/>
          </w:tcPr>
          <w:p>
            <w:pPr>
              <w:jc w:val="right"/>
            </w:pPr>
            <w:r>
              <w:rPr/>
              <w:t>2,550,000.00</w:t>
            </w:r>
          </w:p>
        </w:tc>
        <w:tc>
          <w:tcPr>
            <w:tcW w:type="dxa" w:w="831"/>
          </w:tcPr>
          <w:p>
            <w:r>
              <w:rPr/>
              <w:t>工业</w:t>
            </w:r>
          </w:p>
        </w:tc>
        <w:tc>
          <w:tcPr>
            <w:tcW w:type="dxa" w:w="831"/>
          </w:tcPr>
          <w:p>
            <w:r>
              <w:rPr/>
              <w:t>详见附表一</w:t>
            </w:r>
          </w:p>
        </w:tc>
      </w:tr>
    </w:tbl>
    <w:p/>
    <w:p>
      <w:r>
        <w:rPr>
          <w:b/>
        </w:rPr>
        <w:t>附表</w:t>
      </w:r>
      <w:r>
        <w:rPr>
          <w:b/>
        </w:rPr>
        <w:t>一</w:t>
      </w:r>
      <w:r>
        <w:rPr>
          <w:b/>
        </w:rPr>
        <w:t>：</w:t>
      </w:r>
      <w:r>
        <w:rPr>
          <w:b/>
        </w:rPr>
        <w:t>普通病房用监护仪A</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1、整机要求：</w:t>
            </w:r>
          </w:p>
          <w:p>
            <w:pPr>
              <w:ind w:firstLine="420"/>
              <w:jc w:val="left"/>
            </w:pPr>
            <w:r>
              <w:rPr>
                <w:sz w:val="21"/>
              </w:rPr>
              <w:t>▲1.1≥10.1英寸彩色液晶电容触摸屏，支持手势操作，分辨率不低于1280*800像素，≥8通道波形显示。</w:t>
            </w:r>
          </w:p>
          <w:p>
            <w:pPr>
              <w:jc w:val="left"/>
            </w:pPr>
            <w:r>
              <w:rPr>
                <w:sz w:val="21"/>
              </w:rPr>
              <w:t>1.2显示屏可支持亮度自动调节功能。</w:t>
            </w:r>
          </w:p>
          <w:p>
            <w:pPr>
              <w:jc w:val="left"/>
            </w:pPr>
            <w:r>
              <w:rPr>
                <w:sz w:val="21"/>
              </w:rPr>
              <w:t>1.3屏幕倾斜10~15度设计，便于临床团队观察和操作。</w:t>
            </w:r>
          </w:p>
          <w:p>
            <w:pPr>
              <w:jc w:val="left"/>
            </w:pPr>
            <w:r>
              <w:rPr>
                <w:sz w:val="21"/>
              </w:rPr>
              <w:t>1.4可支持遥控器无线远程操作监护仪。</w:t>
            </w:r>
          </w:p>
          <w:p>
            <w:pPr>
              <w:jc w:val="left"/>
            </w:pPr>
            <w:r>
              <w:rPr>
                <w:sz w:val="21"/>
              </w:rPr>
              <w:t>1.5防水等级≥IPX2</w:t>
            </w:r>
          </w:p>
          <w:p>
            <w:pPr>
              <w:jc w:val="left"/>
            </w:pPr>
            <w:r>
              <w:rPr>
                <w:sz w:val="21"/>
              </w:rPr>
              <w:t>1.6整机抗跌落，可通过至少0.75米6面跌落测试。</w:t>
            </w:r>
          </w:p>
          <w:p>
            <w:pPr>
              <w:ind w:firstLine="420"/>
              <w:jc w:val="left"/>
            </w:pPr>
            <w:r>
              <w:rPr>
                <w:sz w:val="21"/>
              </w:rPr>
              <w:t>1.7安全规格：ECG, TEMP, IBP, SpO2 , NIBP监测参数抗电击程度为防除颤CF型（电击防护）</w:t>
            </w:r>
          </w:p>
          <w:p>
            <w:pPr>
              <w:jc w:val="left"/>
            </w:pPr>
            <w:r>
              <w:rPr>
                <w:b/>
                <w:sz w:val="21"/>
              </w:rPr>
              <w:t>2、监测参数：</w:t>
            </w:r>
          </w:p>
          <w:p>
            <w:pPr>
              <w:ind w:firstLine="420"/>
              <w:jc w:val="left"/>
            </w:pPr>
            <w:r>
              <w:rPr>
                <w:sz w:val="21"/>
              </w:rPr>
              <w:t>▲2.1配置3/5导心电，呼吸，无创血压，血氧饱和度，脉搏和双通道体温参数监测。</w:t>
            </w:r>
          </w:p>
          <w:p>
            <w:pPr>
              <w:ind w:firstLine="420"/>
              <w:jc w:val="left"/>
            </w:pPr>
            <w:r>
              <w:rPr>
                <w:sz w:val="21"/>
              </w:rPr>
              <w:t>▲2.2心电监护支持心率，ST段测量，心律失常分析，QT/QTc连续实时测量和对应报警功能。</w:t>
            </w:r>
          </w:p>
          <w:p>
            <w:pPr>
              <w:ind w:firstLine="420"/>
              <w:jc w:val="left"/>
            </w:pPr>
            <w:r>
              <w:rPr>
                <w:sz w:val="21"/>
              </w:rPr>
              <w:t>2.3心电波形扫描速度支持6.25mm/s、12.5 mm/s、25 mm/s和50 mm/s。</w:t>
            </w:r>
          </w:p>
          <w:p>
            <w:pPr>
              <w:ind w:firstLine="420"/>
              <w:jc w:val="left"/>
            </w:pPr>
            <w:r>
              <w:rPr>
                <w:sz w:val="21"/>
              </w:rPr>
              <w:t>2.4提供窗口支持心脏下壁，侧壁和前壁对应多个ST片段的同屏实时显示，提供参考片段和实时片段的对比查看。</w:t>
            </w:r>
          </w:p>
          <w:p>
            <w:pPr>
              <w:ind w:firstLine="420"/>
              <w:jc w:val="left"/>
            </w:pPr>
            <w:r>
              <w:rPr>
                <w:sz w:val="21"/>
              </w:rPr>
              <w:t>▲2.5支持≥25种心律失常分析,包括房颤分析，适用于成人，小儿和新生儿。</w:t>
            </w:r>
          </w:p>
          <w:p>
            <w:pPr>
              <w:ind w:firstLine="420"/>
              <w:jc w:val="left"/>
            </w:pPr>
            <w:r>
              <w:rPr>
                <w:sz w:val="21"/>
              </w:rPr>
              <w:t>2.6支持QT、QTc 、ΔQTc 测量，支持成人、小儿、新生儿。QT和QTc实时监测参数测量范围：200～800 ms。</w:t>
            </w:r>
          </w:p>
          <w:p>
            <w:pPr>
              <w:ind w:firstLine="420"/>
              <w:jc w:val="left"/>
            </w:pPr>
            <w:r>
              <w:rPr>
                <w:sz w:val="21"/>
              </w:rPr>
              <w:t>2.7提供SpO2,PR和PI参数的实时监测，适用于成人，小儿和新生儿。</w:t>
            </w:r>
          </w:p>
          <w:p>
            <w:pPr>
              <w:ind w:firstLine="420"/>
              <w:jc w:val="left"/>
            </w:pPr>
            <w:r>
              <w:rPr>
                <w:sz w:val="21"/>
              </w:rPr>
              <w:t>2.8支持指套式血氧探头，IPX7防水等级，支持液体浸泡消毒和清洁。</w:t>
            </w:r>
          </w:p>
          <w:p>
            <w:pPr>
              <w:ind w:firstLine="420"/>
              <w:jc w:val="left"/>
            </w:pPr>
            <w:r>
              <w:rPr>
                <w:sz w:val="21"/>
              </w:rPr>
              <w:t>2.9配置无创血压测量，适用于成人，小儿和新生儿。</w:t>
            </w:r>
          </w:p>
          <w:p>
            <w:pPr>
              <w:ind w:firstLine="420"/>
              <w:jc w:val="left"/>
            </w:pPr>
            <w:r>
              <w:rPr>
                <w:sz w:val="21"/>
              </w:rPr>
              <w:t>2.10提供手动，自动，连续和序列至少4种测量模式，并提供24小时血压统计结果，满足临床应用。</w:t>
            </w:r>
          </w:p>
          <w:p>
            <w:pPr>
              <w:ind w:firstLine="420"/>
              <w:jc w:val="left"/>
            </w:pPr>
            <w:r>
              <w:rPr>
                <w:sz w:val="21"/>
              </w:rPr>
              <w:t>2.11无创血压成人测量范围：收缩压25~290mmHg，舒张压10~250mmHg，平均压15~260mmHg。</w:t>
            </w:r>
          </w:p>
          <w:p>
            <w:pPr>
              <w:ind w:firstLine="420"/>
              <w:jc w:val="left"/>
            </w:pPr>
            <w:r>
              <w:rPr>
                <w:sz w:val="21"/>
              </w:rPr>
              <w:t>2.12具</w:t>
            </w:r>
            <w:r>
              <w:rPr>
                <w:sz w:val="21"/>
              </w:rPr>
              <w:t>备辅助静脉穿刺功能。</w:t>
            </w:r>
          </w:p>
          <w:p>
            <w:pPr>
              <w:jc w:val="both"/>
            </w:pPr>
            <w:r>
              <w:rPr>
                <w:b/>
                <w:sz w:val="21"/>
              </w:rPr>
              <w:t>3、系统功能：</w:t>
            </w:r>
          </w:p>
          <w:p>
            <w:pPr>
              <w:ind w:firstLine="420"/>
              <w:jc w:val="left"/>
            </w:pPr>
            <w:r>
              <w:rPr>
                <w:sz w:val="21"/>
              </w:rPr>
              <w:t>▲3.1支持所有监测参数报警限一键自动设置功能，满足医护团队快速管理患者报警需求。</w:t>
            </w:r>
          </w:p>
          <w:p>
            <w:pPr>
              <w:ind w:firstLine="420"/>
              <w:jc w:val="left"/>
            </w:pPr>
            <w:r>
              <w:rPr>
                <w:sz w:val="21"/>
              </w:rPr>
              <w:t>3.2支持≥120小时趋势图和趋势表回顾，支持选择不同趋势组回顾</w:t>
            </w:r>
          </w:p>
          <w:p>
            <w:pPr>
              <w:ind w:firstLine="420"/>
              <w:jc w:val="left"/>
            </w:pPr>
            <w:r>
              <w:rPr>
                <w:sz w:val="21"/>
              </w:rPr>
              <w:t>3.3≥1000条事件回顾。每条报警事件至少能够存储32秒三道相关波形，以及报警触发时所有测量参数值</w:t>
            </w:r>
          </w:p>
          <w:p>
            <w:pPr>
              <w:ind w:firstLine="420"/>
              <w:jc w:val="left"/>
            </w:pPr>
            <w:r>
              <w:rPr>
                <w:sz w:val="21"/>
              </w:rPr>
              <w:t>3.4≥1000组NIBP测量结果</w:t>
            </w:r>
          </w:p>
          <w:p>
            <w:pPr>
              <w:ind w:firstLine="420"/>
              <w:jc w:val="left"/>
            </w:pPr>
            <w:r>
              <w:rPr>
                <w:sz w:val="21"/>
              </w:rPr>
              <w:t>3.5≥120小时（分辨率1分钟）ST模板存储与回顾</w:t>
            </w:r>
          </w:p>
          <w:p>
            <w:pPr>
              <w:ind w:firstLine="420"/>
              <w:jc w:val="left"/>
            </w:pPr>
            <w:r>
              <w:rPr>
                <w:sz w:val="21"/>
              </w:rPr>
              <w:t>3.6支持48小时全息波形的存储与回顾功能</w:t>
            </w:r>
          </w:p>
          <w:p>
            <w:pPr>
              <w:ind w:firstLine="420"/>
              <w:jc w:val="left"/>
            </w:pPr>
            <w:r>
              <w:rPr>
                <w:sz w:val="21"/>
              </w:rPr>
              <w:t>▲3.7具有药物计算，血流动力学计算，氧合计算，通气计算，肾功能计算等功能。</w:t>
            </w:r>
          </w:p>
          <w:p>
            <w:pPr>
              <w:ind w:firstLine="420"/>
              <w:jc w:val="left"/>
            </w:pPr>
            <w:r>
              <w:rPr>
                <w:sz w:val="21"/>
              </w:rPr>
              <w:t>3.8支持监护仪历史病人数据的存储和回顾，并支持通过USB接口将历史病人数据导出到U盘。</w:t>
            </w:r>
          </w:p>
          <w:p>
            <w:pPr>
              <w:ind w:firstLine="420"/>
              <w:jc w:val="left"/>
            </w:pPr>
            <w:r>
              <w:rPr>
                <w:sz w:val="21"/>
              </w:rPr>
              <w:t>▲3.9动态趋势界面可支持统计1-24小时心律失常报警、参数超限报警信息，并对超限报警区间的波形进行高亮显示，帮助医护人员快速识别异常趋势信息。</w:t>
            </w:r>
          </w:p>
          <w:p>
            <w:pPr>
              <w:ind w:firstLine="420"/>
              <w:jc w:val="left"/>
            </w:pPr>
            <w:r>
              <w:rPr>
                <w:sz w:val="21"/>
              </w:rPr>
              <w:t>3.10提供屏幕截图功能，将屏幕截图通过USB接口导出到U盘。</w:t>
            </w:r>
          </w:p>
          <w:p>
            <w:pPr>
              <w:ind w:firstLine="420"/>
              <w:jc w:val="left"/>
            </w:pPr>
            <w:r>
              <w:rPr>
                <w:sz w:val="21"/>
              </w:rPr>
              <w:t>3.11支持RJ45接口进行有线网络通信，联网通信到中心监护系统。</w:t>
            </w:r>
          </w:p>
          <w:p>
            <w:pPr>
              <w:ind w:firstLine="420"/>
              <w:jc w:val="left"/>
            </w:pPr>
            <w:r>
              <w:rPr>
                <w:sz w:val="21"/>
              </w:rPr>
              <w:t>3.12支</w:t>
            </w:r>
            <w:r>
              <w:rPr>
                <w:sz w:val="21"/>
              </w:rPr>
              <w:t>持心肌缺血评估，可以快速查看ST值的变化。</w:t>
            </w:r>
          </w:p>
          <w:p>
            <w:pPr>
              <w:jc w:val="both"/>
            </w:pPr>
            <w:r>
              <w:rPr>
                <w:b/>
                <w:sz w:val="21"/>
              </w:rPr>
              <w:t>4、配置要求 （每台配置）</w:t>
            </w:r>
          </w:p>
          <w:tbl>
            <w:tblPr>
              <w:tblBorders>
                <w:top w:val="none" w:color="000000" w:sz="4"/>
                <w:left w:val="none" w:color="000000" w:sz="4"/>
                <w:bottom w:val="none" w:color="000000" w:sz="4"/>
                <w:right w:val="none" w:color="000000" w:sz="4"/>
                <w:insideH w:val="none"/>
                <w:insideV w:val="none"/>
              </w:tblBorders>
            </w:tblPr>
            <w:tblGrid>
              <w:gridCol w:w="733"/>
              <w:gridCol w:w="3049"/>
              <w:gridCol w:w="837"/>
              <w:gridCol w:w="954"/>
            </w:tblGrid>
            <w:tr>
              <w:tc>
                <w:tcPr>
                  <w:tcW w:type="dxa" w:w="7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049"/>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837"/>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954"/>
                  <w:tcBorders>
                    <w:top w:val="single" w:color="000000" w:sz="4"/>
                    <w:left w:val="none" w:color="000000" w:sz="4"/>
                    <w:bottom w:val="single" w:color="000000" w:sz="4"/>
                    <w:right w:val="single" w:color="000000" w:sz="4"/>
                  </w:tcBorders>
                  <w:vAlign w:val="top"/>
                </w:tcPr>
                <w:p>
                  <w:pPr>
                    <w:jc w:val="center"/>
                  </w:pPr>
                  <w:r>
                    <w:rPr>
                      <w:sz w:val="21"/>
                    </w:rPr>
                    <w:t>数量</w:t>
                  </w:r>
                </w:p>
              </w:tc>
            </w:tr>
            <w:tr>
              <w:tc>
                <w:tcPr>
                  <w:tcW w:type="dxa" w:w="733"/>
                  <w:tcBorders>
                    <w:top w:val="none" w:color="000000" w:sz="4"/>
                    <w:left w:val="single" w:color="000000" w:sz="4"/>
                    <w:bottom w:val="single" w:color="000000" w:sz="4"/>
                    <w:right w:val="single" w:color="000000" w:sz="4"/>
                  </w:tcBorders>
                  <w:vAlign w:val="top"/>
                </w:tcPr>
                <w:p>
                  <w:pPr>
                    <w:jc w:val="both"/>
                  </w:pPr>
                  <w:r>
                    <w:rPr>
                      <w:sz w:val="21"/>
                    </w:rPr>
                    <w:t>1</w:t>
                  </w:r>
                </w:p>
              </w:tc>
              <w:tc>
                <w:tcPr>
                  <w:tcW w:type="dxa" w:w="3049"/>
                  <w:tcBorders>
                    <w:top w:val="none" w:color="000000" w:sz="4"/>
                    <w:left w:val="none" w:color="000000" w:sz="4"/>
                    <w:bottom w:val="single" w:color="000000" w:sz="4"/>
                    <w:right w:val="single" w:color="000000" w:sz="4"/>
                  </w:tcBorders>
                  <w:vAlign w:val="top"/>
                </w:tcPr>
                <w:p>
                  <w:pPr>
                    <w:jc w:val="center"/>
                  </w:pPr>
                  <w:r>
                    <w:rPr>
                      <w:sz w:val="21"/>
                    </w:rPr>
                    <w:t>主机</w:t>
                  </w:r>
                  <w:r>
                    <w:rPr>
                      <w:sz w:val="21"/>
                    </w:rPr>
                    <w:t>(触摸屏）</w:t>
                  </w:r>
                </w:p>
              </w:tc>
              <w:tc>
                <w:tcPr>
                  <w:tcW w:type="dxa" w:w="837"/>
                  <w:tcBorders>
                    <w:top w:val="none" w:color="000000" w:sz="4"/>
                    <w:left w:val="none" w:color="000000" w:sz="4"/>
                    <w:bottom w:val="single" w:color="000000" w:sz="4"/>
                    <w:right w:val="single" w:color="000000" w:sz="4"/>
                  </w:tcBorders>
                  <w:vAlign w:val="top"/>
                </w:tcPr>
                <w:p>
                  <w:pPr>
                    <w:jc w:val="both"/>
                  </w:pPr>
                  <w:r>
                    <w:rPr>
                      <w:sz w:val="21"/>
                    </w:rPr>
                    <w:t>台</w:t>
                  </w:r>
                </w:p>
              </w:tc>
              <w:tc>
                <w:tcPr>
                  <w:tcW w:type="dxa" w:w="95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33"/>
                  <w:tcBorders>
                    <w:top w:val="none" w:color="000000" w:sz="4"/>
                    <w:left w:val="single" w:color="000000" w:sz="4"/>
                    <w:bottom w:val="single" w:color="000000" w:sz="4"/>
                    <w:right w:val="single" w:color="000000" w:sz="4"/>
                  </w:tcBorders>
                  <w:vAlign w:val="top"/>
                </w:tcPr>
                <w:p>
                  <w:pPr>
                    <w:jc w:val="both"/>
                  </w:pPr>
                  <w:r>
                    <w:rPr>
                      <w:sz w:val="21"/>
                    </w:rPr>
                    <w:t>2</w:t>
                  </w:r>
                </w:p>
              </w:tc>
              <w:tc>
                <w:tcPr>
                  <w:tcW w:type="dxa" w:w="3049"/>
                  <w:tcBorders>
                    <w:top w:val="none" w:color="000000" w:sz="4"/>
                    <w:left w:val="none" w:color="000000" w:sz="4"/>
                    <w:bottom w:val="single" w:color="000000" w:sz="4"/>
                    <w:right w:val="single" w:color="000000" w:sz="4"/>
                  </w:tcBorders>
                  <w:vAlign w:val="top"/>
                </w:tcPr>
                <w:p>
                  <w:pPr>
                    <w:jc w:val="center"/>
                  </w:pPr>
                  <w:r>
                    <w:rPr>
                      <w:sz w:val="21"/>
                    </w:rPr>
                    <w:t>心电导联线</w:t>
                  </w:r>
                </w:p>
              </w:tc>
              <w:tc>
                <w:tcPr>
                  <w:tcW w:type="dxa" w:w="837"/>
                  <w:tcBorders>
                    <w:top w:val="none" w:color="000000" w:sz="4"/>
                    <w:left w:val="none" w:color="000000" w:sz="4"/>
                    <w:bottom w:val="single" w:color="000000" w:sz="4"/>
                    <w:right w:val="single" w:color="000000" w:sz="4"/>
                  </w:tcBorders>
                  <w:vAlign w:val="top"/>
                </w:tcPr>
                <w:p>
                  <w:pPr>
                    <w:jc w:val="both"/>
                  </w:pPr>
                  <w:r>
                    <w:rPr>
                      <w:sz w:val="21"/>
                    </w:rPr>
                    <w:t>套</w:t>
                  </w:r>
                </w:p>
              </w:tc>
              <w:tc>
                <w:tcPr>
                  <w:tcW w:type="dxa" w:w="95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33"/>
                  <w:tcBorders>
                    <w:top w:val="none" w:color="000000" w:sz="4"/>
                    <w:left w:val="single" w:color="000000" w:sz="4"/>
                    <w:bottom w:val="single" w:color="000000" w:sz="4"/>
                    <w:right w:val="single" w:color="000000" w:sz="4"/>
                  </w:tcBorders>
                  <w:vAlign w:val="top"/>
                </w:tcPr>
                <w:p>
                  <w:pPr>
                    <w:jc w:val="both"/>
                  </w:pPr>
                  <w:r>
                    <w:rPr>
                      <w:sz w:val="21"/>
                    </w:rPr>
                    <w:t>3</w:t>
                  </w:r>
                </w:p>
              </w:tc>
              <w:tc>
                <w:tcPr>
                  <w:tcW w:type="dxa" w:w="3049"/>
                  <w:tcBorders>
                    <w:top w:val="none" w:color="000000" w:sz="4"/>
                    <w:left w:val="none" w:color="000000" w:sz="4"/>
                    <w:bottom w:val="single" w:color="000000" w:sz="4"/>
                    <w:right w:val="single" w:color="000000" w:sz="4"/>
                  </w:tcBorders>
                  <w:vAlign w:val="top"/>
                </w:tcPr>
                <w:p>
                  <w:pPr>
                    <w:jc w:val="center"/>
                  </w:pPr>
                  <w:r>
                    <w:rPr>
                      <w:sz w:val="21"/>
                    </w:rPr>
                    <w:t>心电电极片</w:t>
                  </w:r>
                </w:p>
              </w:tc>
              <w:tc>
                <w:tcPr>
                  <w:tcW w:type="dxa" w:w="837"/>
                  <w:tcBorders>
                    <w:top w:val="none" w:color="000000" w:sz="4"/>
                    <w:left w:val="none" w:color="000000" w:sz="4"/>
                    <w:bottom w:val="single" w:color="000000" w:sz="4"/>
                    <w:right w:val="single" w:color="000000" w:sz="4"/>
                  </w:tcBorders>
                  <w:vAlign w:val="top"/>
                </w:tcPr>
                <w:p>
                  <w:pPr>
                    <w:jc w:val="both"/>
                  </w:pPr>
                  <w:r>
                    <w:rPr>
                      <w:sz w:val="21"/>
                    </w:rPr>
                    <w:t>套</w:t>
                  </w:r>
                </w:p>
              </w:tc>
              <w:tc>
                <w:tcPr>
                  <w:tcW w:type="dxa" w:w="95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33"/>
                  <w:tcBorders>
                    <w:top w:val="none" w:color="000000" w:sz="4"/>
                    <w:left w:val="single" w:color="000000" w:sz="4"/>
                    <w:bottom w:val="single" w:color="000000" w:sz="4"/>
                    <w:right w:val="single" w:color="000000" w:sz="4"/>
                  </w:tcBorders>
                  <w:vAlign w:val="top"/>
                </w:tcPr>
                <w:p>
                  <w:pPr>
                    <w:jc w:val="both"/>
                  </w:pPr>
                  <w:r>
                    <w:rPr>
                      <w:sz w:val="21"/>
                    </w:rPr>
                    <w:t>4</w:t>
                  </w:r>
                </w:p>
              </w:tc>
              <w:tc>
                <w:tcPr>
                  <w:tcW w:type="dxa" w:w="3049"/>
                  <w:tcBorders>
                    <w:top w:val="none" w:color="000000" w:sz="4"/>
                    <w:left w:val="none" w:color="000000" w:sz="4"/>
                    <w:bottom w:val="single" w:color="000000" w:sz="4"/>
                    <w:right w:val="single" w:color="000000" w:sz="4"/>
                  </w:tcBorders>
                  <w:vAlign w:val="top"/>
                </w:tcPr>
                <w:p>
                  <w:pPr>
                    <w:jc w:val="center"/>
                  </w:pPr>
                  <w:r>
                    <w:rPr>
                      <w:sz w:val="21"/>
                    </w:rPr>
                    <w:t>7针血氧主电缆</w:t>
                  </w:r>
                </w:p>
              </w:tc>
              <w:tc>
                <w:tcPr>
                  <w:tcW w:type="dxa" w:w="837"/>
                  <w:tcBorders>
                    <w:top w:val="none" w:color="000000" w:sz="4"/>
                    <w:left w:val="none" w:color="000000" w:sz="4"/>
                    <w:bottom w:val="single" w:color="000000" w:sz="4"/>
                    <w:right w:val="single" w:color="000000" w:sz="4"/>
                  </w:tcBorders>
                  <w:vAlign w:val="top"/>
                </w:tcPr>
                <w:p>
                  <w:pPr>
                    <w:jc w:val="both"/>
                  </w:pPr>
                  <w:r>
                    <w:rPr>
                      <w:sz w:val="21"/>
                    </w:rPr>
                    <w:t>根</w:t>
                  </w:r>
                </w:p>
              </w:tc>
              <w:tc>
                <w:tcPr>
                  <w:tcW w:type="dxa" w:w="95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33"/>
                  <w:tcBorders>
                    <w:top w:val="none" w:color="000000" w:sz="4"/>
                    <w:left w:val="single" w:color="000000" w:sz="4"/>
                    <w:bottom w:val="single" w:color="000000" w:sz="4"/>
                    <w:right w:val="single" w:color="000000" w:sz="4"/>
                  </w:tcBorders>
                  <w:vAlign w:val="top"/>
                </w:tcPr>
                <w:p>
                  <w:pPr>
                    <w:jc w:val="both"/>
                  </w:pPr>
                  <w:r>
                    <w:rPr>
                      <w:sz w:val="21"/>
                    </w:rPr>
                    <w:t>5</w:t>
                  </w:r>
                </w:p>
              </w:tc>
              <w:tc>
                <w:tcPr>
                  <w:tcW w:type="dxa" w:w="3049"/>
                  <w:tcBorders>
                    <w:top w:val="none" w:color="000000" w:sz="4"/>
                    <w:left w:val="none" w:color="000000" w:sz="4"/>
                    <w:bottom w:val="single" w:color="000000" w:sz="4"/>
                    <w:right w:val="single" w:color="000000" w:sz="4"/>
                  </w:tcBorders>
                  <w:vAlign w:val="top"/>
                </w:tcPr>
                <w:p>
                  <w:pPr>
                    <w:jc w:val="center"/>
                  </w:pPr>
                  <w:r>
                    <w:rPr>
                      <w:sz w:val="21"/>
                    </w:rPr>
                    <w:t>成人血氧探头</w:t>
                  </w:r>
                </w:p>
              </w:tc>
              <w:tc>
                <w:tcPr>
                  <w:tcW w:type="dxa" w:w="837"/>
                  <w:tcBorders>
                    <w:top w:val="none" w:color="000000" w:sz="4"/>
                    <w:left w:val="none" w:color="000000" w:sz="4"/>
                    <w:bottom w:val="single" w:color="000000" w:sz="4"/>
                    <w:right w:val="single" w:color="000000" w:sz="4"/>
                  </w:tcBorders>
                  <w:vAlign w:val="top"/>
                </w:tcPr>
                <w:p>
                  <w:pPr>
                    <w:jc w:val="both"/>
                  </w:pPr>
                  <w:r>
                    <w:rPr>
                      <w:sz w:val="21"/>
                    </w:rPr>
                    <w:t>套</w:t>
                  </w:r>
                </w:p>
              </w:tc>
              <w:tc>
                <w:tcPr>
                  <w:tcW w:type="dxa" w:w="95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33"/>
                  <w:tcBorders>
                    <w:top w:val="none" w:color="000000" w:sz="4"/>
                    <w:left w:val="single" w:color="000000" w:sz="4"/>
                    <w:bottom w:val="single" w:color="000000" w:sz="4"/>
                    <w:right w:val="single" w:color="000000" w:sz="4"/>
                  </w:tcBorders>
                  <w:vAlign w:val="top"/>
                </w:tcPr>
                <w:p>
                  <w:pPr>
                    <w:jc w:val="both"/>
                  </w:pPr>
                  <w:r>
                    <w:rPr>
                      <w:sz w:val="21"/>
                    </w:rPr>
                    <w:t>6</w:t>
                  </w:r>
                </w:p>
              </w:tc>
              <w:tc>
                <w:tcPr>
                  <w:tcW w:type="dxa" w:w="3049"/>
                  <w:tcBorders>
                    <w:top w:val="none" w:color="000000" w:sz="4"/>
                    <w:left w:val="none" w:color="000000" w:sz="4"/>
                    <w:bottom w:val="single" w:color="000000" w:sz="4"/>
                    <w:right w:val="single" w:color="000000" w:sz="4"/>
                  </w:tcBorders>
                  <w:vAlign w:val="top"/>
                </w:tcPr>
                <w:p>
                  <w:pPr>
                    <w:jc w:val="center"/>
                  </w:pPr>
                  <w:r>
                    <w:rPr>
                      <w:sz w:val="21"/>
                    </w:rPr>
                    <w:t>无创血压导气管（直插式插头）</w:t>
                  </w:r>
                </w:p>
              </w:tc>
              <w:tc>
                <w:tcPr>
                  <w:tcW w:type="dxa" w:w="837"/>
                  <w:tcBorders>
                    <w:top w:val="none" w:color="000000" w:sz="4"/>
                    <w:left w:val="none" w:color="000000" w:sz="4"/>
                    <w:bottom w:val="single" w:color="000000" w:sz="4"/>
                    <w:right w:val="single" w:color="000000" w:sz="4"/>
                  </w:tcBorders>
                  <w:vAlign w:val="top"/>
                </w:tcPr>
                <w:p>
                  <w:pPr>
                    <w:jc w:val="both"/>
                  </w:pPr>
                  <w:r>
                    <w:rPr>
                      <w:sz w:val="21"/>
                    </w:rPr>
                    <w:t>根</w:t>
                  </w:r>
                </w:p>
              </w:tc>
              <w:tc>
                <w:tcPr>
                  <w:tcW w:type="dxa" w:w="95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33"/>
                  <w:tcBorders>
                    <w:top w:val="none" w:color="000000" w:sz="4"/>
                    <w:left w:val="single" w:color="000000" w:sz="4"/>
                    <w:bottom w:val="single" w:color="000000" w:sz="4"/>
                    <w:right w:val="single" w:color="000000" w:sz="4"/>
                  </w:tcBorders>
                  <w:vAlign w:val="top"/>
                </w:tcPr>
                <w:p>
                  <w:pPr>
                    <w:jc w:val="both"/>
                  </w:pPr>
                  <w:r>
                    <w:rPr>
                      <w:sz w:val="21"/>
                    </w:rPr>
                    <w:t>7</w:t>
                  </w:r>
                </w:p>
              </w:tc>
              <w:tc>
                <w:tcPr>
                  <w:tcW w:type="dxa" w:w="3049"/>
                  <w:tcBorders>
                    <w:top w:val="none" w:color="000000" w:sz="4"/>
                    <w:left w:val="none" w:color="000000" w:sz="4"/>
                    <w:bottom w:val="single" w:color="000000" w:sz="4"/>
                    <w:right w:val="single" w:color="000000" w:sz="4"/>
                  </w:tcBorders>
                  <w:vAlign w:val="top"/>
                </w:tcPr>
                <w:p>
                  <w:pPr>
                    <w:jc w:val="center"/>
                  </w:pPr>
                  <w:r>
                    <w:rPr>
                      <w:sz w:val="21"/>
                    </w:rPr>
                    <w:t>成人血压袖套</w:t>
                  </w:r>
                </w:p>
              </w:tc>
              <w:tc>
                <w:tcPr>
                  <w:tcW w:type="dxa" w:w="837"/>
                  <w:tcBorders>
                    <w:top w:val="none" w:color="000000" w:sz="4"/>
                    <w:left w:val="none" w:color="000000" w:sz="4"/>
                    <w:bottom w:val="single" w:color="000000" w:sz="4"/>
                    <w:right w:val="single" w:color="000000" w:sz="4"/>
                  </w:tcBorders>
                  <w:vAlign w:val="top"/>
                </w:tcPr>
                <w:p>
                  <w:pPr>
                    <w:jc w:val="both"/>
                  </w:pPr>
                  <w:r>
                    <w:rPr>
                      <w:sz w:val="21"/>
                    </w:rPr>
                    <w:t>套</w:t>
                  </w:r>
                </w:p>
              </w:tc>
              <w:tc>
                <w:tcPr>
                  <w:tcW w:type="dxa" w:w="95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33"/>
                  <w:tcBorders>
                    <w:top w:val="none" w:color="000000" w:sz="4"/>
                    <w:left w:val="single" w:color="000000" w:sz="4"/>
                    <w:bottom w:val="single" w:color="000000" w:sz="4"/>
                    <w:right w:val="single" w:color="000000" w:sz="4"/>
                  </w:tcBorders>
                  <w:vAlign w:val="top"/>
                </w:tcPr>
                <w:p>
                  <w:pPr>
                    <w:jc w:val="both"/>
                  </w:pPr>
                  <w:r>
                    <w:rPr>
                      <w:sz w:val="21"/>
                    </w:rPr>
                    <w:t>8</w:t>
                  </w:r>
                </w:p>
              </w:tc>
              <w:tc>
                <w:tcPr>
                  <w:tcW w:type="dxa" w:w="3049"/>
                  <w:tcBorders>
                    <w:top w:val="none" w:color="000000" w:sz="4"/>
                    <w:left w:val="none" w:color="000000" w:sz="4"/>
                    <w:bottom w:val="single" w:color="000000" w:sz="4"/>
                    <w:right w:val="single" w:color="000000" w:sz="4"/>
                  </w:tcBorders>
                  <w:vAlign w:val="top"/>
                </w:tcPr>
                <w:p>
                  <w:pPr>
                    <w:jc w:val="center"/>
                  </w:pPr>
                  <w:r>
                    <w:rPr>
                      <w:sz w:val="21"/>
                    </w:rPr>
                    <w:t>锂电池</w:t>
                  </w:r>
                </w:p>
              </w:tc>
              <w:tc>
                <w:tcPr>
                  <w:tcW w:type="dxa" w:w="837"/>
                  <w:tcBorders>
                    <w:top w:val="none" w:color="000000" w:sz="4"/>
                    <w:left w:val="none" w:color="000000" w:sz="4"/>
                    <w:bottom w:val="single" w:color="000000" w:sz="4"/>
                    <w:right w:val="single" w:color="000000" w:sz="4"/>
                  </w:tcBorders>
                  <w:vAlign w:val="top"/>
                </w:tcPr>
                <w:p>
                  <w:pPr>
                    <w:jc w:val="both"/>
                  </w:pPr>
                  <w:r>
                    <w:rPr>
                      <w:sz w:val="21"/>
                    </w:rPr>
                    <w:t>块</w:t>
                  </w:r>
                </w:p>
              </w:tc>
              <w:tc>
                <w:tcPr>
                  <w:tcW w:type="dxa" w:w="954"/>
                  <w:tcBorders>
                    <w:top w:val="none" w:color="000000" w:sz="4"/>
                    <w:left w:val="none" w:color="000000" w:sz="4"/>
                    <w:bottom w:val="single" w:color="000000" w:sz="4"/>
                    <w:right w:val="single" w:color="000000" w:sz="4"/>
                  </w:tcBorders>
                  <w:vAlign w:val="top"/>
                </w:tcPr>
                <w:p>
                  <w:pPr>
                    <w:jc w:val="center"/>
                  </w:pPr>
                  <w:r>
                    <w:rPr>
                      <w:sz w:val="21"/>
                    </w:rPr>
                    <w:t>1</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采购包2（普通病房用监护仪B）</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供货期限：合同签订之日起两年或实际供货数量达到标的数量，先到者为准结束合同。</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1期：支付比例100%,每批次合同设备全部到指定地点交付并完成安装及验收合格，中标人按采购人要求提供相关验收资料后3个月内由采购人向中标人支付该批次货物的全部货款： （1）中标人开具的正式发票，发票中货物名称、型号规格必须与合同一致； （2）设备验收表。</w:t>
            </w:r>
          </w:p>
        </w:tc>
      </w:tr>
      <w:tr>
        <w:tc>
          <w:tcPr>
            <w:tcW w:type="dxa" w:w="4153"/>
          </w:tcPr>
          <w:p>
            <w:r>
              <w:rPr/>
              <w:t>验收要求</w:t>
            </w:r>
          </w:p>
        </w:tc>
        <w:tc>
          <w:tcPr>
            <w:tcW w:type="dxa" w:w="4153"/>
          </w:tcPr>
          <w:p/>
          <w:p/>
          <w:p/>
          <w:p>
            <w:r>
              <w:rPr/>
              <w:t>1期：1、合同设备安装、培训，合同配置清单的货物齐全后7个工作日内验收，验收应在双方共同参加下进行。 2、验收按国家有关的规定、规范进行。验收时如发现所交付的设备有短装、次品、损坏或其它不符合本合同规定之情形者，采购人应作出详尽的现场记录，或由双方签署备忘录。此现场记录或备忘录可用作补充、缺失和更换损坏部件的有效证据。由此产生的有关费用由中标人承担。 3、如果合同设备运输和安装过程中因事故造成货物短缺、损坏，乙方应及时安排换装，以保证合同设备安装的成功完成。换货的相关费用由中标人承担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（一）供货期限，合同签订之日起两年</w:t>
            </w:r>
          </w:p>
          <w:p/>
          <w:p>
            <w:r>
              <w:rPr/>
              <w:t>（二）项目说明，实际供货总数量达到预计数量或供货期限满，先到者为准，合同结束。</w:t>
            </w:r>
          </w:p>
          <w:p/>
          <w:p>
            <w:r>
              <w:rPr/>
              <w:t>（三）包装与运输，设备的包装均应有良好的防湿、防锈、防潮、防雨、防腐及防碰撞的措施。凡由于包装不良造成的损失和由此产生的费用均由中标供应商承担。</w:t>
            </w:r>
          </w:p>
          <w:p/>
          <w:p>
            <w:r>
              <w:rPr/>
              <w:t>（四）安装与调试，1、</w:t>
              <w:tab/>
              <w:t>中标供应商必须按项目进度安排计划，派出适当的技术人员到安装现场负责安装和调试工作。在安装施工期间，严格遵守采购人的有关规定。 2、</w:t>
              <w:tab/>
              <w:t>中标供应商必须依照项目采购文件的要求和投标文件的承诺，将设备、系统安装并调试至正常运行的最佳状态。</w:t>
            </w:r>
          </w:p>
          <w:p/>
          <w:p>
            <w:r>
              <w:rPr/>
              <w:t>（五）技术培训，1、</w:t>
              <w:tab/>
              <w:t>中标供应商每台设备提供现场安装调试和培训。 2、</w:t>
              <w:tab/>
              <w:t>应提供完整的培训计划和方案，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所需全部费用均由中标供应商负责。</w:t>
            </w:r>
          </w:p>
          <w:p/>
          <w:p>
            <w:r>
              <w:rPr/>
              <w:t>（六）质量保证期，1、投标人保证合同设备(包括零配件)是全新、未曾使用过的，且必须是最新医疗器械注册证有效期之内生产，其质量、规格及技术特征符合合同附件的要求。 2、合同设备保修期为整机免费原厂保修≥5年（包含维护、保养、所有零配件等），以本项目第一次验收签字之日期一个月后起保（即以《中山大学附属第六医院医疗设备/通用设备安装验收表》中使用科室负责人确认签名之日期一个月后起保）。并提供终身维修服务。保修期内，所有服务及配件全部包含在报价中。“技术标准与要求”中另有要求的，以其中的要求为准。 3、质量保证期内中标供应商对所供货物实行包修、包换、包退、包维护保养，保修期后设备维修配件更换只收取成本费用。且每季度定期校准和保养，并提供书面保养报告及整机质量评估报告。 4、保修期内非因采购人的人为原因而出现产品质量及安装问题，由中标供应商负责包修、包换或包退，并承担因此而产生的一切费用。中标供应商应在收到采购人通知后按照采购人要求派员到现场维修(技术要求另有规定除外)。 5、下列情况不属于免费保修范畴：   5.1不按照乙方提供的正确使用方法而引致设备故障损坏；   5.2擅自改装设备；   5.3各种人为因素或天灾等外来因素造成的损坏。 6、因设备的质量问题而发生争议，由广东省或广州市质检部门进行质量鉴定。设备符合质量标准的，鉴定费用由采购人承担；设备不符合质量标准的，鉴定费用由中标供应商承担。</w:t>
            </w:r>
          </w:p>
          <w:p/>
          <w:p>
            <w:r>
              <w:rPr/>
              <w:t>（七）售后服务，对采购人的服务通知，中标供应商在接报后 2小时内响应，24小时内到达现场，设备故障后需3天内完成维修，并保障设备正常运行。若设备维修后仍无法正常运行或中标供应商无法在设备故障后3天内完成维修，中标供应商须及时提供同功能备用机保障甲方正常工作。</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医用电子生理参数检测仪器设备</w:t>
            </w:r>
          </w:p>
        </w:tc>
        <w:tc>
          <w:tcPr>
            <w:tcW w:type="dxa" w:w="831"/>
          </w:tcPr>
          <w:p>
            <w:pPr>
              <w:jc w:val="left"/>
            </w:pPr>
            <w:r>
              <w:rPr/>
              <w:t>普通病房用监护仪B</w:t>
            </w:r>
          </w:p>
        </w:tc>
        <w:tc>
          <w:tcPr>
            <w:tcW w:type="dxa" w:w="831"/>
          </w:tcPr>
          <w:p>
            <w:pPr>
              <w:jc w:val="left"/>
            </w:pPr>
            <w:r>
              <w:rPr/>
              <w:t>台</w:t>
            </w:r>
          </w:p>
        </w:tc>
        <w:tc>
          <w:tcPr>
            <w:tcW w:type="dxa" w:w="831"/>
          </w:tcPr>
          <w:p>
            <w:pPr>
              <w:jc w:val="right"/>
            </w:pPr>
            <w:r>
              <w:rPr/>
              <w:t>50.00</w:t>
            </w:r>
          </w:p>
        </w:tc>
        <w:tc>
          <w:tcPr>
            <w:tcW w:type="dxa" w:w="831"/>
          </w:tcPr>
          <w:p>
            <w:pPr>
              <w:jc w:val="right"/>
            </w:pPr>
            <w:r>
              <w:rPr/>
              <w:t>15,500.00</w:t>
            </w:r>
          </w:p>
        </w:tc>
        <w:tc>
          <w:tcPr>
            <w:tcW w:type="dxa" w:w="831"/>
          </w:tcPr>
          <w:p>
            <w:pPr>
              <w:jc w:val="right"/>
            </w:pPr>
            <w:r>
              <w:rPr/>
              <w:t>775,000.00</w:t>
            </w:r>
          </w:p>
        </w:tc>
        <w:tc>
          <w:tcPr>
            <w:tcW w:type="dxa" w:w="831"/>
          </w:tcPr>
          <w:p>
            <w:r>
              <w:rPr/>
              <w:t>工业</w:t>
            </w:r>
          </w:p>
        </w:tc>
        <w:tc>
          <w:tcPr>
            <w:tcW w:type="dxa" w:w="831"/>
          </w:tcPr>
          <w:p>
            <w:r>
              <w:rPr/>
              <w:t>详见附表一</w:t>
            </w:r>
          </w:p>
        </w:tc>
      </w:tr>
    </w:tbl>
    <w:p/>
    <w:p>
      <w:r>
        <w:rPr>
          <w:b/>
        </w:rPr>
        <w:t>附表</w:t>
      </w:r>
      <w:r>
        <w:rPr>
          <w:b/>
        </w:rPr>
        <w:t>一</w:t>
      </w:r>
      <w:r>
        <w:rPr>
          <w:b/>
        </w:rPr>
        <w:t>：</w:t>
      </w:r>
      <w:r>
        <w:rPr>
          <w:b/>
        </w:rPr>
        <w:t>普通病房用监护仪B</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1.可监护参数</w:t>
            </w:r>
          </w:p>
          <w:p>
            <w:pPr>
              <w:jc w:val="left"/>
            </w:pPr>
            <w:r>
              <w:rPr>
                <w:sz w:val="21"/>
              </w:rPr>
              <w:t>标准配置：</w:t>
            </w:r>
            <w:r>
              <w:rPr>
                <w:sz w:val="21"/>
              </w:rPr>
              <w:t>3/5导联心电(ECG)，基本心律失常分析，ST段分析，无创血压(NBP)，血氧饱和度(SpO2)，灌注指数值（PI），心率(HR)/脉率（PR），呼吸（Resp），双体温（Temp）。</w:t>
            </w:r>
          </w:p>
          <w:p>
            <w:pPr>
              <w:jc w:val="left"/>
            </w:pPr>
            <w:r>
              <w:rPr>
                <w:b/>
                <w:sz w:val="21"/>
              </w:rPr>
              <w:t>2．显示</w:t>
            </w:r>
          </w:p>
          <w:p>
            <w:pPr>
              <w:jc w:val="left"/>
            </w:pPr>
            <w:r>
              <w:rPr>
                <w:sz w:val="21"/>
              </w:rPr>
              <w:t>2.1显示屏尺寸≥12英寸，分辨率不低于 1280 × 800；显示通道≥8 通道；屏幕可倾斜范围≥15°；</w:t>
            </w:r>
          </w:p>
          <w:p>
            <w:r>
              <w:rPr>
                <w:sz w:val="21"/>
              </w:rPr>
              <w:t>▲2.2电阻屏，支持棉签触屏操作，需提供技术白皮书或操作演示佐证。</w:t>
            </w:r>
          </w:p>
          <w:p>
            <w:pPr>
              <w:jc w:val="left"/>
            </w:pPr>
            <w:r>
              <w:rPr>
                <w:b/>
                <w:sz w:val="21"/>
              </w:rPr>
              <w:t>3.心电（ECG）参数指标</w:t>
            </w:r>
          </w:p>
          <w:p>
            <w:pPr>
              <w:jc w:val="left"/>
            </w:pPr>
            <w:r>
              <w:rPr>
                <w:sz w:val="21"/>
              </w:rPr>
              <w:t>▲3.1算法选用ST/AR ECG、Marquette 12SL ECG或Mortara ECG三种金标准心电算法之一，需提供技术白皮书或说明书截图佐证；</w:t>
            </w:r>
          </w:p>
          <w:p>
            <w:pPr>
              <w:jc w:val="left"/>
            </w:pPr>
            <w:r>
              <w:rPr>
                <w:sz w:val="21"/>
              </w:rPr>
              <w:t>▲3.2支持ST-map，动态显示患者ST段多轴模型，最小分辨率≤12秒；</w:t>
            </w:r>
          </w:p>
          <w:p>
            <w:pPr>
              <w:jc w:val="left"/>
            </w:pPr>
            <w:r>
              <w:rPr>
                <w:sz w:val="21"/>
              </w:rPr>
              <w:t>3.3 导联：3/5 导联；</w:t>
            </w:r>
          </w:p>
          <w:p>
            <w:pPr>
              <w:jc w:val="left"/>
            </w:pPr>
            <w:r>
              <w:rPr>
                <w:sz w:val="21"/>
              </w:rPr>
              <w:t>3.4 心率范围：成人15 - 300 bpm，小儿、新生儿15 - 350 bpm；</w:t>
            </w:r>
          </w:p>
          <w:p>
            <w:pPr>
              <w:jc w:val="left"/>
            </w:pPr>
            <w:r>
              <w:rPr>
                <w:sz w:val="21"/>
              </w:rPr>
              <w:t>3.5 频率响应：监护：0.67 - 40Hz；滤波：0.67 - 20Hz；扩展：0.05 - 100Hz；</w:t>
            </w:r>
          </w:p>
          <w:p>
            <w:pPr>
              <w:jc w:val="left"/>
            </w:pPr>
            <w:r>
              <w:rPr>
                <w:sz w:val="21"/>
              </w:rPr>
              <w:t>3.6 波形扫描速度：12.5、25、50 mm/s；</w:t>
            </w:r>
          </w:p>
          <w:p>
            <w:pPr>
              <w:jc w:val="left"/>
            </w:pPr>
            <w:r>
              <w:rPr>
                <w:sz w:val="21"/>
              </w:rPr>
              <w:t>3.7 ECG尺寸（灵敏度）：4.0、2.0、1.0、0.5、 0.25 cm/mV 或“自动”；</w:t>
            </w:r>
          </w:p>
          <w:p>
            <w:pPr>
              <w:jc w:val="left"/>
            </w:pPr>
            <w:r>
              <w:rPr>
                <w:sz w:val="21"/>
              </w:rPr>
              <w:t>3.8 起搏器检测：在波形显示上的指示标志，用户可选。</w:t>
            </w:r>
          </w:p>
          <w:p>
            <w:pPr>
              <w:jc w:val="left"/>
            </w:pPr>
            <w:r>
              <w:rPr>
                <w:b/>
                <w:sz w:val="21"/>
              </w:rPr>
              <w:t>4.心律失常分析 （ECG arrhythmia）参数指标</w:t>
            </w:r>
          </w:p>
          <w:p>
            <w:pPr>
              <w:jc w:val="left"/>
            </w:pPr>
            <w:r>
              <w:rPr>
                <w:sz w:val="21"/>
              </w:rPr>
              <w:t>4.1 心率计报警：心搏停止、极度心动过缓、极度心动过速、心率过高、心率过低；</w:t>
            </w:r>
          </w:p>
          <w:p>
            <w:pPr>
              <w:jc w:val="left"/>
            </w:pPr>
            <w:r>
              <w:rPr>
                <w:sz w:val="21"/>
              </w:rPr>
              <w:t>4.2 基本心律失常的其他报警：室颤/心动过速、起搏器未夺获、起搏器未起搏、PVC过高；</w:t>
            </w:r>
          </w:p>
          <w:p>
            <w:pPr>
              <w:jc w:val="left"/>
            </w:pPr>
            <w:r>
              <w:rPr>
                <w:sz w:val="21"/>
              </w:rPr>
              <w:t>4.3 增强心律失常的其他报警：阵发VT、室性节律、连发PVC过高、成对PVC、暂停、漏搏、SVT、R-on-T PVC、室性二联律、室性三联律、多源PVC、房颤、房颤终止、心律不齐、心律不齐终止。</w:t>
            </w:r>
          </w:p>
          <w:p>
            <w:pPr>
              <w:jc w:val="left"/>
            </w:pPr>
            <w:r>
              <w:rPr>
                <w:b/>
                <w:sz w:val="21"/>
              </w:rPr>
              <w:t>5.阻抗呼吸（RESP）参数指标</w:t>
            </w:r>
          </w:p>
          <w:p>
            <w:pPr>
              <w:jc w:val="left"/>
            </w:pPr>
            <w:r>
              <w:rPr>
                <w:sz w:val="21"/>
              </w:rPr>
              <w:t>5.1 测量范围：3 – 150 rpm；分辨率：1rpm；</w:t>
            </w:r>
          </w:p>
          <w:p>
            <w:pPr>
              <w:jc w:val="left"/>
            </w:pPr>
            <w:r>
              <w:rPr>
                <w:sz w:val="21"/>
              </w:rPr>
              <w:t>5.2 波形扫描速度：可选择 6.25、 12.5、 25 和 50 mm/s；</w:t>
            </w:r>
          </w:p>
          <w:p>
            <w:pPr>
              <w:jc w:val="left"/>
            </w:pPr>
            <w:r>
              <w:rPr>
                <w:sz w:val="21"/>
              </w:rPr>
              <w:t>5.3 波形增益：可选择 ×0.5、×1、×2、×4；</w:t>
            </w:r>
          </w:p>
          <w:p>
            <w:pPr>
              <w:jc w:val="left"/>
            </w:pPr>
            <w:r>
              <w:rPr>
                <w:sz w:val="21"/>
              </w:rPr>
              <w:t>5.4 呼吸暂停报警：可选择 关、10s、15s、20s、25s、30 s、35s 或40s。</w:t>
            </w:r>
          </w:p>
          <w:p>
            <w:pPr>
              <w:jc w:val="left"/>
            </w:pPr>
            <w:r>
              <w:rPr>
                <w:b/>
                <w:sz w:val="21"/>
              </w:rPr>
              <w:t>6.无创血压（NBP）参数指标</w:t>
            </w:r>
          </w:p>
          <w:p>
            <w:pPr>
              <w:jc w:val="left"/>
            </w:pPr>
            <w:r>
              <w:rPr>
                <w:sz w:val="21"/>
              </w:rPr>
              <w:t>6.1 成人测量范围：收缩压 30 - 270 mmHg（4.0- 36.0kPa），舒张压 10 - 240 mmHg（1.3- 32.0kPa），平均压 20 - 250 mmHg（2.7-33.3kPa）；</w:t>
            </w:r>
          </w:p>
          <w:p>
            <w:pPr>
              <w:jc w:val="left"/>
            </w:pPr>
            <w:r>
              <w:rPr>
                <w:sz w:val="21"/>
              </w:rPr>
              <w:t>6.2 小儿测量范围：收缩压 30 - 180 mmHg（4.0-24.0kPa），舒张压 10 - 150 mmHg（1.3-20.0kPa），平均压 20 - 160 mmHg（2.7-21.3kPa）；</w:t>
            </w:r>
          </w:p>
          <w:p>
            <w:pPr>
              <w:jc w:val="left"/>
            </w:pPr>
            <w:r>
              <w:rPr>
                <w:sz w:val="21"/>
              </w:rPr>
              <w:t>6.3 新生儿测量范围：收缩压 30 - 130 mmHg(4.0-17.3kPa)，舒张压 10 - 100 mmHg（1.3-13.3kPa），平均压 20 - 120 mmHg（2.7-16.0kPa）；</w:t>
            </w:r>
          </w:p>
          <w:p>
            <w:pPr>
              <w:jc w:val="left"/>
            </w:pPr>
            <w:r>
              <w:rPr>
                <w:sz w:val="21"/>
              </w:rPr>
              <w:t>6.4 脉率范围：40 - 300 bpm；</w:t>
            </w:r>
          </w:p>
          <w:p>
            <w:pPr>
              <w:jc w:val="left"/>
            </w:pPr>
            <w:r>
              <w:rPr>
                <w:sz w:val="21"/>
              </w:rPr>
              <w:t>6.5 初始袖带充气：成人：160 mmHg；小儿：140 mmHg；新生儿：100 mmHg；</w:t>
            </w:r>
          </w:p>
          <w:p>
            <w:pPr>
              <w:jc w:val="left"/>
            </w:pPr>
            <w:r>
              <w:rPr>
                <w:sz w:val="21"/>
              </w:rPr>
              <w:t>6.6 无创血压测量间隔：自动测量：间隔可选择1,2,3,5,10,15,30,60,90,120分钟；STAT测量：5分钟时间内尽可能多地进行NBP测量。</w:t>
            </w:r>
          </w:p>
          <w:p>
            <w:pPr>
              <w:jc w:val="left"/>
            </w:pPr>
            <w:r>
              <w:rPr>
                <w:b/>
                <w:sz w:val="21"/>
              </w:rPr>
              <w:t>7.血氧（SPO</w:t>
            </w:r>
            <w:r>
              <w:rPr>
                <w:b/>
                <w:sz w:val="21"/>
                <w:vertAlign w:val="subscript"/>
              </w:rPr>
              <w:t>2</w:t>
            </w:r>
            <w:r>
              <w:rPr>
                <w:b/>
                <w:sz w:val="21"/>
              </w:rPr>
              <w:t>）参数指标</w:t>
            </w:r>
          </w:p>
          <w:p>
            <w:r>
              <w:rPr>
                <w:sz w:val="21"/>
              </w:rPr>
              <w:t>▲7.1采用NELLCOR SpO2、FAST SpO2或Masimo SpO2三种金标准血氧技术之一，需提供技术白皮书或说明书截图佐证；</w:t>
            </w:r>
          </w:p>
          <w:p>
            <w:r>
              <w:rPr>
                <w:sz w:val="21"/>
              </w:rPr>
              <w:t>▲7.2氧饱和度同时能做到智能延迟报警和灌注指数显示, 根据报警严重级别，给出至少三种等级延迟报警设</w:t>
            </w:r>
            <w:r>
              <w:rPr>
                <w:sz w:val="21"/>
              </w:rPr>
              <w:t>置；</w:t>
            </w:r>
          </w:p>
          <w:p>
            <w:r>
              <w:rPr>
                <w:sz w:val="21"/>
              </w:rPr>
              <w:t>7.3具有灌注指数显示，指示外周小动脉充盈状态；</w:t>
            </w:r>
          </w:p>
          <w:p>
            <w:r>
              <w:rPr>
                <w:sz w:val="21"/>
              </w:rPr>
              <w:t>7.4</w:t>
            </w:r>
            <w:r>
              <w:rPr/>
              <w:t xml:space="preserve"> </w:t>
            </w:r>
            <w:r>
              <w:rPr>
                <w:sz w:val="21"/>
              </w:rPr>
              <w:t>SpO2测量范围：0 - 100%，分辨率1%；</w:t>
            </w:r>
          </w:p>
          <w:p>
            <w:pPr>
              <w:jc w:val="left"/>
            </w:pPr>
            <w:r>
              <w:rPr>
                <w:sz w:val="21"/>
              </w:rPr>
              <w:t>7.5 脉率测量范围：30 -300 bpm，分辨率1 bpm；</w:t>
            </w:r>
          </w:p>
          <w:p>
            <w:r>
              <w:rPr>
                <w:sz w:val="21"/>
              </w:rPr>
              <w:t>▲7.6可升级Masimo Rainbow技术监测：总血红蛋白SpHb、碳氧血红蛋白SpCO。</w:t>
            </w:r>
          </w:p>
          <w:p>
            <w:pPr>
              <w:jc w:val="left"/>
            </w:pPr>
            <w:r>
              <w:rPr>
                <w:b/>
                <w:sz w:val="21"/>
              </w:rPr>
              <w:t>8.温度（Temp）参数指标</w:t>
            </w:r>
          </w:p>
          <w:p>
            <w:pPr>
              <w:jc w:val="left"/>
            </w:pPr>
            <w:r>
              <w:rPr>
                <w:sz w:val="21"/>
              </w:rPr>
              <w:t>8.1测量范围：25 -45 ℃；</w:t>
            </w:r>
          </w:p>
          <w:p>
            <w:pPr>
              <w:jc w:val="left"/>
            </w:pPr>
            <w:r>
              <w:rPr>
                <w:sz w:val="21"/>
              </w:rPr>
              <w:t>8.2根据不同测量部位,有相应温度标名，如皮肤温,肛温,鼻咽温等。</w:t>
            </w:r>
          </w:p>
          <w:p>
            <w:pPr>
              <w:jc w:val="left"/>
            </w:pPr>
            <w:r>
              <w:rPr>
                <w:sz w:val="21"/>
              </w:rPr>
              <w:t>9.</w:t>
            </w:r>
            <w:r>
              <w:rPr>
                <w:b/>
                <w:sz w:val="21"/>
              </w:rPr>
              <w:t>趋势存储</w:t>
            </w:r>
          </w:p>
          <w:p>
            <w:pPr>
              <w:jc w:val="left"/>
            </w:pPr>
            <w:r>
              <w:rPr>
                <w:sz w:val="21"/>
              </w:rPr>
              <w:t>9.1单台监护仪（无需连接中央站），可存储、查看≥200小时的数据趋势；</w:t>
            </w:r>
          </w:p>
          <w:p>
            <w:pPr>
              <w:jc w:val="left"/>
            </w:pPr>
            <w:r>
              <w:rPr>
                <w:sz w:val="21"/>
              </w:rPr>
              <w:t>9.2单台监护仪（无需连接中央站），可存储、查看≥180条报警事件；</w:t>
            </w:r>
          </w:p>
          <w:p>
            <w:pPr>
              <w:jc w:val="left"/>
            </w:pPr>
            <w:r>
              <w:rPr>
                <w:sz w:val="21"/>
              </w:rPr>
              <w:t>▲9.3单台监护仪（无需连接中央站）,可存储、查看≥10道波形的全息无压缩波形,上述10道以上的全息波形；</w:t>
            </w:r>
          </w:p>
          <w:p>
            <w:pPr>
              <w:jc w:val="left"/>
            </w:pPr>
            <w:r>
              <w:rPr>
                <w:sz w:val="21"/>
              </w:rPr>
              <w:t>▲9.4趋势数据可按输入精确时间进行检索；</w:t>
            </w:r>
          </w:p>
          <w:p>
            <w:pPr>
              <w:jc w:val="left"/>
            </w:pPr>
            <w:r>
              <w:rPr>
                <w:b/>
                <w:sz w:val="21"/>
              </w:rPr>
              <w:t>10.锂电池工作时间≥4 小时，电池充电时间 &lt; 5 小时。</w:t>
            </w:r>
          </w:p>
          <w:p>
            <w:pPr>
              <w:jc w:val="left"/>
            </w:pPr>
            <w:r>
              <w:rPr>
                <w:b/>
                <w:sz w:val="21"/>
              </w:rPr>
              <w:t>11.异常数据</w:t>
            </w:r>
          </w:p>
          <w:p>
            <w:pPr>
              <w:jc w:val="left"/>
            </w:pPr>
            <w:r>
              <w:rPr>
                <w:sz w:val="21"/>
              </w:rPr>
              <w:t>11.1异常数据处理：遇到异常波形时，可用手动事件功能，存下所有当时测量参数，前7后13波形；</w:t>
            </w:r>
          </w:p>
          <w:p>
            <w:pPr>
              <w:jc w:val="left"/>
            </w:pPr>
            <w:r>
              <w:rPr>
                <w:sz w:val="21"/>
              </w:rPr>
              <w:t>11.2异常数据报警，多个报警同时发生，多个报警数据可同屏列表显示，可同时查看多个生命体征的报警数据，按优先级别排序。</w:t>
            </w:r>
          </w:p>
          <w:p>
            <w:pPr>
              <w:jc w:val="left"/>
            </w:pPr>
            <w:r>
              <w:rPr>
                <w:b/>
                <w:sz w:val="21"/>
              </w:rPr>
              <w:t>12.</w:t>
            </w:r>
            <w:r>
              <w:rPr>
                <w:b/>
                <w:sz w:val="21"/>
              </w:rPr>
              <w:t>免费开放数据端口，并且以标准格式进行输出。</w:t>
            </w:r>
          </w:p>
          <w:p>
            <w:pPr>
              <w:jc w:val="left"/>
            </w:pPr>
            <w:r>
              <w:rPr>
                <w:b/>
                <w:sz w:val="21"/>
              </w:rPr>
              <w:t>13.配置要求</w:t>
            </w:r>
          </w:p>
          <w:tbl>
            <w:tblPr>
              <w:tblInd w:type="dxa" w:w="135"/>
              <w:tblBorders>
                <w:top w:val="none" w:color="000000" w:sz="4"/>
                <w:left w:val="none" w:color="000000" w:sz="4"/>
                <w:bottom w:val="none" w:color="000000" w:sz="4"/>
                <w:right w:val="none" w:color="000000" w:sz="4"/>
                <w:insideH w:val="none"/>
                <w:insideV w:val="none"/>
              </w:tblBorders>
            </w:tblPr>
            <w:tblGrid>
              <w:gridCol w:w="841"/>
              <w:gridCol w:w="2231"/>
              <w:gridCol w:w="841"/>
              <w:gridCol w:w="841"/>
              <w:gridCol w:w="841"/>
            </w:tblGrid>
            <w:tr>
              <w:tc>
                <w:tcPr>
                  <w:tcW w:type="dxa" w:w="84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31"/>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841"/>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841"/>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841"/>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84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1"/>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84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41"/>
                  <w:tcBorders>
                    <w:top w:val="none" w:color="000000" w:sz="4"/>
                    <w:left w:val="none" w:color="000000" w:sz="4"/>
                    <w:bottom w:val="single" w:color="000000" w:sz="4"/>
                    <w:right w:val="single" w:color="000000" w:sz="4"/>
                  </w:tcBorders>
                  <w:vAlign w:val="top"/>
                </w:tcPr>
                <w:p>
                  <w:pPr>
                    <w:jc w:val="center"/>
                  </w:pPr>
                  <w:r>
                    <w:rPr>
                      <w:sz w:val="21"/>
                    </w:rPr>
                    <w:t>1</w:t>
                  </w:r>
                </w:p>
              </w:tc>
              <w:tc>
                <w:tcPr>
                  <w:tcW w:type="dxa" w:w="841"/>
                  <w:tcBorders>
                    <w:top w:val="none" w:color="000000" w:sz="4"/>
                    <w:left w:val="none" w:color="000000" w:sz="4"/>
                    <w:bottom w:val="single" w:color="000000" w:sz="4"/>
                    <w:right w:val="single" w:color="000000" w:sz="4"/>
                  </w:tcBorders>
                  <w:vAlign w:val="top"/>
                </w:tcPr>
                <w:p>
                  <w:pPr>
                    <w:jc w:val="center"/>
                  </w:pPr>
                </w:p>
              </w:tc>
            </w:tr>
            <w:tr>
              <w:tc>
                <w:tcPr>
                  <w:tcW w:type="dxa" w:w="84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31"/>
                  <w:tcBorders>
                    <w:top w:val="none" w:color="000000" w:sz="4"/>
                    <w:left w:val="none" w:color="000000" w:sz="4"/>
                    <w:bottom w:val="single" w:color="000000" w:sz="4"/>
                    <w:right w:val="single" w:color="000000" w:sz="4"/>
                  </w:tcBorders>
                  <w:vAlign w:val="top"/>
                </w:tcPr>
                <w:p>
                  <w:pPr>
                    <w:jc w:val="center"/>
                  </w:pPr>
                  <w:r>
                    <w:rPr>
                      <w:sz w:val="21"/>
                    </w:rPr>
                    <w:t>心电导联线</w:t>
                  </w:r>
                </w:p>
              </w:tc>
              <w:tc>
                <w:tcPr>
                  <w:tcW w:type="dxa" w:w="84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41"/>
                  <w:tcBorders>
                    <w:top w:val="none" w:color="000000" w:sz="4"/>
                    <w:left w:val="none" w:color="000000" w:sz="4"/>
                    <w:bottom w:val="single" w:color="000000" w:sz="4"/>
                    <w:right w:val="single" w:color="000000" w:sz="4"/>
                  </w:tcBorders>
                  <w:vAlign w:val="top"/>
                </w:tcPr>
                <w:p>
                  <w:pPr>
                    <w:jc w:val="center"/>
                  </w:pPr>
                  <w:r>
                    <w:rPr>
                      <w:sz w:val="21"/>
                    </w:rPr>
                    <w:t>≥1</w:t>
                  </w:r>
                </w:p>
              </w:tc>
              <w:tc>
                <w:tcPr>
                  <w:tcW w:type="dxa" w:w="841"/>
                  <w:tcBorders>
                    <w:top w:val="none" w:color="000000" w:sz="4"/>
                    <w:left w:val="none" w:color="000000" w:sz="4"/>
                    <w:bottom w:val="single" w:color="000000" w:sz="4"/>
                    <w:right w:val="single" w:color="000000" w:sz="4"/>
                  </w:tcBorders>
                  <w:vAlign w:val="top"/>
                </w:tcPr>
                <w:p>
                  <w:pPr>
                    <w:jc w:val="center"/>
                  </w:pPr>
                </w:p>
              </w:tc>
            </w:tr>
            <w:tr>
              <w:tc>
                <w:tcPr>
                  <w:tcW w:type="dxa" w:w="84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31"/>
                  <w:tcBorders>
                    <w:top w:val="none" w:color="000000" w:sz="4"/>
                    <w:left w:val="none" w:color="000000" w:sz="4"/>
                    <w:bottom w:val="single" w:color="000000" w:sz="4"/>
                    <w:right w:val="single" w:color="000000" w:sz="4"/>
                  </w:tcBorders>
                  <w:vAlign w:val="top"/>
                </w:tcPr>
                <w:p>
                  <w:pPr>
                    <w:jc w:val="center"/>
                  </w:pPr>
                  <w:r>
                    <w:rPr>
                      <w:sz w:val="21"/>
                    </w:rPr>
                    <w:t>成人血氧探头</w:t>
                  </w:r>
                </w:p>
              </w:tc>
              <w:tc>
                <w:tcPr>
                  <w:tcW w:type="dxa" w:w="84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41"/>
                  <w:tcBorders>
                    <w:top w:val="none" w:color="000000" w:sz="4"/>
                    <w:left w:val="none" w:color="000000" w:sz="4"/>
                    <w:bottom w:val="single" w:color="000000" w:sz="4"/>
                    <w:right w:val="single" w:color="000000" w:sz="4"/>
                  </w:tcBorders>
                  <w:vAlign w:val="top"/>
                </w:tcPr>
                <w:p>
                  <w:pPr>
                    <w:jc w:val="center"/>
                  </w:pPr>
                  <w:r>
                    <w:rPr>
                      <w:sz w:val="21"/>
                    </w:rPr>
                    <w:t>≥1</w:t>
                  </w:r>
                </w:p>
              </w:tc>
              <w:tc>
                <w:tcPr>
                  <w:tcW w:type="dxa" w:w="841"/>
                  <w:tcBorders>
                    <w:top w:val="none" w:color="000000" w:sz="4"/>
                    <w:left w:val="none" w:color="000000" w:sz="4"/>
                    <w:bottom w:val="single" w:color="000000" w:sz="4"/>
                    <w:right w:val="single" w:color="000000" w:sz="4"/>
                  </w:tcBorders>
                  <w:vAlign w:val="top"/>
                </w:tcPr>
                <w:p>
                  <w:pPr>
                    <w:jc w:val="center"/>
                  </w:pPr>
                </w:p>
              </w:tc>
            </w:tr>
            <w:tr>
              <w:tc>
                <w:tcPr>
                  <w:tcW w:type="dxa" w:w="84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31"/>
                  <w:tcBorders>
                    <w:top w:val="none" w:color="000000" w:sz="4"/>
                    <w:left w:val="none" w:color="000000" w:sz="4"/>
                    <w:bottom w:val="single" w:color="000000" w:sz="4"/>
                    <w:right w:val="single" w:color="000000" w:sz="4"/>
                  </w:tcBorders>
                  <w:vAlign w:val="top"/>
                </w:tcPr>
                <w:p>
                  <w:pPr>
                    <w:jc w:val="center"/>
                  </w:pPr>
                  <w:r>
                    <w:rPr>
                      <w:sz w:val="21"/>
                    </w:rPr>
                    <w:t>无创血压导气管</w:t>
                  </w:r>
                </w:p>
              </w:tc>
              <w:tc>
                <w:tcPr>
                  <w:tcW w:type="dxa" w:w="841"/>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41"/>
                  <w:tcBorders>
                    <w:top w:val="none" w:color="000000" w:sz="4"/>
                    <w:left w:val="none" w:color="000000" w:sz="4"/>
                    <w:bottom w:val="single" w:color="000000" w:sz="4"/>
                    <w:right w:val="single" w:color="000000" w:sz="4"/>
                  </w:tcBorders>
                  <w:vAlign w:val="top"/>
                </w:tcPr>
                <w:p>
                  <w:pPr>
                    <w:jc w:val="center"/>
                  </w:pPr>
                  <w:r>
                    <w:rPr>
                      <w:sz w:val="21"/>
                    </w:rPr>
                    <w:t>≥1</w:t>
                  </w:r>
                </w:p>
              </w:tc>
              <w:tc>
                <w:tcPr>
                  <w:tcW w:type="dxa" w:w="841"/>
                  <w:tcBorders>
                    <w:top w:val="none" w:color="000000" w:sz="4"/>
                    <w:left w:val="none" w:color="000000" w:sz="4"/>
                    <w:bottom w:val="single" w:color="000000" w:sz="4"/>
                    <w:right w:val="single" w:color="000000" w:sz="4"/>
                  </w:tcBorders>
                  <w:vAlign w:val="top"/>
                </w:tcPr>
                <w:p>
                  <w:pPr>
                    <w:jc w:val="center"/>
                  </w:pPr>
                </w:p>
              </w:tc>
            </w:tr>
            <w:tr>
              <w:tc>
                <w:tcPr>
                  <w:tcW w:type="dxa" w:w="84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31"/>
                  <w:tcBorders>
                    <w:top w:val="none" w:color="000000" w:sz="4"/>
                    <w:left w:val="none" w:color="000000" w:sz="4"/>
                    <w:bottom w:val="single" w:color="000000" w:sz="4"/>
                    <w:right w:val="single" w:color="000000" w:sz="4"/>
                  </w:tcBorders>
                  <w:vAlign w:val="top"/>
                </w:tcPr>
                <w:p>
                  <w:pPr>
                    <w:jc w:val="center"/>
                  </w:pPr>
                  <w:r>
                    <w:rPr>
                      <w:sz w:val="21"/>
                    </w:rPr>
                    <w:t>成人血压袖套</w:t>
                  </w:r>
                </w:p>
              </w:tc>
              <w:tc>
                <w:tcPr>
                  <w:tcW w:type="dxa" w:w="84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41"/>
                  <w:tcBorders>
                    <w:top w:val="none" w:color="000000" w:sz="4"/>
                    <w:left w:val="none" w:color="000000" w:sz="4"/>
                    <w:bottom w:val="single" w:color="000000" w:sz="4"/>
                    <w:right w:val="single" w:color="000000" w:sz="4"/>
                  </w:tcBorders>
                  <w:vAlign w:val="top"/>
                </w:tcPr>
                <w:p>
                  <w:pPr>
                    <w:jc w:val="center"/>
                  </w:pPr>
                  <w:r>
                    <w:rPr>
                      <w:sz w:val="21"/>
                    </w:rPr>
                    <w:t>≥1</w:t>
                  </w:r>
                </w:p>
              </w:tc>
              <w:tc>
                <w:tcPr>
                  <w:tcW w:type="dxa" w:w="841"/>
                  <w:tcBorders>
                    <w:top w:val="none" w:color="000000" w:sz="4"/>
                    <w:left w:val="none" w:color="000000" w:sz="4"/>
                    <w:bottom w:val="single" w:color="000000" w:sz="4"/>
                    <w:right w:val="single" w:color="000000" w:sz="4"/>
                  </w:tcBorders>
                  <w:vAlign w:val="top"/>
                </w:tcPr>
                <w:p>
                  <w:pPr>
                    <w:jc w:val="center"/>
                  </w:pPr>
                </w:p>
              </w:tc>
            </w:tr>
            <w:tr>
              <w:tc>
                <w:tcPr>
                  <w:tcW w:type="dxa" w:w="84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1"/>
                  <w:tcBorders>
                    <w:top w:val="none" w:color="000000" w:sz="4"/>
                    <w:left w:val="none" w:color="000000" w:sz="4"/>
                    <w:bottom w:val="single" w:color="000000" w:sz="4"/>
                    <w:right w:val="single" w:color="000000" w:sz="4"/>
                  </w:tcBorders>
                  <w:vAlign w:val="top"/>
                </w:tcPr>
                <w:p>
                  <w:pPr>
                    <w:jc w:val="center"/>
                  </w:pPr>
                  <w:r>
                    <w:rPr>
                      <w:sz w:val="21"/>
                    </w:rPr>
                    <w:t>锂电池</w:t>
                  </w:r>
                </w:p>
              </w:tc>
              <w:tc>
                <w:tcPr>
                  <w:tcW w:type="dxa" w:w="841"/>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41"/>
                  <w:tcBorders>
                    <w:top w:val="none" w:color="000000" w:sz="4"/>
                    <w:left w:val="none" w:color="000000" w:sz="4"/>
                    <w:bottom w:val="single" w:color="000000" w:sz="4"/>
                    <w:right w:val="single" w:color="000000" w:sz="4"/>
                  </w:tcBorders>
                  <w:vAlign w:val="top"/>
                </w:tcPr>
                <w:p>
                  <w:pPr>
                    <w:jc w:val="center"/>
                  </w:pPr>
                  <w:r>
                    <w:rPr>
                      <w:sz w:val="21"/>
                    </w:rPr>
                    <w:t>1</w:t>
                  </w:r>
                </w:p>
              </w:tc>
              <w:tc>
                <w:tcPr>
                  <w:tcW w:type="dxa" w:w="841"/>
                  <w:tcBorders>
                    <w:top w:val="none" w:color="000000" w:sz="4"/>
                    <w:left w:val="none" w:color="000000" w:sz="4"/>
                    <w:bottom w:val="single" w:color="000000" w:sz="4"/>
                    <w:right w:val="single" w:color="000000" w:sz="4"/>
                  </w:tcBorders>
                  <w:vAlign w:val="top"/>
                </w:tcPr>
                <w:p>
                  <w:pPr>
                    <w:jc w:val="center"/>
                  </w:pPr>
                </w:p>
              </w:tc>
            </w:tr>
            <w:tr>
              <w:tc>
                <w:tcPr>
                  <w:tcW w:type="dxa" w:w="84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31"/>
                  <w:tcBorders>
                    <w:top w:val="none" w:color="000000" w:sz="4"/>
                    <w:left w:val="none" w:color="000000" w:sz="4"/>
                    <w:bottom w:val="single" w:color="000000" w:sz="4"/>
                    <w:right w:val="single" w:color="000000" w:sz="4"/>
                  </w:tcBorders>
                  <w:vAlign w:val="top"/>
                </w:tcPr>
                <w:p>
                  <w:pPr>
                    <w:jc w:val="center"/>
                  </w:pPr>
                  <w:r>
                    <w:rPr>
                      <w:sz w:val="21"/>
                    </w:rPr>
                    <w:t>监护仪台车</w:t>
                  </w:r>
                </w:p>
              </w:tc>
              <w:tc>
                <w:tcPr>
                  <w:tcW w:type="dxa" w:w="84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41"/>
                  <w:tcBorders>
                    <w:top w:val="none" w:color="000000" w:sz="4"/>
                    <w:left w:val="none" w:color="000000" w:sz="4"/>
                    <w:bottom w:val="single" w:color="000000" w:sz="4"/>
                    <w:right w:val="single" w:color="000000" w:sz="4"/>
                  </w:tcBorders>
                  <w:vAlign w:val="top"/>
                </w:tcPr>
                <w:p>
                  <w:pPr>
                    <w:jc w:val="center"/>
                  </w:pPr>
                  <w:r>
                    <w:rPr>
                      <w:sz w:val="21"/>
                    </w:rPr>
                    <w:t>1</w:t>
                  </w:r>
                </w:p>
              </w:tc>
              <w:tc>
                <w:tcPr>
                  <w:tcW w:type="dxa" w:w="841"/>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采购包1：保证金人民币：50,000.00元整。</w:t>
            </w:r>
            <w:r>
              <w:rPr/>
              <w:t>采购包2：保证金人民币：14,000.00元整。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提交投标（响应）文件截止时间前原件递交至采购代理机构。</w:t>
            </w:r>
          </w:p>
          <w:p>
            <w:r>
              <w:rPr/>
              <w:t>汇票、本票提交方式：</w:t>
            </w:r>
            <w:r>
              <w:rPr/>
              <w:t>提交投标（响应）文件截止时间前原件递交至采购代理机构。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兼投不兼中：本项目可兼投但不可兼中。本项目评审按照采购包顺序本项目评审按照采购包顺序（采购包1 →采购包2）依次进行评审。投标人可兼投多个采购包但只能成为一个采购包的中标供应商。如投标人已经成为前面采购包的第一中标候选人，其投标文件不参与后续采购包的详细评审。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以各采购包的中标金额作为采购代理服务费的计算基数。参照中华人民共和国国家发展计划委员会颁发的计价格〔2002〕1980号、发改办价格〔2003〕857号及发改价格〔2011〕534号文规定的“货物类”计费标准的65%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段念、陈蔚</w:t>
      </w:r>
    </w:p>
    <w:p>
      <w:pPr>
        <w:ind w:firstLine="480"/>
      </w:pPr>
      <w:r>
        <w:rPr/>
        <w:t>电话：</w:t>
      </w:r>
      <w:r>
        <w:rPr/>
        <w:t>020-39977064、020-87688049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采购包1(普通病房用监护仪A)：综合评分法,是指投标文件满足招标文件全部实质性要求，且按照评审因素的量化指标评审得分最高的投标人为中标候选人的评标方法。（最低报价不是中标的唯一依据。）</w:t>
      </w:r>
    </w:p>
    <w:p/>
    <w:p>
      <w:r>
        <w:rPr/>
        <w:t>采购包2(普通病房用监护仪B)：综合评分法,是指投标文件满足招标文件全部实质性要求，且按照评审因素的量化指标评审得分最高的投标人为中标候选人的评标方法。（最低报价不是中标的唯一依据。）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采购包1（普通病房用监护仪A）：</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采购包2（普通病房用监护仪B）：</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采购包1（普通病房用监护仪A）：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采购包2（普通病房用监护仪B）：</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采购包1（普通病房用监护仪A）：</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投标人（响应供应商）按项目采购文件要求缴纳投标保证金或投标保证缴纳金额满足项目采购文件要求的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t>采购包2（普通病房用监护仪B）：</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r>
        <w:tc>
          <w:tcPr>
            <w:tcW w:type="dxa" w:w="890"/>
          </w:tcPr>
          <w:p>
            <w:r>
              <w:rPr/>
              <w:t>10</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采购包1(普通病房用监护仪A):</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(21.0分)</w:t>
            </w:r>
          </w:p>
        </w:tc>
        <w:tc>
          <w:tcPr>
            <w:tcW w:type="dxa" w:w="5076"/>
          </w:tcPr>
          <w:p>
            <w:pPr>
              <w:jc w:val="left"/>
            </w:pPr>
            <w:r>
              <w:rPr/>
              <w:t>根据各投标人相应所投产品对《采购需求》中“技术标准与要求”的附表中标注“▲”的重要技术参数的响应情况进行评审：（共7项） 标注“▲”的重要技术参数，该项为“正偏离”或“符合”或“无偏离”的，该项得3分；响应为“负偏离”的，该项不得分。最高得21分。 备注：如采购需求中有明确要求提供证明材料的，则以采购需求要求的为准；如采购需求中无明确要求证明材料的，则投标人须提供投标产品的“彩页”或“使用说明书”（如使用说明书为英文版，请同时提供中文版，盖上厂家公章）或盖有厂家公章的技术参数（中文版）确认函作为技术证明文件。凡不符合上述要求的，将视为无效技术支持资料。</w:t>
            </w:r>
          </w:p>
        </w:tc>
      </w:tr>
      <w:tr>
        <w:tc>
          <w:tcPr>
            <w:tcW w:type="dxa" w:w="922"/>
            <w:gridSpan w:val="2"/>
            <w:vMerge/>
          </w:tcPr>
          <w:p/>
        </w:tc>
        <w:tc>
          <w:tcPr>
            <w:tcW w:type="dxa" w:w="2307"/>
          </w:tcPr>
          <w:p>
            <w:pPr>
              <w:jc w:val="left"/>
            </w:pPr>
            <w:r>
              <w:rPr/>
              <w:t>一般技术参数的响应情况  (12.5分)</w:t>
            </w:r>
          </w:p>
        </w:tc>
        <w:tc>
          <w:tcPr>
            <w:tcW w:type="dxa" w:w="5076"/>
          </w:tcPr>
          <w:p>
            <w:pPr>
              <w:jc w:val="left"/>
            </w:pPr>
            <w:r>
              <w:rPr/>
              <w:t>根据各投标人相应所投产品对《第二章 采购需求》中 “技术标准与要求”的附表中未标注“★”或“▲”的一般技术参数的响应情况进行评审：（共25项） 一般技术参数，该项为“正偏离”或“符合”或“无偏离”的，该项得0.5分；响应为“负偏离”的，该项不得分。最高得12.5分。  备注：按以下原则计算条款项数：①“4、配置要求”视为 1 项。②有多级序号的，细化到最末级序号。无多级序号的，则一个序号为 1项条款。采购需求中有明确要求提供证明材料，需按照要求提供；若采购需求中未明确要求提供证明材料，由评审委员会根据投标人《技术和服务要求响应表》中的响应情况进行评定。</w:t>
            </w:r>
          </w:p>
        </w:tc>
      </w:tr>
      <w:tr>
        <w:tc>
          <w:tcPr>
            <w:tcW w:type="dxa" w:w="922"/>
            <w:gridSpan w:val="2"/>
            <w:vMerge/>
          </w:tcPr>
          <w:p/>
        </w:tc>
        <w:tc>
          <w:tcPr>
            <w:tcW w:type="dxa" w:w="2307"/>
          </w:tcPr>
          <w:p>
            <w:pPr>
              <w:jc w:val="left"/>
            </w:pPr>
            <w:r>
              <w:rPr/>
              <w:t>投标货物技术先进程度和可靠性 (10.0分)</w:t>
            </w:r>
          </w:p>
        </w:tc>
        <w:tc>
          <w:tcPr>
            <w:tcW w:type="dxa" w:w="5076"/>
          </w:tcPr>
          <w:p>
            <w:pPr>
              <w:jc w:val="left"/>
            </w:pPr>
            <w:r>
              <w:rPr/>
              <w:t>根据各投标人投标货物的技术先进程度和可靠性（包括但不限于使用的材料、配套设备、生产技术、可靠性等）进行综合评价： （1）投标货物使用的材料、配套设备、生产技术先进、可靠性强，得10分； （2）投标货物使用的材料、配套设备、生产技术较先进、可靠性较强，得7分； （3）投标货物使用的材料、配套设备、生产技术一般、可靠性一般，得3分； （4）投标货物使用的材料、配套设备、生产技术较落后、可靠性较低，得1分； （5）无相关内容的，不得分。</w:t>
            </w:r>
          </w:p>
        </w:tc>
      </w:tr>
      <w:tr>
        <w:tc>
          <w:tcPr>
            <w:tcW w:type="dxa" w:w="922"/>
            <w:gridSpan w:val="2"/>
            <w:vMerge/>
          </w:tcPr>
          <w:p/>
        </w:tc>
        <w:tc>
          <w:tcPr>
            <w:tcW w:type="dxa" w:w="2307"/>
          </w:tcPr>
          <w:p>
            <w:pPr>
              <w:jc w:val="left"/>
            </w:pPr>
            <w:r>
              <w:rPr/>
              <w:t>质量保证方案 (6.5分)</w:t>
            </w:r>
          </w:p>
        </w:tc>
        <w:tc>
          <w:tcPr>
            <w:tcW w:type="dxa" w:w="5076"/>
          </w:tcPr>
          <w:p>
            <w:pPr>
              <w:jc w:val="left"/>
            </w:pPr>
            <w:r>
              <w:rPr/>
              <w:t>根据各投标人提供的质量保证方案（包括但不限于于质量保障措施、生产企业的技术支持、质量目标实现所需配套资源等）进行综合评价： （1）针对本项目的质量保证方案详细具体，可行性强，针对性强，得6.5分； （2）针对本项目的质量保证方案较详细具体，可行性较强，有较强的针对性，得3分； （3）针对本项目的质量保证方案不够详细具体，可行性一般，针对性一般，得1分； （4）未提供相关方案的，不得分。</w:t>
            </w:r>
          </w:p>
        </w:tc>
      </w:tr>
      <w:tr>
        <w:tc>
          <w:tcPr>
            <w:tcW w:type="dxa" w:w="922"/>
            <w:gridSpan w:val="2"/>
            <w:vMerge w:val="restart"/>
          </w:tcPr>
          <w:p>
            <w:pPr>
              <w:jc w:val="center"/>
            </w:pPr>
            <w:r>
              <w:rPr/>
              <w:t>商务部分</w:t>
            </w:r>
          </w:p>
        </w:tc>
        <w:tc>
          <w:tcPr>
            <w:tcW w:type="dxa" w:w="2307"/>
          </w:tcPr>
          <w:p>
            <w:pPr>
              <w:jc w:val="left"/>
            </w:pPr>
            <w:r>
              <w:rPr/>
              <w:t>投标人2020年1月1日至今同类业绩经验 (5.0分)</w:t>
            </w:r>
          </w:p>
        </w:tc>
        <w:tc>
          <w:tcPr>
            <w:tcW w:type="dxa" w:w="5076"/>
          </w:tcPr>
          <w:p>
            <w:pPr>
              <w:jc w:val="left"/>
            </w:pPr>
            <w:r>
              <w:rPr/>
              <w:t>投标人自2020年1月1日至今（以合同落款日期为准）签订的与本次投标货物同类型货物（监护仪）业绩： 每提供一个符合要求的同类业绩得1分，最高得5分。 本项最高得5分。请附上合同关键页（含签订合同双方的单位名称、合同项目名称、合同清单签订合同双方的落款盖章、签订日期的关键页）复印件作为同类业绩评价证明资料。</w:t>
            </w:r>
          </w:p>
        </w:tc>
      </w:tr>
      <w:tr>
        <w:tc>
          <w:tcPr>
            <w:tcW w:type="dxa" w:w="922"/>
            <w:gridSpan w:val="2"/>
            <w:vMerge/>
          </w:tcPr>
          <w:p/>
        </w:tc>
        <w:tc>
          <w:tcPr>
            <w:tcW w:type="dxa" w:w="2307"/>
          </w:tcPr>
          <w:p>
            <w:pPr>
              <w:jc w:val="left"/>
            </w:pPr>
            <w:r>
              <w:rPr/>
              <w:t>投标人管理体系 (3.0分)</w:t>
            </w:r>
          </w:p>
        </w:tc>
        <w:tc>
          <w:tcPr>
            <w:tcW w:type="dxa" w:w="5076"/>
          </w:tcPr>
          <w:p>
            <w:pPr>
              <w:jc w:val="left"/>
            </w:pPr>
            <w:r>
              <w:rPr/>
              <w:t>（1）投标人获得质量管理体系认证证书且在有效期内的得1分； （2）投标人获得环境管理体系认证证书且在有效期内的得1分； （3）投标人获得职业健康安全管理体系认证证书且在有效期内的得1分。 注：须提供相关证书复印件，不提供或专家无法认定的均不得分。</w:t>
            </w:r>
          </w:p>
        </w:tc>
      </w:tr>
      <w:tr>
        <w:tc>
          <w:tcPr>
            <w:tcW w:type="dxa" w:w="922"/>
            <w:gridSpan w:val="2"/>
            <w:vMerge/>
          </w:tcPr>
          <w:p/>
        </w:tc>
        <w:tc>
          <w:tcPr>
            <w:tcW w:type="dxa" w:w="2307"/>
          </w:tcPr>
          <w:p>
            <w:pPr>
              <w:jc w:val="left"/>
            </w:pPr>
            <w:r>
              <w:rPr/>
              <w:t>售后服务方案  (6.0分)</w:t>
            </w:r>
          </w:p>
        </w:tc>
        <w:tc>
          <w:tcPr>
            <w:tcW w:type="dxa" w:w="5076"/>
          </w:tcPr>
          <w:p>
            <w:pPr>
              <w:jc w:val="left"/>
            </w:pPr>
            <w:r>
              <w:rPr/>
              <w:t>根据投标人的服务方案（包括但不限于售后服务计划、维护保养方式、应急保障措施等）进行评审：  （1）有详细、合理、切合采购需求的售后服务方案，得6分； （2）有较详细、基本合理可行的、较符合采购需求的售后服务方案得3分；  （3）提供的售后服务方案粗略简单，得1分； （4）不提供售后服务方案者不得分。</w:t>
            </w:r>
          </w:p>
        </w:tc>
      </w:tr>
      <w:tr>
        <w:tc>
          <w:tcPr>
            <w:tcW w:type="dxa" w:w="922"/>
            <w:gridSpan w:val="2"/>
            <w:vMerge/>
          </w:tcPr>
          <w:p/>
        </w:tc>
        <w:tc>
          <w:tcPr>
            <w:tcW w:type="dxa" w:w="2307"/>
          </w:tcPr>
          <w:p>
            <w:pPr>
              <w:jc w:val="left"/>
            </w:pPr>
            <w:r>
              <w:rPr/>
              <w:t>安装调试验收方案 (6.0分)</w:t>
            </w:r>
          </w:p>
        </w:tc>
        <w:tc>
          <w:tcPr>
            <w:tcW w:type="dxa" w:w="5076"/>
          </w:tcPr>
          <w:p>
            <w:pPr>
              <w:jc w:val="left"/>
            </w:pPr>
            <w:r>
              <w:rPr/>
              <w:t>根据投标人提供的安装调试验收方案（包括安装调试人员安排、安装调试计划、流程、安装调试执行方案）进行综合评审：  （1）提供的安装调试验收方案详细，流程清晰合理，能根据货物交付时间节点，落实送货的详细安装时间和技术人员安排，整体方案优于或满足采购需求的得6分； （2）提供的安装调试验收方案较详细，流程较合理，能根据货物交付时间节点，落实送货的安装时间和技术人员安排，整体方案基本满足采购需求的得3分； （3）提供的安装调试验收方案较简单，流程基本合理，未根据货物交付时间节点，落实送货的详细安装时间和人员安排，整体方案部分满足采购需求的得1分； （4）其他或不提供完整安装调试验收方案者不得分。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采购包2(普通病房用监护仪B):</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(16.0分)</w:t>
            </w:r>
          </w:p>
        </w:tc>
        <w:tc>
          <w:tcPr>
            <w:tcW w:type="dxa" w:w="5076"/>
          </w:tcPr>
          <w:p>
            <w:pPr>
              <w:jc w:val="left"/>
            </w:pPr>
            <w:r>
              <w:rPr/>
              <w:t>根据各投标人相应所投产品对《采购需求》中“技术标准与要求”的附表中标注“▲”的重要技术参数的响应情况进行评审：标注“▲”的重要技术参数（共8项），该项为“正偏离”或“符合”或“无偏离”的，该项得2分；响应为“负偏离”的，该项不得分。最高得16分。  备注：如采购需求中有明确要求提供证明材料的，则以采购需求要求的为准；如采购需求中无明确要求证明材料的，则投标人须提供投标产品的“彩页”或“使用说明书”（如使用说明书为英文版，请同时提供中文版，盖上厂家公章）或盖有厂家公章的技术参数（中文版）确认函作为技术证明文件。凡不符合上述要求的，将视为无效技术支持资料。</w:t>
            </w:r>
          </w:p>
        </w:tc>
      </w:tr>
      <w:tr>
        <w:tc>
          <w:tcPr>
            <w:tcW w:type="dxa" w:w="922"/>
            <w:gridSpan w:val="2"/>
            <w:vMerge/>
          </w:tcPr>
          <w:p/>
        </w:tc>
        <w:tc>
          <w:tcPr>
            <w:tcW w:type="dxa" w:w="2307"/>
          </w:tcPr>
          <w:p>
            <w:pPr>
              <w:jc w:val="left"/>
            </w:pPr>
            <w:r>
              <w:rPr/>
              <w:t>一般技术参数的响应情况 (16.5分)</w:t>
            </w:r>
          </w:p>
        </w:tc>
        <w:tc>
          <w:tcPr>
            <w:tcW w:type="dxa" w:w="5076"/>
          </w:tcPr>
          <w:p>
            <w:pPr>
              <w:jc w:val="left"/>
            </w:pPr>
            <w:r>
              <w:rPr/>
              <w:t>根据各投标人相应所投产品对《第二章 采购需求》中 “技术标准与要求”的附表中未标注“★”或“▲”的一般技术参数的响应情况进行评审： 一般技术参数（共33项），该项为“正偏离”或“符合”或“无偏离”的，该项得0.5分；响应为“负偏离”的，该项不得分。最高得16.5分。  备注：按以下原则计算条款项数：①“4、配置要求”视为 1 项。②有多级序号的，细化到最末级序号。无多级序号的，则一个序号为 1项条款。采购需求中有明确要求提供证明材料，需按照要求提供；若采购需求中未明确要求提供证明材料，由评审委员会根据投标人《技术和服务要求响应表》中的响应情况进行评定。</w:t>
            </w:r>
          </w:p>
        </w:tc>
      </w:tr>
      <w:tr>
        <w:tc>
          <w:tcPr>
            <w:tcW w:type="dxa" w:w="922"/>
            <w:gridSpan w:val="2"/>
            <w:vMerge/>
          </w:tcPr>
          <w:p/>
        </w:tc>
        <w:tc>
          <w:tcPr>
            <w:tcW w:type="dxa" w:w="2307"/>
          </w:tcPr>
          <w:p>
            <w:pPr>
              <w:jc w:val="left"/>
            </w:pPr>
            <w:r>
              <w:rPr/>
              <w:t>投标货物技术先进程度和可靠性 (10.0分)</w:t>
            </w:r>
          </w:p>
        </w:tc>
        <w:tc>
          <w:tcPr>
            <w:tcW w:type="dxa" w:w="5076"/>
          </w:tcPr>
          <w:p>
            <w:pPr>
              <w:jc w:val="left"/>
            </w:pPr>
            <w:r>
              <w:rPr/>
              <w:t>根据各投标人投标货物的技术先进程度和可靠性（包括但不限于使用的材料、配套设备、生产技术、可靠性等）进行综合评价： （1）投标货物使用的材料、配套设备、生产技术先进、可靠性强，得10分； （2）投标货物使用的材料、配套设备、生产技术较先进、可靠性较强，得7分； （3）投标货物使用的材料、配套设备、生产技术一般、可靠性一般，得3分； （4）投标货物使用的材料、配套设备、生产技术较落后、可靠性较低，得1分； （5）无相关内容的，不得分。</w:t>
            </w:r>
          </w:p>
        </w:tc>
      </w:tr>
      <w:tr>
        <w:tc>
          <w:tcPr>
            <w:tcW w:type="dxa" w:w="922"/>
            <w:gridSpan w:val="2"/>
            <w:vMerge/>
          </w:tcPr>
          <w:p/>
        </w:tc>
        <w:tc>
          <w:tcPr>
            <w:tcW w:type="dxa" w:w="2307"/>
          </w:tcPr>
          <w:p>
            <w:pPr>
              <w:jc w:val="left"/>
            </w:pPr>
            <w:r>
              <w:rPr/>
              <w:t>质量保证方案 (7.5分)</w:t>
            </w:r>
          </w:p>
        </w:tc>
        <w:tc>
          <w:tcPr>
            <w:tcW w:type="dxa" w:w="5076"/>
          </w:tcPr>
          <w:p>
            <w:pPr>
              <w:jc w:val="left"/>
            </w:pPr>
            <w:r>
              <w:rPr/>
              <w:t>根据各投标人提供的质量保证方案（包括但不限于于质量保障措施、生产企业的技术支持、质量目标实现所需配套资源等）进行综合评价： （1）针对本项目的质量保证方案详细具体，可行性强，针对性强，得7.5分； （2）针对本项目的质量保证方案较详细具体，可行性较强，有较强的针对性，得4分； （3）针对本项目的质量保证方案不够详细具体，可行性一般，针对性一般，得1分； （4）未提供相关方案的，不得分。</w:t>
            </w:r>
          </w:p>
        </w:tc>
      </w:tr>
      <w:tr>
        <w:tc>
          <w:tcPr>
            <w:tcW w:type="dxa" w:w="922"/>
            <w:gridSpan w:val="2"/>
            <w:vMerge w:val="restart"/>
          </w:tcPr>
          <w:p>
            <w:pPr>
              <w:jc w:val="center"/>
            </w:pPr>
            <w:r>
              <w:rPr/>
              <w:t>商务部分</w:t>
            </w:r>
          </w:p>
        </w:tc>
        <w:tc>
          <w:tcPr>
            <w:tcW w:type="dxa" w:w="2307"/>
          </w:tcPr>
          <w:p>
            <w:pPr>
              <w:jc w:val="left"/>
            </w:pPr>
            <w:r>
              <w:rPr/>
              <w:t>投标人2020年1月1日至今同类业绩经验 (5.0分)</w:t>
            </w:r>
          </w:p>
        </w:tc>
        <w:tc>
          <w:tcPr>
            <w:tcW w:type="dxa" w:w="5076"/>
          </w:tcPr>
          <w:p>
            <w:pPr>
              <w:jc w:val="left"/>
            </w:pPr>
            <w:r>
              <w:rPr/>
              <w:t>投标人自2020年1月1日至今（以合同落款日期为准）签订的与本次投标货物同类型货物（监护仪）业绩： 每提供一个符合要求的同类业绩得1分，最高得5分。 本项最高得5分。请附上合同关键页（含签订合同双方的单位名称、合同项目名称、合同清单签订合同双方的落款盖章、签订日期的关键页）复印件作为同类业绩评价证明资料。</w:t>
            </w:r>
          </w:p>
        </w:tc>
      </w:tr>
      <w:tr>
        <w:tc>
          <w:tcPr>
            <w:tcW w:type="dxa" w:w="922"/>
            <w:gridSpan w:val="2"/>
            <w:vMerge/>
          </w:tcPr>
          <w:p/>
        </w:tc>
        <w:tc>
          <w:tcPr>
            <w:tcW w:type="dxa" w:w="2307"/>
          </w:tcPr>
          <w:p>
            <w:pPr>
              <w:jc w:val="left"/>
            </w:pPr>
            <w:r>
              <w:rPr/>
              <w:t>投标人管理体系 (3.0分)</w:t>
            </w:r>
          </w:p>
        </w:tc>
        <w:tc>
          <w:tcPr>
            <w:tcW w:type="dxa" w:w="5076"/>
          </w:tcPr>
          <w:p>
            <w:pPr>
              <w:jc w:val="left"/>
            </w:pPr>
            <w:r>
              <w:rPr/>
              <w:t>（1）投标人获得质量管理体系认证证书且在有效期内的得1分； （2）投标人获得环境管理体系认证证书且在有效期内的得1分； （3）投标人获得职业健康安全管理体系认证证书且在有效期内的得1分。 注：须提供相关证书复印件，不提供或专家无法认定的均不得分。</w:t>
            </w:r>
          </w:p>
        </w:tc>
      </w:tr>
      <w:tr>
        <w:tc>
          <w:tcPr>
            <w:tcW w:type="dxa" w:w="922"/>
            <w:gridSpan w:val="2"/>
            <w:vMerge/>
          </w:tcPr>
          <w:p/>
        </w:tc>
        <w:tc>
          <w:tcPr>
            <w:tcW w:type="dxa" w:w="2307"/>
          </w:tcPr>
          <w:p>
            <w:pPr>
              <w:jc w:val="left"/>
            </w:pPr>
            <w:r>
              <w:rPr/>
              <w:t>售后服务方案 (6.0分)</w:t>
            </w:r>
          </w:p>
        </w:tc>
        <w:tc>
          <w:tcPr>
            <w:tcW w:type="dxa" w:w="5076"/>
          </w:tcPr>
          <w:p>
            <w:pPr>
              <w:jc w:val="left"/>
            </w:pPr>
            <w:r>
              <w:rPr/>
              <w:t>根据投标人的服务方案（包括但不限于售后服务计划、维护保养方式、应急保障措施等）进行评审： （1）有详细、合理、切合采购需求的售后服务方案，得6分；  （2）有较详细、基本合理可行的、较符合采购需求的售后服务方案得3分； （3）提供的售后服务方案粗略简单，得1分； （4）不提供售后服务方案者不得分。</w:t>
            </w:r>
          </w:p>
        </w:tc>
      </w:tr>
      <w:tr>
        <w:tc>
          <w:tcPr>
            <w:tcW w:type="dxa" w:w="922"/>
            <w:gridSpan w:val="2"/>
            <w:vMerge/>
          </w:tcPr>
          <w:p/>
        </w:tc>
        <w:tc>
          <w:tcPr>
            <w:tcW w:type="dxa" w:w="2307"/>
          </w:tcPr>
          <w:p>
            <w:pPr>
              <w:jc w:val="left"/>
            </w:pPr>
            <w:r>
              <w:rPr/>
              <w:t>安装调试验收方案 (6.0分)</w:t>
            </w:r>
          </w:p>
        </w:tc>
        <w:tc>
          <w:tcPr>
            <w:tcW w:type="dxa" w:w="5076"/>
          </w:tcPr>
          <w:p>
            <w:pPr>
              <w:jc w:val="left"/>
            </w:pPr>
            <w:r>
              <w:rPr/>
              <w:t>根据投标人提供的安装调试验收方案（包括安装调试人员安排、安装调试计划、流程、安装调试执行方案）进行综合评审： （1）提供的安装调试验收方案详细，流程清晰合理，能根据货物交付时间节点，落实送货的详细安装时间和技术人员安排，整体方案优于或满足采购需求的得6分；  （2）提供的安装调试验收方案较详细，流程较合理，能根据货物交付时间节点，落实送货的安装时间和技术人员安排，整体方案基本满足采购需求的得3分；  （3）提供的安装调试验收方案较简单，流程基本合理，未根据货物交付时间节点，落实送货的详细安装时间和人员安排，整体方案部分满足采购需求的得1分；  （4）其他或不提供完整安装调试验收方案者不得分。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p>
    <w:p>
      <w:pPr>
        <w:jc w:val="center"/>
      </w:pPr>
      <w:r>
        <w:rPr>
          <w:b/>
          <w:sz w:val="28"/>
        </w:rPr>
        <w:t>合同文本</w:t>
      </w:r>
    </w:p>
    <w:p>
      <w:r>
        <w:rPr>
          <w:b/>
          <w:sz w:val="30"/>
        </w:rPr>
        <w:t>（合同版式为参考模板，合同签订双方可依据项目的具体要求进行修订）</w:t>
      </w:r>
    </w:p>
    <w:p>
      <w:pPr>
        <w:jc w:val="both"/>
      </w:pPr>
      <w:r>
        <w:rPr>
          <w:b/>
          <w:sz w:val="24"/>
        </w:rPr>
        <w:t>1.</w:t>
      </w:r>
      <w:r>
        <w:rPr>
          <w:b/>
          <w:sz w:val="24"/>
        </w:rPr>
        <w:t>合同设备</w:t>
      </w:r>
    </w:p>
    <w:p>
      <w:pPr>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798"/>
        <w:gridCol w:w="798"/>
        <w:gridCol w:w="798"/>
        <w:gridCol w:w="798"/>
        <w:gridCol w:w="497"/>
        <w:gridCol w:w="497"/>
        <w:gridCol w:w="597"/>
        <w:gridCol w:w="798"/>
        <w:gridCol w:w="904"/>
        <w:gridCol w:w="730"/>
        <w:gridCol w:w="1087"/>
      </w:tblGrid>
      <w:tr>
        <w:tc>
          <w:tcPr>
            <w:tcW w:type="dxa" w:w="798"/>
            <w:tcBorders>
              <w:top w:val="single" w:color="000000" w:sz="4"/>
              <w:left w:val="single" w:color="000000" w:sz="4"/>
              <w:bottom w:val="single" w:color="000000" w:sz="4"/>
              <w:right w:val="single" w:color="000000" w:sz="4"/>
            </w:tcBorders>
            <w:vAlign w:val="top"/>
          </w:tcPr>
          <w:p>
            <w:pPr>
              <w:ind w:firstLine="2"/>
              <w:jc w:val="center"/>
            </w:pPr>
            <w:r>
              <w:rPr>
                <w:sz w:val="24"/>
              </w:rPr>
              <w:t>设备名称</w:t>
            </w:r>
          </w:p>
        </w:tc>
        <w:tc>
          <w:tcPr>
            <w:tcW w:type="dxa" w:w="798"/>
            <w:tcBorders>
              <w:top w:val="single" w:color="000000" w:sz="4"/>
              <w:left w:val="single" w:color="000000" w:sz="4"/>
              <w:bottom w:val="single" w:color="000000" w:sz="4"/>
              <w:right w:val="single" w:color="000000" w:sz="4"/>
            </w:tcBorders>
            <w:vAlign w:val="top"/>
          </w:tcPr>
          <w:p>
            <w:pPr>
              <w:jc w:val="center"/>
            </w:pPr>
            <w:r>
              <w:rPr>
                <w:sz w:val="24"/>
              </w:rPr>
              <w:t>规格型号</w:t>
            </w:r>
          </w:p>
        </w:tc>
        <w:tc>
          <w:tcPr>
            <w:tcW w:type="dxa" w:w="798"/>
            <w:tcBorders>
              <w:top w:val="single" w:color="000000" w:sz="4"/>
              <w:left w:val="single" w:color="000000" w:sz="4"/>
              <w:bottom w:val="single" w:color="000000" w:sz="4"/>
              <w:right w:val="single" w:color="000000" w:sz="4"/>
            </w:tcBorders>
            <w:vAlign w:val="top"/>
          </w:tcPr>
          <w:p>
            <w:pPr>
              <w:jc w:val="center"/>
            </w:pPr>
            <w:r>
              <w:rPr>
                <w:sz w:val="24"/>
              </w:rPr>
              <w:t>产地</w:t>
            </w:r>
          </w:p>
        </w:tc>
        <w:tc>
          <w:tcPr>
            <w:tcW w:type="dxa" w:w="798"/>
            <w:tcBorders>
              <w:top w:val="single" w:color="000000" w:sz="4"/>
              <w:left w:val="single" w:color="000000" w:sz="4"/>
              <w:bottom w:val="single" w:color="000000" w:sz="4"/>
              <w:right w:val="single" w:color="000000" w:sz="4"/>
            </w:tcBorders>
            <w:vAlign w:val="top"/>
          </w:tcPr>
          <w:p>
            <w:pPr>
              <w:jc w:val="center"/>
            </w:pPr>
            <w:r>
              <w:rPr>
                <w:sz w:val="24"/>
              </w:rPr>
              <w:t>生产厂家</w:t>
            </w:r>
          </w:p>
        </w:tc>
        <w:tc>
          <w:tcPr>
            <w:tcW w:type="dxa" w:w="497"/>
            <w:tcBorders>
              <w:top w:val="single" w:color="000000" w:sz="4"/>
              <w:left w:val="single" w:color="000000" w:sz="4"/>
              <w:bottom w:val="single" w:color="000000" w:sz="4"/>
              <w:right w:val="single" w:color="000000" w:sz="4"/>
            </w:tcBorders>
            <w:vAlign w:val="top"/>
          </w:tcPr>
          <w:p>
            <w:pPr>
              <w:jc w:val="center"/>
            </w:pPr>
            <w:r>
              <w:rPr>
                <w:sz w:val="24"/>
              </w:rPr>
              <w:t>单位</w:t>
            </w:r>
          </w:p>
        </w:tc>
        <w:tc>
          <w:tcPr>
            <w:tcW w:type="dxa" w:w="497"/>
            <w:tcBorders>
              <w:top w:val="single" w:color="000000" w:sz="4"/>
              <w:left w:val="single" w:color="000000" w:sz="4"/>
              <w:bottom w:val="single" w:color="000000" w:sz="4"/>
              <w:right w:val="single" w:color="000000" w:sz="4"/>
            </w:tcBorders>
            <w:vAlign w:val="top"/>
          </w:tcPr>
          <w:p>
            <w:pPr>
              <w:jc w:val="center"/>
            </w:pPr>
            <w:r>
              <w:rPr>
                <w:sz w:val="24"/>
              </w:rPr>
              <w:t>数量</w:t>
            </w:r>
          </w:p>
        </w:tc>
        <w:tc>
          <w:tcPr>
            <w:tcW w:type="dxa" w:w="597"/>
            <w:tcBorders>
              <w:top w:val="single" w:color="000000" w:sz="4"/>
              <w:left w:val="single" w:color="000000" w:sz="4"/>
              <w:bottom w:val="single" w:color="000000" w:sz="4"/>
              <w:right w:val="single" w:color="000000" w:sz="4"/>
            </w:tcBorders>
            <w:vAlign w:val="top"/>
          </w:tcPr>
          <w:p>
            <w:pPr>
              <w:jc w:val="center"/>
            </w:pPr>
            <w:r>
              <w:rPr>
                <w:sz w:val="24"/>
              </w:rPr>
              <w:t>单价</w:t>
            </w:r>
          </w:p>
          <w:p>
            <w:pPr>
              <w:jc w:val="center"/>
            </w:pPr>
            <w:r>
              <w:rPr>
                <w:sz w:val="24"/>
              </w:rPr>
              <w:t>（元）</w:t>
            </w:r>
          </w:p>
        </w:tc>
        <w:tc>
          <w:tcPr>
            <w:tcW w:type="dxa" w:w="798"/>
            <w:tcBorders>
              <w:top w:val="single" w:color="000000" w:sz="4"/>
              <w:left w:val="single" w:color="000000" w:sz="4"/>
              <w:bottom w:val="single" w:color="000000" w:sz="4"/>
              <w:right w:val="single" w:color="000000" w:sz="4"/>
            </w:tcBorders>
            <w:vAlign w:val="top"/>
          </w:tcPr>
          <w:p>
            <w:pPr>
              <w:jc w:val="center"/>
            </w:pPr>
            <w:r>
              <w:rPr>
                <w:sz w:val="24"/>
              </w:rPr>
              <w:t>总价</w:t>
            </w:r>
          </w:p>
          <w:p>
            <w:pPr>
              <w:jc w:val="center"/>
            </w:pPr>
            <w:r>
              <w:rPr>
                <w:sz w:val="24"/>
              </w:rPr>
              <w:t>（元）</w:t>
            </w:r>
          </w:p>
        </w:tc>
        <w:tc>
          <w:tcPr>
            <w:tcW w:type="dxa" w:w="904"/>
            <w:tcBorders>
              <w:top w:val="single" w:color="000000" w:sz="4"/>
              <w:left w:val="single" w:color="000000" w:sz="4"/>
              <w:bottom w:val="single" w:color="000000" w:sz="4"/>
              <w:right w:val="single" w:color="000000" w:sz="4"/>
            </w:tcBorders>
            <w:vAlign w:val="top"/>
          </w:tcPr>
          <w:p>
            <w:pPr>
              <w:jc w:val="center"/>
            </w:pPr>
            <w:r>
              <w:rPr>
                <w:sz w:val="24"/>
              </w:rPr>
              <w:t>随机配件</w:t>
            </w:r>
          </w:p>
        </w:tc>
        <w:tc>
          <w:tcPr>
            <w:tcW w:type="dxa" w:w="730"/>
            <w:tcBorders>
              <w:top w:val="single" w:color="000000" w:sz="4"/>
              <w:left w:val="single" w:color="000000" w:sz="4"/>
              <w:bottom w:val="single" w:color="000000" w:sz="4"/>
              <w:right w:val="single" w:color="000000" w:sz="4"/>
            </w:tcBorders>
            <w:vAlign w:val="top"/>
          </w:tcPr>
          <w:p>
            <w:pPr>
              <w:jc w:val="center"/>
            </w:pPr>
            <w:r>
              <w:rPr>
                <w:sz w:val="24"/>
              </w:rPr>
              <w:t>注册证号</w:t>
            </w:r>
          </w:p>
        </w:tc>
        <w:tc>
          <w:tcPr>
            <w:tcW w:type="dxa" w:w="1087"/>
            <w:tcBorders>
              <w:top w:val="single" w:color="000000" w:sz="4"/>
              <w:left w:val="single" w:color="000000" w:sz="4"/>
              <w:bottom w:val="single" w:color="000000" w:sz="4"/>
              <w:right w:val="single" w:color="000000" w:sz="4"/>
            </w:tcBorders>
            <w:vAlign w:val="top"/>
          </w:tcPr>
          <w:p>
            <w:pPr>
              <w:jc w:val="center"/>
            </w:pPr>
            <w:r>
              <w:rPr>
                <w:sz w:val="24"/>
              </w:rPr>
              <w:t>注册证有效期</w:t>
            </w:r>
          </w:p>
        </w:tc>
      </w:tr>
      <w:tr>
        <w:tc>
          <w:tcPr>
            <w:tcW w:type="dxa" w:w="798"/>
            <w:tcBorders>
              <w:top w:val="none" w:color="000000" w:sz="4"/>
              <w:left w:val="single" w:color="000000" w:sz="4"/>
              <w:bottom w:val="single" w:color="000000" w:sz="4"/>
              <w:right w:val="single" w:color="000000" w:sz="4"/>
            </w:tcBorders>
            <w:vAlign w:val="top"/>
          </w:tcPr>
          <w:p>
            <w:pPr>
              <w:jc w:val="center"/>
            </w:pPr>
            <w:r>
              <w:rPr>
                <w:sz w:val="24"/>
              </w:rPr>
              <w:t>与注册证一致</w:t>
            </w:r>
          </w:p>
        </w:tc>
        <w:tc>
          <w:tcPr>
            <w:tcW w:type="dxa" w:w="798"/>
            <w:tcBorders>
              <w:top w:val="none" w:color="000000" w:sz="4"/>
              <w:left w:val="single" w:color="000000" w:sz="4"/>
              <w:bottom w:val="single" w:color="000000" w:sz="4"/>
              <w:right w:val="single" w:color="000000" w:sz="4"/>
            </w:tcBorders>
            <w:vAlign w:val="top"/>
          </w:tcPr>
          <w:p>
            <w:pPr>
              <w:jc w:val="center"/>
            </w:pPr>
            <w:r>
              <w:rPr>
                <w:sz w:val="24"/>
              </w:rPr>
              <w:t>与注册证一致</w:t>
            </w:r>
          </w:p>
        </w:tc>
        <w:tc>
          <w:tcPr>
            <w:tcW w:type="dxa" w:w="798"/>
            <w:tcBorders>
              <w:top w:val="none" w:color="000000" w:sz="4"/>
              <w:left w:val="single" w:color="000000" w:sz="4"/>
              <w:bottom w:val="single" w:color="000000" w:sz="4"/>
              <w:right w:val="single" w:color="000000" w:sz="4"/>
            </w:tcBorders>
            <w:vAlign w:val="top"/>
          </w:tcPr>
          <w:p>
            <w:pPr>
              <w:jc w:val="both"/>
            </w:pPr>
          </w:p>
        </w:tc>
        <w:tc>
          <w:tcPr>
            <w:tcW w:type="dxa" w:w="798"/>
            <w:tcBorders>
              <w:top w:val="none" w:color="000000" w:sz="4"/>
              <w:left w:val="single" w:color="000000" w:sz="4"/>
              <w:bottom w:val="single" w:color="000000" w:sz="4"/>
              <w:right w:val="single" w:color="000000" w:sz="4"/>
            </w:tcBorders>
            <w:vAlign w:val="top"/>
          </w:tcPr>
          <w:p>
            <w:pPr>
              <w:jc w:val="center"/>
            </w:pPr>
            <w:r>
              <w:rPr>
                <w:sz w:val="24"/>
              </w:rPr>
              <w:t>与注册证一致</w:t>
            </w:r>
          </w:p>
        </w:tc>
        <w:tc>
          <w:tcPr>
            <w:tcW w:type="dxa" w:w="497"/>
            <w:tcBorders>
              <w:top w:val="none" w:color="000000" w:sz="4"/>
              <w:left w:val="single" w:color="000000" w:sz="4"/>
              <w:bottom w:val="single" w:color="000000" w:sz="4"/>
              <w:right w:val="single" w:color="000000" w:sz="4"/>
            </w:tcBorders>
            <w:vAlign w:val="top"/>
          </w:tcPr>
          <w:p>
            <w:pPr>
              <w:jc w:val="center"/>
            </w:pPr>
          </w:p>
        </w:tc>
        <w:tc>
          <w:tcPr>
            <w:tcW w:type="dxa" w:w="497"/>
            <w:tcBorders>
              <w:top w:val="none" w:color="000000" w:sz="4"/>
              <w:left w:val="single" w:color="000000" w:sz="4"/>
              <w:bottom w:val="single" w:color="000000" w:sz="4"/>
              <w:right w:val="single" w:color="000000" w:sz="4"/>
            </w:tcBorders>
            <w:vAlign w:val="top"/>
          </w:tcPr>
          <w:p>
            <w:pPr>
              <w:jc w:val="center"/>
            </w:pPr>
          </w:p>
        </w:tc>
        <w:tc>
          <w:tcPr>
            <w:tcW w:type="dxa" w:w="597"/>
            <w:tcBorders>
              <w:top w:val="none" w:color="000000" w:sz="4"/>
              <w:left w:val="single" w:color="000000" w:sz="4"/>
              <w:bottom w:val="single" w:color="000000" w:sz="4"/>
              <w:right w:val="single" w:color="000000" w:sz="4"/>
            </w:tcBorders>
            <w:vAlign w:val="top"/>
          </w:tcPr>
          <w:p>
            <w:pPr>
              <w:jc w:val="center"/>
            </w:pPr>
          </w:p>
        </w:tc>
        <w:tc>
          <w:tcPr>
            <w:tcW w:type="dxa" w:w="798"/>
            <w:tcBorders>
              <w:top w:val="none" w:color="000000" w:sz="4"/>
              <w:left w:val="single" w:color="000000" w:sz="4"/>
              <w:bottom w:val="single" w:color="000000" w:sz="4"/>
              <w:right w:val="single" w:color="000000" w:sz="4"/>
            </w:tcBorders>
            <w:vAlign w:val="top"/>
          </w:tcPr>
          <w:p>
            <w:pPr>
              <w:jc w:val="center"/>
            </w:pPr>
          </w:p>
        </w:tc>
        <w:tc>
          <w:tcPr>
            <w:tcW w:type="dxa" w:w="904"/>
            <w:tcBorders>
              <w:top w:val="none" w:color="000000" w:sz="4"/>
              <w:left w:val="single" w:color="000000" w:sz="4"/>
              <w:bottom w:val="single" w:color="000000" w:sz="4"/>
              <w:right w:val="single" w:color="000000" w:sz="4"/>
            </w:tcBorders>
            <w:vAlign w:val="top"/>
          </w:tcPr>
          <w:p>
            <w:pPr>
              <w:jc w:val="center"/>
            </w:pPr>
            <w:r>
              <w:rPr>
                <w:sz w:val="24"/>
              </w:rPr>
              <w:t>详见配置清单</w:t>
            </w:r>
          </w:p>
        </w:tc>
        <w:tc>
          <w:tcPr>
            <w:tcW w:type="dxa" w:w="730"/>
            <w:tcBorders>
              <w:top w:val="none" w:color="000000" w:sz="4"/>
              <w:left w:val="single" w:color="000000" w:sz="4"/>
              <w:bottom w:val="single" w:color="000000" w:sz="4"/>
              <w:right w:val="single" w:color="000000" w:sz="4"/>
            </w:tcBorders>
            <w:vAlign w:val="top"/>
          </w:tcPr>
          <w:p>
            <w:pPr>
              <w:jc w:val="center"/>
            </w:pPr>
          </w:p>
        </w:tc>
        <w:tc>
          <w:tcPr>
            <w:tcW w:type="dxa" w:w="1087"/>
            <w:tcBorders>
              <w:top w:val="none" w:color="000000" w:sz="4"/>
              <w:left w:val="single" w:color="000000" w:sz="4"/>
              <w:bottom w:val="single" w:color="000000" w:sz="4"/>
              <w:right w:val="single" w:color="000000" w:sz="4"/>
            </w:tcBorders>
            <w:vAlign w:val="top"/>
          </w:tcPr>
          <w:p>
            <w:pPr>
              <w:jc w:val="center"/>
            </w:pPr>
            <w:r>
              <w:rPr>
                <w:sz w:val="24"/>
              </w:rPr>
              <w:t>批准日期：</w:t>
            </w:r>
          </w:p>
          <w:p>
            <w:pPr>
              <w:jc w:val="center"/>
            </w:pPr>
            <w:r>
              <w:rPr>
                <w:sz w:val="24"/>
              </w:rPr>
              <w:t>有效期至：</w:t>
            </w:r>
          </w:p>
          <w:p>
            <w:pPr>
              <w:jc w:val="center"/>
            </w:pPr>
          </w:p>
        </w:tc>
      </w:tr>
      <w:tr>
        <w:tc>
          <w:tcPr>
            <w:tcW w:type="dxa" w:w="8302"/>
            <w:gridSpan w:val="11"/>
            <w:tcBorders>
              <w:top w:val="none" w:color="000000" w:sz="4"/>
              <w:left w:val="single" w:color="000000" w:sz="4"/>
              <w:bottom w:val="single" w:color="000000" w:sz="4"/>
              <w:right w:val="single" w:color="000000" w:sz="4"/>
            </w:tcBorders>
            <w:vAlign w:val="top"/>
          </w:tcPr>
          <w:p>
            <w:pPr>
              <w:jc w:val="left"/>
            </w:pPr>
            <w:r>
              <w:rPr>
                <w:sz w:val="24"/>
              </w:rPr>
              <w:t>不含税金额：</w:t>
            </w:r>
            <w:r>
              <w:rPr>
                <w:sz w:val="24"/>
              </w:rPr>
              <w:t>0000.00元         开票税率： %             税额：0000.00元</w:t>
            </w:r>
          </w:p>
          <w:p>
            <w:pPr>
              <w:jc w:val="left"/>
            </w:pPr>
            <w:r>
              <w:rPr>
                <w:sz w:val="24"/>
              </w:rPr>
              <w:t>价税合计：</w:t>
            </w:r>
            <w:r>
              <w:rPr>
                <w:sz w:val="24"/>
              </w:rPr>
              <w:t>0000.00元</w:t>
            </w:r>
          </w:p>
        </w:tc>
      </w:tr>
      <w:tr>
        <w:tc>
          <w:tcPr>
            <w:tcW w:type="dxa" w:w="8302"/>
            <w:gridSpan w:val="11"/>
            <w:tcBorders>
              <w:top w:val="none" w:color="000000" w:sz="4"/>
              <w:left w:val="single" w:color="000000" w:sz="4"/>
              <w:bottom w:val="single" w:color="000000" w:sz="4"/>
              <w:right w:val="single" w:color="000000" w:sz="4"/>
            </w:tcBorders>
            <w:vAlign w:val="top"/>
          </w:tcPr>
          <w:p>
            <w:pPr>
              <w:jc w:val="left"/>
            </w:pPr>
            <w:r>
              <w:rPr>
                <w:sz w:val="24"/>
              </w:rPr>
              <w:t>乙方联系人：姓名</w:t>
            </w:r>
            <w:r>
              <w:rPr>
                <w:sz w:val="24"/>
              </w:rPr>
              <w:t>手机号</w:t>
            </w:r>
          </w:p>
        </w:tc>
      </w:tr>
      <w:tr>
        <w:tc>
          <w:tcPr>
            <w:tcW w:type="dxa" w:w="8302"/>
            <w:gridSpan w:val="11"/>
            <w:tcBorders>
              <w:top w:val="none" w:color="000000" w:sz="4"/>
              <w:left w:val="single" w:color="000000" w:sz="4"/>
              <w:bottom w:val="single" w:color="000000" w:sz="4"/>
              <w:right w:val="single" w:color="000000" w:sz="4"/>
            </w:tcBorders>
            <w:vAlign w:val="top"/>
          </w:tcPr>
          <w:p>
            <w:pPr>
              <w:jc w:val="both"/>
            </w:pPr>
            <w:r>
              <w:rPr>
                <w:sz w:val="24"/>
              </w:rPr>
              <w:t>说明：实际供货总数量达到预计数量或供货期限满，先到者为准，合同结束。</w:t>
            </w:r>
          </w:p>
        </w:tc>
      </w:tr>
    </w:tbl>
    <w:p>
      <w:pPr>
        <w:ind w:firstLine="480"/>
        <w:jc w:val="both"/>
      </w:pPr>
      <w:r>
        <w:rPr>
          <w:sz w:val="24"/>
        </w:rPr>
        <w:t>品名、规格型号与注册证描述一致。消毒、计量设备在注册证号栏中分别填入卫生许可证号、卫生许可证批号或计量证号。</w:t>
      </w:r>
    </w:p>
    <w:p>
      <w:pPr>
        <w:jc w:val="both"/>
      </w:pPr>
      <w:r>
        <w:rPr>
          <w:b/>
          <w:sz w:val="24"/>
        </w:rPr>
        <w:t>2.</w:t>
      </w:r>
      <w:r>
        <w:rPr>
          <w:b/>
          <w:sz w:val="24"/>
        </w:rPr>
        <w:t>合同价格</w:t>
      </w:r>
    </w:p>
    <w:p>
      <w:pPr>
        <w:ind w:firstLine="480"/>
        <w:jc w:val="both"/>
      </w:pPr>
      <w:r>
        <w:rPr>
          <w:sz w:val="24"/>
        </w:rPr>
        <w:t>2.1 合同总价为：人民</w:t>
      </w:r>
      <w:r>
        <w:rPr>
          <w:sz w:val="24"/>
        </w:rPr>
        <w:t>币</w:t>
      </w:r>
      <w:r>
        <w:rPr>
          <w:sz w:val="24"/>
        </w:rPr>
        <w:t xml:space="preserve">    </w:t>
      </w:r>
      <w:r>
        <w:rPr>
          <w:sz w:val="24"/>
        </w:rPr>
        <w:t>元整（大写），即</w:t>
      </w:r>
      <w:r>
        <w:rPr>
          <w:sz w:val="24"/>
        </w:rPr>
        <w:t>¥</w:t>
      </w:r>
      <w:r>
        <w:rPr>
          <w:sz w:val="21"/>
        </w:rPr>
        <w:t xml:space="preserve">    </w:t>
      </w:r>
      <w:r>
        <w:rPr>
          <w:sz w:val="24"/>
        </w:rPr>
        <w:t>，该合同总金额为包干总价，该包干总价为乙方按照合同约定完成合同全部义务后所适用的总价格，是设计、设备制造、包装、仓储、运输、安装、保险及验收合格之前及保修期与备品备件发生的所有含税费用。除本合同明确约定的费用外，甲方无需支付任何额外费用和承担任何额外义务。上述合同价款等各项内容在本合同履行过程中保持不变，经甲乙双方协商一致以书面形式予以变更的除外。</w:t>
      </w:r>
    </w:p>
    <w:p>
      <w:pPr>
        <w:ind w:firstLine="480"/>
        <w:jc w:val="both"/>
      </w:pPr>
      <w:r>
        <w:rPr>
          <w:sz w:val="24"/>
        </w:rPr>
        <w:t>2.2 在实际合同履行过程中，如果乙方未完全履行合同义务或履行的合同义务不符合约定的，则未履行或履行不符合合同约定的内容所对应的价款由甲方直接从上述约定的包干价中扣除。</w:t>
      </w:r>
    </w:p>
    <w:p>
      <w:pPr>
        <w:ind w:firstLine="482"/>
        <w:jc w:val="left"/>
      </w:pPr>
      <w:r>
        <w:rPr>
          <w:b/>
          <w:sz w:val="24"/>
        </w:rPr>
        <w:t>2.3</w:t>
      </w:r>
      <w:r>
        <w:rPr>
          <w:sz w:val="24"/>
        </w:rPr>
        <w:t>乙方指定银行转账方式结算，且指定以下账户为唯一收款账户</w:t>
      </w:r>
      <w:r>
        <w:rPr>
          <w:sz w:val="24"/>
        </w:rPr>
        <w:t>:</w:t>
      </w:r>
    </w:p>
    <w:p>
      <w:pPr>
        <w:ind w:firstLine="482"/>
        <w:jc w:val="left"/>
      </w:pPr>
      <w:r>
        <w:rPr>
          <w:b/>
          <w:sz w:val="24"/>
        </w:rPr>
        <w:t>账户</w:t>
      </w:r>
      <w:r>
        <w:rPr>
          <w:b/>
          <w:sz w:val="24"/>
        </w:rPr>
        <w:t>名称：</w:t>
      </w:r>
    </w:p>
    <w:p>
      <w:pPr>
        <w:ind w:firstLine="482"/>
        <w:jc w:val="left"/>
      </w:pPr>
      <w:r>
        <w:rPr>
          <w:b/>
          <w:sz w:val="24"/>
        </w:rPr>
        <w:t>开户银行：</w:t>
      </w:r>
    </w:p>
    <w:p>
      <w:pPr>
        <w:ind w:firstLine="482"/>
        <w:jc w:val="left"/>
      </w:pPr>
      <w:r>
        <w:rPr>
          <w:b/>
          <w:sz w:val="24"/>
        </w:rPr>
        <w:t>银行帐号：</w:t>
      </w:r>
    </w:p>
    <w:p>
      <w:pPr>
        <w:ind w:firstLine="480"/>
        <w:jc w:val="both"/>
      </w:pPr>
      <w:r>
        <w:rPr>
          <w:sz w:val="24"/>
        </w:rPr>
        <w:t>甲方向上述账户汇出款项后，即视为已履行付款义务，在汇款过程中，因乙方账户的原因（包括但不限于账号被注销、被冻结等）导致其无法收取款项的，由乙方承担相应后果，甲方对此不承担任何责任。</w:t>
      </w:r>
    </w:p>
    <w:p>
      <w:pPr>
        <w:jc w:val="both"/>
      </w:pPr>
      <w:r>
        <w:rPr>
          <w:b/>
          <w:sz w:val="24"/>
        </w:rPr>
        <w:t>3.</w:t>
      </w:r>
      <w:r>
        <w:rPr>
          <w:b/>
          <w:sz w:val="24"/>
        </w:rPr>
        <w:t>合同组成</w:t>
      </w:r>
    </w:p>
    <w:p>
      <w:pPr>
        <w:ind w:firstLine="480"/>
        <w:jc w:val="both"/>
      </w:pPr>
      <w:r>
        <w:rPr>
          <w:sz w:val="24"/>
        </w:rPr>
        <w:t>详细价格、技术说明及其它有关合同设备的特定信息由合同附件说明。所有附件及本项目的谈判文件、报价文件、会议纪要、协议等均为本合同不可分割之一部分。</w:t>
      </w:r>
    </w:p>
    <w:p>
      <w:pPr>
        <w:jc w:val="both"/>
      </w:pPr>
      <w:r>
        <w:rPr>
          <w:b/>
          <w:sz w:val="24"/>
        </w:rPr>
        <w:t>4.</w:t>
      </w:r>
      <w:r>
        <w:rPr>
          <w:b/>
          <w:sz w:val="24"/>
        </w:rPr>
        <w:t>技术要求</w:t>
      </w:r>
    </w:p>
    <w:p>
      <w:pPr>
        <w:ind w:firstLine="480"/>
        <w:jc w:val="both"/>
      </w:pPr>
      <w:r>
        <w:rPr>
          <w:sz w:val="24"/>
        </w:rPr>
        <w:t>乙方所提供设备，必须符合国家有关规范和环保要求及甲方的技术要求，并提供设备的厂试测验报告。</w:t>
      </w:r>
    </w:p>
    <w:p>
      <w:pPr>
        <w:jc w:val="both"/>
      </w:pPr>
      <w:r>
        <w:rPr>
          <w:b/>
          <w:sz w:val="24"/>
        </w:rPr>
        <w:t>5.</w:t>
      </w:r>
      <w:r>
        <w:rPr>
          <w:b/>
          <w:sz w:val="24"/>
        </w:rPr>
        <w:t>合同设备包装、交货、安装及验收</w:t>
      </w:r>
    </w:p>
    <w:p>
      <w:pPr>
        <w:jc w:val="both"/>
      </w:pPr>
      <w:r>
        <w:rPr>
          <w:sz w:val="24"/>
        </w:rPr>
        <w:t>5.1合同设备的包装</w:t>
      </w:r>
    </w:p>
    <w:p>
      <w:pPr>
        <w:jc w:val="both"/>
      </w:pPr>
      <w:r>
        <w:rPr>
          <w:sz w:val="24"/>
        </w:rPr>
        <w:t xml:space="preserve">  </w:t>
      </w:r>
      <w:r>
        <w:rPr>
          <w:sz w:val="24"/>
        </w:rPr>
        <w:t>5.1．1设备的包装均应有良好的防湿、防锈、防潮、防雨、防腐及防碰撞的措施。凡由于包装不良造成的损失和由此产生的费用均由乙方承担。</w:t>
      </w:r>
    </w:p>
    <w:p>
      <w:pPr>
        <w:jc w:val="both"/>
      </w:pPr>
      <w:r>
        <w:rPr>
          <w:sz w:val="24"/>
        </w:rPr>
        <w:t>5.1．2 设备包装有木箱或木架的，请乙方在设备安装后把木箱或木架带走，勿丢在甲方医院内，如甲方发现乙方有丢弃木箱或木架在医院的，一经核实，甲方</w:t>
      </w:r>
      <w:r>
        <w:rPr>
          <w:sz w:val="24"/>
        </w:rPr>
        <w:t>有权在</w:t>
      </w:r>
      <w:r>
        <w:rPr>
          <w:sz w:val="24"/>
        </w:rPr>
        <w:t>支付</w:t>
      </w:r>
      <w:r>
        <w:rPr>
          <w:sz w:val="24"/>
        </w:rPr>
        <w:t>乙方的</w:t>
      </w:r>
      <w:r>
        <w:rPr>
          <w:sz w:val="24"/>
        </w:rPr>
        <w:t>合同</w:t>
      </w:r>
      <w:r>
        <w:rPr>
          <w:sz w:val="24"/>
        </w:rPr>
        <w:t>款项中扣减</w:t>
      </w:r>
      <w:r>
        <w:rPr>
          <w:sz w:val="24"/>
        </w:rPr>
        <w:t>500-1000元</w:t>
      </w:r>
      <w:r>
        <w:rPr>
          <w:sz w:val="24"/>
        </w:rPr>
        <w:t>作为</w:t>
      </w:r>
      <w:r>
        <w:rPr>
          <w:sz w:val="24"/>
        </w:rPr>
        <w:t>罚款。</w:t>
      </w:r>
    </w:p>
    <w:p>
      <w:pPr>
        <w:jc w:val="both"/>
      </w:pPr>
      <w:r>
        <w:rPr>
          <w:sz w:val="24"/>
        </w:rPr>
        <w:t>5.2合同设备的交货</w:t>
      </w:r>
    </w:p>
    <w:p>
      <w:pPr>
        <w:jc w:val="both"/>
      </w:pPr>
      <w:r>
        <w:rPr>
          <w:sz w:val="24"/>
        </w:rPr>
        <w:t>5.2.1乙方交货时间：按用户要求</w:t>
      </w:r>
    </w:p>
    <w:p>
      <w:pPr>
        <w:jc w:val="both"/>
      </w:pPr>
      <w:r>
        <w:rPr>
          <w:sz w:val="24"/>
        </w:rPr>
        <w:t>5.2.2乙方交货地点：运输及卸车至甲方指定地点。</w:t>
      </w:r>
    </w:p>
    <w:p>
      <w:pPr>
        <w:jc w:val="both"/>
      </w:pPr>
      <w:r>
        <w:rPr>
          <w:sz w:val="24"/>
        </w:rPr>
        <w:t>5.3合同设备的安装</w:t>
      </w:r>
    </w:p>
    <w:p>
      <w:pPr>
        <w:jc w:val="both"/>
      </w:pPr>
      <w:r>
        <w:rPr>
          <w:sz w:val="24"/>
        </w:rPr>
        <w:t>5.3.1乙方负责合同项下的安装，一切费用由乙方负责。</w:t>
      </w:r>
    </w:p>
    <w:p>
      <w:pPr>
        <w:jc w:val="both"/>
      </w:pPr>
      <w:r>
        <w:rPr>
          <w:sz w:val="24"/>
        </w:rPr>
        <w:t>5.3.2乙方安装时须对各安装场地内的其他设备、设施有良好保护措施。</w:t>
      </w:r>
    </w:p>
    <w:p>
      <w:pPr>
        <w:jc w:val="both"/>
      </w:pPr>
      <w:r>
        <w:rPr>
          <w:sz w:val="24"/>
        </w:rPr>
        <w:t>5.4设备的验收</w:t>
      </w:r>
    </w:p>
    <w:p>
      <w:pPr>
        <w:jc w:val="both"/>
      </w:pPr>
      <w:r>
        <w:rPr>
          <w:sz w:val="24"/>
        </w:rPr>
        <w:t>5.4.1合同设备安装、培训，合同配置清单的货物齐全后</w:t>
      </w:r>
      <w:r>
        <w:rPr>
          <w:sz w:val="21"/>
          <w:u w:val="single"/>
        </w:rPr>
        <w:t xml:space="preserve">  </w:t>
      </w:r>
      <w:r>
        <w:rPr>
          <w:sz w:val="24"/>
        </w:rPr>
        <w:t>个工作日内验收，验收应在甲乙双方共同参加下进行。</w:t>
      </w:r>
    </w:p>
    <w:p>
      <w:pPr>
        <w:jc w:val="both"/>
      </w:pPr>
      <w:r>
        <w:rPr>
          <w:sz w:val="24"/>
        </w:rPr>
        <w:t>5.4.2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jc w:val="both"/>
      </w:pPr>
      <w:r>
        <w:rPr>
          <w:sz w:val="24"/>
        </w:rPr>
        <w:t>5.4.3如果合同设备运输和安装过程中因事故造成货物短缺、损坏，乙方应及时安排换装，以保证合同设备安装的成功完成。换货的相关费用由乙方承担。</w:t>
      </w:r>
    </w:p>
    <w:p>
      <w:pPr>
        <w:jc w:val="both"/>
      </w:pPr>
      <w:r>
        <w:rPr>
          <w:sz w:val="24"/>
        </w:rPr>
        <w:t>5.4.4若合同设备为进口货物，需提供有效商检证明文件。若合同</w:t>
      </w:r>
      <w:r>
        <w:rPr>
          <w:sz w:val="24"/>
        </w:rPr>
        <w:t>设备</w:t>
      </w:r>
      <w:r>
        <w:rPr>
          <w:sz w:val="24"/>
        </w:rPr>
        <w:t>为监护仪、心电图机等设备，需提供广东省或广州市质检部门出具的计量检定报告或校准报告。</w:t>
      </w:r>
    </w:p>
    <w:p>
      <w:pPr>
        <w:jc w:val="both"/>
      </w:pPr>
      <w:r>
        <w:rPr>
          <w:sz w:val="24"/>
        </w:rPr>
        <w:t>5.5乙方保证合同项下提供的设备不侵犯任何第三方的专利、商标或版权。否则，乙方须承担对第三方的专利或版权的侵权责任并承担因此而发生的所有费用。</w:t>
      </w:r>
    </w:p>
    <w:p>
      <w:pPr>
        <w:jc w:val="both"/>
      </w:pPr>
      <w:r>
        <w:rPr>
          <w:b/>
          <w:sz w:val="24"/>
        </w:rPr>
        <w:t>6.</w:t>
      </w:r>
      <w:r>
        <w:rPr>
          <w:b/>
          <w:sz w:val="24"/>
        </w:rPr>
        <w:t>质量保证及售后服务</w:t>
      </w:r>
    </w:p>
    <w:p>
      <w:pPr>
        <w:jc w:val="both"/>
      </w:pPr>
      <w:r>
        <w:rPr>
          <w:sz w:val="24"/>
        </w:rPr>
        <w:t>6.1 乙方保证合同设备(包括零配件)是全新、未曾使用过的，且必须是最新医疗器械注册证有效期之内生产，其质量、规格及技术特征符合合同附件的要求。</w:t>
      </w:r>
    </w:p>
    <w:p>
      <w:pPr>
        <w:jc w:val="both"/>
      </w:pPr>
      <w:r>
        <w:rPr>
          <w:sz w:val="24"/>
        </w:rPr>
        <w:t>6.2 合同设备保修期为整机免费原厂保修</w:t>
      </w:r>
      <w:r>
        <w:rPr>
          <w:sz w:val="21"/>
          <w:u w:val="single"/>
        </w:rPr>
        <w:t xml:space="preserve">   </w:t>
      </w:r>
      <w:r>
        <w:rPr>
          <w:sz w:val="24"/>
        </w:rPr>
        <w:t>年（包含维护、保养、所有零配件等），以本项目验收签字之日期一个月后起保（即以《中山大学附属第六医院医疗设备</w:t>
      </w:r>
      <w:r>
        <w:rPr>
          <w:sz w:val="24"/>
        </w:rPr>
        <w:t>/通用设备安装验收表》中使用科室负责人确认签名之日期一个月后起保）。</w:t>
      </w:r>
    </w:p>
    <w:p>
      <w:pPr>
        <w:jc w:val="both"/>
      </w:pPr>
      <w:r>
        <w:rPr>
          <w:sz w:val="24"/>
        </w:rPr>
        <w:t>保修期内每季度定期校准和保养，并提供书面保养报告及整机质量评估报告。</w:t>
      </w:r>
    </w:p>
    <w:p>
      <w:pPr>
        <w:jc w:val="both"/>
      </w:pPr>
      <w:r>
        <w:rPr>
          <w:sz w:val="24"/>
        </w:rPr>
        <w:t>设备保修期内非因甲方的人为原因而出现产品质量及安装问题，由乙方负责包修、包换或包退，并承担因此而产生的一切费用。乙方应在收到甲方通知后按照甲方要求派员到现场维修</w:t>
      </w:r>
      <w:r>
        <w:rPr>
          <w:sz w:val="24"/>
        </w:rPr>
        <w:t>(技术要求另有规定除外)。</w:t>
      </w:r>
    </w:p>
    <w:p>
      <w:pPr>
        <w:jc w:val="both"/>
      </w:pPr>
      <w:r>
        <w:rPr>
          <w:sz w:val="24"/>
        </w:rPr>
        <w:t xml:space="preserve">  </w:t>
      </w:r>
      <w:r>
        <w:rPr>
          <w:sz w:val="24"/>
        </w:rPr>
        <w:t>下列情况乙方不负责免费保修：</w:t>
      </w:r>
    </w:p>
    <w:p>
      <w:pPr>
        <w:jc w:val="both"/>
      </w:pPr>
      <w:r>
        <w:rPr>
          <w:sz w:val="24"/>
        </w:rPr>
        <w:t xml:space="preserve">  </w:t>
      </w:r>
      <w:r>
        <w:rPr>
          <w:sz w:val="24"/>
        </w:rPr>
        <w:t>6.2.1不按照乙方提供的正确使用方法而引致设备故障损坏；</w:t>
      </w:r>
    </w:p>
    <w:p>
      <w:pPr>
        <w:jc w:val="both"/>
      </w:pPr>
      <w:r>
        <w:rPr>
          <w:sz w:val="24"/>
        </w:rPr>
        <w:t xml:space="preserve">  </w:t>
      </w:r>
      <w:r>
        <w:rPr>
          <w:sz w:val="24"/>
        </w:rPr>
        <w:t>6.2.2擅自改装设备；</w:t>
      </w:r>
    </w:p>
    <w:p>
      <w:pPr>
        <w:jc w:val="both"/>
      </w:pPr>
      <w:r>
        <w:rPr>
          <w:sz w:val="24"/>
        </w:rPr>
        <w:t xml:space="preserve">  </w:t>
      </w:r>
      <w:r>
        <w:rPr>
          <w:sz w:val="24"/>
        </w:rPr>
        <w:t>6.2.3各种人为因素或天灾等外来因素造成的损坏。</w:t>
      </w:r>
    </w:p>
    <w:p>
      <w:pPr>
        <w:jc w:val="both"/>
      </w:pPr>
      <w:r>
        <w:rPr>
          <w:sz w:val="24"/>
        </w:rPr>
        <w:t>6.3因设备的质量问题而发生争议，由广东省或广州市质检部门进行质量鉴定。设备符合质量标准的，鉴定费用由甲方承担；设备不符合质量标准的，鉴定费用由乙方承担。</w:t>
      </w:r>
    </w:p>
    <w:p>
      <w:pPr>
        <w:jc w:val="both"/>
      </w:pPr>
      <w:r>
        <w:rPr>
          <w:sz w:val="24"/>
        </w:rPr>
        <w:t>6.4乙方无偿培训甲方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甲方安排。</w:t>
      </w:r>
    </w:p>
    <w:p>
      <w:pPr>
        <w:jc w:val="both"/>
      </w:pPr>
      <w:r>
        <w:rPr>
          <w:sz w:val="24"/>
        </w:rPr>
        <w:t>6.5 乙方保证所有技术参数、售后服务需满足投标文件的内容。</w:t>
      </w:r>
    </w:p>
    <w:p>
      <w:pPr>
        <w:jc w:val="both"/>
      </w:pPr>
      <w:r>
        <w:rPr>
          <w:sz w:val="24"/>
        </w:rPr>
        <w:t>6.6 保修期内，设备故障后需3天内完成维修，并保障设备正常运行。若设备维修</w:t>
      </w:r>
      <w:r>
        <w:rPr>
          <w:sz w:val="24"/>
        </w:rPr>
        <w:t>后仍</w:t>
      </w:r>
      <w:r>
        <w:rPr>
          <w:sz w:val="24"/>
        </w:rPr>
        <w:t>无法正常运行或乙方</w:t>
      </w:r>
      <w:r>
        <w:rPr>
          <w:sz w:val="24"/>
        </w:rPr>
        <w:t>无法在设备故障后</w:t>
      </w:r>
      <w:r>
        <w:rPr>
          <w:sz w:val="24"/>
        </w:rPr>
        <w:t>3天内</w:t>
      </w:r>
      <w:r>
        <w:rPr>
          <w:sz w:val="24"/>
        </w:rPr>
        <w:t>完成维修</w:t>
      </w:r>
      <w:r>
        <w:rPr>
          <w:sz w:val="24"/>
        </w:rPr>
        <w:t>，乙方将及时提供同功能备用机保障甲方正常工作（</w:t>
      </w:r>
      <w:r>
        <w:rPr>
          <w:sz w:val="24"/>
        </w:rPr>
        <w:t>√</w:t>
      </w:r>
      <w:r>
        <w:rPr>
          <w:sz w:val="24"/>
        </w:rPr>
        <w:t xml:space="preserve">是   </w:t>
      </w:r>
      <w:r>
        <w:rPr>
          <w:sz w:val="24"/>
        </w:rPr>
        <w:t>否）。</w:t>
      </w:r>
    </w:p>
    <w:p>
      <w:pPr>
        <w:jc w:val="both"/>
      </w:pPr>
      <w:r>
        <w:rPr>
          <w:b/>
          <w:sz w:val="24"/>
        </w:rPr>
        <w:t>7.</w:t>
      </w:r>
      <w:r>
        <w:rPr>
          <w:b/>
          <w:sz w:val="24"/>
        </w:rPr>
        <w:t>付款办法</w:t>
      </w:r>
      <w:r>
        <w:rPr>
          <w:b/>
          <w:sz w:val="24"/>
        </w:rPr>
        <w:t xml:space="preserve">  </w:t>
      </w:r>
    </w:p>
    <w:p>
      <w:pPr>
        <w:ind w:firstLine="120"/>
        <w:jc w:val="both"/>
      </w:pPr>
      <w:r>
        <w:rPr>
          <w:sz w:val="24"/>
        </w:rPr>
        <w:t>7.1 本合同的每笔款项以人民币方式支付，支付的时间和金额如下：</w:t>
      </w:r>
    </w:p>
    <w:p>
      <w:pPr>
        <w:jc w:val="both"/>
      </w:pPr>
      <w:r>
        <w:rPr>
          <w:sz w:val="24"/>
        </w:rPr>
        <w:t>7.1.1 每批次合同设备全部到指定地点交付并完成安装及验收合格，乙方按甲方要求提供相关验收资料后</w:t>
      </w:r>
      <w:r>
        <w:rPr>
          <w:sz w:val="21"/>
          <w:u w:val="single"/>
        </w:rPr>
        <w:t xml:space="preserve">    </w:t>
      </w:r>
      <w:r>
        <w:rPr>
          <w:sz w:val="24"/>
        </w:rPr>
        <w:t>内由甲方向乙方支付该批次货物的全部货款：</w:t>
      </w:r>
    </w:p>
    <w:p>
      <w:pPr>
        <w:jc w:val="both"/>
      </w:pPr>
      <w:r>
        <w:rPr>
          <w:sz w:val="24"/>
        </w:rPr>
        <w:t>（</w:t>
      </w:r>
      <w:r>
        <w:rPr>
          <w:sz w:val="24"/>
        </w:rPr>
        <w:t>1）乙方开具的正式发票，发票中货物名称、型号规格必须与合同一致；</w:t>
      </w:r>
    </w:p>
    <w:p>
      <w:pPr>
        <w:jc w:val="both"/>
      </w:pPr>
      <w:r>
        <w:rPr>
          <w:sz w:val="24"/>
        </w:rPr>
        <w:t>（</w:t>
      </w:r>
      <w:r>
        <w:rPr>
          <w:sz w:val="24"/>
        </w:rPr>
        <w:t>2）设备验收表。</w:t>
      </w:r>
    </w:p>
    <w:p>
      <w:pPr>
        <w:jc w:val="both"/>
      </w:pPr>
      <w:r>
        <w:rPr>
          <w:b/>
          <w:sz w:val="24"/>
        </w:rPr>
        <w:t>8.</w:t>
      </w:r>
      <w:r>
        <w:rPr>
          <w:b/>
          <w:sz w:val="24"/>
        </w:rPr>
        <w:t>技术服务</w:t>
      </w:r>
    </w:p>
    <w:p>
      <w:pPr>
        <w:jc w:val="both"/>
      </w:pPr>
      <w:r>
        <w:rPr>
          <w:sz w:val="24"/>
        </w:rPr>
        <w:t>8.1乙方应派员到甲方指定地点配合工作。</w:t>
      </w:r>
    </w:p>
    <w:p>
      <w:pPr>
        <w:jc w:val="both"/>
      </w:pPr>
      <w:r>
        <w:rPr>
          <w:sz w:val="24"/>
        </w:rPr>
        <w:t>8.2乙方按甲方提供的合同执行进度计划，再配合甲方及有关单位，以此做好合同执行进度上的配合工作。</w:t>
      </w:r>
    </w:p>
    <w:p>
      <w:pPr>
        <w:jc w:val="both"/>
      </w:pPr>
      <w:r>
        <w:rPr>
          <w:b/>
          <w:sz w:val="24"/>
        </w:rPr>
        <w:t>9.</w:t>
      </w:r>
      <w:r>
        <w:rPr>
          <w:b/>
          <w:sz w:val="24"/>
        </w:rPr>
        <w:t>不可抗力</w:t>
      </w:r>
    </w:p>
    <w:p>
      <w:pPr>
        <w:jc w:val="both"/>
      </w:pPr>
      <w:r>
        <w:rPr>
          <w:sz w:val="24"/>
        </w:rPr>
        <w:t>9.1不可抗力指战争、严重火灾、洪水、台风、地震等或其它双方认定的不可抗力事件。</w:t>
      </w:r>
    </w:p>
    <w:p>
      <w:pPr>
        <w:jc w:val="both"/>
      </w:pPr>
      <w:r>
        <w:rPr>
          <w:sz w:val="24"/>
        </w:rPr>
        <w:t>9.2签约双方中任何一方由于不可抗力影响合同执行时，发生不可抗力一方应尽快将事故通知另一方。在此情况下，乙方仍然有责任采取必要的措施加速供货，双方应通过友好协商尽快解决本合同的执行问题。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b/>
          <w:sz w:val="24"/>
        </w:rPr>
        <w:t>10.</w:t>
      </w:r>
      <w:r>
        <w:rPr>
          <w:b/>
          <w:sz w:val="24"/>
        </w:rPr>
        <w:t>索赔</w:t>
      </w:r>
    </w:p>
    <w:p>
      <w:pPr>
        <w:jc w:val="both"/>
      </w:pPr>
      <w:r>
        <w:rPr>
          <w:sz w:val="24"/>
        </w:rPr>
        <w:t>10.1如有异议，甲方有权根据有关政府部门的检验结果向乙方提出索赔。</w:t>
      </w:r>
    </w:p>
    <w:p>
      <w:pPr>
        <w:jc w:val="both"/>
      </w:pPr>
      <w:r>
        <w:rPr>
          <w:sz w:val="24"/>
        </w:rPr>
        <w:t>10.2在合同执行期间，如果乙方对甲方提出的索赔和差异负有责任，乙方应按照甲方同意的下列一种或多种方式解决索赔事宜：</w:t>
      </w:r>
    </w:p>
    <w:p>
      <w:pPr>
        <w:jc w:val="both"/>
      </w:pPr>
      <w:r>
        <w:rPr>
          <w:sz w:val="24"/>
        </w:rPr>
        <w:t>10.2.1乙方同意退货，并按合同规定的同种货币将货款退还给甲方，并承担由此发生的一切损失和费用。</w:t>
      </w:r>
    </w:p>
    <w:p>
      <w:pPr>
        <w:jc w:val="both"/>
      </w:pPr>
      <w:r>
        <w:rPr>
          <w:sz w:val="24"/>
        </w:rPr>
        <w:t>10.2.2根据货物低劣程度、损坏程度以及甲方所遭受损失的数额甲乙双方商定降低货物的价格。</w:t>
      </w:r>
    </w:p>
    <w:p>
      <w:pPr>
        <w:jc w:val="both"/>
      </w:pPr>
      <w:r>
        <w:rPr>
          <w:sz w:val="24"/>
        </w:rPr>
        <w:t>10.2.3用符合规格、质量和性能要求的新零件、部件或货物来更换有缺陷的部分或修补缺陷的部分，乙方应承担一切费用和风险并负担甲方所发生的一切直接费用。同时，相应延长质量保证期。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4"/>
        </w:rPr>
        <w:t>10.3如果在甲方发出索赔通知后30天内，乙方未作答复，上述索赔应视为已被乙方接受。甲方将从合同款项中扣回索赔金额。如果这些金额不足以补偿索赔金额，甲方有权向乙方提出不足部分的补偿。</w:t>
      </w:r>
    </w:p>
    <w:p>
      <w:pPr>
        <w:jc w:val="both"/>
      </w:pPr>
      <w:r>
        <w:rPr>
          <w:b/>
          <w:sz w:val="24"/>
        </w:rPr>
        <w:t>11.</w:t>
      </w:r>
      <w:r>
        <w:rPr>
          <w:b/>
          <w:sz w:val="24"/>
        </w:rPr>
        <w:t>违约与处罚</w:t>
      </w:r>
    </w:p>
    <w:p>
      <w:pPr>
        <w:jc w:val="both"/>
      </w:pPr>
      <w:r>
        <w:rPr>
          <w:sz w:val="24"/>
        </w:rPr>
        <w:t>11.1甲方应依合同规定时间内，向乙方支付货款，每拖延一天乙方可向甲方加收合同金额的3‰的违约金。</w:t>
      </w:r>
    </w:p>
    <w:p>
      <w:pPr>
        <w:jc w:val="both"/>
      </w:pPr>
      <w:r>
        <w:rPr>
          <w:sz w:val="24"/>
        </w:rPr>
        <w:t>11.2乙方未能按时交货，每拖延1天，须向甲方支付合同金额的5‰的违约金。逾期半个月以上的，甲方有权终止合同，由此造成的甲方经济损失由乙方承担。</w:t>
      </w:r>
    </w:p>
    <w:p>
      <w:pPr>
        <w:jc w:val="both"/>
      </w:pPr>
      <w:r>
        <w:rPr>
          <w:sz w:val="24"/>
        </w:rPr>
        <w:t>11.3 乙方交付的货物不符合合同规定的，甲方有权拒收，乙方向甲方支付合同金额的5%的违约金。</w:t>
      </w:r>
    </w:p>
    <w:p>
      <w:pPr>
        <w:jc w:val="both"/>
      </w:pPr>
      <w:r>
        <w:rPr>
          <w:sz w:val="24"/>
        </w:rPr>
        <w:t>11.4甲方无正当理由拒收货物的，甲方向乙方支付合同金额的5%的违约金。</w:t>
      </w:r>
    </w:p>
    <w:p>
      <w:pPr>
        <w:jc w:val="both"/>
      </w:pPr>
      <w:r>
        <w:rPr>
          <w:sz w:val="24"/>
        </w:rPr>
        <w:t>11.5若非不可抗力因素或甲方原因，乙方未能在签订合同后5个月内交付货物，则甲方有权立即终止合同，乙方须向甲方支付合同金额的7.5%的违约金。</w:t>
      </w:r>
    </w:p>
    <w:p>
      <w:pPr>
        <w:jc w:val="both"/>
      </w:pPr>
      <w:r>
        <w:rPr>
          <w:b/>
          <w:sz w:val="24"/>
        </w:rPr>
        <w:t>12.</w:t>
      </w:r>
      <w:r>
        <w:rPr>
          <w:b/>
          <w:sz w:val="24"/>
        </w:rPr>
        <w:t>合同终止</w:t>
      </w:r>
    </w:p>
    <w:p>
      <w:pPr>
        <w:ind w:firstLine="120"/>
        <w:jc w:val="both"/>
      </w:pPr>
      <w:r>
        <w:rPr>
          <w:sz w:val="24"/>
        </w:rPr>
        <w:t xml:space="preserve">  </w:t>
      </w:r>
      <w:r>
        <w:rPr>
          <w:sz w:val="24"/>
        </w:rPr>
        <w:t>如果一方严重违反合同，并在收到对方违约通知书后在</w:t>
      </w:r>
      <w:r>
        <w:rPr>
          <w:sz w:val="24"/>
        </w:rPr>
        <w:t>30天内仍未能改正违约的另一方可立即终止本合同。</w:t>
      </w:r>
    </w:p>
    <w:p>
      <w:pPr>
        <w:jc w:val="both"/>
      </w:pPr>
      <w:r>
        <w:rPr>
          <w:b/>
          <w:sz w:val="24"/>
        </w:rPr>
        <w:t>13.</w:t>
      </w:r>
      <w:r>
        <w:rPr>
          <w:b/>
          <w:sz w:val="24"/>
        </w:rPr>
        <w:t>法律诉讼</w:t>
      </w:r>
    </w:p>
    <w:p>
      <w:pPr>
        <w:ind w:firstLine="120"/>
        <w:jc w:val="both"/>
      </w:pPr>
      <w:r>
        <w:rPr>
          <w:sz w:val="24"/>
        </w:rPr>
        <w:t xml:space="preserve">  </w:t>
      </w:r>
      <w:r>
        <w:rPr>
          <w:sz w:val="24"/>
        </w:rPr>
        <w:t>签约双方在履约中发生争执和分歧，双方应通过友好协商解决，若经协商不能达成协议时，则任何一方</w:t>
      </w:r>
      <w:r>
        <w:rPr>
          <w:sz w:val="24"/>
        </w:rPr>
        <w:t>有权向</w:t>
      </w:r>
      <w:r>
        <w:rPr>
          <w:sz w:val="24"/>
        </w:rPr>
        <w:t>甲方所在地人民法院提起</w:t>
      </w:r>
      <w:r>
        <w:rPr>
          <w:sz w:val="24"/>
        </w:rPr>
        <w:t>诉讼</w:t>
      </w:r>
      <w:r>
        <w:rPr>
          <w:sz w:val="24"/>
        </w:rPr>
        <w:t>。诉讼进行过程中，除双方有争议的部分外，本合同其他部分仍然有效，各方应继续履行。</w:t>
      </w:r>
    </w:p>
    <w:p>
      <w:pPr>
        <w:jc w:val="both"/>
      </w:pPr>
      <w:r>
        <w:rPr>
          <w:b/>
          <w:sz w:val="24"/>
        </w:rPr>
        <w:t>14.</w:t>
      </w:r>
      <w:r>
        <w:rPr>
          <w:b/>
          <w:sz w:val="24"/>
        </w:rPr>
        <w:t>其他</w:t>
      </w:r>
    </w:p>
    <w:p>
      <w:pPr>
        <w:jc w:val="both"/>
      </w:pPr>
      <w:r>
        <w:rPr>
          <w:sz w:val="24"/>
        </w:rPr>
        <w:t>14.1本合同正本一式陆份，具有同等法律效力，甲方伍份，乙方壹份。合同自双方签字盖章之日起即时生效。</w:t>
      </w:r>
    </w:p>
    <w:p>
      <w:pPr>
        <w:ind w:firstLine="120"/>
        <w:jc w:val="both"/>
      </w:pPr>
      <w:r>
        <w:rPr>
          <w:sz w:val="24"/>
        </w:rPr>
        <w:t>14.2本合同未尽事宜，由双方协商处理。</w:t>
      </w:r>
    </w:p>
    <w:p>
      <w:pPr>
        <w:jc w:val="both"/>
      </w:pPr>
      <w:r>
        <w:rPr>
          <w:b/>
          <w:sz w:val="24"/>
        </w:rPr>
        <w:t>（以下</w:t>
      </w:r>
      <w:r>
        <w:rPr>
          <w:b/>
          <w:sz w:val="24"/>
        </w:rPr>
        <w:t>无正文</w:t>
      </w:r>
      <w:r>
        <w:rPr>
          <w:b/>
          <w:sz w:val="24"/>
        </w:rPr>
        <w:t>）</w:t>
      </w:r>
    </w:p>
    <w:p>
      <w:pPr>
        <w:ind w:firstLine="482"/>
      </w:pPr>
    </w:p>
    <w:p>
      <w:pPr>
        <w:ind w:firstLine="482"/>
      </w:pPr>
    </w:p>
    <w:p>
      <w:pPr>
        <w:jc w:val="left"/>
      </w:pPr>
      <w:r>
        <w:rPr>
          <w:b/>
          <w:sz w:val="24"/>
        </w:rPr>
        <w:t>甲方：</w:t>
      </w:r>
      <w:r>
        <w:rPr>
          <w:b/>
          <w:sz w:val="24"/>
          <w:u w:val="single"/>
        </w:rPr>
        <w:t>中山大学附属第六医院</w:t>
      </w:r>
      <w:r>
        <w:rPr>
          <w:b/>
          <w:sz w:val="24"/>
        </w:rPr>
        <w:t xml:space="preserve">             </w:t>
      </w:r>
      <w:r>
        <w:rPr>
          <w:b/>
          <w:sz w:val="24"/>
        </w:rPr>
        <w:t>乙方：</w:t>
      </w:r>
    </w:p>
    <w:p>
      <w:pPr>
        <w:jc w:val="left"/>
      </w:pPr>
      <w:r>
        <w:rPr>
          <w:b/>
          <w:sz w:val="24"/>
        </w:rPr>
        <w:t>签约代表</w:t>
      </w:r>
      <w:r>
        <w:rPr>
          <w:b/>
          <w:sz w:val="24"/>
        </w:rPr>
        <w:t>：</w:t>
      </w:r>
      <w:r>
        <w:rPr>
          <w:b/>
          <w:sz w:val="24"/>
        </w:rPr>
        <w:t xml:space="preserve">                           </w:t>
      </w:r>
      <w:r>
        <w:rPr>
          <w:b/>
          <w:sz w:val="24"/>
        </w:rPr>
        <w:t>签约代表：</w:t>
      </w:r>
    </w:p>
    <w:p>
      <w:pPr>
        <w:jc w:val="left"/>
      </w:pPr>
      <w:r>
        <w:rPr>
          <w:b/>
          <w:sz w:val="24"/>
        </w:rPr>
        <w:t>地址：广州市天河区员村二横路</w:t>
      </w:r>
      <w:r>
        <w:rPr>
          <w:b/>
          <w:sz w:val="24"/>
        </w:rPr>
        <w:t>26号      地址：</w:t>
      </w:r>
    </w:p>
    <w:p>
      <w:pPr>
        <w:jc w:val="both"/>
      </w:pPr>
      <w:r>
        <w:rPr>
          <w:b/>
          <w:sz w:val="24"/>
        </w:rPr>
        <w:t>签约日期：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r>
        <w:rPr>
          <w:b/>
          <w:sz w:val="24"/>
        </w:rPr>
        <w:t xml:space="preserve">    </w:t>
      </w:r>
      <w:r>
        <w:rPr>
          <w:b/>
          <w:sz w:val="24"/>
        </w:rPr>
        <w:t xml:space="preserve">    </w:t>
      </w:r>
      <w:r>
        <w:rPr>
          <w:b/>
          <w:sz w:val="24"/>
        </w:rPr>
        <w:t>签约日期：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left"/>
      </w:pPr>
      <w:r>
        <w:rPr>
          <w:b/>
          <w:sz w:val="24"/>
        </w:rPr>
        <w:t>配置清单</w:t>
      </w:r>
      <w:r>
        <w:rPr>
          <w:b/>
          <w:sz w:val="24"/>
        </w:rPr>
        <w:t xml:space="preserve">   </w:t>
      </w:r>
    </w:p>
    <w:p>
      <w:pPr>
        <w:jc w:val="left"/>
      </w:pPr>
      <w:r>
        <w:rPr>
          <w:b/>
          <w:sz w:val="21"/>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82"/>
        <w:gridCol w:w="1455"/>
        <w:gridCol w:w="1455"/>
        <w:gridCol w:w="1081"/>
        <w:gridCol w:w="1150"/>
        <w:gridCol w:w="582"/>
        <w:gridCol w:w="610"/>
        <w:gridCol w:w="637"/>
        <w:gridCol w:w="693"/>
      </w:tblGrid>
      <w:tr>
        <w:tc>
          <w:tcPr>
            <w:tcW w:type="dxa" w:w="582"/>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455"/>
            <w:tcBorders>
              <w:top w:val="single" w:color="000000" w:sz="4"/>
              <w:left w:val="none" w:color="000000" w:sz="4"/>
              <w:bottom w:val="single" w:color="000000" w:sz="4"/>
              <w:right w:val="single" w:color="000000" w:sz="4"/>
            </w:tcBorders>
            <w:vAlign w:val="top"/>
          </w:tcPr>
          <w:p>
            <w:pPr>
              <w:jc w:val="center"/>
            </w:pPr>
            <w:r>
              <w:rPr>
                <w:b/>
                <w:sz w:val="24"/>
              </w:rPr>
              <w:t>产品名称</w:t>
            </w:r>
          </w:p>
        </w:tc>
        <w:tc>
          <w:tcPr>
            <w:tcW w:type="dxa" w:w="1455"/>
            <w:tcBorders>
              <w:top w:val="single" w:color="000000" w:sz="4"/>
              <w:left w:val="none" w:color="000000" w:sz="4"/>
              <w:bottom w:val="single" w:color="000000" w:sz="4"/>
              <w:right w:val="single" w:color="000000" w:sz="4"/>
            </w:tcBorders>
            <w:vAlign w:val="top"/>
          </w:tcPr>
          <w:p>
            <w:pPr>
              <w:jc w:val="center"/>
            </w:pPr>
            <w:r>
              <w:rPr>
                <w:b/>
                <w:sz w:val="24"/>
              </w:rPr>
              <w:t>产品型号</w:t>
            </w:r>
          </w:p>
        </w:tc>
        <w:tc>
          <w:tcPr>
            <w:tcW w:type="dxa" w:w="1081"/>
            <w:tcBorders>
              <w:top w:val="single" w:color="000000" w:sz="4"/>
              <w:left w:val="none" w:color="000000" w:sz="4"/>
              <w:bottom w:val="single" w:color="000000" w:sz="4"/>
              <w:right w:val="single" w:color="000000" w:sz="4"/>
            </w:tcBorders>
            <w:vAlign w:val="top"/>
          </w:tcPr>
          <w:p>
            <w:pPr>
              <w:jc w:val="center"/>
            </w:pPr>
            <w:r>
              <w:rPr>
                <w:b/>
                <w:sz w:val="24"/>
              </w:rPr>
              <w:t>注册证号</w:t>
            </w:r>
          </w:p>
        </w:tc>
        <w:tc>
          <w:tcPr>
            <w:tcW w:type="dxa" w:w="1150"/>
            <w:tcBorders>
              <w:top w:val="single" w:color="000000" w:sz="4"/>
              <w:left w:val="none" w:color="000000" w:sz="4"/>
              <w:bottom w:val="single" w:color="000000" w:sz="4"/>
              <w:right w:val="single" w:color="000000" w:sz="4"/>
            </w:tcBorders>
            <w:vAlign w:val="top"/>
          </w:tcPr>
          <w:p>
            <w:pPr>
              <w:jc w:val="center"/>
            </w:pPr>
            <w:r>
              <w:rPr>
                <w:b/>
                <w:sz w:val="24"/>
              </w:rPr>
              <w:t>生产厂家</w:t>
            </w:r>
          </w:p>
        </w:tc>
        <w:tc>
          <w:tcPr>
            <w:tcW w:type="dxa" w:w="582"/>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610"/>
            <w:tcBorders>
              <w:top w:val="single" w:color="000000" w:sz="4"/>
              <w:left w:val="none" w:color="000000" w:sz="4"/>
              <w:bottom w:val="single" w:color="000000" w:sz="4"/>
              <w:right w:val="single" w:color="000000" w:sz="4"/>
            </w:tcBorders>
            <w:vAlign w:val="top"/>
          </w:tcPr>
          <w:p>
            <w:pPr>
              <w:jc w:val="center"/>
            </w:pPr>
            <w:r>
              <w:rPr>
                <w:b/>
                <w:sz w:val="24"/>
              </w:rPr>
              <w:t>单位</w:t>
            </w:r>
          </w:p>
        </w:tc>
        <w:tc>
          <w:tcPr>
            <w:tcW w:type="dxa" w:w="637"/>
            <w:tcBorders>
              <w:top w:val="single" w:color="000000" w:sz="4"/>
              <w:left w:val="none" w:color="000000" w:sz="4"/>
              <w:bottom w:val="single" w:color="000000" w:sz="4"/>
              <w:right w:val="single" w:color="000000" w:sz="4"/>
            </w:tcBorders>
            <w:vAlign w:val="top"/>
          </w:tcPr>
          <w:p>
            <w:pPr>
              <w:jc w:val="center"/>
            </w:pPr>
            <w:r>
              <w:rPr>
                <w:b/>
                <w:sz w:val="24"/>
              </w:rPr>
              <w:t>单价</w:t>
            </w:r>
          </w:p>
        </w:tc>
        <w:tc>
          <w:tcPr>
            <w:tcW w:type="dxa" w:w="693"/>
            <w:tcBorders>
              <w:top w:val="single" w:color="000000" w:sz="4"/>
              <w:left w:val="none" w:color="000000" w:sz="4"/>
              <w:bottom w:val="single" w:color="000000" w:sz="4"/>
              <w:right w:val="single" w:color="000000" w:sz="4"/>
            </w:tcBorders>
            <w:vAlign w:val="top"/>
          </w:tcPr>
          <w:p>
            <w:pPr>
              <w:jc w:val="center"/>
            </w:pPr>
            <w:r>
              <w:rPr>
                <w:b/>
                <w:sz w:val="24"/>
              </w:rPr>
              <w:t>总价</w:t>
            </w:r>
          </w:p>
        </w:tc>
      </w:tr>
      <w:tr>
        <w:tc>
          <w:tcPr>
            <w:tcW w:type="dxa" w:w="58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455"/>
            <w:tcBorders>
              <w:top w:val="none" w:color="000000" w:sz="4"/>
              <w:left w:val="none" w:color="000000" w:sz="4"/>
              <w:bottom w:val="single" w:color="000000" w:sz="4"/>
              <w:right w:val="single" w:color="000000" w:sz="4"/>
            </w:tcBorders>
            <w:vAlign w:val="top"/>
          </w:tcPr>
          <w:p>
            <w:pPr>
              <w:jc w:val="left"/>
            </w:pPr>
          </w:p>
        </w:tc>
        <w:tc>
          <w:tcPr>
            <w:tcW w:type="dxa" w:w="1455"/>
            <w:tcBorders>
              <w:top w:val="none" w:color="000000" w:sz="4"/>
              <w:left w:val="none" w:color="000000" w:sz="4"/>
              <w:bottom w:val="single" w:color="000000" w:sz="4"/>
              <w:right w:val="single" w:color="000000" w:sz="4"/>
            </w:tcBorders>
            <w:vAlign w:val="top"/>
          </w:tcPr>
          <w:p>
            <w:pPr>
              <w:jc w:val="center"/>
            </w:pPr>
          </w:p>
        </w:tc>
        <w:tc>
          <w:tcPr>
            <w:tcW w:type="dxa" w:w="1081"/>
            <w:tcBorders>
              <w:top w:val="none" w:color="000000" w:sz="4"/>
              <w:left w:val="none" w:color="000000" w:sz="4"/>
              <w:bottom w:val="single" w:color="000000" w:sz="4"/>
              <w:right w:val="single" w:color="000000" w:sz="4"/>
            </w:tcBorders>
            <w:vAlign w:val="top"/>
          </w:tcPr>
          <w:p>
            <w:pPr>
              <w:jc w:val="center"/>
            </w:pPr>
          </w:p>
        </w:tc>
        <w:tc>
          <w:tcPr>
            <w:tcW w:type="dxa" w:w="1150"/>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10"/>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82"/>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455"/>
            <w:tcBorders>
              <w:top w:val="none" w:color="000000" w:sz="4"/>
              <w:left w:val="none" w:color="000000" w:sz="4"/>
              <w:bottom w:val="single" w:color="000000" w:sz="4"/>
              <w:right w:val="single" w:color="000000" w:sz="4"/>
            </w:tcBorders>
            <w:vAlign w:val="top"/>
          </w:tcPr>
          <w:p>
            <w:pPr>
              <w:jc w:val="left"/>
            </w:pPr>
          </w:p>
        </w:tc>
        <w:tc>
          <w:tcPr>
            <w:tcW w:type="dxa" w:w="1455"/>
            <w:tcBorders>
              <w:top w:val="none" w:color="000000" w:sz="4"/>
              <w:left w:val="none" w:color="000000" w:sz="4"/>
              <w:bottom w:val="single" w:color="000000" w:sz="4"/>
              <w:right w:val="single" w:color="000000" w:sz="4"/>
            </w:tcBorders>
            <w:vAlign w:val="top"/>
          </w:tcPr>
          <w:p>
            <w:pPr>
              <w:jc w:val="center"/>
            </w:pPr>
          </w:p>
        </w:tc>
        <w:tc>
          <w:tcPr>
            <w:tcW w:type="dxa" w:w="1081"/>
            <w:tcBorders>
              <w:top w:val="none" w:color="000000" w:sz="4"/>
              <w:left w:val="none" w:color="000000" w:sz="4"/>
              <w:bottom w:val="single" w:color="000000" w:sz="4"/>
              <w:right w:val="single" w:color="000000" w:sz="4"/>
            </w:tcBorders>
            <w:vAlign w:val="top"/>
          </w:tcPr>
          <w:p>
            <w:pPr>
              <w:jc w:val="center"/>
            </w:pPr>
          </w:p>
        </w:tc>
        <w:tc>
          <w:tcPr>
            <w:tcW w:type="dxa" w:w="1150"/>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10"/>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82"/>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455"/>
            <w:tcBorders>
              <w:top w:val="none" w:color="000000" w:sz="4"/>
              <w:left w:val="none" w:color="000000" w:sz="4"/>
              <w:bottom w:val="single" w:color="000000" w:sz="4"/>
              <w:right w:val="single" w:color="000000" w:sz="4"/>
            </w:tcBorders>
            <w:vAlign w:val="top"/>
          </w:tcPr>
          <w:p>
            <w:pPr>
              <w:jc w:val="left"/>
            </w:pPr>
          </w:p>
        </w:tc>
        <w:tc>
          <w:tcPr>
            <w:tcW w:type="dxa" w:w="1455"/>
            <w:tcBorders>
              <w:top w:val="none" w:color="000000" w:sz="4"/>
              <w:left w:val="none" w:color="000000" w:sz="4"/>
              <w:bottom w:val="single" w:color="000000" w:sz="4"/>
              <w:right w:val="single" w:color="000000" w:sz="4"/>
            </w:tcBorders>
            <w:vAlign w:val="top"/>
          </w:tcPr>
          <w:p>
            <w:pPr>
              <w:jc w:val="center"/>
            </w:pPr>
          </w:p>
        </w:tc>
        <w:tc>
          <w:tcPr>
            <w:tcW w:type="dxa" w:w="1081"/>
            <w:tcBorders>
              <w:top w:val="none" w:color="000000" w:sz="4"/>
              <w:left w:val="none" w:color="000000" w:sz="4"/>
              <w:bottom w:val="single" w:color="000000" w:sz="4"/>
              <w:right w:val="single" w:color="000000" w:sz="4"/>
            </w:tcBorders>
            <w:vAlign w:val="top"/>
          </w:tcPr>
          <w:p>
            <w:pPr>
              <w:jc w:val="center"/>
            </w:pPr>
          </w:p>
        </w:tc>
        <w:tc>
          <w:tcPr>
            <w:tcW w:type="dxa" w:w="1150"/>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10"/>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82"/>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455"/>
            <w:tcBorders>
              <w:top w:val="none" w:color="000000" w:sz="4"/>
              <w:left w:val="none" w:color="000000" w:sz="4"/>
              <w:bottom w:val="single" w:color="000000" w:sz="4"/>
              <w:right w:val="single" w:color="000000" w:sz="4"/>
            </w:tcBorders>
            <w:vAlign w:val="top"/>
          </w:tcPr>
          <w:p>
            <w:pPr>
              <w:jc w:val="left"/>
            </w:pPr>
          </w:p>
        </w:tc>
        <w:tc>
          <w:tcPr>
            <w:tcW w:type="dxa" w:w="1455"/>
            <w:tcBorders>
              <w:top w:val="none" w:color="000000" w:sz="4"/>
              <w:left w:val="none" w:color="000000" w:sz="4"/>
              <w:bottom w:val="single" w:color="000000" w:sz="4"/>
              <w:right w:val="single" w:color="000000" w:sz="4"/>
            </w:tcBorders>
            <w:vAlign w:val="top"/>
          </w:tcPr>
          <w:p>
            <w:pPr>
              <w:jc w:val="center"/>
            </w:pPr>
          </w:p>
        </w:tc>
        <w:tc>
          <w:tcPr>
            <w:tcW w:type="dxa" w:w="1081"/>
            <w:tcBorders>
              <w:top w:val="none" w:color="000000" w:sz="4"/>
              <w:left w:val="none" w:color="000000" w:sz="4"/>
              <w:bottom w:val="single" w:color="000000" w:sz="4"/>
              <w:right w:val="single" w:color="000000" w:sz="4"/>
            </w:tcBorders>
            <w:vAlign w:val="top"/>
          </w:tcPr>
          <w:p>
            <w:pPr>
              <w:jc w:val="center"/>
            </w:pPr>
          </w:p>
        </w:tc>
        <w:tc>
          <w:tcPr>
            <w:tcW w:type="dxa" w:w="1150"/>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10"/>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bl>
    <w:p>
      <w:pPr>
        <w:jc w:val="left"/>
      </w:pPr>
    </w:p>
    <w:p>
      <w:pPr>
        <w:jc w:val="left"/>
      </w:pPr>
    </w:p>
    <w:p>
      <w:pPr>
        <w:jc w:val="both"/>
      </w:pPr>
    </w:p>
    <w:p/>
    <w:p/>
    <w:p>
      <w:r>
        <w:rPr/>
        <w:t xml:space="preserve"> </w:t>
      </w:r>
    </w:p>
    <w:p>
      <w:pPr>
        <w:jc w:val="both"/>
      </w:pPr>
      <w:r>
        <w:rPr>
          <w:b/>
          <w:sz w:val="24"/>
        </w:rPr>
        <w:t>廉洁协议书</w:t>
      </w:r>
    </w:p>
    <w:p>
      <w:pPr>
        <w:jc w:val="center"/>
      </w:pPr>
      <w:r>
        <w:rPr>
          <w:b/>
          <w:sz w:val="32"/>
        </w:rPr>
        <w:t>廉洁协议书</w:t>
      </w:r>
    </w:p>
    <w:p>
      <w:pPr>
        <w:jc w:val="both"/>
      </w:pPr>
      <w:r>
        <w:rPr>
          <w:b/>
          <w:sz w:val="24"/>
        </w:rPr>
        <w:t>甲方：中山大学附属第六医院</w:t>
      </w:r>
      <w:r>
        <w:rPr>
          <w:b/>
          <w:sz w:val="24"/>
        </w:rPr>
        <w:t xml:space="preserve">      </w:t>
      </w:r>
    </w:p>
    <w:p>
      <w:pPr>
        <w:jc w:val="both"/>
      </w:pPr>
      <w:r>
        <w:rPr>
          <w:b/>
          <w:sz w:val="24"/>
        </w:rPr>
        <w:t>乙方：</w:t>
      </w:r>
    </w:p>
    <w:p>
      <w:pPr>
        <w:ind w:firstLine="480"/>
        <w:jc w:val="both"/>
      </w:pPr>
      <w:r>
        <w:rPr>
          <w:sz w:val="24"/>
        </w:rPr>
        <w:t>为进一步推进党风廉政建设和纠风工作，建立健全治理商业贿赂及创建廉洁诚信医院长效机制，现经双方协商同意签订廉洁协议书如下：</w:t>
      </w:r>
    </w:p>
    <w:p>
      <w:pPr>
        <w:ind w:firstLine="480"/>
        <w:jc w:val="both"/>
      </w:pPr>
      <w:r>
        <w:rPr>
          <w:sz w:val="24"/>
        </w:rPr>
        <w:t>一、双方必须遵纪守法，严格执行上级纠正医药购销和医疗服务中不正之风和治理商业贿赂的有关文件精神，坚持</w:t>
      </w:r>
      <w:r>
        <w:rPr>
          <w:sz w:val="24"/>
        </w:rPr>
        <w:t>“标本兼治、综合治理、惩防并举”的原则，深化源头治理。双方应严格执行廉洁管理规定，严格执行有关管理规定。</w:t>
      </w:r>
    </w:p>
    <w:p>
      <w:pPr>
        <w:ind w:firstLine="480"/>
        <w:jc w:val="both"/>
      </w:pPr>
      <w:r>
        <w:rPr>
          <w:sz w:val="24"/>
        </w:rPr>
        <w:t>二、乙方不得派代表到医院，以借名科研费、开发费、宣传费、推销费等形式推销药品、医疗设备、医用耗材等产品，对医院领导及相关人员、医务人员发放等商业贿赂不正当行为的，一经发现，中止合同和其他一切业务。</w:t>
      </w:r>
    </w:p>
    <w:p>
      <w:pPr>
        <w:ind w:firstLine="480"/>
        <w:jc w:val="both"/>
      </w:pPr>
      <w:r>
        <w:rPr>
          <w:sz w:val="24"/>
        </w:rPr>
        <w:t>三、医院医务人员不得替乙方非法从事销售业务，一经发现按商业贿赂行为严肃处理。</w:t>
      </w:r>
    </w:p>
    <w:p>
      <w:pPr>
        <w:ind w:firstLine="480"/>
        <w:jc w:val="both"/>
      </w:pPr>
      <w:r>
        <w:rPr>
          <w:sz w:val="24"/>
        </w:rPr>
        <w:t>四、双方共同承诺坚决遵守不行贿、不受贿，做到廉洁自律，如出现有违法违纪行为，一经查实，依法依规处理。</w:t>
      </w:r>
    </w:p>
    <w:p>
      <w:pPr>
        <w:ind w:firstLine="480"/>
        <w:jc w:val="both"/>
      </w:pPr>
      <w:r>
        <w:rPr>
          <w:sz w:val="24"/>
        </w:rPr>
        <w:t>本协议书自双方签字之日起生效。</w:t>
      </w:r>
    </w:p>
    <w:p>
      <w:pPr>
        <w:ind w:firstLine="480"/>
        <w:jc w:val="both"/>
      </w:pPr>
    </w:p>
    <w:p>
      <w:pPr>
        <w:jc w:val="both"/>
      </w:pPr>
      <w:r>
        <w:rPr>
          <w:b/>
          <w:sz w:val="24"/>
        </w:rPr>
        <w:t>甲方单位（盖章）：</w:t>
      </w:r>
      <w:r>
        <w:rPr>
          <w:b/>
          <w:sz w:val="24"/>
        </w:rPr>
        <w:t xml:space="preserve">                      </w:t>
      </w:r>
      <w:r>
        <w:rPr>
          <w:b/>
          <w:sz w:val="24"/>
        </w:rPr>
        <w:t>乙方单位（盖章）：</w:t>
      </w:r>
    </w:p>
    <w:p>
      <w:pPr>
        <w:jc w:val="both"/>
      </w:pPr>
      <w:r>
        <w:rPr>
          <w:b/>
          <w:sz w:val="24"/>
        </w:rPr>
        <w:t>代表签字</w:t>
      </w:r>
      <w:r>
        <w:rPr>
          <w:b/>
          <w:sz w:val="24"/>
        </w:rPr>
        <w:t>：</w:t>
      </w:r>
      <w:r>
        <w:rPr>
          <w:b/>
          <w:sz w:val="24"/>
        </w:rPr>
        <w:t xml:space="preserve">                             </w:t>
      </w:r>
      <w:r>
        <w:rPr>
          <w:b/>
          <w:sz w:val="24"/>
        </w:rPr>
        <w:t>代表签字：</w:t>
      </w:r>
    </w:p>
    <w:p>
      <w:pPr>
        <w:jc w:val="both"/>
      </w:pPr>
      <w:r>
        <w:rPr>
          <w:b/>
          <w:sz w:val="24"/>
        </w:rPr>
        <w:t>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r>
        <w:rPr>
          <w:b/>
          <w:sz w:val="24"/>
        </w:rPr>
        <w:t xml:space="preserve">    </w:t>
      </w:r>
      <w:r>
        <w:rPr>
          <w:b/>
          <w:sz w:val="24"/>
        </w:rPr>
        <w:t xml:space="preserve">             </w:t>
      </w:r>
      <w:r>
        <w:rPr>
          <w:b/>
          <w:sz w:val="24"/>
        </w:rPr>
        <w:t>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440001-2023-54856</w:t>
      </w:r>
    </w:p>
    <w:p>
      <w:pPr>
        <w:jc w:val="center"/>
      </w:pPr>
      <w:r>
        <w:rPr>
          <w:b/>
          <w:sz w:val="24"/>
        </w:rPr>
        <w:t>采购项目编号：</w:t>
      </w:r>
      <w:r>
        <w:rPr>
          <w:b/>
          <w:sz w:val="24"/>
        </w:rPr>
        <w:t>GZGK23P158A0502Z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中山大学附属第六医院普通病房监护仪采购项目</w:t>
      </w:r>
      <w:r>
        <w:rPr>
          <w:u w:val="single"/>
        </w:rPr>
        <w:t>”</w:t>
      </w:r>
      <w:r>
        <w:rPr/>
        <w:t>项目的招标[采购项目编号为：</w:t>
      </w:r>
      <w:r>
        <w:rPr>
          <w:u w:val="single"/>
        </w:rPr>
        <w:t>GZGK23P158A0502Z</w:t>
      </w:r>
      <w:r>
        <w:rPr/>
        <w:t>]，我方愿参与投标。</w:t>
      </w:r>
    </w:p>
    <w:p>
      <w:pPr>
        <w:ind w:firstLine="480"/>
      </w:pPr>
      <w:r>
        <w:rPr/>
        <w:t>我方确认收到贵方提供的</w:t>
      </w:r>
      <w:r>
        <w:rPr>
          <w:u w:val="single"/>
        </w:rPr>
        <w:t>“</w:t>
      </w:r>
      <w:r>
        <w:rPr>
          <w:u w:val="single"/>
        </w:rPr>
        <w:t>中山大学附属第六医院普通病房监护仪采购项目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中山大学附属第六医院普通病房监护仪采购项目</w:t>
      </w:r>
      <w:r>
        <w:rPr/>
        <w:t>”项目采购[采购项目编号为</w:t>
      </w:r>
      <w:r>
        <w:rPr/>
        <w:t>GZGK23P158A0502Z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中山大学附属第六医院普通病房监护仪采购项目</w:t>
      </w:r>
      <w:r>
        <w:rPr/>
        <w:t>招标中获中标（采购项目编号：</w:t>
      </w:r>
      <w:r>
        <w:rPr/>
        <w:t>GZGK23P158A0502Z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中山大学附属第六医院普通病房监护仪采购项目</w:t>
      </w:r>
      <w:r>
        <w:rPr/>
        <w:t>”项目（采购项目编号：</w:t>
      </w:r>
      <w:r>
        <w:rPr/>
        <w:t>GZGK23P158A0502Z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