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440112-2024-00426</w:t>
      </w:r>
    </w:p>
    <w:p>
      <w:pPr>
        <w:jc w:val="center"/>
      </w:pPr>
      <w:r>
        <w:rPr>
          <w:b/>
          <w:sz w:val="24"/>
        </w:rPr>
        <w:t>采购项目编号：</w:t>
      </w:r>
      <w:r>
        <w:rPr>
          <w:b/>
          <w:sz w:val="24"/>
        </w:rPr>
        <w:t>GZGK23D293C0924Z</w:t>
      </w:r>
    </w:p>
    <w:p>
      <w:pPr>
        <w:jc w:val="center"/>
      </w:pPr>
      <w:r>
        <w:rPr>
          <w:b/>
          <w:sz w:val="24"/>
        </w:rPr>
        <w:t>项目名称：</w:t>
      </w:r>
      <w:r>
        <w:rPr>
          <w:b/>
          <w:sz w:val="24"/>
        </w:rPr>
        <w:t>“美丽家园”建设及文明城市创建巡查督导项目</w:t>
      </w:r>
    </w:p>
    <w:p>
      <w:pPr>
        <w:jc w:val="center"/>
      </w:pPr>
      <w:r>
        <w:rPr>
          <w:b/>
          <w:sz w:val="24"/>
        </w:rPr>
        <w:t>采购人：</w:t>
      </w:r>
      <w:r>
        <w:rPr>
          <w:b/>
          <w:sz w:val="24"/>
        </w:rPr>
        <w:t>中共广州市黄埔区委员会宣传部</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中共广州市黄埔区委员会宣传部</w:t>
      </w:r>
      <w:r>
        <w:rPr/>
        <w:t>的委托，采用</w:t>
      </w:r>
      <w:r>
        <w:rPr/>
        <w:t>公开招标</w:t>
      </w:r>
      <w:r>
        <w:rPr/>
        <w:t>方式组织采购</w:t>
      </w:r>
      <w:r>
        <w:rPr/>
        <w:t>“美丽家园”建设及文明城市创建巡查督导项目</w:t>
      </w:r>
      <w:r>
        <w:rPr/>
        <w:t>。欢迎符合资格条件的国内供应商参加投标。</w:t>
      </w:r>
    </w:p>
    <w:p>
      <w:r>
        <w:rPr>
          <w:b/>
          <w:sz w:val="28"/>
        </w:rPr>
        <w:t>一.项目概述</w:t>
      </w:r>
    </w:p>
    <w:p>
      <w:r>
        <w:rPr>
          <w:b/>
          <w:sz w:val="24"/>
        </w:rPr>
        <w:t>1.名称与编号</w:t>
      </w:r>
    </w:p>
    <w:p>
      <w:pPr>
        <w:ind w:firstLine="480"/>
      </w:pPr>
      <w:r>
        <w:rPr/>
        <w:t>项目名称：</w:t>
      </w:r>
      <w:r>
        <w:rPr/>
        <w:t>“美丽家园”建设及文明城市创建巡查督导项目</w:t>
      </w:r>
    </w:p>
    <w:p>
      <w:pPr>
        <w:ind w:firstLine="480"/>
      </w:pPr>
      <w:r>
        <w:rPr/>
        <w:t>采购计划编号：</w:t>
      </w:r>
      <w:r>
        <w:rPr/>
        <w:t>440112-2024-00426</w:t>
      </w:r>
    </w:p>
    <w:p>
      <w:pPr>
        <w:ind w:firstLine="480"/>
      </w:pPr>
      <w:r>
        <w:rPr/>
        <w:t>采购项目编号：</w:t>
      </w:r>
      <w:r>
        <w:rPr/>
        <w:t>GZGK23D293C0924Z</w:t>
      </w:r>
    </w:p>
    <w:p>
      <w:pPr>
        <w:ind w:firstLine="480"/>
      </w:pPr>
      <w:r>
        <w:rPr/>
        <w:t>采购方式：</w:t>
      </w:r>
      <w:r>
        <w:rPr/>
        <w:t>公开招标</w:t>
      </w:r>
    </w:p>
    <w:p>
      <w:pPr>
        <w:ind w:firstLine="480"/>
      </w:pPr>
      <w:r>
        <w:rPr/>
        <w:t>预算金额：</w:t>
      </w:r>
      <w:r>
        <w:rPr/>
        <w:t>3,500,000.00</w:t>
      </w:r>
      <w:r>
        <w:rPr/>
        <w:t>元</w:t>
      </w:r>
    </w:p>
    <w:p>
      <w:r>
        <w:rPr>
          <w:b/>
          <w:sz w:val="24"/>
        </w:rPr>
        <w:t>2.项目内容及需求情况（采购项目技术规格、参数及要求）</w:t>
      </w:r>
    </w:p>
    <w:p>
      <w:pPr>
        <w:ind w:firstLine="480"/>
      </w:pPr>
    </w:p>
    <w:p/>
    <w:p>
      <w:r>
        <w:rPr/>
        <w:t>采购包1(“美丽家园”建设及文明城市创建巡查督导):</w:t>
      </w:r>
    </w:p>
    <w:p>
      <w:r>
        <w:rPr/>
        <w:t>采购包预算金额：3,500,000.00元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“美丽家园”建设及文明城市创建巡查督导</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采购包1（“美丽家园”建设及文明城市创建巡查督导）：</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采购包1（“美丽家园”建设及文明城市创建巡查督导）：</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中共广州市黄埔区委员会宣传部</w:t>
      </w:r>
    </w:p>
    <w:p>
      <w:pPr>
        <w:ind w:firstLine="480"/>
      </w:pPr>
      <w:r>
        <w:rPr/>
        <w:t>地址：</w:t>
      </w:r>
      <w:r>
        <w:rPr/>
        <w:t>广州市黄埔区香雪三路1号行政服务中心D栋3楼</w:t>
      </w:r>
    </w:p>
    <w:p>
      <w:pPr>
        <w:ind w:firstLine="480"/>
      </w:pPr>
      <w:r>
        <w:rPr/>
        <w:t>联系方式：</w:t>
      </w:r>
      <w:r>
        <w:rPr/>
        <w:t>020-82052382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b/>
          <w:sz w:val="21"/>
        </w:rPr>
        <w:t>GZGK23D293C0924Z</w:t>
      </w:r>
    </w:p>
    <w:p>
      <w:pPr>
        <w:jc w:val="both"/>
      </w:pPr>
      <w:r>
        <w:rPr>
          <w:b/>
          <w:sz w:val="21"/>
        </w:rPr>
        <w:t>（二）</w:t>
      </w:r>
      <w:r>
        <w:rPr>
          <w:b/>
          <w:sz w:val="21"/>
        </w:rPr>
        <w:t>项目名称：</w:t>
      </w:r>
      <w:r>
        <w:rPr>
          <w:b/>
          <w:sz w:val="21"/>
        </w:rPr>
        <w:t>“美丽家园”建设及文明城市创建巡查督导项目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涉及到软件产品的，必须采购和使用正版软件，项目中涉及计算机办公产品的，必须预装正版操作系统软件。</w:t>
      </w:r>
    </w:p>
    <w:p>
      <w:pPr>
        <w:jc w:val="both"/>
      </w:pPr>
      <w:r>
        <w:rPr>
          <w:sz w:val="21"/>
        </w:rPr>
        <w:t>5、</w:t>
      </w:r>
      <w:r>
        <w:rPr>
          <w:sz w:val="21"/>
        </w:rPr>
        <w:t>投标人没有在投标文件中注明偏离（文字说明或在响应表注明）的参数、配置、条款视为被投标人完全接受。</w:t>
      </w:r>
    </w:p>
    <w:p>
      <w:pPr>
        <w:jc w:val="both"/>
      </w:pPr>
      <w:r>
        <w:rPr>
          <w:sz w:val="21"/>
        </w:rPr>
        <w:t>6、</w:t>
      </w:r>
      <w:r>
        <w:rPr>
          <w:sz w:val="21"/>
        </w:rPr>
        <w:t>投标人应保证，采购人在中华人民共和国使用该服务或服务的任何一部分时，免受第三方提出的侵犯其专利权、商标权、著作权或其它知识产权的起诉。</w:t>
      </w:r>
    </w:p>
    <w:p>
      <w:pPr>
        <w:jc w:val="both"/>
      </w:pPr>
      <w:r>
        <w:rPr>
          <w:sz w:val="21"/>
        </w:rPr>
        <w:t>7、</w:t>
      </w:r>
      <w:r>
        <w:rPr>
          <w:sz w:val="21"/>
        </w:rPr>
        <w:t>不允许中标供应商</w:t>
      </w:r>
      <w:r>
        <w:rPr>
          <w:sz w:val="21"/>
        </w:rPr>
        <w:t>转包、分包项目内容</w:t>
      </w:r>
      <w:r>
        <w:rPr>
          <w:sz w:val="21"/>
        </w:rPr>
        <w:t>。</w:t>
      </w:r>
    </w:p>
    <w:p>
      <w:pPr>
        <w:jc w:val="both"/>
      </w:pPr>
      <w:r>
        <w:rPr>
          <w:sz w:val="21"/>
        </w:rPr>
        <w:t>8、</w:t>
      </w:r>
      <w:r>
        <w:rPr>
          <w:sz w:val="21"/>
        </w:rPr>
        <w:t>小型和微型企业、监狱企业和残疾人福利性单位必须按照招标文件第三章内容提供相应的资料。</w:t>
      </w:r>
    </w:p>
    <w:p>
      <w:pPr>
        <w:jc w:val="both"/>
      </w:pPr>
      <w:r>
        <w:rPr>
          <w:sz w:val="21"/>
        </w:rPr>
        <w:t>9、</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投标报价包括：项目组织实施服务费、服务人员保障经费、项目管理费、各项税费等在项目实施过程中的全部费用，</w:t>
      </w:r>
      <w:r>
        <w:rPr>
          <w:sz w:val="21"/>
        </w:rPr>
        <w:t>投标</w:t>
      </w:r>
      <w:r>
        <w:rPr>
          <w:sz w:val="21"/>
        </w:rPr>
        <w:t>报价中漏报、少报的费用，视为此项费用已隐含在</w:t>
      </w:r>
      <w:r>
        <w:rPr>
          <w:sz w:val="21"/>
        </w:rPr>
        <w:t>投标</w:t>
      </w:r>
      <w:r>
        <w:rPr>
          <w:sz w:val="21"/>
        </w:rPr>
        <w:t>报价中，供应商须自行考虑本项目在实施期间的一切可能产生的费用。在合同执行过程中，采购人将不再另行支付与本项目相关的任何费用。</w:t>
      </w:r>
    </w:p>
    <w:p>
      <w:pPr>
        <w:jc w:val="both"/>
      </w:pPr>
      <w:r>
        <w:rPr>
          <w:b/>
          <w:sz w:val="21"/>
        </w:rPr>
        <w:t>（六）</w:t>
      </w:r>
      <w:r>
        <w:rPr>
          <w:b/>
          <w:sz w:val="21"/>
        </w:rPr>
        <w:t>实现的目标</w:t>
      </w:r>
    </w:p>
    <w:p>
      <w:pPr>
        <w:ind w:firstLine="420"/>
        <w:jc w:val="both"/>
      </w:pPr>
      <w:r>
        <w:rPr>
          <w:sz w:val="21"/>
        </w:rPr>
        <w:t>为积极协助黄埔区创建文明城区联席会议办公室开展</w:t>
      </w:r>
      <w:r>
        <w:rPr>
          <w:sz w:val="21"/>
        </w:rPr>
        <w:t>“美丽家园”建设及文明城市创建巡查督导工作，保证巡查及时、督办有力。</w:t>
      </w:r>
    </w:p>
    <w:p>
      <w:pPr>
        <w:jc w:val="both"/>
      </w:pPr>
      <w:r>
        <w:rPr>
          <w:b/>
          <w:sz w:val="21"/>
        </w:rPr>
        <w:t>（七）</w:t>
      </w:r>
      <w:r>
        <w:rPr>
          <w:b/>
          <w:sz w:val="21"/>
        </w:rPr>
        <w:t>需执行国家相关标准、行业标准、地方标准或者其他标准、规范</w:t>
      </w:r>
    </w:p>
    <w:p/>
    <w:p>
      <w:pPr>
        <w:ind w:firstLine="480"/>
      </w:pPr>
    </w:p>
    <w:p/>
    <w:p>
      <w:r>
        <w:rPr/>
        <w:t>采购包1（“美丽家园”建设及文明城市创建巡查督导）</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1期：支付比例40%,按采购人对中标供应商的考核成绩支付合同费用。 预付款：签订合同之日起5个工作日内支付合同总价的40%；</w:t>
            </w:r>
          </w:p>
          <w:p/>
          <w:p>
            <w:r>
              <w:rPr/>
              <w:t>2期：支付比例30%,项目进度款：期中考核通过后10日内，按考核成绩支付期中款。考核良好的支付合同总价的30%，考核合格的支付合同总价25%视为当期支付完成，考核不合格的支付合同总价20%视为当期支付完成。</w:t>
            </w:r>
          </w:p>
          <w:p/>
          <w:p>
            <w:r>
              <w:rPr/>
              <w:t>3期：支付比例30%,考核款：期末考核通过后10日内，按考核成绩支付余款。考核良好的支付合同总价的30%，考核合格的支付合同总价25%视为支付完成，考核不合格的支付合同总价20%视为当支付完成。 付款须知： 1、每笔款项支付前，中标人须提交与每笔款项金额相等的发票。  2、支付方式：采用支票、银行汇付（含电汇）等形式。</w:t>
            </w:r>
          </w:p>
        </w:tc>
      </w:tr>
      <w:tr>
        <w:tc>
          <w:tcPr>
            <w:tcW w:type="dxa" w:w="4153"/>
          </w:tcPr>
          <w:p>
            <w:r>
              <w:rPr/>
              <w:t>验收要求</w:t>
            </w:r>
          </w:p>
        </w:tc>
        <w:tc>
          <w:tcPr>
            <w:tcW w:type="dxa" w:w="4153"/>
          </w:tcPr>
          <w:p/>
          <w:p/>
          <w:p/>
          <w:p>
            <w:r>
              <w:rPr/>
              <w:t>1期：1、项目验收为期中及期末两期进行验收，由中标供应商提出项目验收，采购人应当在收到中标供应商项目验收建议之日起7个工作日内按照合同的约定对履约情况进行验收，对每一项技术、服务、安全标准的履约情况进行确认。 2、验收由采购人组织相关人员依照有关标准、项目及合同要求进行。 3、验收完毕由采购人及中标供应商在验收报告上盖章确认。 4、中标供应商开展的相关工作及提交的验收内容应得到采购人认同、验收后方为完成合同内容；对验收不合格的部分，中标供应商应在采购人规定时间内及时整改完善直至合格。因整改完善所增加的时间不计入项目服务期，中标供应商不得以此要求增加任何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“美丽家园”建设及文明城市创建巡查督导</w:t>
            </w:r>
          </w:p>
        </w:tc>
        <w:tc>
          <w:tcPr>
            <w:tcW w:type="dxa" w:w="933"/>
          </w:tcPr>
          <w:p>
            <w:pPr>
              <w:jc w:val="left"/>
            </w:pPr>
            <w:r>
              <w:rPr/>
              <w:t>项</w:t>
            </w:r>
          </w:p>
        </w:tc>
        <w:tc>
          <w:tcPr>
            <w:tcW w:type="dxa" w:w="933"/>
          </w:tcPr>
          <w:p>
            <w:pPr>
              <w:jc w:val="right"/>
            </w:pPr>
            <w:r>
              <w:rPr/>
              <w:t>1.00</w:t>
            </w:r>
          </w:p>
        </w:tc>
        <w:tc>
          <w:tcPr>
            <w:tcW w:type="dxa" w:w="933"/>
          </w:tcPr>
          <w:p>
            <w:pPr>
              <w:jc w:val="right"/>
            </w:pPr>
            <w:r>
              <w:rPr/>
              <w:t>3,500,000.00</w:t>
            </w:r>
          </w:p>
        </w:tc>
        <w:tc>
          <w:tcPr>
            <w:tcW w:type="dxa" w:w="933"/>
          </w:tcPr>
          <w:p>
            <w:pPr>
              <w:jc w:val="right"/>
            </w:pPr>
            <w:r>
              <w:rPr/>
              <w:t>3,500,000.00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“美丽家园”建设及文明城市创建巡查督导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一、项目服务要求</w:t>
            </w:r>
          </w:p>
          <w:p>
            <w:pPr>
              <w:ind w:firstLine="422"/>
              <w:jc w:val="both"/>
            </w:pPr>
            <w:r>
              <w:rPr>
                <w:b/>
                <w:sz w:val="21"/>
              </w:rPr>
              <w:t>（一）工作内容要求</w:t>
            </w:r>
          </w:p>
          <w:p>
            <w:pPr>
              <w:ind w:firstLine="422"/>
              <w:jc w:val="both"/>
            </w:pPr>
            <w:r>
              <w:rPr>
                <w:b/>
                <w:sz w:val="21"/>
              </w:rPr>
              <w:t>1.日常巡查</w:t>
            </w:r>
          </w:p>
          <w:p>
            <w:pPr>
              <w:ind w:firstLine="420"/>
              <w:jc w:val="both"/>
            </w:pPr>
            <w:r>
              <w:rPr>
                <w:sz w:val="21"/>
              </w:rPr>
              <w:t>按照《广州市黄埔区深化</w:t>
            </w:r>
            <w:r>
              <w:rPr>
                <w:sz w:val="21"/>
              </w:rPr>
              <w:t>“美丽家园”建设工作方案》相关要求，对黄埔区167个社区（村）、重点公共点位、100多个新时代文明实践阵地（硬件方面）以及社会宣传阵地（包含但不限于电子屏、宣传栏、景观小品、道旗、海报、户外公益广告大牌、主次干道两侧工地围挡等）开展全区域全方位巡查。在实地巡查中，尽可能逐一看透看细、督导到位。坚持问题导向，深挖细抠，及时分析总结，梳理清楚影响制约文明城市创建的共性和个性问题；及时将发现的问题反馈给责任单位，举一反三抓好交办整改，以整改整治成效切实推进各文明创建点工作达标到位，持续做好“美丽家园”建设工作。</w:t>
            </w:r>
          </w:p>
          <w:p>
            <w:pPr>
              <w:ind w:firstLine="420"/>
              <w:jc w:val="both"/>
            </w:pPr>
            <w:r>
              <w:rPr>
                <w:sz w:val="21"/>
              </w:rPr>
              <w:t>（</w:t>
            </w:r>
            <w:r>
              <w:rPr>
                <w:sz w:val="21"/>
              </w:rPr>
              <w:t>1）片区划分。将黄埔区17个街（镇）分成五个片区：</w:t>
            </w:r>
          </w:p>
          <w:p>
            <w:pPr>
              <w:ind w:firstLine="420"/>
              <w:jc w:val="both"/>
            </w:pPr>
            <w:r>
              <w:rPr>
                <w:sz w:val="21"/>
              </w:rPr>
              <w:t>北部片区：九佛街、龙湖街、新龙镇；</w:t>
            </w:r>
          </w:p>
          <w:p>
            <w:pPr>
              <w:ind w:firstLine="420"/>
              <w:jc w:val="both"/>
            </w:pPr>
            <w:r>
              <w:rPr>
                <w:sz w:val="21"/>
              </w:rPr>
              <w:t>中部片区：联和街、永和街、长岭街；</w:t>
            </w:r>
          </w:p>
          <w:p>
            <w:pPr>
              <w:ind w:firstLine="420"/>
              <w:jc w:val="both"/>
            </w:pPr>
            <w:r>
              <w:rPr>
                <w:sz w:val="21"/>
              </w:rPr>
              <w:t>东部片区：南岗街、萝岗街、云埔街；</w:t>
            </w:r>
          </w:p>
          <w:p>
            <w:pPr>
              <w:ind w:firstLine="420"/>
              <w:jc w:val="both"/>
            </w:pPr>
            <w:r>
              <w:rPr>
                <w:sz w:val="21"/>
              </w:rPr>
              <w:t>西部片区：鱼珠街、大沙街、文冲街、长洲街；</w:t>
            </w:r>
          </w:p>
          <w:p>
            <w:pPr>
              <w:ind w:firstLine="420"/>
              <w:jc w:val="both"/>
            </w:pPr>
            <w:r>
              <w:rPr>
                <w:sz w:val="21"/>
              </w:rPr>
              <w:t>南部片区：黄埔街、红山街、夏港街、穗东街。</w:t>
            </w:r>
          </w:p>
          <w:p>
            <w:pPr>
              <w:ind w:firstLine="420"/>
              <w:jc w:val="both"/>
            </w:pPr>
            <w:r>
              <w:rPr>
                <w:sz w:val="21"/>
              </w:rPr>
              <w:t>（</w:t>
            </w:r>
            <w:r>
              <w:rPr>
                <w:sz w:val="21"/>
              </w:rPr>
              <w:t>2）工作要求。每天分片区进行全覆盖巡查，每月不少于2轮，每月录入不少于500条巡查记录。</w:t>
            </w:r>
          </w:p>
          <w:p>
            <w:pPr>
              <w:ind w:firstLine="420"/>
              <w:jc w:val="both"/>
            </w:pPr>
            <w:r>
              <w:rPr>
                <w:sz w:val="21"/>
              </w:rPr>
              <w:t>（说明：具体巡查的点在执行过程中会根据实际要求进行调整。）</w:t>
            </w:r>
          </w:p>
          <w:p>
            <w:pPr>
              <w:ind w:firstLine="422"/>
              <w:jc w:val="both"/>
            </w:pPr>
            <w:r>
              <w:rPr>
                <w:b/>
                <w:sz w:val="21"/>
              </w:rPr>
              <w:t>2.督导</w:t>
            </w:r>
          </w:p>
          <w:p>
            <w:pPr>
              <w:ind w:firstLine="420"/>
              <w:jc w:val="both"/>
            </w:pPr>
            <w:r>
              <w:rPr>
                <w:sz w:val="21"/>
              </w:rPr>
              <w:t>（</w:t>
            </w:r>
            <w:r>
              <w:rPr>
                <w:sz w:val="21"/>
              </w:rPr>
              <w:t>1）常规督导。每周督导村社和公共点位的巡查覆盖情况、问题发现及交办情况，跟进问题交办后整改整治的工作成效，并做进一步处理。同时，根据各单位巡查整改情况形成“美丽家园”建设报告（根据实际工作报送日报或周报）。</w:t>
            </w:r>
          </w:p>
          <w:p>
            <w:pPr>
              <w:ind w:firstLine="420"/>
              <w:jc w:val="both"/>
            </w:pPr>
            <w:r>
              <w:rPr>
                <w:sz w:val="21"/>
              </w:rPr>
              <w:t>（</w:t>
            </w:r>
            <w:r>
              <w:rPr>
                <w:sz w:val="21"/>
              </w:rPr>
              <w:t>2）二次督办。全面梳理审核整改回复情况，对整改不到位的问题进行二次督办。每周组织人员对整改后的点位进行实地回访，进一步核实整改情况并形成台账。根据每周巡查与整改情况进行全面梳理，协助做好“美丽家园”建设月度通报。</w:t>
            </w:r>
          </w:p>
          <w:p>
            <w:pPr>
              <w:ind w:firstLine="420"/>
              <w:jc w:val="both"/>
            </w:pPr>
            <w:r>
              <w:rPr>
                <w:sz w:val="21"/>
              </w:rPr>
              <w:t>（</w:t>
            </w:r>
            <w:r>
              <w:rPr>
                <w:sz w:val="21"/>
              </w:rPr>
              <w:t>3）协调沟通。协调其他需要与街（镇）沟通解决的问题。</w:t>
            </w:r>
          </w:p>
          <w:p>
            <w:pPr>
              <w:ind w:firstLine="422"/>
              <w:jc w:val="both"/>
            </w:pPr>
            <w:r>
              <w:rPr>
                <w:b/>
                <w:sz w:val="21"/>
              </w:rPr>
              <w:t>3.专项巡查及阶段性验收</w:t>
            </w:r>
          </w:p>
          <w:p>
            <w:pPr>
              <w:ind w:firstLine="420"/>
              <w:jc w:val="both"/>
            </w:pPr>
            <w:r>
              <w:rPr>
                <w:sz w:val="21"/>
              </w:rPr>
              <w:t>（</w:t>
            </w:r>
            <w:r>
              <w:rPr>
                <w:sz w:val="21"/>
              </w:rPr>
              <w:t>1）新时代文明实践阵地专项巡查。为落实《中共广州市委办公厅印发〈关于拓展新时代文明实践中心建设的行动方案〉的通知》要求，进一步推进黄埔区新时代文明实践工作走深走实，着力打造“一街一品牌、一站一特色”新时代文明实践阵地。每季度对全区100多个新时代文明实践阵地开展一次专项巡查（硬件及台账方面），并根据巡查情况对工作成效显著的单位予以通报。</w:t>
            </w:r>
          </w:p>
          <w:p>
            <w:pPr>
              <w:ind w:firstLine="420"/>
              <w:jc w:val="both"/>
            </w:pPr>
            <w:r>
              <w:rPr>
                <w:sz w:val="21"/>
              </w:rPr>
              <w:t>（</w:t>
            </w:r>
            <w:r>
              <w:rPr>
                <w:sz w:val="21"/>
              </w:rPr>
              <w:t>2）社会宣传阵地专项巡查。对上级交办的或在重要时间节点开展的社会宣传工作开展应急巡查督导，包括应急情况下利用节假日对</w:t>
            </w:r>
            <w:r>
              <w:rPr>
                <w:sz w:val="21"/>
              </w:rPr>
              <w:t>社会宣传阵地（包含但不限于电子屏、宣传栏、景观小品、道旗、海报、户外公益广告大牌、主次干道两侧工地围挡等）</w:t>
            </w:r>
            <w:r>
              <w:rPr>
                <w:sz w:val="21"/>
              </w:rPr>
              <w:t>进行重点巡查。</w:t>
            </w:r>
          </w:p>
          <w:p>
            <w:pPr>
              <w:ind w:firstLine="420"/>
              <w:jc w:val="both"/>
            </w:pPr>
            <w:r>
              <w:rPr>
                <w:sz w:val="21"/>
              </w:rPr>
              <w:t>（</w:t>
            </w:r>
            <w:r>
              <w:rPr>
                <w:sz w:val="21"/>
              </w:rPr>
              <w:t>3）阶段性临时性任务。协助完成文明创建、社会宣传阶段性检查或攻坚工作，以及其他阶段性、临时性验收任务，做好相应的实地检查资料整理等工作。</w:t>
            </w:r>
          </w:p>
          <w:p>
            <w:pPr>
              <w:ind w:firstLine="420"/>
              <w:jc w:val="both"/>
            </w:pPr>
            <w:r>
              <w:rPr>
                <w:sz w:val="21"/>
              </w:rPr>
              <w:t>（说明：如服务期间，中央、省、市、区有新的相关政策或工作要求，按最新的政策及要求执行。）</w:t>
            </w:r>
          </w:p>
          <w:p>
            <w:pPr>
              <w:ind w:firstLine="422"/>
              <w:jc w:val="both"/>
            </w:pPr>
            <w:r>
              <w:rPr>
                <w:b/>
                <w:sz w:val="21"/>
              </w:rPr>
              <w:t>（二）人员配置要求</w:t>
            </w:r>
          </w:p>
          <w:p>
            <w:pPr>
              <w:ind w:firstLine="420"/>
              <w:jc w:val="both"/>
            </w:pPr>
            <w:r>
              <w:rPr>
                <w:sz w:val="21"/>
              </w:rPr>
              <w:t>1.应为本项目提供不少于20人的服务团队。队长、副队长需具备本科及以上学历，队员需具备大专及以上学历。</w:t>
            </w:r>
          </w:p>
          <w:p>
            <w:pPr>
              <w:ind w:firstLine="420"/>
              <w:jc w:val="both"/>
            </w:pPr>
            <w:r>
              <w:rPr>
                <w:sz w:val="21"/>
              </w:rPr>
              <w:t>2.</w:t>
            </w:r>
            <w:r>
              <w:rPr>
                <w:sz w:val="21"/>
              </w:rPr>
              <w:t>为每位巡查队员购买人身意外险。</w:t>
            </w:r>
          </w:p>
          <w:p>
            <w:pPr>
              <w:ind w:firstLine="422"/>
              <w:jc w:val="both"/>
            </w:pPr>
            <w:r>
              <w:rPr>
                <w:b/>
                <w:sz w:val="21"/>
              </w:rPr>
              <w:t>（三）设备及办公配置要求</w:t>
            </w:r>
          </w:p>
          <w:p>
            <w:pPr>
              <w:ind w:firstLine="420"/>
              <w:jc w:val="both"/>
            </w:pPr>
            <w:r>
              <w:rPr>
                <w:sz w:val="21"/>
              </w:rPr>
              <w:t>服务期内，需提供不少于</w:t>
            </w:r>
            <w:r>
              <w:rPr>
                <w:sz w:val="21"/>
              </w:rPr>
              <w:t>5辆专用巡查车辆、10台电脑及其他相关办公设备。</w:t>
            </w:r>
          </w:p>
          <w:p>
            <w:pPr>
              <w:ind w:firstLine="420"/>
              <w:jc w:val="both"/>
            </w:pPr>
            <w:r>
              <w:rPr>
                <w:sz w:val="21"/>
              </w:rPr>
              <w:t>二、考核要求</w:t>
            </w:r>
          </w:p>
          <w:p>
            <w:pPr>
              <w:ind w:firstLine="420"/>
              <w:jc w:val="both"/>
            </w:pPr>
            <w:r>
              <w:rPr>
                <w:sz w:val="21"/>
              </w:rPr>
              <w:t>（一）采购人建立考核评分制度，服务到期后对中标供应商合同执行期间的工作、服务内容完成情况进行考核，考核分期中和期末两期进行，并根据考核结果进行相应处理。</w:t>
            </w:r>
          </w:p>
          <w:p>
            <w:pPr>
              <w:ind w:firstLine="420"/>
              <w:jc w:val="both"/>
            </w:pPr>
            <w:r>
              <w:rPr>
                <w:sz w:val="21"/>
              </w:rPr>
              <w:t>（二）中标供应商无条件接受采购人考核评分制度。在期中考核时，由采购人组建考核小组依照有关标准、项目及合同要求进行考核，对考核不合格的部分，中标供应商应在采购人规定时间内及时整改完善直至合格。因整改完善所增加的时间不计入项目服务期，中标供应商不得以此要求增加任何费用。</w:t>
            </w:r>
          </w:p>
          <w:p>
            <w:pPr>
              <w:ind w:firstLine="420"/>
              <w:jc w:val="both"/>
            </w:pPr>
            <w:r>
              <w:rPr>
                <w:sz w:val="21"/>
              </w:rPr>
              <w:t>（三）考核总分为</w:t>
            </w:r>
            <w:r>
              <w:rPr>
                <w:sz w:val="21"/>
              </w:rPr>
              <w:t>100分，分三个等级，达到80分（含80分）以上的，为良好；80分（不包含80分）～60分（含60分），为合格，60分（不包含60分）以下，为不合格。</w:t>
            </w:r>
          </w:p>
          <w:p>
            <w:pPr>
              <w:ind w:firstLine="420"/>
              <w:jc w:val="both"/>
            </w:pPr>
            <w:r>
              <w:rPr>
                <w:sz w:val="21"/>
              </w:rPr>
              <w:t>（四）考核指标评分表：</w:t>
            </w:r>
          </w:p>
          <w:p>
            <w:pPr>
              <w:jc w:val="center"/>
            </w:pPr>
            <w:r>
              <w:rPr>
                <w:sz w:val="21"/>
              </w:rPr>
              <w:t>“美丽家园”建设及文明城市创建巡查督导项目考核表</w:t>
            </w:r>
          </w:p>
          <w:tbl>
            <w:tblPr>
              <w:tblInd w:type="dxa" w:w="90"/>
              <w:tblBorders>
                <w:top w:val="none" w:color="000000" w:sz="4"/>
                <w:left w:val="none" w:color="000000" w:sz="4"/>
                <w:bottom w:val="none" w:color="000000" w:sz="4"/>
                <w:right w:val="none" w:color="000000" w:sz="4"/>
                <w:insideH w:val="none"/>
                <w:insideV w:val="none"/>
              </w:tblBorders>
            </w:tblPr>
            <w:tblGrid>
              <w:gridCol w:w="603"/>
              <w:gridCol w:w="3443"/>
              <w:gridCol w:w="801"/>
              <w:gridCol w:w="749"/>
            </w:tblGrid>
            <w:tr>
              <w:tc>
                <w:tcPr>
                  <w:tcW w:type="dxa" w:w="60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443"/>
                  <w:tcBorders>
                    <w:top w:val="single" w:color="000000" w:sz="4"/>
                    <w:left w:val="none" w:color="000000" w:sz="4"/>
                    <w:bottom w:val="single" w:color="000000" w:sz="4"/>
                    <w:right w:val="single" w:color="000000" w:sz="4"/>
                  </w:tcBorders>
                  <w:vAlign w:val="top"/>
                </w:tcPr>
                <w:p>
                  <w:pPr>
                    <w:jc w:val="center"/>
                  </w:pPr>
                  <w:r>
                    <w:rPr>
                      <w:b/>
                      <w:sz w:val="21"/>
                    </w:rPr>
                    <w:t>考核内容和项目</w:t>
                  </w:r>
                </w:p>
              </w:tc>
              <w:tc>
                <w:tcPr>
                  <w:tcW w:type="dxa" w:w="801"/>
                  <w:tcBorders>
                    <w:top w:val="single" w:color="000000" w:sz="4"/>
                    <w:left w:val="none" w:color="000000" w:sz="4"/>
                    <w:bottom w:val="single" w:color="000000" w:sz="4"/>
                    <w:right w:val="single" w:color="000000" w:sz="4"/>
                  </w:tcBorders>
                  <w:vAlign w:val="top"/>
                </w:tcPr>
                <w:p>
                  <w:pPr>
                    <w:jc w:val="center"/>
                  </w:pPr>
                  <w:r>
                    <w:rPr>
                      <w:b/>
                      <w:sz w:val="21"/>
                    </w:rPr>
                    <w:t>分值</w:t>
                  </w:r>
                </w:p>
              </w:tc>
              <w:tc>
                <w:tcPr>
                  <w:tcW w:type="dxa" w:w="749"/>
                  <w:tcBorders>
                    <w:top w:val="single" w:color="000000" w:sz="4"/>
                    <w:left w:val="none" w:color="000000" w:sz="4"/>
                    <w:bottom w:val="single" w:color="000000" w:sz="4"/>
                    <w:right w:val="single" w:color="000000" w:sz="4"/>
                  </w:tcBorders>
                  <w:vAlign w:val="top"/>
                </w:tcPr>
                <w:p>
                  <w:pPr>
                    <w:jc w:val="center"/>
                  </w:pPr>
                  <w:r>
                    <w:rPr>
                      <w:b/>
                      <w:sz w:val="21"/>
                    </w:rPr>
                    <w:t>打分</w:t>
                  </w: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3443"/>
                  <w:tcBorders>
                    <w:top w:val="none" w:color="000000" w:sz="4"/>
                    <w:left w:val="none" w:color="000000" w:sz="4"/>
                    <w:bottom w:val="single" w:color="000000" w:sz="4"/>
                    <w:right w:val="none" w:color="000000" w:sz="4"/>
                  </w:tcBorders>
                  <w:vAlign w:val="top"/>
                </w:tcPr>
                <w:p>
                  <w:pPr>
                    <w:jc w:val="left"/>
                  </w:pPr>
                  <w:r>
                    <w:rPr>
                      <w:b/>
                      <w:sz w:val="21"/>
                    </w:rPr>
                    <w:t>考勤态度评价</w:t>
                  </w:r>
                </w:p>
              </w:tc>
              <w:tc>
                <w:tcPr>
                  <w:tcW w:type="dxa" w:w="801"/>
                  <w:tcBorders>
                    <w:top w:val="none" w:color="000000" w:sz="4"/>
                    <w:left w:val="single" w:color="000000" w:sz="4"/>
                    <w:bottom w:val="single" w:color="000000" w:sz="4"/>
                    <w:right w:val="single" w:color="000000" w:sz="4"/>
                  </w:tcBorders>
                  <w:vAlign w:val="top"/>
                </w:tcPr>
                <w:p>
                  <w:pPr>
                    <w:jc w:val="center"/>
                  </w:pP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1.1</w:t>
                  </w:r>
                </w:p>
              </w:tc>
              <w:tc>
                <w:tcPr>
                  <w:tcW w:type="dxa" w:w="3443"/>
                  <w:tcBorders>
                    <w:top w:val="none" w:color="000000" w:sz="4"/>
                    <w:left w:val="none" w:color="000000" w:sz="4"/>
                    <w:bottom w:val="single" w:color="000000" w:sz="4"/>
                    <w:right w:val="single" w:color="000000" w:sz="4"/>
                  </w:tcBorders>
                  <w:vAlign w:val="top"/>
                </w:tcPr>
                <w:p>
                  <w:pPr>
                    <w:jc w:val="left"/>
                  </w:pPr>
                  <w:r>
                    <w:rPr>
                      <w:sz w:val="21"/>
                    </w:rPr>
                    <w:t>严格上下班制度，每天必须不少于</w:t>
                  </w:r>
                  <w:r>
                    <w:rPr>
                      <w:sz w:val="21"/>
                    </w:rPr>
                    <w:t>8小时在岗巡查服务</w:t>
                  </w:r>
                </w:p>
              </w:tc>
              <w:tc>
                <w:tcPr>
                  <w:tcW w:type="dxa" w:w="801"/>
                  <w:tcBorders>
                    <w:top w:val="none" w:color="000000" w:sz="4"/>
                    <w:left w:val="none" w:color="000000" w:sz="4"/>
                    <w:bottom w:val="single" w:color="000000" w:sz="4"/>
                    <w:right w:val="single" w:color="000000" w:sz="4"/>
                  </w:tcBorders>
                  <w:vAlign w:val="top"/>
                </w:tcPr>
                <w:p>
                  <w:pPr>
                    <w:jc w:val="center"/>
                  </w:pPr>
                  <w:r>
                    <w:rPr>
                      <w:sz w:val="21"/>
                    </w:rPr>
                    <w:t>10</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1.2</w:t>
                  </w:r>
                </w:p>
              </w:tc>
              <w:tc>
                <w:tcPr>
                  <w:tcW w:type="dxa" w:w="3443"/>
                  <w:tcBorders>
                    <w:top w:val="none" w:color="000000" w:sz="4"/>
                    <w:left w:val="none" w:color="000000" w:sz="4"/>
                    <w:bottom w:val="single" w:color="000000" w:sz="4"/>
                    <w:right w:val="single" w:color="000000" w:sz="4"/>
                  </w:tcBorders>
                  <w:vAlign w:val="top"/>
                </w:tcPr>
                <w:p>
                  <w:pPr>
                    <w:jc w:val="left"/>
                  </w:pPr>
                  <w:r>
                    <w:rPr>
                      <w:sz w:val="21"/>
                    </w:rPr>
                    <w:t>是否服从工作统一安排，有效利用工作时间开展工作</w:t>
                  </w:r>
                </w:p>
              </w:tc>
              <w:tc>
                <w:tcPr>
                  <w:tcW w:type="dxa" w:w="801"/>
                  <w:tcBorders>
                    <w:top w:val="none" w:color="000000" w:sz="4"/>
                    <w:left w:val="none" w:color="000000" w:sz="4"/>
                    <w:bottom w:val="single" w:color="000000" w:sz="4"/>
                    <w:right w:val="single" w:color="000000" w:sz="4"/>
                  </w:tcBorders>
                  <w:vAlign w:val="top"/>
                </w:tcPr>
                <w:p>
                  <w:pPr>
                    <w:jc w:val="center"/>
                  </w:pPr>
                  <w:r>
                    <w:rPr>
                      <w:sz w:val="21"/>
                    </w:rPr>
                    <w:t>10</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1.3</w:t>
                  </w:r>
                </w:p>
              </w:tc>
              <w:tc>
                <w:tcPr>
                  <w:tcW w:type="dxa" w:w="3443"/>
                  <w:tcBorders>
                    <w:top w:val="none" w:color="000000" w:sz="4"/>
                    <w:left w:val="none" w:color="000000" w:sz="4"/>
                    <w:bottom w:val="single" w:color="000000" w:sz="4"/>
                    <w:right w:val="single" w:color="000000" w:sz="4"/>
                  </w:tcBorders>
                  <w:vAlign w:val="top"/>
                </w:tcPr>
                <w:p>
                  <w:pPr>
                    <w:jc w:val="left"/>
                  </w:pPr>
                  <w:r>
                    <w:rPr>
                      <w:sz w:val="21"/>
                    </w:rPr>
                    <w:t>是否按工作需求在重大节假日等重要时段在岗（</w:t>
                  </w:r>
                  <w:r>
                    <w:rPr>
                      <w:sz w:val="21"/>
                    </w:rPr>
                    <w:t>6小时）</w:t>
                  </w:r>
                </w:p>
              </w:tc>
              <w:tc>
                <w:tcPr>
                  <w:tcW w:type="dxa" w:w="801"/>
                  <w:tcBorders>
                    <w:top w:val="none" w:color="000000" w:sz="4"/>
                    <w:left w:val="none" w:color="000000" w:sz="4"/>
                    <w:bottom w:val="single" w:color="000000" w:sz="4"/>
                    <w:right w:val="single" w:color="000000" w:sz="4"/>
                  </w:tcBorders>
                  <w:vAlign w:val="top"/>
                </w:tcPr>
                <w:p>
                  <w:pPr>
                    <w:jc w:val="center"/>
                  </w:pPr>
                  <w:r>
                    <w:rPr>
                      <w:sz w:val="21"/>
                    </w:rPr>
                    <w:t>10</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3443"/>
                  <w:tcBorders>
                    <w:top w:val="none" w:color="000000" w:sz="4"/>
                    <w:left w:val="none" w:color="000000" w:sz="4"/>
                    <w:bottom w:val="single" w:color="000000" w:sz="4"/>
                    <w:right w:val="none" w:color="000000" w:sz="4"/>
                  </w:tcBorders>
                  <w:vAlign w:val="top"/>
                </w:tcPr>
                <w:p>
                  <w:pPr>
                    <w:jc w:val="left"/>
                  </w:pPr>
                  <w:r>
                    <w:rPr>
                      <w:b/>
                      <w:sz w:val="21"/>
                    </w:rPr>
                    <w:t>主要工作内容评价</w:t>
                  </w:r>
                </w:p>
              </w:tc>
              <w:tc>
                <w:tcPr>
                  <w:tcW w:type="dxa" w:w="801"/>
                  <w:tcBorders>
                    <w:top w:val="none" w:color="000000" w:sz="4"/>
                    <w:left w:val="single" w:color="000000" w:sz="4"/>
                    <w:bottom w:val="single" w:color="000000" w:sz="4"/>
                    <w:right w:val="single" w:color="000000" w:sz="4"/>
                  </w:tcBorders>
                  <w:vAlign w:val="top"/>
                </w:tcPr>
                <w:p>
                  <w:pPr>
                    <w:jc w:val="center"/>
                  </w:pP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2.1</w:t>
                  </w:r>
                </w:p>
              </w:tc>
              <w:tc>
                <w:tcPr>
                  <w:tcW w:type="dxa" w:w="3443"/>
                  <w:tcBorders>
                    <w:top w:val="none" w:color="000000" w:sz="4"/>
                    <w:left w:val="none" w:color="000000" w:sz="4"/>
                    <w:bottom w:val="single" w:color="000000" w:sz="4"/>
                    <w:right w:val="single" w:color="000000" w:sz="4"/>
                  </w:tcBorders>
                  <w:vAlign w:val="top"/>
                </w:tcPr>
                <w:p>
                  <w:pPr>
                    <w:jc w:val="left"/>
                  </w:pPr>
                  <w:r>
                    <w:rPr>
                      <w:sz w:val="21"/>
                    </w:rPr>
                    <w:t>完成每日巡查台账登记及归总</w:t>
                  </w:r>
                </w:p>
              </w:tc>
              <w:tc>
                <w:tcPr>
                  <w:tcW w:type="dxa" w:w="801"/>
                  <w:tcBorders>
                    <w:top w:val="none" w:color="000000" w:sz="4"/>
                    <w:left w:val="none" w:color="000000" w:sz="4"/>
                    <w:bottom w:val="single" w:color="000000" w:sz="4"/>
                    <w:right w:val="single" w:color="000000" w:sz="4"/>
                  </w:tcBorders>
                  <w:vAlign w:val="top"/>
                </w:tcPr>
                <w:p>
                  <w:pPr>
                    <w:jc w:val="center"/>
                  </w:pPr>
                  <w:r>
                    <w:rPr>
                      <w:sz w:val="21"/>
                    </w:rPr>
                    <w:t>5</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2.2</w:t>
                  </w:r>
                </w:p>
              </w:tc>
              <w:tc>
                <w:tcPr>
                  <w:tcW w:type="dxa" w:w="3443"/>
                  <w:tcBorders>
                    <w:top w:val="none" w:color="000000" w:sz="4"/>
                    <w:left w:val="none" w:color="000000" w:sz="4"/>
                    <w:bottom w:val="single" w:color="000000" w:sz="4"/>
                    <w:right w:val="single" w:color="000000" w:sz="4"/>
                  </w:tcBorders>
                  <w:vAlign w:val="top"/>
                </w:tcPr>
                <w:p>
                  <w:pPr>
                    <w:jc w:val="left"/>
                  </w:pPr>
                  <w:r>
                    <w:rPr>
                      <w:sz w:val="21"/>
                    </w:rPr>
                    <w:t>对每个街（镇）的巡查每周不少于</w:t>
                  </w:r>
                  <w:r>
                    <w:rPr>
                      <w:sz w:val="21"/>
                    </w:rPr>
                    <w:t>2次</w:t>
                  </w:r>
                </w:p>
              </w:tc>
              <w:tc>
                <w:tcPr>
                  <w:tcW w:type="dxa" w:w="801"/>
                  <w:tcBorders>
                    <w:top w:val="none" w:color="000000" w:sz="4"/>
                    <w:left w:val="none" w:color="000000" w:sz="4"/>
                    <w:bottom w:val="single" w:color="000000" w:sz="4"/>
                    <w:right w:val="single" w:color="000000" w:sz="4"/>
                  </w:tcBorders>
                  <w:vAlign w:val="top"/>
                </w:tcPr>
                <w:p>
                  <w:pPr>
                    <w:jc w:val="center"/>
                  </w:pPr>
                  <w:r>
                    <w:rPr>
                      <w:sz w:val="21"/>
                    </w:rPr>
                    <w:t>5</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2.3</w:t>
                  </w:r>
                </w:p>
              </w:tc>
              <w:tc>
                <w:tcPr>
                  <w:tcW w:type="dxa" w:w="3443"/>
                  <w:tcBorders>
                    <w:top w:val="none" w:color="000000" w:sz="4"/>
                    <w:left w:val="none" w:color="000000" w:sz="4"/>
                    <w:bottom w:val="single" w:color="000000" w:sz="4"/>
                    <w:right w:val="single" w:color="000000" w:sz="4"/>
                  </w:tcBorders>
                  <w:vAlign w:val="top"/>
                </w:tcPr>
                <w:p>
                  <w:pPr>
                    <w:jc w:val="left"/>
                  </w:pPr>
                  <w:r>
                    <w:rPr>
                      <w:sz w:val="21"/>
                    </w:rPr>
                    <w:t>对社会宣传阵地的巡查每周不少于</w:t>
                  </w:r>
                  <w:r>
                    <w:rPr>
                      <w:sz w:val="21"/>
                    </w:rPr>
                    <w:t>5次</w:t>
                  </w:r>
                </w:p>
              </w:tc>
              <w:tc>
                <w:tcPr>
                  <w:tcW w:type="dxa" w:w="801"/>
                  <w:tcBorders>
                    <w:top w:val="none" w:color="000000" w:sz="4"/>
                    <w:left w:val="none" w:color="000000" w:sz="4"/>
                    <w:bottom w:val="single" w:color="000000" w:sz="4"/>
                    <w:right w:val="single" w:color="000000" w:sz="4"/>
                  </w:tcBorders>
                  <w:vAlign w:val="top"/>
                </w:tcPr>
                <w:p>
                  <w:pPr>
                    <w:jc w:val="center"/>
                  </w:pPr>
                  <w:r>
                    <w:rPr>
                      <w:sz w:val="21"/>
                    </w:rPr>
                    <w:t>5</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2.4</w:t>
                  </w:r>
                </w:p>
              </w:tc>
              <w:tc>
                <w:tcPr>
                  <w:tcW w:type="dxa" w:w="3443"/>
                  <w:tcBorders>
                    <w:top w:val="none" w:color="000000" w:sz="4"/>
                    <w:left w:val="none" w:color="000000" w:sz="4"/>
                    <w:bottom w:val="single" w:color="000000" w:sz="4"/>
                    <w:right w:val="single" w:color="000000" w:sz="4"/>
                  </w:tcBorders>
                  <w:vAlign w:val="top"/>
                </w:tcPr>
                <w:p>
                  <w:pPr>
                    <w:jc w:val="left"/>
                  </w:pPr>
                  <w:r>
                    <w:rPr>
                      <w:sz w:val="21"/>
                    </w:rPr>
                    <w:t>每月配合区文明办、区创建办督导整改活动不少于</w:t>
                  </w:r>
                  <w:r>
                    <w:rPr>
                      <w:sz w:val="21"/>
                    </w:rPr>
                    <w:t>2次</w:t>
                  </w:r>
                </w:p>
              </w:tc>
              <w:tc>
                <w:tcPr>
                  <w:tcW w:type="dxa" w:w="801"/>
                  <w:tcBorders>
                    <w:top w:val="none" w:color="000000" w:sz="4"/>
                    <w:left w:val="none" w:color="000000" w:sz="4"/>
                    <w:bottom w:val="single" w:color="000000" w:sz="4"/>
                    <w:right w:val="single" w:color="000000" w:sz="4"/>
                  </w:tcBorders>
                  <w:vAlign w:val="top"/>
                </w:tcPr>
                <w:p>
                  <w:pPr>
                    <w:jc w:val="center"/>
                  </w:pPr>
                  <w:r>
                    <w:rPr>
                      <w:sz w:val="21"/>
                    </w:rPr>
                    <w:t>5</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2.5</w:t>
                  </w:r>
                </w:p>
              </w:tc>
              <w:tc>
                <w:tcPr>
                  <w:tcW w:type="dxa" w:w="3443"/>
                  <w:tcBorders>
                    <w:top w:val="none" w:color="000000" w:sz="4"/>
                    <w:left w:val="none" w:color="000000" w:sz="4"/>
                    <w:bottom w:val="single" w:color="000000" w:sz="4"/>
                    <w:right w:val="single" w:color="000000" w:sz="4"/>
                  </w:tcBorders>
                  <w:vAlign w:val="top"/>
                </w:tcPr>
                <w:p>
                  <w:pPr>
                    <w:jc w:val="left"/>
                  </w:pPr>
                  <w:r>
                    <w:rPr>
                      <w:sz w:val="21"/>
                    </w:rPr>
                    <w:t>每月录入不少于</w:t>
                  </w:r>
                  <w:r>
                    <w:rPr>
                      <w:sz w:val="21"/>
                    </w:rPr>
                    <w:t>500条巡查记录</w:t>
                  </w:r>
                </w:p>
              </w:tc>
              <w:tc>
                <w:tcPr>
                  <w:tcW w:type="dxa" w:w="801"/>
                  <w:tcBorders>
                    <w:top w:val="none" w:color="000000" w:sz="4"/>
                    <w:left w:val="none" w:color="000000" w:sz="4"/>
                    <w:bottom w:val="single" w:color="000000" w:sz="4"/>
                    <w:right w:val="single" w:color="000000" w:sz="4"/>
                  </w:tcBorders>
                  <w:vAlign w:val="top"/>
                </w:tcPr>
                <w:p>
                  <w:pPr>
                    <w:jc w:val="center"/>
                  </w:pPr>
                  <w:r>
                    <w:rPr>
                      <w:sz w:val="21"/>
                    </w:rPr>
                    <w:t>10</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2.6</w:t>
                  </w:r>
                </w:p>
              </w:tc>
              <w:tc>
                <w:tcPr>
                  <w:tcW w:type="dxa" w:w="3443"/>
                  <w:tcBorders>
                    <w:top w:val="none" w:color="000000" w:sz="4"/>
                    <w:left w:val="none" w:color="000000" w:sz="4"/>
                    <w:bottom w:val="single" w:color="000000" w:sz="4"/>
                    <w:right w:val="single" w:color="000000" w:sz="4"/>
                  </w:tcBorders>
                  <w:vAlign w:val="top"/>
                </w:tcPr>
                <w:p>
                  <w:pPr>
                    <w:jc w:val="left"/>
                  </w:pPr>
                  <w:r>
                    <w:rPr>
                      <w:sz w:val="21"/>
                    </w:rPr>
                    <w:t>每季度至少开展一次新时代文明实践阵地专项检查</w:t>
                  </w:r>
                </w:p>
              </w:tc>
              <w:tc>
                <w:tcPr>
                  <w:tcW w:type="dxa" w:w="801"/>
                  <w:tcBorders>
                    <w:top w:val="none" w:color="000000" w:sz="4"/>
                    <w:left w:val="none" w:color="000000" w:sz="4"/>
                    <w:bottom w:val="single" w:color="000000" w:sz="4"/>
                    <w:right w:val="single" w:color="000000" w:sz="4"/>
                  </w:tcBorders>
                  <w:vAlign w:val="top"/>
                </w:tcPr>
                <w:p>
                  <w:pPr>
                    <w:jc w:val="center"/>
                  </w:pPr>
                  <w:r>
                    <w:rPr>
                      <w:sz w:val="21"/>
                    </w:rPr>
                    <w:t>5</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2.7</w:t>
                  </w:r>
                </w:p>
              </w:tc>
              <w:tc>
                <w:tcPr>
                  <w:tcW w:type="dxa" w:w="3443"/>
                  <w:tcBorders>
                    <w:top w:val="none" w:color="000000" w:sz="4"/>
                    <w:left w:val="none" w:color="000000" w:sz="4"/>
                    <w:bottom w:val="single" w:color="000000" w:sz="4"/>
                    <w:right w:val="single" w:color="000000" w:sz="4"/>
                  </w:tcBorders>
                  <w:vAlign w:val="top"/>
                </w:tcPr>
                <w:p>
                  <w:pPr>
                    <w:jc w:val="left"/>
                  </w:pPr>
                  <w:r>
                    <w:rPr>
                      <w:sz w:val="21"/>
                    </w:rPr>
                    <w:t>在重要时间节点开展社会宣传应急巡查督导工作</w:t>
                  </w:r>
                </w:p>
              </w:tc>
              <w:tc>
                <w:tcPr>
                  <w:tcW w:type="dxa" w:w="801"/>
                  <w:tcBorders>
                    <w:top w:val="none" w:color="000000" w:sz="4"/>
                    <w:left w:val="none" w:color="000000" w:sz="4"/>
                    <w:bottom w:val="single" w:color="000000" w:sz="4"/>
                    <w:right w:val="single" w:color="000000" w:sz="4"/>
                  </w:tcBorders>
                  <w:vAlign w:val="top"/>
                </w:tcPr>
                <w:p>
                  <w:pPr>
                    <w:jc w:val="center"/>
                  </w:pPr>
                  <w:r>
                    <w:rPr>
                      <w:sz w:val="21"/>
                    </w:rPr>
                    <w:t>5</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2.8</w:t>
                  </w:r>
                </w:p>
              </w:tc>
              <w:tc>
                <w:tcPr>
                  <w:tcW w:type="dxa" w:w="3443"/>
                  <w:tcBorders>
                    <w:top w:val="none" w:color="000000" w:sz="4"/>
                    <w:left w:val="none" w:color="000000" w:sz="4"/>
                    <w:bottom w:val="single" w:color="000000" w:sz="4"/>
                    <w:right w:val="single" w:color="000000" w:sz="4"/>
                  </w:tcBorders>
                  <w:vAlign w:val="top"/>
                </w:tcPr>
                <w:p>
                  <w:pPr>
                    <w:jc w:val="left"/>
                  </w:pPr>
                  <w:r>
                    <w:rPr>
                      <w:sz w:val="21"/>
                    </w:rPr>
                    <w:t>完成上级交办其他工作事项情况</w:t>
                  </w:r>
                </w:p>
              </w:tc>
              <w:tc>
                <w:tcPr>
                  <w:tcW w:type="dxa" w:w="801"/>
                  <w:tcBorders>
                    <w:top w:val="none" w:color="000000" w:sz="4"/>
                    <w:left w:val="none" w:color="000000" w:sz="4"/>
                    <w:bottom w:val="single" w:color="000000" w:sz="4"/>
                    <w:right w:val="single" w:color="000000" w:sz="4"/>
                  </w:tcBorders>
                  <w:vAlign w:val="top"/>
                </w:tcPr>
                <w:p>
                  <w:pPr>
                    <w:jc w:val="center"/>
                  </w:pPr>
                  <w:r>
                    <w:rPr>
                      <w:sz w:val="21"/>
                    </w:rPr>
                    <w:t>10</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3443"/>
                  <w:tcBorders>
                    <w:top w:val="none" w:color="000000" w:sz="4"/>
                    <w:left w:val="none" w:color="000000" w:sz="4"/>
                    <w:bottom w:val="single" w:color="000000" w:sz="4"/>
                    <w:right w:val="none" w:color="000000" w:sz="4"/>
                  </w:tcBorders>
                  <w:vAlign w:val="top"/>
                </w:tcPr>
                <w:p>
                  <w:pPr>
                    <w:jc w:val="left"/>
                  </w:pPr>
                  <w:r>
                    <w:rPr>
                      <w:b/>
                      <w:sz w:val="21"/>
                    </w:rPr>
                    <w:t>综合能力评价</w:t>
                  </w:r>
                </w:p>
              </w:tc>
              <w:tc>
                <w:tcPr>
                  <w:tcW w:type="dxa" w:w="801"/>
                  <w:tcBorders>
                    <w:top w:val="none" w:color="000000" w:sz="4"/>
                    <w:left w:val="single" w:color="000000" w:sz="4"/>
                    <w:bottom w:val="single" w:color="000000" w:sz="4"/>
                    <w:right w:val="single" w:color="000000" w:sz="4"/>
                  </w:tcBorders>
                  <w:vAlign w:val="top"/>
                </w:tcPr>
                <w:p>
                  <w:pPr>
                    <w:jc w:val="center"/>
                  </w:pP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3.1</w:t>
                  </w:r>
                </w:p>
              </w:tc>
              <w:tc>
                <w:tcPr>
                  <w:tcW w:type="dxa" w:w="3443"/>
                  <w:tcBorders>
                    <w:top w:val="none" w:color="000000" w:sz="4"/>
                    <w:left w:val="none" w:color="000000" w:sz="4"/>
                    <w:bottom w:val="single" w:color="000000" w:sz="4"/>
                    <w:right w:val="single" w:color="000000" w:sz="4"/>
                  </w:tcBorders>
                  <w:vAlign w:val="top"/>
                </w:tcPr>
                <w:p>
                  <w:pPr>
                    <w:jc w:val="left"/>
                  </w:pPr>
                  <w:r>
                    <w:rPr>
                      <w:sz w:val="21"/>
                    </w:rPr>
                    <w:t>区文明办、区创建办领导对服务项目总体情况评价</w:t>
                  </w:r>
                </w:p>
              </w:tc>
              <w:tc>
                <w:tcPr>
                  <w:tcW w:type="dxa" w:w="801"/>
                  <w:tcBorders>
                    <w:top w:val="none" w:color="000000" w:sz="4"/>
                    <w:left w:val="none" w:color="000000" w:sz="4"/>
                    <w:bottom w:val="single" w:color="000000" w:sz="4"/>
                    <w:right w:val="single" w:color="000000" w:sz="4"/>
                  </w:tcBorders>
                  <w:vAlign w:val="top"/>
                </w:tcPr>
                <w:p>
                  <w:pPr>
                    <w:jc w:val="center"/>
                  </w:pPr>
                  <w:r>
                    <w:rPr>
                      <w:sz w:val="21"/>
                    </w:rPr>
                    <w:t>10</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3.2</w:t>
                  </w:r>
                </w:p>
              </w:tc>
              <w:tc>
                <w:tcPr>
                  <w:tcW w:type="dxa" w:w="3443"/>
                  <w:tcBorders>
                    <w:top w:val="none" w:color="000000" w:sz="4"/>
                    <w:left w:val="none" w:color="000000" w:sz="4"/>
                    <w:bottom w:val="single" w:color="000000" w:sz="4"/>
                    <w:right w:val="single" w:color="000000" w:sz="4"/>
                  </w:tcBorders>
                  <w:vAlign w:val="top"/>
                </w:tcPr>
                <w:p>
                  <w:pPr>
                    <w:jc w:val="left"/>
                  </w:pPr>
                  <w:r>
                    <w:rPr>
                      <w:sz w:val="21"/>
                    </w:rPr>
                    <w:t>区文明办、区创建办对直接工作完成情况评价</w:t>
                  </w:r>
                </w:p>
              </w:tc>
              <w:tc>
                <w:tcPr>
                  <w:tcW w:type="dxa" w:w="801"/>
                  <w:tcBorders>
                    <w:top w:val="none" w:color="000000" w:sz="4"/>
                    <w:left w:val="none" w:color="000000" w:sz="4"/>
                    <w:bottom w:val="single" w:color="000000" w:sz="4"/>
                    <w:right w:val="single" w:color="000000" w:sz="4"/>
                  </w:tcBorders>
                  <w:vAlign w:val="top"/>
                </w:tcPr>
                <w:p>
                  <w:pPr>
                    <w:jc w:val="center"/>
                  </w:pPr>
                  <w:r>
                    <w:rPr>
                      <w:sz w:val="21"/>
                    </w:rPr>
                    <w:t>10</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3443"/>
                  <w:tcBorders>
                    <w:top w:val="none" w:color="000000" w:sz="4"/>
                    <w:left w:val="none" w:color="000000" w:sz="4"/>
                    <w:bottom w:val="single" w:color="000000" w:sz="4"/>
                    <w:right w:val="single" w:color="000000" w:sz="4"/>
                  </w:tcBorders>
                  <w:vAlign w:val="top"/>
                </w:tcPr>
                <w:p>
                  <w:pPr>
                    <w:jc w:val="left"/>
                  </w:pPr>
                  <w:r>
                    <w:rPr>
                      <w:b/>
                      <w:sz w:val="21"/>
                    </w:rPr>
                    <w:t>加分项</w:t>
                  </w:r>
                </w:p>
              </w:tc>
              <w:tc>
                <w:tcPr>
                  <w:tcW w:type="dxa" w:w="801"/>
                  <w:tcBorders>
                    <w:top w:val="none" w:color="000000" w:sz="4"/>
                    <w:left w:val="none" w:color="000000" w:sz="4"/>
                    <w:bottom w:val="single" w:color="000000" w:sz="4"/>
                    <w:right w:val="single" w:color="000000" w:sz="4"/>
                  </w:tcBorders>
                  <w:vAlign w:val="top"/>
                </w:tcPr>
                <w:p>
                  <w:pPr>
                    <w:jc w:val="center"/>
                  </w:pP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603"/>
                  <w:tcBorders>
                    <w:top w:val="none" w:color="000000" w:sz="4"/>
                    <w:left w:val="single" w:color="000000" w:sz="4"/>
                    <w:bottom w:val="single" w:color="000000" w:sz="4"/>
                    <w:right w:val="single" w:color="000000" w:sz="4"/>
                  </w:tcBorders>
                  <w:vAlign w:val="top"/>
                </w:tcPr>
                <w:p>
                  <w:pPr>
                    <w:jc w:val="center"/>
                  </w:pPr>
                  <w:r>
                    <w:rPr>
                      <w:b/>
                      <w:sz w:val="21"/>
                    </w:rPr>
                    <w:t>4.1</w:t>
                  </w:r>
                </w:p>
              </w:tc>
              <w:tc>
                <w:tcPr>
                  <w:tcW w:type="dxa" w:w="3443"/>
                  <w:tcBorders>
                    <w:top w:val="none" w:color="000000" w:sz="4"/>
                    <w:left w:val="none" w:color="000000" w:sz="4"/>
                    <w:bottom w:val="single" w:color="000000" w:sz="4"/>
                    <w:right w:val="single" w:color="000000" w:sz="4"/>
                  </w:tcBorders>
                  <w:vAlign w:val="top"/>
                </w:tcPr>
                <w:p>
                  <w:pPr>
                    <w:jc w:val="left"/>
                  </w:pPr>
                  <w:r>
                    <w:rPr>
                      <w:sz w:val="21"/>
                    </w:rPr>
                    <w:t>服务项目质量获得省市区通报表扬</w:t>
                  </w:r>
                </w:p>
              </w:tc>
              <w:tc>
                <w:tcPr>
                  <w:tcW w:type="dxa" w:w="801"/>
                  <w:tcBorders>
                    <w:top w:val="none" w:color="000000" w:sz="4"/>
                    <w:left w:val="none" w:color="000000" w:sz="4"/>
                    <w:bottom w:val="single" w:color="000000" w:sz="4"/>
                    <w:right w:val="single" w:color="000000" w:sz="4"/>
                  </w:tcBorders>
                  <w:vAlign w:val="top"/>
                </w:tcPr>
                <w:p>
                  <w:pPr>
                    <w:jc w:val="center"/>
                  </w:pPr>
                  <w:r>
                    <w:rPr>
                      <w:sz w:val="21"/>
                    </w:rPr>
                    <w:t>10</w:t>
                  </w:r>
                </w:p>
              </w:tc>
              <w:tc>
                <w:tcPr>
                  <w:tcW w:type="dxa" w:w="749"/>
                  <w:tcBorders>
                    <w:top w:val="none" w:color="000000" w:sz="4"/>
                    <w:left w:val="none" w:color="000000" w:sz="4"/>
                    <w:bottom w:val="single" w:color="000000" w:sz="4"/>
                    <w:right w:val="single" w:color="000000" w:sz="4"/>
                  </w:tcBorders>
                  <w:vAlign w:val="top"/>
                </w:tcPr>
                <w:p>
                  <w:pPr>
                    <w:jc w:val="center"/>
                  </w:pPr>
                </w:p>
              </w:tc>
            </w:tr>
            <w:tr>
              <w:tc>
                <w:tcPr>
                  <w:tcW w:type="dxa" w:w="4046"/>
                  <w:gridSpan w:val="2"/>
                  <w:tcBorders>
                    <w:top w:val="none" w:color="000000" w:sz="4"/>
                    <w:left w:val="single" w:color="000000" w:sz="4"/>
                    <w:bottom w:val="single" w:color="000000" w:sz="4"/>
                    <w:right w:val="single" w:color="000000" w:sz="4"/>
                  </w:tcBorders>
                  <w:vAlign w:val="top"/>
                </w:tcPr>
                <w:p>
                  <w:pPr>
                    <w:jc w:val="center"/>
                  </w:pPr>
                  <w:r>
                    <w:rPr>
                      <w:b/>
                      <w:sz w:val="21"/>
                    </w:rPr>
                    <w:t>合计</w:t>
                  </w:r>
                </w:p>
              </w:tc>
              <w:tc>
                <w:tcPr>
                  <w:tcW w:type="dxa" w:w="801"/>
                  <w:tcBorders>
                    <w:top w:val="none" w:color="000000" w:sz="4"/>
                    <w:left w:val="none" w:color="000000" w:sz="4"/>
                    <w:bottom w:val="single" w:color="000000" w:sz="4"/>
                    <w:right w:val="single" w:color="000000" w:sz="4"/>
                  </w:tcBorders>
                  <w:vAlign w:val="top"/>
                </w:tcPr>
                <w:p>
                  <w:pPr>
                    <w:jc w:val="center"/>
                  </w:pPr>
                  <w:r>
                    <w:rPr>
                      <w:b/>
                      <w:sz w:val="21"/>
                    </w:rPr>
                    <w:t>100+10</w:t>
                  </w:r>
                </w:p>
              </w:tc>
              <w:tc>
                <w:tcPr>
                  <w:tcW w:type="dxa" w:w="749"/>
                  <w:tcBorders>
                    <w:top w:val="none" w:color="000000" w:sz="4"/>
                    <w:left w:val="none" w:color="000000" w:sz="4"/>
                    <w:bottom w:val="single" w:color="000000" w:sz="4"/>
                    <w:right w:val="single" w:color="000000" w:sz="4"/>
                  </w:tcBorders>
                  <w:vAlign w:val="top"/>
                </w:tcPr>
                <w:p>
                  <w:pPr>
                    <w:jc w:val="center"/>
                  </w:pPr>
                </w:p>
              </w:tc>
            </w:tr>
          </w:tbl>
          <w:p>
            <w:r>
              <w:rPr/>
              <w:t xml:space="preserve"> </w:t>
            </w:r>
          </w:p>
          <w:p>
            <w:pPr>
              <w:jc w:val="both"/>
            </w:pPr>
            <w:r>
              <w:rPr>
                <w:b/>
                <w:sz w:val="21"/>
              </w:rPr>
              <w:t>三、绩效管理要求</w:t>
            </w:r>
          </w:p>
          <w:p>
            <w:pPr>
              <w:ind w:firstLine="425"/>
              <w:jc w:val="both"/>
            </w:pPr>
            <w:r>
              <w:rPr>
                <w:sz w:val="21"/>
              </w:rPr>
              <w:t>中标供应商须建立完善绩效管理考评机制，并严格落实各项管理规章制度，对不满足本项目服务要求的人员采购人有权要求其整改或更换服务人员。</w:t>
            </w:r>
          </w:p>
          <w:p>
            <w:pPr>
              <w:jc w:val="both"/>
            </w:pPr>
            <w:r>
              <w:rPr>
                <w:b/>
                <w:sz w:val="21"/>
              </w:rPr>
              <w:t>四、其他要求</w:t>
            </w:r>
          </w:p>
          <w:p>
            <w:pPr>
              <w:ind w:firstLine="442"/>
              <w:jc w:val="both"/>
            </w:pPr>
            <w:r>
              <w:rPr>
                <w:sz w:val="21"/>
              </w:rPr>
              <w:t>1.</w:t>
            </w:r>
            <w:r>
              <w:rPr>
                <w:sz w:val="21"/>
              </w:rPr>
              <w:t>对项目的理解</w:t>
            </w:r>
          </w:p>
          <w:p>
            <w:pPr>
              <w:ind w:firstLine="442"/>
              <w:jc w:val="both"/>
            </w:pPr>
            <w:r>
              <w:rPr>
                <w:sz w:val="21"/>
              </w:rPr>
              <w:t>投标人</w:t>
            </w:r>
            <w:r>
              <w:rPr>
                <w:sz w:val="21"/>
              </w:rPr>
              <w:t>须充分充分认识理解本项目采购需求</w:t>
            </w:r>
            <w:r>
              <w:rPr>
                <w:sz w:val="21"/>
              </w:rPr>
              <w:t>，对如下内容作出详细说明：</w:t>
            </w:r>
          </w:p>
          <w:p>
            <w:pPr>
              <w:ind w:firstLine="442"/>
              <w:jc w:val="both"/>
            </w:pPr>
            <w:r>
              <w:rPr>
                <w:sz w:val="21"/>
              </w:rPr>
              <w:t>(1)项目巡查区域分布及特点；</w:t>
            </w:r>
          </w:p>
          <w:p>
            <w:pPr>
              <w:ind w:firstLine="442"/>
              <w:jc w:val="both"/>
            </w:pPr>
            <w:r>
              <w:rPr>
                <w:sz w:val="21"/>
              </w:rPr>
              <w:t>(2)对相关政策及测评标准的理解；</w:t>
            </w:r>
          </w:p>
          <w:p>
            <w:pPr>
              <w:ind w:firstLine="442"/>
              <w:jc w:val="both"/>
            </w:pPr>
            <w:r>
              <w:rPr>
                <w:sz w:val="21"/>
              </w:rPr>
              <w:t>(3)对项目的总体理解。</w:t>
            </w:r>
          </w:p>
          <w:p>
            <w:pPr>
              <w:ind w:firstLine="442"/>
              <w:jc w:val="both"/>
            </w:pPr>
            <w:r>
              <w:rPr>
                <w:sz w:val="21"/>
              </w:rPr>
              <w:t>2.</w:t>
            </w:r>
            <w:r>
              <w:rPr>
                <w:sz w:val="21"/>
              </w:rPr>
              <w:t>对本项目重点难点分析、应对措施及相关的合理化建议</w:t>
            </w:r>
          </w:p>
          <w:p>
            <w:pPr>
              <w:ind w:firstLine="442"/>
              <w:jc w:val="both"/>
            </w:pPr>
            <w:r>
              <w:rPr>
                <w:sz w:val="21"/>
              </w:rPr>
              <w:t>投标人根据所投项目的实际情况，</w:t>
            </w:r>
            <w:r>
              <w:rPr>
                <w:sz w:val="21"/>
              </w:rPr>
              <w:t>须充分认识理解本项目采购需求</w:t>
            </w:r>
            <w:r>
              <w:rPr>
                <w:sz w:val="21"/>
              </w:rPr>
              <w:t>，</w:t>
            </w:r>
            <w:r>
              <w:rPr>
                <w:sz w:val="21"/>
              </w:rPr>
              <w:t>本项目重点难点并提出应对措施及相关的合理化建议</w:t>
            </w:r>
            <w:r>
              <w:rPr>
                <w:sz w:val="21"/>
              </w:rPr>
              <w:t>：</w:t>
            </w:r>
          </w:p>
          <w:p>
            <w:pPr>
              <w:ind w:firstLine="442"/>
              <w:jc w:val="both"/>
            </w:pPr>
            <w:r>
              <w:rPr>
                <w:sz w:val="21"/>
              </w:rPr>
              <w:t>（</w:t>
            </w:r>
            <w:r>
              <w:rPr>
                <w:sz w:val="21"/>
              </w:rPr>
              <w:t>1）项目重点难点分析；</w:t>
            </w:r>
          </w:p>
          <w:p>
            <w:pPr>
              <w:ind w:firstLine="442"/>
              <w:jc w:val="both"/>
            </w:pPr>
            <w:r>
              <w:rPr>
                <w:sz w:val="21"/>
              </w:rPr>
              <w:t>（</w:t>
            </w:r>
            <w:r>
              <w:rPr>
                <w:sz w:val="21"/>
              </w:rPr>
              <w:t>2）应对措施；</w:t>
            </w:r>
          </w:p>
          <w:p>
            <w:pPr>
              <w:ind w:firstLine="442"/>
              <w:jc w:val="both"/>
            </w:pPr>
            <w:r>
              <w:rPr>
                <w:sz w:val="21"/>
              </w:rPr>
              <w:t>（</w:t>
            </w:r>
            <w:r>
              <w:rPr>
                <w:sz w:val="21"/>
              </w:rPr>
              <w:t>3）合理化建议。</w:t>
            </w:r>
          </w:p>
          <w:p>
            <w:pPr>
              <w:ind w:firstLine="442"/>
              <w:jc w:val="both"/>
            </w:pPr>
            <w:r>
              <w:rPr>
                <w:sz w:val="21"/>
              </w:rPr>
              <w:t>3.</w:t>
            </w:r>
            <w:r>
              <w:rPr>
                <w:sz w:val="21"/>
              </w:rPr>
              <w:t>项目实施方案</w:t>
            </w:r>
          </w:p>
          <w:p>
            <w:pPr>
              <w:ind w:firstLine="442"/>
              <w:jc w:val="both"/>
            </w:pPr>
            <w:r>
              <w:rPr>
                <w:sz w:val="21"/>
              </w:rPr>
              <w:t>投标人根据所投项目的实际情况，科学合理地拟定</w:t>
            </w:r>
            <w:r>
              <w:rPr>
                <w:sz w:val="21"/>
              </w:rPr>
              <w:t>项目实施方案</w:t>
            </w:r>
            <w:r>
              <w:rPr>
                <w:sz w:val="21"/>
              </w:rPr>
              <w:t>，对如下内容作出详细说明：</w:t>
            </w:r>
          </w:p>
          <w:p>
            <w:pPr>
              <w:ind w:firstLine="442"/>
              <w:jc w:val="both"/>
            </w:pPr>
            <w:r>
              <w:rPr>
                <w:sz w:val="21"/>
              </w:rPr>
              <w:t>（</w:t>
            </w:r>
            <w:r>
              <w:rPr>
                <w:sz w:val="21"/>
              </w:rPr>
              <w:t>1）工作标准；</w:t>
            </w:r>
          </w:p>
          <w:p>
            <w:pPr>
              <w:ind w:firstLine="442"/>
              <w:jc w:val="both"/>
            </w:pPr>
            <w:r>
              <w:rPr>
                <w:sz w:val="21"/>
              </w:rPr>
              <w:t>（</w:t>
            </w:r>
            <w:r>
              <w:rPr>
                <w:sz w:val="21"/>
              </w:rPr>
              <w:t>2）工作流程；</w:t>
            </w:r>
          </w:p>
          <w:p>
            <w:pPr>
              <w:ind w:firstLine="442"/>
              <w:jc w:val="both"/>
            </w:pPr>
            <w:r>
              <w:rPr>
                <w:sz w:val="21"/>
              </w:rPr>
              <w:t>（</w:t>
            </w:r>
            <w:r>
              <w:rPr>
                <w:sz w:val="21"/>
              </w:rPr>
              <w:t>3）服务内容；</w:t>
            </w:r>
          </w:p>
          <w:p>
            <w:pPr>
              <w:ind w:firstLine="442"/>
              <w:jc w:val="both"/>
            </w:pPr>
            <w:r>
              <w:rPr>
                <w:sz w:val="21"/>
              </w:rPr>
              <w:t>（</w:t>
            </w:r>
            <w:r>
              <w:rPr>
                <w:sz w:val="21"/>
              </w:rPr>
              <w:t>4）服务方式；</w:t>
            </w:r>
          </w:p>
          <w:p>
            <w:pPr>
              <w:ind w:firstLine="442"/>
              <w:jc w:val="both"/>
            </w:pPr>
            <w:r>
              <w:rPr>
                <w:sz w:val="21"/>
              </w:rPr>
              <w:t>（</w:t>
            </w:r>
            <w:r>
              <w:rPr>
                <w:sz w:val="21"/>
              </w:rPr>
              <w:t>5）人员配置；</w:t>
            </w:r>
          </w:p>
          <w:p>
            <w:pPr>
              <w:ind w:firstLine="442"/>
              <w:jc w:val="both"/>
            </w:pPr>
            <w:r>
              <w:rPr>
                <w:sz w:val="21"/>
              </w:rPr>
              <w:t>（</w:t>
            </w:r>
            <w:r>
              <w:rPr>
                <w:sz w:val="21"/>
              </w:rPr>
              <w:t>6）应急措施。</w:t>
            </w:r>
          </w:p>
          <w:p>
            <w:pPr>
              <w:ind w:firstLine="442"/>
              <w:jc w:val="both"/>
            </w:pPr>
            <w:r>
              <w:rPr>
                <w:sz w:val="21"/>
              </w:rPr>
              <w:t>4.</w:t>
            </w:r>
            <w:r>
              <w:rPr>
                <w:sz w:val="21"/>
              </w:rPr>
              <w:t>供应商的服务支撑能力</w:t>
            </w:r>
          </w:p>
          <w:p>
            <w:pPr>
              <w:ind w:firstLine="442"/>
              <w:jc w:val="both"/>
            </w:pPr>
            <w:r>
              <w:rPr>
                <w:sz w:val="21"/>
              </w:rPr>
              <w:t>投标人根据所投项目的实际情况，科学合理地拟定</w:t>
            </w:r>
            <w:r>
              <w:rPr>
                <w:sz w:val="21"/>
              </w:rPr>
              <w:t>投标人</w:t>
            </w:r>
            <w:r>
              <w:rPr>
                <w:sz w:val="21"/>
              </w:rPr>
              <w:t>的服务支撑能力方案</w:t>
            </w:r>
            <w:r>
              <w:rPr>
                <w:sz w:val="21"/>
              </w:rPr>
              <w:t>,对如下内容作出详细说明：</w:t>
            </w:r>
          </w:p>
          <w:p>
            <w:pPr>
              <w:ind w:firstLine="442"/>
              <w:jc w:val="both"/>
            </w:pPr>
            <w:r>
              <w:rPr>
                <w:sz w:val="21"/>
              </w:rPr>
              <w:t>（</w:t>
            </w:r>
            <w:r>
              <w:rPr>
                <w:sz w:val="21"/>
              </w:rPr>
              <w:t>1）服务的便利性</w:t>
            </w:r>
          </w:p>
          <w:p>
            <w:pPr>
              <w:ind w:firstLine="442"/>
              <w:jc w:val="both"/>
            </w:pPr>
            <w:r>
              <w:rPr>
                <w:sz w:val="21"/>
              </w:rPr>
              <w:t>（</w:t>
            </w:r>
            <w:r>
              <w:rPr>
                <w:sz w:val="21"/>
              </w:rPr>
              <w:t>2）服务的及时性；</w:t>
            </w:r>
          </w:p>
          <w:p>
            <w:pPr>
              <w:ind w:firstLine="442"/>
              <w:jc w:val="both"/>
            </w:pPr>
            <w:r>
              <w:rPr>
                <w:sz w:val="21"/>
              </w:rPr>
              <w:t>（</w:t>
            </w:r>
            <w:r>
              <w:rPr>
                <w:sz w:val="21"/>
              </w:rPr>
              <w:t>3）服务的保障性。</w:t>
            </w:r>
          </w:p>
          <w:p>
            <w:pPr>
              <w:ind w:firstLine="442"/>
              <w:jc w:val="both"/>
            </w:pPr>
            <w:r>
              <w:rPr>
                <w:sz w:val="21"/>
              </w:rPr>
              <w:t>5.</w:t>
            </w:r>
            <w:r>
              <w:rPr>
                <w:sz w:val="21"/>
              </w:rPr>
              <w:t>项目服务保障措施</w:t>
            </w:r>
          </w:p>
          <w:p>
            <w:pPr>
              <w:ind w:firstLine="442"/>
              <w:jc w:val="both"/>
            </w:pPr>
            <w:r>
              <w:rPr>
                <w:sz w:val="21"/>
              </w:rPr>
              <w:t>投标人根据所投项目的实际情况，科学合理地拟定</w:t>
            </w:r>
            <w:r>
              <w:rPr>
                <w:sz w:val="21"/>
              </w:rPr>
              <w:t>项目服务保障措施</w:t>
            </w:r>
            <w:r>
              <w:rPr>
                <w:sz w:val="21"/>
              </w:rPr>
              <w:t>,对如下内容作出详细说明：</w:t>
            </w:r>
          </w:p>
          <w:p>
            <w:pPr>
              <w:ind w:firstLine="442"/>
              <w:jc w:val="both"/>
            </w:pPr>
            <w:r>
              <w:rPr>
                <w:sz w:val="21"/>
              </w:rPr>
              <w:t>（</w:t>
            </w:r>
            <w:r>
              <w:rPr>
                <w:sz w:val="21"/>
              </w:rPr>
              <w:t>1）服务团队稳定性保障及各环节关键节点服务保证措施；</w:t>
            </w:r>
          </w:p>
          <w:p>
            <w:pPr>
              <w:ind w:firstLine="442"/>
              <w:jc w:val="both"/>
            </w:pPr>
            <w:r>
              <w:rPr>
                <w:sz w:val="21"/>
              </w:rPr>
              <w:t>（</w:t>
            </w:r>
            <w:r>
              <w:rPr>
                <w:sz w:val="21"/>
              </w:rPr>
              <w:t>2）事故预防与处理措施；</w:t>
            </w:r>
          </w:p>
          <w:p>
            <w:pPr>
              <w:ind w:firstLine="442"/>
              <w:jc w:val="both"/>
            </w:pPr>
            <w:r>
              <w:rPr>
                <w:sz w:val="21"/>
              </w:rPr>
              <w:t>（</w:t>
            </w:r>
            <w:r>
              <w:rPr>
                <w:sz w:val="21"/>
              </w:rPr>
              <w:t>3）风险控制措施及验收不通过的解决方案。</w:t>
            </w:r>
          </w:p>
          <w:p>
            <w:pPr>
              <w:ind w:firstLine="442"/>
              <w:jc w:val="both"/>
            </w:pPr>
            <w:r>
              <w:rPr>
                <w:sz w:val="21"/>
              </w:rPr>
              <w:t>6. 廉洁保障方案</w:t>
            </w:r>
          </w:p>
          <w:p>
            <w:pPr>
              <w:ind w:firstLine="442"/>
              <w:jc w:val="both"/>
            </w:pPr>
            <w:r>
              <w:rPr>
                <w:sz w:val="21"/>
              </w:rPr>
              <w:t>投标人根据所投采购包的实际情况</w:t>
            </w:r>
            <w:r>
              <w:rPr>
                <w:sz w:val="21"/>
              </w:rPr>
              <w:t>,科学合理地拟定项目的廉洁保障方案,对如下内容作出详细说明:</w:t>
            </w:r>
          </w:p>
          <w:p>
            <w:pPr>
              <w:ind w:firstLine="420"/>
              <w:jc w:val="left"/>
            </w:pPr>
            <w:r>
              <w:rPr>
                <w:sz w:val="21"/>
              </w:rPr>
              <w:t>（</w:t>
            </w:r>
            <w:r>
              <w:rPr>
                <w:sz w:val="21"/>
              </w:rPr>
              <w:t>1）廉洁保障制度；</w:t>
            </w:r>
          </w:p>
          <w:p>
            <w:pPr>
              <w:ind w:firstLine="420"/>
              <w:jc w:val="left"/>
            </w:pPr>
            <w:r>
              <w:rPr>
                <w:sz w:val="21"/>
              </w:rPr>
              <w:t>（</w:t>
            </w:r>
            <w:r>
              <w:rPr>
                <w:sz w:val="21"/>
              </w:rPr>
              <w:t>2）廉洁自律体系；</w:t>
            </w:r>
          </w:p>
          <w:p>
            <w:pPr>
              <w:ind w:firstLine="420"/>
              <w:jc w:val="left"/>
            </w:pPr>
            <w:r>
              <w:rPr>
                <w:sz w:val="21"/>
              </w:rPr>
              <w:t>（</w:t>
            </w:r>
            <w:r>
              <w:rPr>
                <w:sz w:val="21"/>
              </w:rPr>
              <w:t>3）巡查工作公正性的保证。</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中共广州市黄埔区委员会宣传部</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美丽家园”建设及文明城市创建巡查督导)：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采购包1（“美丽家园”建设及文明城市创建巡查督导）：</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采购包1（“美丽家园”建设及文明城市创建巡查督导）：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采购包1（“美丽家园”建设及文明城市创建巡查督导）：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采购包1(“美丽家园”建设及文明城市创建巡查督导):</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对项目的理解（一） (3.0分)</w:t>
            </w:r>
          </w:p>
        </w:tc>
        <w:tc>
          <w:tcPr>
            <w:tcW w:type="dxa" w:w="5076"/>
          </w:tcPr>
          <w:p>
            <w:pPr>
              <w:jc w:val="left"/>
            </w:pPr>
            <w:r>
              <w:rPr/>
              <w:t>评标委员会根据投标人提供的对项目的理解进行综合评审，方案应包括： (1)项目巡查区域分布及特点； (2)对相关政策及测评标准的理解； (3)对项目的总体理解。 提供全部内容 得3分，每缺1项扣1分。</w:t>
            </w:r>
          </w:p>
        </w:tc>
      </w:tr>
      <w:tr>
        <w:tc>
          <w:tcPr>
            <w:tcW w:type="dxa" w:w="922"/>
            <w:gridSpan w:val="2"/>
            <w:vMerge/>
          </w:tcPr>
          <w:p/>
        </w:tc>
        <w:tc>
          <w:tcPr>
            <w:tcW w:type="dxa" w:w="2307"/>
          </w:tcPr>
          <w:p>
            <w:pPr>
              <w:jc w:val="left"/>
            </w:pPr>
            <w:r>
              <w:rPr/>
              <w:t>对项目的理解（二） (10.0分)</w:t>
            </w:r>
            <w:r>
              <w:rPr/>
              <w:t>，（等次分值选择：</w:t>
            </w:r>
            <w:r>
              <w:rPr/>
              <w:t>0.0;</w:t>
            </w:r>
            <w:r>
              <w:rPr/>
              <w:t>1.0;</w:t>
            </w:r>
            <w:r>
              <w:rPr/>
              <w:t>5.0;</w:t>
            </w:r>
            <w:r>
              <w:rPr/>
              <w:t>10.0;</w:t>
            </w:r>
            <w:r>
              <w:rPr/>
              <w:t>）</w:t>
            </w:r>
          </w:p>
        </w:tc>
        <w:tc>
          <w:tcPr>
            <w:tcW w:type="dxa" w:w="5076"/>
          </w:tcPr>
          <w:p>
            <w:pPr>
              <w:jc w:val="left"/>
            </w:pPr>
            <w:r>
              <w:rPr/>
              <w:t>评标委员会根据投标人提供的对项目的理解（二）进行综合评审： （1）投标人针对项目需求有全面理解，能全面把握本项目巡查区域分布及特点、对相关政策及测评标准等工作理解到位，能有效保障本项目实施，有利于实现服务效果的，得10分； （2）投标人针对项目需求有基本理解，基本了解本项目巡查区域分布及特点，基本掌握相关政策及测评标准工作，能基本保障本项目服务实施，基本满足服务效果的，得5分； （3）投标人只针对部分需求进行理解分析或者没有分析项目需求，对本项目巡查区域分布及特点不熟悉，对相关政策及测评标准工作不了解，难以本项目服务实施或难以达到服务效果的，得1分； 注：不提供不得分。</w:t>
            </w:r>
          </w:p>
        </w:tc>
      </w:tr>
      <w:tr>
        <w:tc>
          <w:tcPr>
            <w:tcW w:type="dxa" w:w="922"/>
            <w:gridSpan w:val="2"/>
            <w:vMerge/>
          </w:tcPr>
          <w:p/>
        </w:tc>
        <w:tc>
          <w:tcPr>
            <w:tcW w:type="dxa" w:w="2307"/>
          </w:tcPr>
          <w:p>
            <w:pPr>
              <w:jc w:val="left"/>
            </w:pPr>
            <w:r>
              <w:rPr/>
              <w:t>对本项目重点难点分析、应对措施及相关的合理化建议（一） (3.0分)</w:t>
            </w:r>
          </w:p>
        </w:tc>
        <w:tc>
          <w:tcPr>
            <w:tcW w:type="dxa" w:w="5076"/>
          </w:tcPr>
          <w:p>
            <w:pPr>
              <w:jc w:val="left"/>
            </w:pPr>
            <w:r>
              <w:rPr/>
              <w:t>投标人须充分分析本项目的重点难点，针对问题提出应对措施及相关的合理化建议，以保证完成工作的质量及进度，至少包括下述内容： （1）项目重点难点分析； （2）应对措施； （3）合理化建议。 提供全部内容 得3分，每缺1项扣1分。</w:t>
            </w:r>
          </w:p>
        </w:tc>
      </w:tr>
      <w:tr>
        <w:tc>
          <w:tcPr>
            <w:tcW w:type="dxa" w:w="922"/>
            <w:gridSpan w:val="2"/>
            <w:vMerge/>
          </w:tcPr>
          <w:p/>
        </w:tc>
        <w:tc>
          <w:tcPr>
            <w:tcW w:type="dxa" w:w="2307"/>
          </w:tcPr>
          <w:p>
            <w:pPr>
              <w:jc w:val="left"/>
            </w:pPr>
            <w:r>
              <w:rPr/>
              <w:t>对本项目重点难点分析、应对措施及相关的合理化建议（二） (10.0分)</w:t>
            </w:r>
            <w:r>
              <w:rPr/>
              <w:t>，（等次分值选择：</w:t>
            </w:r>
            <w:r>
              <w:rPr/>
              <w:t>0.0;</w:t>
            </w:r>
            <w:r>
              <w:rPr/>
              <w:t>1.0;</w:t>
            </w:r>
            <w:r>
              <w:rPr/>
              <w:t>5.0;</w:t>
            </w:r>
            <w:r>
              <w:rPr/>
              <w:t>10.0;</w:t>
            </w:r>
            <w:r>
              <w:rPr/>
              <w:t>）</w:t>
            </w:r>
          </w:p>
        </w:tc>
        <w:tc>
          <w:tcPr>
            <w:tcW w:type="dxa" w:w="5076"/>
          </w:tcPr>
          <w:p>
            <w:pPr>
              <w:jc w:val="left"/>
            </w:pPr>
            <w:r>
              <w:rPr/>
              <w:t>评标委员会根据投标人提供重点难点分析、应对措施及合理化建议的（一）详细内容进行综合评审： （1）针对项目需求有全面理解，能全面把握项目的重点难点问题，并针对全部重点难点问题提出具体可行的保障措施和合理化的建议，措施建议细致可行，有利于实现本项目服务效果，得10分； （2）针对项目需求有全面理解，针对部分重点难点进行分析，提出针对项目部分重点难点提出具体可行的保障措施或者合理化建议，措施建议基本可行，基本上能满足项目的需求，得5分； （3）只针对部分需求进行理解分析或者没有分析项目需求，不理解项目额重点难点，提出建议不合理或者不具备操作性，无法满足项目需求的，得1分； 注：不提供不得分。</w:t>
            </w:r>
          </w:p>
        </w:tc>
      </w:tr>
      <w:tr>
        <w:tc>
          <w:tcPr>
            <w:tcW w:type="dxa" w:w="922"/>
            <w:gridSpan w:val="2"/>
            <w:vMerge/>
          </w:tcPr>
          <w:p/>
        </w:tc>
        <w:tc>
          <w:tcPr>
            <w:tcW w:type="dxa" w:w="2307"/>
          </w:tcPr>
          <w:p>
            <w:pPr>
              <w:jc w:val="left"/>
            </w:pPr>
            <w:r>
              <w:rPr/>
              <w:t>项目实施方案（一） (3.0分)</w:t>
            </w:r>
          </w:p>
        </w:tc>
        <w:tc>
          <w:tcPr>
            <w:tcW w:type="dxa" w:w="5076"/>
          </w:tcPr>
          <w:p>
            <w:pPr>
              <w:jc w:val="left"/>
            </w:pPr>
            <w:r>
              <w:rPr/>
              <w:t>评标委员会根据投标人提供的项目实施方案进行综合评审，方案应包括： (1)工作标准； (2)工作流程； (3)服务内容 (4)服务方式； (5)人员配置； (6)应急措施。 提供全部内容 得3分，每缺1项扣0.5分。</w:t>
            </w:r>
          </w:p>
        </w:tc>
      </w:tr>
      <w:tr>
        <w:tc>
          <w:tcPr>
            <w:tcW w:type="dxa" w:w="922"/>
            <w:gridSpan w:val="2"/>
            <w:vMerge/>
          </w:tcPr>
          <w:p/>
        </w:tc>
        <w:tc>
          <w:tcPr>
            <w:tcW w:type="dxa" w:w="2307"/>
          </w:tcPr>
          <w:p>
            <w:pPr>
              <w:jc w:val="left"/>
            </w:pPr>
            <w:r>
              <w:rPr/>
              <w:t>项目实施方案（二） (10.0分)</w:t>
            </w:r>
            <w:r>
              <w:rPr/>
              <w:t>，（等次分值选择：</w:t>
            </w:r>
            <w:r>
              <w:rPr/>
              <w:t>0.0;</w:t>
            </w:r>
            <w:r>
              <w:rPr/>
              <w:t>1.0;</w:t>
            </w:r>
            <w:r>
              <w:rPr/>
              <w:t>5.0;</w:t>
            </w:r>
            <w:r>
              <w:rPr/>
              <w:t>10.0;</w:t>
            </w:r>
            <w:r>
              <w:rPr/>
              <w:t>）</w:t>
            </w:r>
          </w:p>
        </w:tc>
        <w:tc>
          <w:tcPr>
            <w:tcW w:type="dxa" w:w="5076"/>
          </w:tcPr>
          <w:p>
            <w:pPr>
              <w:jc w:val="left"/>
            </w:pPr>
            <w:r>
              <w:rPr/>
              <w:t>评标委员会根据投标人提供的项目实施方案（一）的详细内容进行综合评审： （1）从工作标准、工作流程、服务内容、服务计划，人员配置、服务应急措施方面综合评审，满足项目实施要求的，能有效保障本项目实施，有利于实现服务效果的，得10分； （2）从工作标准、工作流程、服务内容、服务计划，人员配置、服务应急措施方面综合评审，方案存在瑕疵的，能基本保障本项目服务实施，基本满足服务效果的，得5分； （3）从工作标准、工作流程、服务内容、服务计划，人员配置、服务应急措施方面综合评审，方案存在不足或缺陷的，难以本项目服务实施或难以达到服务效果的，得1分； 注：不提供不得分。</w:t>
            </w:r>
          </w:p>
        </w:tc>
      </w:tr>
      <w:tr>
        <w:tc>
          <w:tcPr>
            <w:tcW w:type="dxa" w:w="922"/>
            <w:gridSpan w:val="2"/>
            <w:vMerge/>
          </w:tcPr>
          <w:p/>
        </w:tc>
        <w:tc>
          <w:tcPr>
            <w:tcW w:type="dxa" w:w="2307"/>
          </w:tcPr>
          <w:p>
            <w:pPr>
              <w:jc w:val="left"/>
            </w:pPr>
            <w:r>
              <w:rPr/>
              <w:t>项目服务保障措施（一） (3.0分)</w:t>
            </w:r>
          </w:p>
        </w:tc>
        <w:tc>
          <w:tcPr>
            <w:tcW w:type="dxa" w:w="5076"/>
          </w:tcPr>
          <w:p>
            <w:pPr>
              <w:jc w:val="left"/>
            </w:pPr>
            <w:r>
              <w:rPr/>
              <w:t>评标委员会根据投标人提供的项目服务保障措施进行综合评审，方案应包括： （1）服务团队稳定性保障及各环节关键节点服务保证措施； （2）事故预防与处理措施； （3）风险控制措施及验收不通过的解决方案。 提供全部内容 得3分，每缺1项扣1分。</w:t>
            </w:r>
          </w:p>
        </w:tc>
      </w:tr>
      <w:tr>
        <w:tc>
          <w:tcPr>
            <w:tcW w:type="dxa" w:w="922"/>
            <w:gridSpan w:val="2"/>
            <w:vMerge/>
          </w:tcPr>
          <w:p/>
        </w:tc>
        <w:tc>
          <w:tcPr>
            <w:tcW w:type="dxa" w:w="2307"/>
          </w:tcPr>
          <w:p>
            <w:pPr>
              <w:jc w:val="left"/>
            </w:pPr>
            <w:r>
              <w:rPr/>
              <w:t>项目服务保障措施（二） (10.0分)</w:t>
            </w:r>
            <w:r>
              <w:rPr/>
              <w:t>，（等次分值选择：</w:t>
            </w:r>
            <w:r>
              <w:rPr/>
              <w:t>0.0;</w:t>
            </w:r>
            <w:r>
              <w:rPr/>
              <w:t>1.0;</w:t>
            </w:r>
            <w:r>
              <w:rPr/>
              <w:t>5.0;</w:t>
            </w:r>
            <w:r>
              <w:rPr/>
              <w:t>10.0;</w:t>
            </w:r>
            <w:r>
              <w:rPr/>
              <w:t>）</w:t>
            </w:r>
          </w:p>
        </w:tc>
        <w:tc>
          <w:tcPr>
            <w:tcW w:type="dxa" w:w="5076"/>
          </w:tcPr>
          <w:p>
            <w:pPr>
              <w:jc w:val="left"/>
            </w:pPr>
            <w:r>
              <w:rPr/>
              <w:t>评标委员会根据投标人提供项目服务保障措施（一）的详细内容进行综合评审： （1）从服务团队稳定性保障、各环节关键节点服务保证措施、事故预防与处理措施、风险控制措施以及验收不通过的解决方案方面综合评审，满足项目实施要求的，能有效保障本项目实施，有利于实现服务效果的，得10分； （2）从服务团队稳定性保障、各环节关键节点服务保证措施、事故预防与处理措施、风险控制措施以及验收不通过的解决方案方面综合评审，方案存在瑕疵的，能基本保障本项目服务实施，基本满足服务效果的，得5分； （3）从服务团队稳定性保障、各环节关键节点服务保证措施、事故预防与处理措施、风险控制措施以及验收不通过的解决方案方面综合评审，方案存在不足或缺陷的，难以本项目服务实施或难以达到服务效果的，得1分； 注：不提供不得分。</w:t>
            </w:r>
          </w:p>
        </w:tc>
      </w:tr>
      <w:tr>
        <w:tc>
          <w:tcPr>
            <w:tcW w:type="dxa" w:w="922"/>
            <w:gridSpan w:val="2"/>
            <w:vMerge/>
          </w:tcPr>
          <w:p/>
        </w:tc>
        <w:tc>
          <w:tcPr>
            <w:tcW w:type="dxa" w:w="2307"/>
          </w:tcPr>
          <w:p>
            <w:pPr>
              <w:jc w:val="left"/>
            </w:pPr>
            <w:r>
              <w:rPr/>
              <w:t>廉洁保障方案（一） (3.0分)</w:t>
            </w:r>
          </w:p>
        </w:tc>
        <w:tc>
          <w:tcPr>
            <w:tcW w:type="dxa" w:w="5076"/>
          </w:tcPr>
          <w:p>
            <w:pPr>
              <w:jc w:val="left"/>
            </w:pPr>
            <w:r>
              <w:rPr/>
              <w:t>评标委员会根据投标人提供的廉洁保障方案进行综合评审，方案应包括： （1）廉洁保障制度；  （2）廉洁自律体系； （3）巡查工作公正性的保证。 提供全部内容 得3分，每缺1项扣1分。</w:t>
            </w:r>
          </w:p>
        </w:tc>
      </w:tr>
      <w:tr>
        <w:tc>
          <w:tcPr>
            <w:tcW w:type="dxa" w:w="922"/>
            <w:gridSpan w:val="2"/>
            <w:vMerge/>
          </w:tcPr>
          <w:p/>
        </w:tc>
        <w:tc>
          <w:tcPr>
            <w:tcW w:type="dxa" w:w="2307"/>
          </w:tcPr>
          <w:p>
            <w:pPr>
              <w:jc w:val="left"/>
            </w:pPr>
            <w:r>
              <w:rPr/>
              <w:t>廉洁保障方案（二） (10.0分)</w:t>
            </w:r>
            <w:r>
              <w:rPr/>
              <w:t>，（等次分值选择：</w:t>
            </w:r>
            <w:r>
              <w:rPr/>
              <w:t>0.0;</w:t>
            </w:r>
            <w:r>
              <w:rPr/>
              <w:t>1.0;</w:t>
            </w:r>
            <w:r>
              <w:rPr/>
              <w:t>5.0;</w:t>
            </w:r>
            <w:r>
              <w:rPr/>
              <w:t>10.0;</w:t>
            </w:r>
            <w:r>
              <w:rPr/>
              <w:t>）</w:t>
            </w:r>
          </w:p>
        </w:tc>
        <w:tc>
          <w:tcPr>
            <w:tcW w:type="dxa" w:w="5076"/>
          </w:tcPr>
          <w:p>
            <w:pPr>
              <w:jc w:val="left"/>
            </w:pPr>
            <w:r>
              <w:rPr/>
              <w:t>评标委员会根据投标人提供的廉洁保障方案（一）的详细内容进行综合评审： （1）廉洁保障制度详细具体，廉洁自律体系成熟，能保证巡查工作的公正性，得10分。 （2）廉洁保障制度基本可行，具有一定的针对性，廉洁自律体系基本完整，巡查工作的公正性的具有一定的保证度，得5分； （3）廉洁保障制度不具有可实施性，巡查工作的公正性的保证度难以保障的，得1分； 注：不提供不得分。</w:t>
            </w:r>
          </w:p>
        </w:tc>
      </w:tr>
      <w:tr>
        <w:tc>
          <w:tcPr>
            <w:tcW w:type="dxa" w:w="922"/>
            <w:gridSpan w:val="2"/>
            <w:vMerge w:val="restart"/>
          </w:tcPr>
          <w:p>
            <w:pPr>
              <w:jc w:val="center"/>
            </w:pPr>
            <w:r>
              <w:rPr/>
              <w:t>商务部分</w:t>
            </w:r>
          </w:p>
        </w:tc>
        <w:tc>
          <w:tcPr>
            <w:tcW w:type="dxa" w:w="2307"/>
          </w:tcPr>
          <w:p>
            <w:pPr>
              <w:jc w:val="left"/>
            </w:pPr>
            <w:r>
              <w:rPr/>
              <w:t>同类项目业绩 (2.5分)</w:t>
            </w:r>
          </w:p>
        </w:tc>
        <w:tc>
          <w:tcPr>
            <w:tcW w:type="dxa" w:w="5076"/>
          </w:tcPr>
          <w:p>
            <w:pPr>
              <w:jc w:val="left"/>
            </w:pPr>
            <w:r>
              <w:rPr/>
              <w:t>投标人2021年1月1日至今承担的同类项目业绩，每提供一项同类项目业绩得2.5分，最高得2.5分。 注：需提供合同关键页（合同关键页必须有用户单位名称、合同项目名称、合同标的主要采购内容、签订合同双方的落款盖章、合同签订日期），以合同的签订日期为准，不提供或专家无法认定的不得分。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体系认证 (6.0分)</w:t>
            </w:r>
          </w:p>
        </w:tc>
        <w:tc>
          <w:tcPr>
            <w:tcW w:type="dxa" w:w="5076"/>
          </w:tcPr>
          <w:p>
            <w:pPr>
              <w:jc w:val="left"/>
            </w:pPr>
            <w:r>
              <w:rPr/>
              <w:t>1.投标人反贿赂能力达到ISO37001-2016的要求，并获得相对应的“反贿赂管理体系认证证书”，得1.5分。 2.投标人具有质量管理体系认证、环境管理体系认证、职业健康安全管理体系认证，每个证书1.5分，满分4.5分。 备注：提供上述有效期内的认证证书复印件并加盖公章，评审时公开招投标小组将通过网站查询证书的状态并截图记录【网址以“国家认证认可监督管理委员（http://www.cnca.gov.cn）”网站公布为准，证书状态须为“有效”】，如查询结果不一致，则不得分，如有违法行为，评标委员会有权认定其投标无效。</w:t>
            </w:r>
          </w:p>
        </w:tc>
      </w:tr>
      <w:tr>
        <w:tc>
          <w:tcPr>
            <w:tcW w:type="dxa" w:w="922"/>
            <w:gridSpan w:val="2"/>
            <w:vMerge/>
          </w:tcPr>
          <w:p/>
        </w:tc>
        <w:tc>
          <w:tcPr>
            <w:tcW w:type="dxa" w:w="2307"/>
          </w:tcPr>
          <w:p>
            <w:pPr>
              <w:jc w:val="left"/>
            </w:pPr>
            <w:r>
              <w:rPr/>
              <w:t>拟投入本项目服务团队保障情况 (5.0分)</w:t>
            </w:r>
          </w:p>
        </w:tc>
        <w:tc>
          <w:tcPr>
            <w:tcW w:type="dxa" w:w="5076"/>
          </w:tcPr>
          <w:p>
            <w:pPr>
              <w:jc w:val="left"/>
            </w:pPr>
            <w:r>
              <w:rPr/>
              <w:t>拟为本项目投入服务团队人数： （1）服务团队人数≥20人，得5分； （2）15人≤服务团队人数＜20人，得3分； （3）10人≤服务团队人数＜15人，得1分； （4）服务团队人数＜10人，得0分。 注：投标人必须提供投标截止之日前六个月内任意一个月为上述全部服务团队人员缴纳社保的证明复印件或代缴个人所得税的证明复印件，未提交证明材料或者专家无法认定的不得分。如因疫情影响当地政府部门允许缓缴或减免社保或个人所得税的，应提供当地政府部门下发的相关文件作为证明材料，否则不予认可。</w:t>
            </w:r>
          </w:p>
        </w:tc>
      </w:tr>
      <w:tr>
        <w:tc>
          <w:tcPr>
            <w:tcW w:type="dxa" w:w="922"/>
            <w:gridSpan w:val="2"/>
            <w:vMerge/>
          </w:tcPr>
          <w:p/>
        </w:tc>
        <w:tc>
          <w:tcPr>
            <w:tcW w:type="dxa" w:w="2307"/>
          </w:tcPr>
          <w:p>
            <w:pPr>
              <w:jc w:val="left"/>
            </w:pPr>
            <w:r>
              <w:rPr/>
              <w:t>投标人的服务支撑能力（一） (1.5分)</w:t>
            </w:r>
          </w:p>
        </w:tc>
        <w:tc>
          <w:tcPr>
            <w:tcW w:type="dxa" w:w="5076"/>
          </w:tcPr>
          <w:p>
            <w:pPr>
              <w:jc w:val="left"/>
            </w:pPr>
            <w:r>
              <w:rPr/>
              <w:t>评标委员会根据投标人提供的投标人的服务支撑能力进行评审，投标人的服务支撑能力应包括： （1）服务的便利性 （2）服务的及时性； （3）服务的保障性。 提供全部内容 得1.5分，每缺1项扣0.5分。</w:t>
            </w:r>
          </w:p>
        </w:tc>
      </w:tr>
      <w:tr>
        <w:tc>
          <w:tcPr>
            <w:tcW w:type="dxa" w:w="922"/>
            <w:gridSpan w:val="2"/>
            <w:vMerge/>
          </w:tcPr>
          <w:p/>
        </w:tc>
        <w:tc>
          <w:tcPr>
            <w:tcW w:type="dxa" w:w="2307"/>
          </w:tcPr>
          <w:p>
            <w:pPr>
              <w:jc w:val="left"/>
            </w:pPr>
            <w:r>
              <w:rPr/>
              <w:t>投标人的服务支撑能力（二） (5.0分)</w:t>
            </w:r>
            <w:r>
              <w:rPr/>
              <w:t>，（等次分值选择：</w:t>
            </w:r>
            <w:r>
              <w:rPr/>
              <w:t>0.0;</w:t>
            </w:r>
            <w:r>
              <w:rPr/>
              <w:t>1.0;</w:t>
            </w:r>
            <w:r>
              <w:rPr/>
              <w:t>3.0;</w:t>
            </w:r>
            <w:r>
              <w:rPr/>
              <w:t>5.0;</w:t>
            </w:r>
            <w:r>
              <w:rPr/>
              <w:t>）</w:t>
            </w:r>
          </w:p>
        </w:tc>
        <w:tc>
          <w:tcPr>
            <w:tcW w:type="dxa" w:w="5076"/>
          </w:tcPr>
          <w:p>
            <w:pPr>
              <w:jc w:val="left"/>
            </w:pPr>
            <w:r>
              <w:rPr/>
              <w:t>评标委员会根据投标人提供的投标人的服务支撑能力（一）的详细内容进行综合评审：  （1）从提供服务的便利性、及时性及保障性方面综合评审，响应及时、服务便捷高效，有效保障本项目实施，有利于实现服务效果，得5分； （2）从提供服务的便利性、及时性及保障性方面综合评审，基本响应服务需求，基本保障本项目服务实施，基本满足服务效果，得3分。 （3）从提供服务的便利性、及时性及保障性方面综合评审，响应时间长、服务效率低，无法保障本项目服务实施，达不到服务效果，得1分。 注：不提供不得分。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[项目名称]</w:t>
      </w:r>
      <w:r>
        <w:rPr>
          <w:sz w:val="21"/>
        </w:rPr>
        <w:t>招标文件（项目编号：</w:t>
      </w:r>
      <w:r>
        <w:rPr>
          <w:sz w:val="21"/>
        </w:rPr>
        <w:t>[项目编号]）的要求，经双方协商，本着平等互利和诚实信用的原则，一致同意签订本合同。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440112-2024-00426</w:t>
      </w:r>
    </w:p>
    <w:p>
      <w:pPr>
        <w:jc w:val="center"/>
      </w:pPr>
      <w:r>
        <w:rPr>
          <w:b/>
          <w:sz w:val="24"/>
        </w:rPr>
        <w:t>采购项目编号：</w:t>
      </w:r>
      <w:r>
        <w:rPr>
          <w:b/>
          <w:sz w:val="24"/>
        </w:rPr>
        <w:t>GZGK23D293C0924Z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“美丽家园”建设及文明城市创建巡查督导项目</w:t>
      </w:r>
      <w:r>
        <w:rPr>
          <w:u w:val="single"/>
        </w:rPr>
        <w:t>”</w:t>
      </w:r>
      <w:r>
        <w:rPr/>
        <w:t>项目的招标[采购项目编号为：</w:t>
      </w:r>
      <w:r>
        <w:rPr>
          <w:u w:val="single"/>
        </w:rPr>
        <w:t>GZGK23D293C0924Z</w:t>
      </w:r>
      <w:r>
        <w:rPr/>
        <w:t>]，我方愿参与投标。</w:t>
      </w:r>
    </w:p>
    <w:p>
      <w:pPr>
        <w:ind w:firstLine="480"/>
      </w:pPr>
      <w:r>
        <w:rPr/>
        <w:t>我方确认收到贵方提供的</w:t>
      </w:r>
      <w:r>
        <w:rPr>
          <w:u w:val="single"/>
        </w:rPr>
        <w:t>“</w:t>
      </w:r>
      <w:r>
        <w:rPr>
          <w:u w:val="single"/>
        </w:rPr>
        <w:t>“美丽家园”建设及文明城市创建巡查督导项目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“美丽家园”建设及文明城市创建巡查督导项目</w:t>
      </w:r>
      <w:r>
        <w:rPr/>
        <w:t>”项目采购[采购项目编号为</w:t>
      </w:r>
      <w:r>
        <w:rPr/>
        <w:t>GZGK23D293C0924Z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中共广州市黄埔区委员会宣传部</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“美丽家园”建设及文明城市创建巡查督导项目</w:t>
      </w:r>
      <w:r>
        <w:rPr/>
        <w:t>招标中获中标（采购项目编号：</w:t>
      </w:r>
      <w:r>
        <w:rPr/>
        <w:t>GZGK23D293C0924Z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