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440112-2024-00469</w:t>
      </w:r>
    </w:p>
    <w:p>
      <w:pPr>
        <w:jc w:val="center"/>
      </w:pPr>
      <w:r>
        <w:rPr>
          <w:b/>
          <w:sz w:val="24"/>
        </w:rPr>
        <w:t>采购项目编号：</w:t>
      </w:r>
      <w:r>
        <w:rPr>
          <w:b/>
          <w:sz w:val="24"/>
        </w:rPr>
        <w:t>GZGK24D003C0007Z</w:t>
      </w:r>
    </w:p>
    <w:p>
      <w:pPr>
        <w:jc w:val="center"/>
      </w:pPr>
      <w:r>
        <w:rPr>
          <w:b/>
          <w:sz w:val="24"/>
        </w:rPr>
        <w:t>项目名称：</w:t>
      </w:r>
      <w:r>
        <w:rPr>
          <w:b/>
          <w:sz w:val="24"/>
        </w:rPr>
        <w:t>海丝产教融合协同创新中心日常运营项目</w:t>
      </w:r>
    </w:p>
    <w:p>
      <w:pPr>
        <w:jc w:val="center"/>
      </w:pPr>
      <w:r>
        <w:rPr>
          <w:b/>
          <w:sz w:val="24"/>
        </w:rPr>
        <w:t>采购人：</w:t>
      </w:r>
      <w:r>
        <w:rPr>
          <w:b/>
          <w:sz w:val="24"/>
        </w:rPr>
        <w:t>中新广州知识城开发建设办公室</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中新广州知识城开发建设办公室</w:t>
      </w:r>
      <w:r>
        <w:rPr/>
        <w:t>的委托，采用</w:t>
      </w:r>
      <w:r>
        <w:rPr/>
        <w:t>公开招标</w:t>
      </w:r>
      <w:r>
        <w:rPr/>
        <w:t>方式组织采购</w:t>
      </w:r>
      <w:r>
        <w:rPr/>
        <w:t>海丝产教融合协同创新中心日常运营项目</w:t>
      </w:r>
      <w:r>
        <w:rPr/>
        <w:t>。欢迎符合资格条件的国内供应商参加投标。</w:t>
      </w:r>
    </w:p>
    <w:p>
      <w:r>
        <w:rPr>
          <w:b/>
          <w:sz w:val="28"/>
        </w:rPr>
        <w:t>一.项目概述</w:t>
      </w:r>
    </w:p>
    <w:p>
      <w:r>
        <w:rPr>
          <w:b/>
          <w:sz w:val="24"/>
        </w:rPr>
        <w:t>1.名称与编号</w:t>
      </w:r>
    </w:p>
    <w:p>
      <w:pPr>
        <w:ind w:firstLine="480"/>
      </w:pPr>
      <w:r>
        <w:rPr/>
        <w:t>项目名称：</w:t>
      </w:r>
      <w:r>
        <w:rPr/>
        <w:t>海丝产教融合协同创新中心日常运营项目</w:t>
      </w:r>
    </w:p>
    <w:p>
      <w:pPr>
        <w:ind w:firstLine="480"/>
      </w:pPr>
      <w:r>
        <w:rPr/>
        <w:t>采购计划编号：</w:t>
      </w:r>
      <w:r>
        <w:rPr/>
        <w:t>440112-2024-00469</w:t>
      </w:r>
    </w:p>
    <w:p>
      <w:pPr>
        <w:ind w:firstLine="480"/>
      </w:pPr>
      <w:r>
        <w:rPr/>
        <w:t>采购项目编号：</w:t>
      </w:r>
      <w:r>
        <w:rPr/>
        <w:t>GZGK24D003C0007Z</w:t>
      </w:r>
    </w:p>
    <w:p>
      <w:pPr>
        <w:ind w:firstLine="480"/>
      </w:pPr>
      <w:r>
        <w:rPr/>
        <w:t>采购方式：</w:t>
      </w:r>
      <w:r>
        <w:rPr/>
        <w:t>公开招标</w:t>
      </w:r>
    </w:p>
    <w:p>
      <w:pPr>
        <w:ind w:firstLine="480"/>
      </w:pPr>
      <w:r>
        <w:rPr/>
        <w:t>预算金额：</w:t>
      </w:r>
      <w:r>
        <w:rPr/>
        <w:t>3,650,000.00</w:t>
      </w:r>
      <w:r>
        <w:rPr/>
        <w:t>元</w:t>
      </w:r>
    </w:p>
    <w:p>
      <w:r>
        <w:rPr>
          <w:b/>
          <w:sz w:val="24"/>
        </w:rPr>
        <w:t>2.项目内容及需求情况（采购项目技术规格、参数及要求）</w:t>
      </w:r>
    </w:p>
    <w:p>
      <w:pPr>
        <w:ind w:firstLine="480"/>
      </w:pPr>
    </w:p>
    <w:p/>
    <w:p>
      <w:r>
        <w:rPr/>
        <w:t>采购包1(海丝产教融合协同创新中心日常运营项目):</w:t>
      </w:r>
    </w:p>
    <w:p>
      <w:r>
        <w:rPr/>
        <w:t>采购包预算金额：3,650,000.00元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海丝产教融合协同创新中心日常运营项目</w:t>
            </w:r>
          </w:p>
        </w:tc>
        <w:tc>
          <w:tcPr>
            <w:tcW w:type="dxa" w:w="1187"/>
          </w:tcPr>
          <w:p>
            <w:r>
              <w:rPr/>
              <w:t>1.00(年)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采购包1（海丝产教融合协同创新中心日常运营项目）：</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采购包1（海丝产教融合协同创新中心日常运营项目）：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中新广州知识城开发建设办公室</w:t>
      </w:r>
    </w:p>
    <w:p>
      <w:pPr>
        <w:ind w:firstLine="480"/>
      </w:pPr>
      <w:r>
        <w:rPr/>
        <w:t>地址：</w:t>
      </w:r>
      <w:r>
        <w:rPr/>
        <w:t>广州市黄埔区九龙大道中新广州知识城亿创街1号人才大厦32楼</w:t>
      </w:r>
    </w:p>
    <w:p>
      <w:pPr>
        <w:ind w:firstLine="480"/>
      </w:pPr>
      <w:r>
        <w:rPr/>
        <w:t>联系方式：</w:t>
      </w:r>
      <w:r>
        <w:rPr/>
        <w:t>020-82110876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020-31603842、020-87776423</w:t>
      </w:r>
    </w:p>
    <w:p>
      <w:r>
        <w:rPr>
          <w:b/>
          <w:sz w:val="24"/>
        </w:rPr>
        <w:t>3.项目联系方式</w:t>
      </w:r>
    </w:p>
    <w:p>
      <w:pPr>
        <w:ind w:firstLine="480"/>
      </w:pPr>
      <w:r>
        <w:rPr/>
        <w:t>项目联系人：</w:t>
      </w:r>
      <w:r>
        <w:rPr/>
        <w:t>李国晨、董镜</w:t>
      </w:r>
    </w:p>
    <w:p>
      <w:pPr>
        <w:ind w:firstLine="480"/>
      </w:pPr>
      <w:r>
        <w:rPr/>
        <w:t>电话：</w:t>
      </w:r>
      <w:r>
        <w:rPr/>
        <w:t>020-31603842、020-87776423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（一）项目编号：GZGK24D003C0007Z</w:t>
      </w:r>
      <w:r>
        <w:br/>
      </w:r>
      <w:r>
        <w:rPr/>
        <w:t>（二）项目名称：海丝产教融合协同创新中心日常运营项目</w:t>
      </w:r>
      <w:r>
        <w:br/>
      </w:r>
      <w:r>
        <w:rPr/>
        <w:t>（三）总体要求说明：</w:t>
      </w:r>
      <w:r>
        <w:br/>
      </w:r>
      <w:r>
        <w:rPr/>
        <w:t>1、标有“★”的条款为必须完全满足的实质性要求，投标人如有一项带“★”的条款未响应或不满足，将按无效投标处理。</w:t>
      </w:r>
      <w:r>
        <w:br/>
      </w:r>
      <w:r>
        <w:rPr/>
        <w:t>2、标有“▲”的条款为重要性要求，投标人如有“▲”的条款未响应或负偏离的将被严重扣分。</w:t>
      </w:r>
      <w:r>
        <w:br/>
      </w:r>
      <w:r>
        <w:rPr/>
        <w:t>3、投标人应对采购需求中的设备性能和服务指标在响应详细内容中列出明确承诺。如果投标人只注明“正偏离”或“无偏离”，将可能被视为“负偏离”，从而可能导致严重影响评标结果。</w:t>
      </w:r>
      <w:r>
        <w:br/>
      </w:r>
      <w:r>
        <w:rPr/>
        <w:t>4、投标人没有在投标文件中注明偏离（文字说明或在响应表注明）的参数、配置、条款视为被投标人完全接受。</w:t>
      </w:r>
      <w:r>
        <w:br/>
      </w:r>
      <w:r>
        <w:rPr/>
        <w:t>5、投标人应保证，采购人在中华人民共和国使用该服务或服务的任何一部分时，免受第三方提出的侵犯其专利权、商标权、著作权或其它知识产权的起诉。</w:t>
      </w:r>
      <w:r>
        <w:br/>
      </w:r>
      <w:r>
        <w:rPr/>
        <w:t>6、不允许中标供应商整体转包项目内容。</w:t>
      </w:r>
      <w:r>
        <w:br/>
      </w:r>
      <w:r>
        <w:rPr/>
        <w:t>7、小型和微型企业、监狱企业和残疾人福利性单位必须按照招标文件第三章的内容提供相应的资料。</w:t>
      </w:r>
      <w:r>
        <w:br/>
      </w:r>
      <w:r>
        <w:rPr/>
        <w:t>8、需落实政府采购政策为：促进中小企业发展政策、支持监狱企业发展政策、支持残疾人福利性单位发展政策、优先采购节能产品、环境标志产品相关政策等。</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r>
        <w:br/>
      </w:r>
      <w:r>
        <w:rPr/>
        <w:t>2、供应商电脑需提前安装CA签章客户端，并运行CA证书。</w:t>
      </w:r>
      <w:r>
        <w:br/>
      </w:r>
      <w:r>
        <w:rPr/>
        <w:t>3、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运营服务费、水电费、维保维修、后勤费用、保险、税费等中标供应商完成本项目所需的一切工作内容而发生的所有直接费用、间接费用、其它费用、税金等全部费用和中标供应商获得的利润以及应由中标供应商承担的义务、责任和风险所发生的一切费用。</w:t>
      </w:r>
      <w:r>
        <w:br/>
      </w:r>
      <w:r>
        <w:rPr/>
        <w:t>（六）实现的目标</w:t>
      </w:r>
      <w:r>
        <w:br/>
      </w:r>
      <w:r>
        <w:rPr/>
        <w:t>海丝产教融合协同创新中心主要展示中新广州知识城打造未来样板城市和21世纪海上丝绸之路科技创新枢纽中心的面貌，同时为知识城新引进的大院大所、新型研发机构、重点实验室、工程技术研究中心、公共技术服务平台、头部企业总部等提供过渡期展示场所及办公场地。创新中心兼具自由学术交流、大型路演报告、贵宾接待等功能。</w:t>
      </w:r>
      <w:r>
        <w:br/>
      </w:r>
      <w:r>
        <w:rPr/>
        <w:t>（七）需执行国家相关标准、行业标准、地方标准或者其他标准、规范。</w:t>
      </w:r>
    </w:p>
    <w:p/>
    <w:p>
      <w:pPr>
        <w:ind w:firstLine="480"/>
      </w:pPr>
    </w:p>
    <w:p/>
    <w:p>
      <w:r>
        <w:rPr/>
        <w:t>采购包1（海丝产教融合协同创新中心日常运营项目）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1期：支付比例100%,（1）合同生效后5个工作日内,采购人向中标供应商支付合同总价的40%作为预付款； （2）合同服务开始满半年后10日内,中标供应商向采购人提供半年来的工作总结和服务情况，采购人向中标供应商支付合同总价的40%； （3）合同全部服务完成且通过验收后10日内,采购人向中标供应商支付合同总价的20%（如有扣款，扣款后发放）； （4）每笔款项支付前，中标供应商须提交与每笔款项金额相等的正式发票。 （5）支付方式：采用支票、银行汇付（含电汇）等形式。</w:t>
            </w:r>
          </w:p>
        </w:tc>
      </w:tr>
      <w:tr>
        <w:tc>
          <w:tcPr>
            <w:tcW w:type="dxa" w:w="4153"/>
          </w:tcPr>
          <w:p>
            <w:r>
              <w:rPr/>
              <w:t>验收要求</w:t>
            </w:r>
          </w:p>
        </w:tc>
        <w:tc>
          <w:tcPr>
            <w:tcW w:type="dxa" w:w="4153"/>
          </w:tcPr>
          <w:p/>
          <w:p/>
          <w:p/>
          <w:p>
            <w:r>
              <w:rPr/>
              <w:t>1期：1. 验收标准：按照需求完成服务内容、提交服务成果。 2. 验收方式：合同全部服务完成后，由中标供应商提出项目验收申请，采购人组织验收工作，依国家有关标准、合同的约定对中标供应商提供的服务进行验收，若中标供应商提供的服务与要求不符，将在中标供应商改进服务后重新组织验收。 3. 验收期限：采购人应当在收到中标供应商提出项目验收申请之日7个工作日内按照合同的约定对履约情况进行验收，对每一项技术、服务的履约情况进行确认。 4. 验收结果运用：中标供应商应在合同约定的期限内完成合同全部服务，合同期满后每有1项日常运营KPI指标未完成的，采购人于合同尾款支付中扣罚5万元。累计达到8项日常运营KPI指标未完成的，采购人不予支付合同尾款，并有权追回全部或部分已支付款项。</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演示及讲解要求，1. 演示及讲解内容：详见“服务中心现场模拟解说演示及讲解能力”评审要求。 2. 评审时按照云平台系统上的顺序进行演示，每家投标人限时15分钟 ，讲解人员不超过2名讲解人，演示及讲解时其他投标人需离场。 3. 现场仅提供电源及投影设备（投标人须考虑兼容性），其余讲解需要的设备均由投标人自行准备。</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海丝产教融合协同创新中心日常运营项目</w:t>
            </w:r>
          </w:p>
        </w:tc>
        <w:tc>
          <w:tcPr>
            <w:tcW w:type="dxa" w:w="933"/>
          </w:tcPr>
          <w:p>
            <w:pPr>
              <w:jc w:val="left"/>
            </w:pPr>
            <w:r>
              <w:rPr/>
              <w:t>年</w:t>
            </w:r>
          </w:p>
        </w:tc>
        <w:tc>
          <w:tcPr>
            <w:tcW w:type="dxa" w:w="933"/>
          </w:tcPr>
          <w:p>
            <w:pPr>
              <w:jc w:val="right"/>
            </w:pPr>
            <w:r>
              <w:rPr/>
              <w:t>1.00</w:t>
            </w:r>
          </w:p>
        </w:tc>
        <w:tc>
          <w:tcPr>
            <w:tcW w:type="dxa" w:w="933"/>
          </w:tcPr>
          <w:p>
            <w:pPr>
              <w:jc w:val="right"/>
            </w:pPr>
            <w:r>
              <w:rPr/>
              <w:t>3,650,000.00</w:t>
            </w:r>
          </w:p>
        </w:tc>
        <w:tc>
          <w:tcPr>
            <w:tcW w:type="dxa" w:w="933"/>
          </w:tcPr>
          <w:p>
            <w:pPr>
              <w:jc w:val="right"/>
            </w:pPr>
            <w:r>
              <w:rPr/>
              <w:t>3,650,000.00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海丝产教融合协同创新中心日常运营项目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both"/>
            </w:pPr>
            <w:r>
              <w:rPr>
                <w:b/>
                <w:sz w:val="21"/>
              </w:rPr>
              <w:t>一、项目概况</w:t>
            </w:r>
          </w:p>
          <w:tbl>
            <w:tblPr>
              <w:tblInd w:type="dxa" w:w="150"/>
              <w:tblBorders>
                <w:top w:val="none" w:color="000000" w:sz="4"/>
                <w:left w:val="none" w:color="000000" w:sz="4"/>
                <w:bottom w:val="none" w:color="000000" w:sz="4"/>
                <w:right w:val="none" w:color="000000" w:sz="4"/>
                <w:insideH w:val="none"/>
                <w:insideV w:val="none"/>
              </w:tblBorders>
            </w:tblPr>
            <w:tblGrid>
              <w:gridCol w:w="1444"/>
              <w:gridCol w:w="2234"/>
              <w:gridCol w:w="1041"/>
              <w:gridCol w:w="879"/>
            </w:tblGrid>
            <w:tr>
              <w:tc>
                <w:tcPr>
                  <w:tcW w:type="dxa" w:w="1444"/>
                  <w:tcBorders>
                    <w:top w:val="double" w:color="000000" w:sz="16"/>
                    <w:left w:val="double" w:color="000000" w:sz="16"/>
                    <w:bottom w:val="single" w:color="000000" w:sz="4"/>
                    <w:right w:val="single" w:color="000000" w:sz="4"/>
                  </w:tcBorders>
                  <w:vAlign w:val="top"/>
                </w:tcPr>
                <w:p>
                  <w:pPr>
                    <w:jc w:val="center"/>
                  </w:pPr>
                  <w:r>
                    <w:rPr>
                      <w:b/>
                      <w:sz w:val="21"/>
                    </w:rPr>
                    <w:t>服务内容</w:t>
                  </w:r>
                </w:p>
              </w:tc>
              <w:tc>
                <w:tcPr>
                  <w:tcW w:type="dxa" w:w="2234"/>
                  <w:tcBorders>
                    <w:top w:val="double" w:color="000000" w:sz="16"/>
                    <w:left w:val="none" w:color="000000" w:sz="4"/>
                    <w:bottom w:val="single" w:color="000000" w:sz="4"/>
                    <w:right w:val="single" w:color="000000" w:sz="4"/>
                  </w:tcBorders>
                  <w:vAlign w:val="top"/>
                </w:tcPr>
                <w:p>
                  <w:pPr>
                    <w:jc w:val="center"/>
                  </w:pPr>
                  <w:r>
                    <w:rPr>
                      <w:b/>
                      <w:sz w:val="21"/>
                    </w:rPr>
                    <w:t>服务范围</w:t>
                  </w:r>
                </w:p>
              </w:tc>
              <w:tc>
                <w:tcPr>
                  <w:tcW w:type="dxa" w:w="1041"/>
                  <w:tcBorders>
                    <w:top w:val="double" w:color="000000" w:sz="16"/>
                    <w:left w:val="none" w:color="000000" w:sz="4"/>
                    <w:bottom w:val="single" w:color="000000" w:sz="4"/>
                    <w:right w:val="single" w:color="000000" w:sz="4"/>
                  </w:tcBorders>
                  <w:vAlign w:val="top"/>
                </w:tcPr>
                <w:p>
                  <w:pPr>
                    <w:jc w:val="center"/>
                  </w:pPr>
                  <w:r>
                    <w:rPr>
                      <w:b/>
                      <w:sz w:val="21"/>
                    </w:rPr>
                    <w:t>合同履行期限（服务时间）</w:t>
                  </w:r>
                </w:p>
              </w:tc>
              <w:tc>
                <w:tcPr>
                  <w:tcW w:type="dxa" w:w="879"/>
                  <w:tcBorders>
                    <w:top w:val="double" w:color="000000" w:sz="16"/>
                    <w:left w:val="none" w:color="000000" w:sz="4"/>
                    <w:bottom w:val="single" w:color="000000" w:sz="4"/>
                    <w:right w:val="double" w:color="000000" w:sz="16"/>
                  </w:tcBorders>
                  <w:vAlign w:val="top"/>
                </w:tcPr>
                <w:p>
                  <w:pPr>
                    <w:jc w:val="center"/>
                  </w:pPr>
                  <w:r>
                    <w:rPr>
                      <w:b/>
                      <w:sz w:val="21"/>
                    </w:rPr>
                    <w:t>最高限价</w:t>
                  </w:r>
                </w:p>
              </w:tc>
            </w:tr>
            <w:tr>
              <w:tc>
                <w:tcPr>
                  <w:tcW w:type="dxa" w:w="1444"/>
                  <w:tcBorders>
                    <w:top w:val="none" w:color="000000" w:sz="4"/>
                    <w:left w:val="double" w:color="000000" w:sz="16"/>
                    <w:bottom w:val="double" w:color="000000" w:sz="16"/>
                    <w:right w:val="single" w:color="000000" w:sz="4"/>
                  </w:tcBorders>
                  <w:vAlign w:val="top"/>
                </w:tcPr>
                <w:p>
                  <w:pPr>
                    <w:jc w:val="center"/>
                  </w:pPr>
                  <w:r>
                    <w:rPr>
                      <w:sz w:val="21"/>
                    </w:rPr>
                    <w:t>海丝产教融合协同创新中心日常运营项目</w:t>
                  </w:r>
                </w:p>
              </w:tc>
              <w:tc>
                <w:tcPr>
                  <w:tcW w:type="dxa" w:w="2234"/>
                  <w:tcBorders>
                    <w:top w:val="none" w:color="000000" w:sz="4"/>
                    <w:left w:val="none" w:color="000000" w:sz="4"/>
                    <w:bottom w:val="double" w:color="000000" w:sz="16"/>
                    <w:right w:val="single" w:color="000000" w:sz="4"/>
                  </w:tcBorders>
                  <w:vAlign w:val="top"/>
                </w:tcPr>
                <w:p>
                  <w:pPr>
                    <w:jc w:val="center"/>
                  </w:pPr>
                  <w:r>
                    <w:rPr>
                      <w:sz w:val="21"/>
                    </w:rPr>
                    <w:t>服务内容包括但不限于讲解接待服务（外事接待、政务接待、招才引智接待、公众团体接待、重大会议活动等）、区域产教融合氛围提升服务、软件多媒体维护和管理、配合协助相关单位在创新中心内开展的各项布展工作。</w:t>
                  </w:r>
                </w:p>
              </w:tc>
              <w:tc>
                <w:tcPr>
                  <w:tcW w:type="dxa" w:w="1041"/>
                  <w:tcBorders>
                    <w:top w:val="none" w:color="000000" w:sz="4"/>
                    <w:left w:val="none" w:color="000000" w:sz="4"/>
                    <w:bottom w:val="double" w:color="000000" w:sz="16"/>
                    <w:right w:val="single" w:color="000000" w:sz="4"/>
                  </w:tcBorders>
                  <w:vAlign w:val="top"/>
                </w:tcPr>
                <w:p>
                  <w:pPr>
                    <w:jc w:val="center"/>
                  </w:pPr>
                  <w:r>
                    <w:rPr>
                      <w:sz w:val="21"/>
                    </w:rPr>
                    <w:t>自</w:t>
                  </w:r>
                  <w:r>
                    <w:rPr>
                      <w:sz w:val="21"/>
                    </w:rPr>
                    <w:t>合同签订之日</w:t>
                  </w:r>
                  <w:r>
                    <w:rPr>
                      <w:sz w:val="21"/>
                    </w:rPr>
                    <w:t>起</w:t>
                  </w:r>
                  <w:r>
                    <w:rPr>
                      <w:sz w:val="21"/>
                    </w:rPr>
                    <w:t>1年</w:t>
                  </w:r>
                </w:p>
              </w:tc>
              <w:tc>
                <w:tcPr>
                  <w:tcW w:type="dxa" w:w="879"/>
                  <w:tcBorders>
                    <w:top w:val="none" w:color="000000" w:sz="4"/>
                    <w:left w:val="none" w:color="000000" w:sz="4"/>
                    <w:bottom w:val="double" w:color="000000" w:sz="16"/>
                    <w:right w:val="double" w:color="000000" w:sz="16"/>
                  </w:tcBorders>
                  <w:vAlign w:val="top"/>
                </w:tcPr>
                <w:p>
                  <w:pPr>
                    <w:jc w:val="center"/>
                  </w:pPr>
                  <w:r>
                    <w:rPr>
                      <w:sz w:val="21"/>
                    </w:rPr>
                    <w:t>人民币</w:t>
                  </w:r>
                  <w:r>
                    <w:rPr>
                      <w:sz w:val="21"/>
                    </w:rPr>
                    <w:t>365万元</w:t>
                  </w:r>
                </w:p>
              </w:tc>
            </w:tr>
          </w:tbl>
          <w:p>
            <w:pPr>
              <w:ind w:firstLine="420"/>
              <w:jc w:val="both"/>
            </w:pPr>
            <w:r>
              <w:rPr>
                <w:sz w:val="21"/>
              </w:rPr>
              <w:t>本项目为海丝产教融合协同创新中心日常运营项目，服务期为自合同签订之日起</w:t>
            </w:r>
            <w:r>
              <w:rPr>
                <w:sz w:val="21"/>
              </w:rPr>
              <w:t>1年。</w:t>
            </w:r>
          </w:p>
          <w:p>
            <w:pPr>
              <w:ind w:firstLine="420"/>
              <w:jc w:val="both"/>
            </w:pPr>
            <w:r>
              <w:rPr>
                <w:sz w:val="21"/>
              </w:rPr>
              <w:t>中新广州知识城，是由时任中共中央政治局委员、广东省前省委书记汪洋与新加坡前总理、国务资政吴作栋共同倡导与推动的中新合作项目，是继苏州工业园、天津生态城、重庆互联互通之后中新战略合作的新典范，与南沙新区、深圳前海、珠海横琴共同构成广东省四个升级转型战略平台。</w:t>
            </w:r>
            <w:r>
              <w:rPr>
                <w:sz w:val="21"/>
              </w:rPr>
              <w:t>2018年11月12日，《中华人民共和国政府和新加坡共和国政府关于中新广州知识城升级合作的框架协议》在新加坡正式签订。中新广州知识城紧紧抓住重大历史机遇，深度融入“一带一路”和粤港澳大湾区建设，着力在体制机制创新、科技产业发展、智慧城市建设、政策创新、国际智力交往等重点领域下功夫，努力打造知识经济新高地和中新两国创新发展新典范。</w:t>
            </w:r>
          </w:p>
          <w:p>
            <w:pPr>
              <w:ind w:firstLine="420"/>
              <w:jc w:val="both"/>
            </w:pPr>
            <w:r>
              <w:rPr>
                <w:sz w:val="21"/>
              </w:rPr>
              <w:t>中新广州知识城位于广州市的地理几何中心、黄埔区北部，规划总面积</w:t>
            </w:r>
            <w:r>
              <w:rPr>
                <w:sz w:val="21"/>
              </w:rPr>
              <w:t>232平方公里，规划总人口70-100万人。知识城坚持以粤港澳大湾区产业布局战略思想为指导，贯彻落实可持续的发展理念，坚持“科学技术是第一生产力”的目标，遵循“吸引高端人才、汇聚高端产业、提供高端服务”的理念实施开发建设，围绕“知识创造新高地、国际人才自由港、湾区创新策源地、开放合作示范区”目标定位，聚焦知识创造、开放合作、宜居宜业，全力打造粤港澳大湾区知识创造示范区和具有全球影响力的国家知识中心。</w:t>
            </w:r>
          </w:p>
          <w:p>
            <w:pPr>
              <w:ind w:firstLine="420"/>
              <w:jc w:val="both"/>
            </w:pPr>
            <w:r>
              <w:rPr>
                <w:sz w:val="21"/>
              </w:rPr>
              <w:t>为进一步发挥知识城科技创新与产教融合的先进示范效应，以适应国家及各省市领导、专家、专业人士视察与考察的需要，同时满足知识城招才引智的需求，海丝产教融合协同创新中心主要展示中新知识城打造未来样板城市和</w:t>
            </w:r>
            <w:r>
              <w:rPr>
                <w:sz w:val="21"/>
              </w:rPr>
              <w:t>21世纪海上丝绸之路科技创新枢纽中心的面貌，同时展示入驻知识城的各大高校、研发机构、企业总部的创新研究成果、远期发展愿景。创新中心兼具自由学术交流、大型路演报告、贵宾接待等功能，为知识城各界来宾提供学习、交流、探究的一站式感观体验。</w:t>
            </w:r>
          </w:p>
          <w:p>
            <w:pPr>
              <w:ind w:firstLine="420"/>
              <w:jc w:val="both"/>
            </w:pPr>
            <w:r>
              <w:rPr>
                <w:sz w:val="21"/>
              </w:rPr>
              <w:t>本项目拟确定一家中标供应商，为采购人提供海丝产教融合协同创新中心日常运营服务，服务内容包括但不限于讲解接待服务（外事接待、政务接待、招才引智接待、公众团体接待、重大会议活动等）、区域产教融合氛围提升服务、软件多媒体维护和管理、配合协助相关单位在创新中心内开展的各项布展工作。</w:t>
            </w:r>
          </w:p>
          <w:p>
            <w:pPr>
              <w:ind w:firstLine="422"/>
              <w:jc w:val="both"/>
            </w:pPr>
            <w:r>
              <w:rPr>
                <w:b/>
                <w:sz w:val="21"/>
              </w:rPr>
              <w:t>二、项目定位</w:t>
            </w:r>
          </w:p>
          <w:p>
            <w:pPr>
              <w:ind w:firstLine="420"/>
              <w:jc w:val="both"/>
            </w:pPr>
            <w:r>
              <w:rPr>
                <w:sz w:val="21"/>
              </w:rPr>
              <w:t>海丝产教融合协同创新中心，占地面积</w:t>
            </w:r>
            <w:r>
              <w:rPr>
                <w:sz w:val="21"/>
              </w:rPr>
              <w:t>1200㎡，建筑面积2741㎡，位于海丝知识中心W1栋，主要展示中新广州知识城打造未来样板城市和21世纪海上丝绸之路科技创新枢纽中心的面貌，将充分发挥强化区域创新协同、链接国际创新资源、服务重大创新载体、促进产学研深度融合的功能作用，打造成为知识城各科研院所与重点企业开展教育实践、科技成果转化的展示中心与重要平台。</w:t>
            </w:r>
          </w:p>
          <w:p>
            <w:pPr>
              <w:ind w:firstLine="422"/>
              <w:jc w:val="both"/>
            </w:pPr>
            <w:r>
              <w:rPr>
                <w:b/>
                <w:sz w:val="21"/>
              </w:rPr>
              <w:t>三、人员配置要求</w:t>
            </w:r>
          </w:p>
          <w:p>
            <w:pPr>
              <w:ind w:firstLine="420"/>
              <w:jc w:val="both"/>
            </w:pPr>
            <w:r>
              <w:rPr>
                <w:sz w:val="21"/>
              </w:rPr>
              <w:t>1、本项目要求至少配备如下岗位：</w:t>
            </w:r>
          </w:p>
          <w:tbl>
            <w:tblPr>
              <w:tblInd w:type="dxa" w:w="120"/>
              <w:tblBorders>
                <w:top w:val="none" w:color="000000" w:sz="4"/>
                <w:left w:val="none" w:color="000000" w:sz="4"/>
                <w:bottom w:val="none" w:color="000000" w:sz="4"/>
                <w:right w:val="none" w:color="000000" w:sz="4"/>
                <w:insideH w:val="none"/>
                <w:insideV w:val="none"/>
              </w:tblBorders>
            </w:tblPr>
            <w:tblGrid>
              <w:gridCol w:w="301"/>
              <w:gridCol w:w="558"/>
              <w:gridCol w:w="1052"/>
              <w:gridCol w:w="469"/>
              <w:gridCol w:w="3218"/>
            </w:tblGrid>
            <w:tr>
              <w:tc>
                <w:tcPr>
                  <w:tcW w:type="dxa" w:w="30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558"/>
                  <w:tcBorders>
                    <w:top w:val="single" w:color="000000" w:sz="4"/>
                    <w:left w:val="none" w:color="000000" w:sz="4"/>
                    <w:bottom w:val="single" w:color="000000" w:sz="4"/>
                    <w:right w:val="single" w:color="000000" w:sz="4"/>
                  </w:tcBorders>
                  <w:vAlign w:val="top"/>
                </w:tcPr>
                <w:p>
                  <w:pPr>
                    <w:jc w:val="center"/>
                  </w:pPr>
                  <w:r>
                    <w:rPr>
                      <w:sz w:val="21"/>
                    </w:rPr>
                    <w:t>部门</w:t>
                  </w:r>
                </w:p>
              </w:tc>
              <w:tc>
                <w:tcPr>
                  <w:tcW w:type="dxa" w:w="1052"/>
                  <w:tcBorders>
                    <w:top w:val="single" w:color="000000" w:sz="4"/>
                    <w:left w:val="none" w:color="000000" w:sz="4"/>
                    <w:bottom w:val="single" w:color="000000" w:sz="4"/>
                    <w:right w:val="single" w:color="000000" w:sz="4"/>
                  </w:tcBorders>
                  <w:vAlign w:val="top"/>
                </w:tcPr>
                <w:p>
                  <w:pPr>
                    <w:jc w:val="center"/>
                  </w:pPr>
                  <w:r>
                    <w:rPr>
                      <w:sz w:val="21"/>
                    </w:rPr>
                    <w:t>岗</w:t>
                  </w:r>
                  <w:r>
                    <w:rPr>
                      <w:sz w:val="21"/>
                    </w:rPr>
                    <w:t>位</w:t>
                  </w:r>
                </w:p>
              </w:tc>
              <w:tc>
                <w:tcPr>
                  <w:tcW w:type="dxa" w:w="469"/>
                  <w:tcBorders>
                    <w:top w:val="single" w:color="000000" w:sz="4"/>
                    <w:left w:val="none" w:color="000000" w:sz="4"/>
                    <w:bottom w:val="single" w:color="000000" w:sz="4"/>
                    <w:right w:val="single" w:color="000000" w:sz="4"/>
                  </w:tcBorders>
                  <w:vAlign w:val="top"/>
                </w:tcPr>
                <w:p>
                  <w:pPr>
                    <w:jc w:val="center"/>
                  </w:pPr>
                  <w:r>
                    <w:rPr>
                      <w:sz w:val="21"/>
                    </w:rPr>
                    <w:t>最低人数</w:t>
                  </w:r>
                </w:p>
              </w:tc>
              <w:tc>
                <w:tcPr>
                  <w:tcW w:type="dxa" w:w="3218"/>
                  <w:tcBorders>
                    <w:top w:val="single" w:color="000000" w:sz="4"/>
                    <w:left w:val="none" w:color="000000" w:sz="4"/>
                    <w:bottom w:val="single" w:color="000000" w:sz="4"/>
                    <w:right w:val="single" w:color="000000" w:sz="4"/>
                  </w:tcBorders>
                  <w:vAlign w:val="top"/>
                </w:tcPr>
                <w:p>
                  <w:pPr>
                    <w:jc w:val="center"/>
                  </w:pPr>
                  <w:r>
                    <w:rPr>
                      <w:sz w:val="21"/>
                    </w:rPr>
                    <w:t>主要工作内容和职责</w:t>
                  </w:r>
                </w:p>
              </w:tc>
            </w:tr>
            <w:tr>
              <w:tc>
                <w:tcPr>
                  <w:tcW w:type="dxa" w:w="30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58"/>
                  <w:tcBorders>
                    <w:top w:val="none" w:color="000000" w:sz="4"/>
                    <w:left w:val="none" w:color="000000" w:sz="4"/>
                    <w:bottom w:val="single" w:color="000000" w:sz="4"/>
                    <w:right w:val="single" w:color="000000" w:sz="4"/>
                  </w:tcBorders>
                  <w:vAlign w:val="top"/>
                </w:tcPr>
                <w:p>
                  <w:pPr>
                    <w:jc w:val="center"/>
                  </w:pPr>
                  <w:r>
                    <w:rPr>
                      <w:sz w:val="21"/>
                    </w:rPr>
                    <w:t>管理</w:t>
                  </w:r>
                </w:p>
                <w:p>
                  <w:pPr>
                    <w:jc w:val="center"/>
                  </w:pPr>
                  <w:r>
                    <w:rPr>
                      <w:sz w:val="21"/>
                    </w:rPr>
                    <w:t>服务组</w:t>
                  </w:r>
                </w:p>
              </w:tc>
              <w:tc>
                <w:tcPr>
                  <w:tcW w:type="dxa" w:w="1052"/>
                  <w:tcBorders>
                    <w:top w:val="none" w:color="000000" w:sz="4"/>
                    <w:left w:val="none" w:color="000000" w:sz="4"/>
                    <w:bottom w:val="single" w:color="000000" w:sz="4"/>
                    <w:right w:val="single" w:color="000000" w:sz="4"/>
                  </w:tcBorders>
                  <w:vAlign w:val="top"/>
                </w:tcPr>
                <w:p>
                  <w:pPr>
                    <w:jc w:val="center"/>
                  </w:pPr>
                  <w:r>
                    <w:rPr>
                      <w:sz w:val="21"/>
                    </w:rPr>
                    <w:t>项目经理（负责人）</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3218"/>
                  <w:tcBorders>
                    <w:top w:val="none" w:color="000000" w:sz="4"/>
                    <w:left w:val="none" w:color="000000" w:sz="4"/>
                    <w:bottom w:val="single" w:color="000000" w:sz="4"/>
                    <w:right w:val="single" w:color="000000" w:sz="4"/>
                  </w:tcBorders>
                  <w:shd w:fill="FFFFFF"/>
                  <w:vAlign w:val="top"/>
                </w:tcPr>
                <w:p>
                  <w:pPr>
                    <w:jc w:val="center"/>
                  </w:pPr>
                  <w:r>
                    <w:rPr>
                      <w:sz w:val="21"/>
                    </w:rPr>
                    <w:t>负责统筹管理、安排、协调各组配合完成接待工作，负责整体接待管理工作，负责组织各组举行相关培训和考核工作。</w:t>
                  </w:r>
                </w:p>
              </w:tc>
            </w:tr>
            <w:tr>
              <w:tc>
                <w:tcPr>
                  <w:tcW w:type="dxa" w:w="30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58"/>
                  <w:vMerge w:val="restart"/>
                  <w:tcBorders>
                    <w:top w:val="none" w:color="000000" w:sz="4"/>
                    <w:left w:val="none" w:color="000000" w:sz="4"/>
                    <w:bottom w:val="single" w:color="000000" w:sz="4"/>
                    <w:right w:val="single" w:color="000000" w:sz="4"/>
                  </w:tcBorders>
                  <w:vAlign w:val="top"/>
                </w:tcPr>
                <w:p>
                  <w:pPr>
                    <w:jc w:val="center"/>
                  </w:pPr>
                  <w:r>
                    <w:rPr>
                      <w:sz w:val="21"/>
                    </w:rPr>
                    <w:t>展厅接待服务组</w:t>
                  </w:r>
                </w:p>
              </w:tc>
              <w:tc>
                <w:tcPr>
                  <w:tcW w:type="dxa" w:w="1052"/>
                  <w:tcBorders>
                    <w:top w:val="none" w:color="000000" w:sz="4"/>
                    <w:left w:val="none" w:color="000000" w:sz="4"/>
                    <w:bottom w:val="single" w:color="000000" w:sz="4"/>
                    <w:right w:val="single" w:color="000000" w:sz="4"/>
                  </w:tcBorders>
                  <w:vAlign w:val="top"/>
                </w:tcPr>
                <w:p>
                  <w:pPr>
                    <w:jc w:val="center"/>
                  </w:pPr>
                  <w:r>
                    <w:rPr>
                      <w:sz w:val="21"/>
                    </w:rPr>
                    <w:t>展厅讲解服务人员</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3218"/>
                  <w:tcBorders>
                    <w:top w:val="none" w:color="000000" w:sz="4"/>
                    <w:left w:val="none" w:color="000000" w:sz="4"/>
                    <w:bottom w:val="single" w:color="000000" w:sz="4"/>
                    <w:right w:val="single" w:color="000000" w:sz="4"/>
                  </w:tcBorders>
                  <w:shd w:fill="FFFFFF"/>
                  <w:vAlign w:val="top"/>
                </w:tcPr>
                <w:p>
                  <w:pPr>
                    <w:jc w:val="center"/>
                  </w:pPr>
                  <w:r>
                    <w:rPr>
                      <w:sz w:val="21"/>
                    </w:rPr>
                    <w:t>负责展厅中英文讲解接待工作，包括但不限于知识城重点项目的总结介绍、各个主题版块的重点演绎、中新合作模式与成果、产业发展的趋势与概况、重点项目进展情况等。负责更新、完善中英文讲解词内容。常规接待需至少两人搭配完成，一人主导解说，一人引导并应对接待中的来宾提问。</w:t>
                  </w:r>
                </w:p>
              </w:tc>
            </w:tr>
            <w:tr>
              <w:tc>
                <w:tcPr>
                  <w:tcW w:type="dxa" w:w="30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58"/>
                  <w:vMerge/>
                  <w:tcBorders>
                    <w:top w:val="none" w:color="000000" w:sz="4"/>
                    <w:left w:val="none" w:color="000000" w:sz="4"/>
                    <w:bottom w:val="single" w:color="000000" w:sz="4"/>
                    <w:right w:val="single" w:color="000000" w:sz="4"/>
                  </w:tcBorders>
                </w:tcPr>
                <w:p/>
              </w:tc>
              <w:tc>
                <w:tcPr>
                  <w:tcW w:type="dxa" w:w="1052"/>
                  <w:tcBorders>
                    <w:top w:val="none" w:color="000000" w:sz="4"/>
                    <w:left w:val="none" w:color="000000" w:sz="4"/>
                    <w:bottom w:val="single" w:color="000000" w:sz="4"/>
                    <w:right w:val="single" w:color="000000" w:sz="4"/>
                  </w:tcBorders>
                  <w:vAlign w:val="top"/>
                </w:tcPr>
                <w:p>
                  <w:pPr>
                    <w:jc w:val="center"/>
                  </w:pPr>
                  <w:r>
                    <w:rPr>
                      <w:sz w:val="21"/>
                    </w:rPr>
                    <w:t>会务服务人员</w:t>
                  </w:r>
                </w:p>
              </w:tc>
              <w:tc>
                <w:tcPr>
                  <w:tcW w:type="dxa" w:w="46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18"/>
                  <w:tcBorders>
                    <w:top w:val="none" w:color="000000" w:sz="4"/>
                    <w:left w:val="none" w:color="000000" w:sz="4"/>
                    <w:bottom w:val="single" w:color="000000" w:sz="4"/>
                    <w:right w:val="single" w:color="000000" w:sz="4"/>
                  </w:tcBorders>
                  <w:shd w:fill="FFFFFF"/>
                  <w:vAlign w:val="top"/>
                </w:tcPr>
                <w:p>
                  <w:pPr>
                    <w:jc w:val="center"/>
                  </w:pPr>
                  <w:r>
                    <w:rPr>
                      <w:sz w:val="21"/>
                    </w:rPr>
                    <w:t>负责展厅前台会议服务接待工作，包括但不限于会场布置、会议资料准备、台卡制作、茶水供应及各项活动的礼仪工作等。</w:t>
                  </w:r>
                </w:p>
              </w:tc>
            </w:tr>
            <w:tr>
              <w:tc>
                <w:tcPr>
                  <w:tcW w:type="dxa" w:w="30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58"/>
                  <w:vMerge/>
                  <w:tcBorders>
                    <w:top w:val="none" w:color="000000" w:sz="4"/>
                    <w:left w:val="none" w:color="000000" w:sz="4"/>
                    <w:bottom w:val="single" w:color="000000" w:sz="4"/>
                    <w:right w:val="single" w:color="000000" w:sz="4"/>
                  </w:tcBorders>
                </w:tcPr>
                <w:p/>
              </w:tc>
              <w:tc>
                <w:tcPr>
                  <w:tcW w:type="dxa" w:w="1052"/>
                  <w:tcBorders>
                    <w:top w:val="none" w:color="000000" w:sz="4"/>
                    <w:left w:val="none" w:color="000000" w:sz="4"/>
                    <w:bottom w:val="single" w:color="000000" w:sz="4"/>
                    <w:right w:val="single" w:color="000000" w:sz="4"/>
                  </w:tcBorders>
                  <w:vAlign w:val="top"/>
                </w:tcPr>
                <w:p>
                  <w:pPr>
                    <w:jc w:val="center"/>
                  </w:pPr>
                  <w:r>
                    <w:rPr>
                      <w:sz w:val="21"/>
                    </w:rPr>
                    <w:t>行政后勤综合管理服务人员</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3218"/>
                  <w:tcBorders>
                    <w:top w:val="none" w:color="000000" w:sz="4"/>
                    <w:left w:val="none" w:color="000000" w:sz="4"/>
                    <w:bottom w:val="single" w:color="000000" w:sz="4"/>
                    <w:right w:val="single" w:color="000000" w:sz="4"/>
                  </w:tcBorders>
                  <w:shd w:fill="FFFFFF"/>
                  <w:vAlign w:val="top"/>
                </w:tcPr>
                <w:p>
                  <w:pPr>
                    <w:jc w:val="center"/>
                  </w:pPr>
                  <w:r>
                    <w:rPr>
                      <w:sz w:val="21"/>
                    </w:rPr>
                    <w:t>负责各类服务质量表单的制作和汇总，文件的收发、各人员的日常考勤管理登记、大事记、周报、月报的撰写等行政事务；协助展厅项目经理开展各项培训和考核工作。协助项目经理开展展厅的相关后勤管理工作（如人事管理、财务管理等）；协助项目经理撰写各类请示报告、管理制度、文案策划等工作。</w:t>
                  </w:r>
                </w:p>
              </w:tc>
            </w:tr>
            <w:tr>
              <w:tc>
                <w:tcPr>
                  <w:tcW w:type="dxa" w:w="30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58"/>
                  <w:tcBorders>
                    <w:top w:val="none" w:color="000000" w:sz="4"/>
                    <w:left w:val="none" w:color="000000" w:sz="4"/>
                    <w:bottom w:val="single" w:color="000000" w:sz="4"/>
                    <w:right w:val="single" w:color="000000" w:sz="4"/>
                  </w:tcBorders>
                  <w:vAlign w:val="top"/>
                </w:tcPr>
                <w:p>
                  <w:pPr>
                    <w:jc w:val="center"/>
                  </w:pPr>
                  <w:r>
                    <w:rPr>
                      <w:sz w:val="21"/>
                    </w:rPr>
                    <w:t>保洁服务组</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清洁服务人员</w:t>
                  </w:r>
                </w:p>
              </w:tc>
              <w:tc>
                <w:tcPr>
                  <w:tcW w:type="dxa" w:w="469"/>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3218"/>
                  <w:tcBorders>
                    <w:top w:val="none" w:color="000000" w:sz="4"/>
                    <w:left w:val="none" w:color="000000" w:sz="4"/>
                    <w:bottom w:val="single" w:color="000000" w:sz="4"/>
                    <w:right w:val="single" w:color="000000" w:sz="4"/>
                  </w:tcBorders>
                  <w:shd w:fill="FFFFFF"/>
                  <w:vAlign w:val="top"/>
                </w:tcPr>
                <w:p>
                  <w:pPr>
                    <w:jc w:val="center"/>
                  </w:pPr>
                  <w:r>
                    <w:rPr>
                      <w:sz w:val="21"/>
                    </w:rPr>
                    <w:t>负责创新中心一楼、二楼、三楼内各接待区域及洗手间的清洁工作。</w:t>
                  </w:r>
                </w:p>
              </w:tc>
            </w:tr>
            <w:tr>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58"/>
                  <w:tcBorders>
                    <w:top w:val="none" w:color="000000" w:sz="4"/>
                    <w:left w:val="none" w:color="000000" w:sz="4"/>
                    <w:bottom w:val="single" w:color="000000" w:sz="4"/>
                    <w:right w:val="single" w:color="000000" w:sz="4"/>
                  </w:tcBorders>
                  <w:vAlign w:val="top"/>
                </w:tcPr>
                <w:p>
                  <w:pPr>
                    <w:jc w:val="center"/>
                  </w:pPr>
                  <w:r>
                    <w:rPr>
                      <w:sz w:val="21"/>
                    </w:rPr>
                    <w:t>弱电服务组</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水电技工</w:t>
                  </w:r>
                </w:p>
              </w:tc>
              <w:tc>
                <w:tcPr>
                  <w:tcW w:type="dxa" w:w="469"/>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3218"/>
                  <w:tcBorders>
                    <w:top w:val="none" w:color="000000" w:sz="4"/>
                    <w:left w:val="none" w:color="000000" w:sz="4"/>
                    <w:bottom w:val="single" w:color="000000" w:sz="4"/>
                    <w:right w:val="single" w:color="000000" w:sz="4"/>
                  </w:tcBorders>
                  <w:shd w:fill="FFFFFF"/>
                  <w:vAlign w:val="top"/>
                </w:tcPr>
                <w:p>
                  <w:pPr>
                    <w:jc w:val="center"/>
                  </w:pPr>
                  <w:r>
                    <w:rPr>
                      <w:sz w:val="21"/>
                    </w:rPr>
                    <w:t>负责统筹管理供排水系统、室内供配电系统、照明系统、设备供电及展厅内日常操作和管理等工作安排。负责变配电系统、空调系统、消防系统及室外配套水电系统的日常操作工作。变配电、发电机房需</w:t>
                  </w:r>
                  <w:r>
                    <w:rPr>
                      <w:sz w:val="21"/>
                    </w:rPr>
                    <w:t>24小时值班。电工需持证上岗。</w:t>
                  </w:r>
                </w:p>
              </w:tc>
            </w:tr>
            <w:tr>
              <w:tc>
                <w:tcPr>
                  <w:tcW w:type="dxa" w:w="3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58"/>
                  <w:tcBorders>
                    <w:top w:val="none" w:color="000000" w:sz="4"/>
                    <w:left w:val="none" w:color="000000" w:sz="4"/>
                    <w:bottom w:val="single" w:color="000000" w:sz="4"/>
                    <w:right w:val="single" w:color="000000" w:sz="4"/>
                  </w:tcBorders>
                  <w:vAlign w:val="top"/>
                </w:tcPr>
                <w:p>
                  <w:pPr>
                    <w:jc w:val="center"/>
                  </w:pPr>
                  <w:r>
                    <w:rPr>
                      <w:sz w:val="21"/>
                    </w:rPr>
                    <w:t>巡查服务组</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展厅正门岗</w:t>
                  </w:r>
                </w:p>
              </w:tc>
              <w:tc>
                <w:tcPr>
                  <w:tcW w:type="dxa" w:w="469"/>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3218"/>
                  <w:tcBorders>
                    <w:top w:val="none" w:color="000000" w:sz="4"/>
                    <w:left w:val="none" w:color="000000" w:sz="4"/>
                    <w:bottom w:val="single" w:color="000000" w:sz="4"/>
                    <w:right w:val="single" w:color="000000" w:sz="4"/>
                  </w:tcBorders>
                  <w:shd w:fill="FFFFFF"/>
                  <w:vAlign w:val="top"/>
                </w:tcPr>
                <w:p>
                  <w:pPr>
                    <w:jc w:val="center"/>
                  </w:pPr>
                  <w:r>
                    <w:rPr>
                      <w:sz w:val="21"/>
                    </w:rPr>
                    <w:t>负责海丝产教融合协同创新中心展厅整栋大楼的巡查工作，负责展厅人员、物品安全，做好接待人员、物品进出登记检查，协助接待并指挥接待车辆停放，</w:t>
                  </w:r>
                  <w:r>
                    <w:rPr>
                      <w:sz w:val="21"/>
                    </w:rPr>
                    <w:t>24小时值班制，365天全年保证有人员在岗。</w:t>
                  </w:r>
                </w:p>
              </w:tc>
            </w:tr>
          </w:tbl>
          <w:p>
            <w:pPr>
              <w:ind w:firstLine="420"/>
              <w:jc w:val="both"/>
            </w:pPr>
            <w:r>
              <w:rPr>
                <w:sz w:val="21"/>
              </w:rPr>
              <w:t>2、运营服务人员的工资福利符合国家有关政策法规规定。</w:t>
            </w:r>
          </w:p>
          <w:p>
            <w:pPr>
              <w:ind w:firstLine="422"/>
              <w:jc w:val="both"/>
            </w:pPr>
            <w:r>
              <w:rPr>
                <w:b/>
                <w:sz w:val="21"/>
              </w:rPr>
              <w:t>四、运营服务内容及要求</w:t>
            </w:r>
          </w:p>
          <w:p>
            <w:pPr>
              <w:ind w:firstLine="422"/>
              <w:jc w:val="both"/>
            </w:pPr>
            <w:r>
              <w:rPr>
                <w:b/>
                <w:sz w:val="21"/>
              </w:rPr>
              <w:t>（一）总体要求</w:t>
            </w:r>
          </w:p>
          <w:p>
            <w:pPr>
              <w:ind w:firstLine="420"/>
              <w:jc w:val="both"/>
            </w:pPr>
            <w:r>
              <w:rPr>
                <w:sz w:val="21"/>
              </w:rPr>
              <w:t>1、海丝产教融合协同创新中心展厅是知识城对外宣传的窗口、是黄埔区招才引智的平台，更是展现广州市打造东部山水新城的重要阵地，运营服务要求全方位、高标准、高质量。作为展示厅运营服务人员应充分发挥“三员”作用，从而不断提升展示厅品牌的效应。一是要当好黄埔区形象的“宣传员”。在运营服务的过程中，中标供应商要通过专业高端的服务水平积极向各界来宾展示和宣传黄埔区、知识城的优势，自觉地把接待工作与宣传黄埔区形象有机结合起来，充分发挥黄埔区形象“宣传员”的作用。二是要当好招才引智的“服务员”。黄埔区是经济税收名列前茅的强区，而知识城则是黄埔区未来发展中的重中之重，中标供应商要通过高质量的接待水平迎接每一位投资者，让细致周到的服务为黄埔区赢得信心、赢得支持。三是要当好知识城乃至黄埔区品牌的“推销员”。中标供应商要通过精准的解说内容、专业的讲解水平、细致严谨的服务态度、温馨周到的服务理念为知识城品牌作强有力的宣传和推介，让每一位来宾对知识城和黄埔区的前景有着深刻的印象。</w:t>
            </w:r>
          </w:p>
          <w:p>
            <w:pPr>
              <w:ind w:firstLine="420"/>
              <w:jc w:val="both"/>
            </w:pPr>
            <w:r>
              <w:rPr>
                <w:sz w:val="21"/>
              </w:rPr>
              <w:t>2、采购人对中标供应商组建的运营服务机构进行业务归口管理，由采购人和中标供应商共同制订工作制度和标准，以对工作质量进行考核。</w:t>
            </w:r>
          </w:p>
          <w:p>
            <w:pPr>
              <w:ind w:firstLine="420"/>
              <w:jc w:val="both"/>
            </w:pPr>
            <w:r>
              <w:rPr>
                <w:sz w:val="21"/>
              </w:rPr>
              <w:t>3、中标供应商对所属聘用人员必须按《中华人民共和国劳动法》办理各种用工手续。中标供应商负责建立各项规章制度，确定组织架构人员录用等，中标供应商在实施前要报告采购人，采购人有审核权。</w:t>
            </w:r>
          </w:p>
          <w:p>
            <w:pPr>
              <w:ind w:firstLine="420"/>
              <w:jc w:val="both"/>
            </w:pPr>
            <w:r>
              <w:rPr>
                <w:sz w:val="21"/>
              </w:rPr>
              <w:t>4、采购人对一些重要岗位的设置、人员录用与管理，一些重要的管理决策有审批权和建议权。</w:t>
            </w:r>
          </w:p>
          <w:p>
            <w:pPr>
              <w:ind w:firstLine="420"/>
              <w:jc w:val="both"/>
            </w:pPr>
            <w:r>
              <w:rPr>
                <w:sz w:val="21"/>
              </w:rPr>
              <w:t>5、在处理特殊事件和紧急、突发事故时，采购人对中标供应商的人员有直接指挥权。</w:t>
            </w:r>
          </w:p>
          <w:p>
            <w:pPr>
              <w:ind w:firstLine="420"/>
              <w:jc w:val="both"/>
            </w:pPr>
            <w:r>
              <w:rPr>
                <w:sz w:val="21"/>
              </w:rPr>
              <w:t>6、中标供应商对所录用人员要严格审查，并持有相关上岗资格证。中标供应商要依法纳税，按规定为录用人员缴纳社保及购买雇主责任险。</w:t>
            </w:r>
          </w:p>
          <w:p>
            <w:pPr>
              <w:ind w:firstLine="420"/>
              <w:jc w:val="both"/>
            </w:pPr>
            <w:r>
              <w:rPr>
                <w:sz w:val="21"/>
              </w:rPr>
              <w:t>7、中标供应商须为运营该项目购买公众责任险。</w:t>
            </w:r>
          </w:p>
          <w:p>
            <w:pPr>
              <w:ind w:firstLine="420"/>
              <w:jc w:val="both"/>
            </w:pPr>
            <w:r>
              <w:rPr>
                <w:sz w:val="21"/>
              </w:rPr>
              <w:t>8、中标供应商的各类管理、服务人员按岗位着装要求统一，言行规范，要注意仪容仪表、公众形象，一些公众岗位录用人员体形、身高要有规定。</w:t>
            </w:r>
          </w:p>
          <w:p>
            <w:pPr>
              <w:ind w:firstLine="420"/>
              <w:jc w:val="both"/>
            </w:pPr>
            <w:r>
              <w:rPr>
                <w:sz w:val="21"/>
              </w:rPr>
              <w:t>9、中标供应商在做好工作的同时，有责任向采购人提供合理化建议，以提高管理效率和管理质量。</w:t>
            </w:r>
          </w:p>
          <w:p>
            <w:pPr>
              <w:ind w:firstLine="420"/>
              <w:jc w:val="both"/>
            </w:pPr>
            <w:r>
              <w:rPr>
                <w:sz w:val="21"/>
              </w:rPr>
              <w:t>10、中标供应商具备利用自身资源满足临时应急抽调含讲解服务人员、会务服务人员、布展服务人员、软件多媒体技术服务人员等各工种服务人员一次性不少于50人的调遣能力。</w:t>
            </w:r>
          </w:p>
          <w:p>
            <w:pPr>
              <w:ind w:firstLine="420"/>
              <w:jc w:val="both"/>
            </w:pPr>
            <w:r>
              <w:rPr>
                <w:sz w:val="21"/>
              </w:rPr>
              <w:t>11、中标供应商应在服务期内接受黄埔区内相关单位预约进行政务、商务接待。</w:t>
            </w:r>
          </w:p>
          <w:p>
            <w:pPr>
              <w:ind w:firstLine="420"/>
              <w:jc w:val="both"/>
            </w:pPr>
            <w:r>
              <w:rPr>
                <w:sz w:val="21"/>
              </w:rPr>
              <w:t>12、平时休息时间以及逢遇节假日、休息日中标供应商必须设立设备、水电维修值班人员值班；碰到紧急情况，中标供应商组建的运营服务中心负责人在15分钟内到达现场解决相关问题。</w:t>
            </w:r>
          </w:p>
          <w:p>
            <w:pPr>
              <w:ind w:firstLine="420"/>
              <w:jc w:val="both"/>
            </w:pPr>
            <w:r>
              <w:rPr>
                <w:sz w:val="21"/>
              </w:rPr>
              <w:t>13、中标供应商需要安排</w:t>
            </w:r>
            <w:r>
              <w:rPr>
                <w:sz w:val="21"/>
              </w:rPr>
              <w:t>专业培训师对解说服务人员及会务服务人员开展外事接待、重大贵宾来访接待及日常礼仪等培训。</w:t>
            </w:r>
          </w:p>
          <w:p>
            <w:pPr>
              <w:ind w:firstLine="420"/>
              <w:jc w:val="both"/>
            </w:pPr>
            <w:r>
              <w:rPr>
                <w:sz w:val="21"/>
              </w:rPr>
              <w:t>14、</w:t>
            </w:r>
            <w:r>
              <w:rPr>
                <w:sz w:val="21"/>
              </w:rPr>
              <w:t>进场时间：接到采购人通知后</w:t>
            </w:r>
            <w:r>
              <w:rPr>
                <w:sz w:val="21"/>
              </w:rPr>
              <w:t>5个工作日内。</w:t>
            </w:r>
          </w:p>
          <w:p>
            <w:pPr>
              <w:ind w:firstLine="422"/>
              <w:jc w:val="both"/>
            </w:pPr>
            <w:r>
              <w:rPr>
                <w:b/>
                <w:sz w:val="21"/>
              </w:rPr>
              <w:t>（二）运营服务要求</w:t>
            </w:r>
          </w:p>
          <w:p>
            <w:pPr>
              <w:ind w:firstLine="422"/>
              <w:jc w:val="both"/>
            </w:pPr>
            <w:r>
              <w:rPr>
                <w:b/>
                <w:sz w:val="21"/>
              </w:rPr>
              <w:t>1、展厅讲解接待服务要求</w:t>
            </w:r>
          </w:p>
          <w:p>
            <w:pPr>
              <w:ind w:firstLine="420"/>
              <w:jc w:val="both"/>
            </w:pPr>
            <w:r>
              <w:rPr>
                <w:sz w:val="21"/>
              </w:rPr>
              <w:t>中标供应商提供的中英文双语讲解接待服务是运营服务的核心内容之一。根据本项目对知识城乃至黄埔区广州市的重要性和特殊意义，中标供应商的讲解接待服务人员须达到以下要求：</w:t>
            </w:r>
          </w:p>
          <w:p>
            <w:pPr>
              <w:ind w:firstLine="420"/>
              <w:jc w:val="both"/>
            </w:pPr>
            <w:r>
              <w:rPr>
                <w:sz w:val="21"/>
              </w:rPr>
              <w:t>1.1、要求讲解服务人员具有良好的公众形象、身高面容符合职业要求；要具备良好的嗓音条件和语言表达能力，善于与宾客沟通交流；要有过硬的心理素质和敏捷的反应能力，能面对不同的宾客独立完成全过程的解说接待任务。</w:t>
            </w:r>
          </w:p>
          <w:p>
            <w:pPr>
              <w:ind w:firstLine="420"/>
              <w:jc w:val="both"/>
            </w:pPr>
            <w:r>
              <w:rPr>
                <w:sz w:val="21"/>
              </w:rPr>
              <w:t>1.2、讲解服务人员是沟通知识城与各界来宾的桥梁和纽带。要求讲解服务人员必须具有以人为本、主动服务的意识，树立“想宾客所想、急宾客所急”的理念，立足精品服务，高标准、高质量做好各类讲解接待任务。</w:t>
            </w:r>
          </w:p>
          <w:p>
            <w:pPr>
              <w:ind w:firstLine="420"/>
              <w:jc w:val="both"/>
            </w:pPr>
            <w:r>
              <w:rPr>
                <w:sz w:val="21"/>
              </w:rPr>
              <w:t>1.3、要求讲解服务人员熟练全展示厅的展览及讲解内容，包括知识城总体规划的理念和定位、各个主题的重点演绎、规划发展的历程、各项专项规划的情况、中新合作模式与成果、产业发展的趋势与概况等一系列内容。</w:t>
            </w:r>
          </w:p>
          <w:p>
            <w:pPr>
              <w:ind w:firstLine="420"/>
              <w:jc w:val="both"/>
            </w:pPr>
            <w:r>
              <w:rPr>
                <w:sz w:val="21"/>
              </w:rPr>
              <w:t>1.4、要求讲解服务人员能够熟练掌握知识城重点项目的中英文解说，包括西安电子科技大学广州研究院、中国社会科学院大学黄埔高等研究院、广东外语外贸大学黄埔研究院、广州大学黄埔研究院、知识城科教创新区等项目的具体建设情况、详细规划、定位功能。</w:t>
            </w:r>
          </w:p>
          <w:p>
            <w:pPr>
              <w:ind w:firstLine="420"/>
              <w:jc w:val="both"/>
            </w:pPr>
            <w:r>
              <w:rPr>
                <w:sz w:val="21"/>
              </w:rPr>
              <w:t>1.5、要求讲解服务人员能够熟练操作展示厅的各类讲解多媒体演示设施设备，并能根据不同来宾的需求调整讲解速度和节奏。</w:t>
            </w:r>
          </w:p>
          <w:p>
            <w:pPr>
              <w:ind w:firstLine="420"/>
              <w:jc w:val="both"/>
            </w:pPr>
            <w:r>
              <w:rPr>
                <w:sz w:val="21"/>
              </w:rPr>
              <w:t>1.6、要求讲解服务人员协助和配合知识城相关主管单位举办的各类大型外事接待活动、政务接待活动、大型会议等接待工作。</w:t>
            </w:r>
          </w:p>
          <w:p>
            <w:pPr>
              <w:ind w:firstLine="422"/>
              <w:jc w:val="both"/>
            </w:pPr>
            <w:r>
              <w:rPr>
                <w:b/>
                <w:sz w:val="21"/>
              </w:rPr>
              <w:t>2、日常设备运行维护服务要求</w:t>
            </w:r>
          </w:p>
          <w:p>
            <w:pPr>
              <w:ind w:firstLine="420"/>
              <w:jc w:val="both"/>
            </w:pPr>
            <w:r>
              <w:rPr>
                <w:sz w:val="21"/>
              </w:rPr>
              <w:t>2.1中标供应商主要负责设备的日常运行保障及技术维护工作，对展厅LED屏幕、空调、家具、灯具等进行维护。</w:t>
            </w:r>
          </w:p>
          <w:p>
            <w:pPr>
              <w:ind w:firstLine="420"/>
              <w:jc w:val="both"/>
            </w:pPr>
            <w:r>
              <w:rPr>
                <w:sz w:val="21"/>
              </w:rPr>
              <w:t>2.2中标供应商提供以下设备维护服务：</w:t>
            </w:r>
          </w:p>
          <w:p>
            <w:pPr>
              <w:ind w:firstLine="420"/>
              <w:jc w:val="both"/>
            </w:pPr>
            <w:r>
              <w:rPr>
                <w:sz w:val="21"/>
              </w:rPr>
              <w:t>2.2.1 故障设备进行维护；</w:t>
            </w:r>
          </w:p>
          <w:p>
            <w:pPr>
              <w:ind w:firstLine="420"/>
              <w:jc w:val="both"/>
            </w:pPr>
            <w:r>
              <w:rPr>
                <w:sz w:val="21"/>
              </w:rPr>
              <w:t>2.2.2每周对创新中心各系统的运行情况进行检查，分析运行情况，根据设备经常出现情况或者有可能出现的地方及时提出日常维护和日常使用建议，书面填写维护日志。</w:t>
            </w:r>
          </w:p>
          <w:p>
            <w:pPr>
              <w:ind w:firstLine="422"/>
              <w:jc w:val="both"/>
            </w:pPr>
            <w:r>
              <w:rPr>
                <w:b/>
                <w:sz w:val="21"/>
              </w:rPr>
              <w:t>3、会务服务要求</w:t>
            </w:r>
          </w:p>
          <w:p>
            <w:pPr>
              <w:ind w:firstLine="420"/>
              <w:jc w:val="both"/>
            </w:pPr>
            <w:r>
              <w:rPr>
                <w:sz w:val="21"/>
              </w:rPr>
              <w:t>中标供应商提供的会务服务人员主要负责创新中心内各类会议接待、大型活动和重要客人来访的服务工作，协同讲解员完成接待流程中的迎宾送客环节、新进人员的上岗培训以及会务员定期会务培训、协助展示厅负责人对接待物品的归类管理和清点结算。</w:t>
            </w:r>
          </w:p>
          <w:p>
            <w:pPr>
              <w:ind w:firstLine="422"/>
              <w:jc w:val="both"/>
            </w:pPr>
            <w:r>
              <w:rPr>
                <w:b/>
                <w:sz w:val="21"/>
              </w:rPr>
              <w:t>4、后勤服务要求</w:t>
            </w:r>
          </w:p>
          <w:p>
            <w:pPr>
              <w:ind w:firstLine="420"/>
              <w:jc w:val="both"/>
            </w:pPr>
            <w:r>
              <w:rPr>
                <w:sz w:val="21"/>
              </w:rPr>
              <w:t>4.1、现场秩序及巡查维护服务要求</w:t>
            </w:r>
          </w:p>
          <w:p>
            <w:pPr>
              <w:ind w:firstLine="420"/>
              <w:jc w:val="left"/>
            </w:pPr>
            <w:r>
              <w:rPr>
                <w:sz w:val="21"/>
              </w:rPr>
              <w:t>全面负责展示厅的防火、防盗、防毒、防爆炸、防抢、防涉密、防治安灾害事故等安全防范工作。维护海丝产教融合协同创新中心的正常接待秩序和人身财产安全，及时发现和消除安全隐患，协助做好海丝产教融合协同创新中心的安全管理工作，并配合协助相关单位在知识城举行的外事接待活动的安全巡查工作。</w:t>
            </w:r>
          </w:p>
          <w:p>
            <w:pPr>
              <w:ind w:firstLine="420"/>
              <w:jc w:val="both"/>
            </w:pPr>
            <w:r>
              <w:rPr>
                <w:sz w:val="21"/>
              </w:rPr>
              <w:t>4.2、机电设备维护服务要求</w:t>
            </w:r>
          </w:p>
          <w:p>
            <w:pPr>
              <w:ind w:firstLine="420"/>
              <w:jc w:val="both"/>
            </w:pPr>
            <w:r>
              <w:rPr>
                <w:sz w:val="21"/>
              </w:rPr>
              <w:t>中标供应商按要求定期对各种设备进行巡查，并设立登记制度，消防监控室设立</w:t>
            </w:r>
            <w:r>
              <w:rPr>
                <w:sz w:val="21"/>
              </w:rPr>
              <w:t>24小时值班。负责创新中心供配电系统、照明系统、监控系统、给排水设备、中央空调、消防系统、网络设备、门窗锁等设施设备日常运行维护、保养，并安排值班人员。</w:t>
            </w:r>
          </w:p>
          <w:p>
            <w:pPr>
              <w:ind w:firstLine="420"/>
              <w:jc w:val="both"/>
            </w:pPr>
            <w:r>
              <w:rPr>
                <w:sz w:val="21"/>
              </w:rPr>
              <w:t>4.3、其它设施维护：包括但不限于建筑物日常维护、地毯、高级大理石地板。</w:t>
            </w:r>
          </w:p>
          <w:p>
            <w:pPr>
              <w:ind w:firstLine="420"/>
              <w:jc w:val="both"/>
            </w:pPr>
            <w:r>
              <w:rPr>
                <w:sz w:val="21"/>
              </w:rPr>
              <w:t>4.4、卫生清洁服务要求</w:t>
            </w:r>
          </w:p>
          <w:p>
            <w:pPr>
              <w:ind w:firstLine="420"/>
              <w:jc w:val="both"/>
            </w:pPr>
            <w:r>
              <w:rPr>
                <w:sz w:val="21"/>
              </w:rPr>
              <w:t>中标供应商负责创新中心室内的清洁、保洁工作。</w:t>
            </w:r>
          </w:p>
          <w:p>
            <w:pPr>
              <w:ind w:firstLine="422"/>
              <w:jc w:val="both"/>
            </w:pPr>
            <w:r>
              <w:rPr>
                <w:b/>
                <w:sz w:val="21"/>
              </w:rPr>
              <w:t>5、绿化租摆及养护要求</w:t>
            </w:r>
          </w:p>
          <w:p>
            <w:pPr>
              <w:ind w:firstLine="420"/>
              <w:jc w:val="both"/>
            </w:pPr>
            <w:r>
              <w:rPr>
                <w:sz w:val="21"/>
              </w:rPr>
              <w:t>中标供应商负责创新中心区域内的绿化租摆及养护工作。</w:t>
            </w:r>
          </w:p>
          <w:p>
            <w:pPr>
              <w:ind w:firstLine="422"/>
              <w:jc w:val="both"/>
            </w:pPr>
            <w:r>
              <w:rPr>
                <w:b/>
                <w:sz w:val="21"/>
              </w:rPr>
              <w:t>6.</w:t>
            </w:r>
            <w:r>
              <w:rPr>
                <w:b/>
                <w:sz w:val="21"/>
              </w:rPr>
              <w:t xml:space="preserve"> </w:t>
            </w:r>
            <w:r>
              <w:rPr>
                <w:b/>
                <w:sz w:val="21"/>
              </w:rPr>
              <w:t>区域产教融合氛围提升服务要求</w:t>
            </w:r>
          </w:p>
          <w:p>
            <w:pPr>
              <w:ind w:firstLine="420"/>
              <w:jc w:val="both"/>
            </w:pPr>
            <w:r>
              <w:rPr>
                <w:sz w:val="21"/>
              </w:rPr>
              <w:t>6.1、为积极落实国家产教融合城市（广州）试点方案（《国家发展改革委办公厅、教育部办公厅关于印发产教融合型企业和产教融合试点城市名单的通知》，发改办社会〔2021〕573号），奋力将知识城打造成为广州产教融合创新示范地，活力创新轴北极点，同时为充分利用海丝知识中心W1栋空间载体资源，盘活区域科技创新资源，加强政府、高校、企业之间的联络互动，推动校企合作、产教融合、成果转化、知识产权等一体化深度融合发展，做强做优做实服务区域创新创业举措，拟聚力打造海丝产教融合协同创新中心，做好区域产教融合氛围提升服务工作。</w:t>
            </w:r>
          </w:p>
          <w:p>
            <w:pPr>
              <w:ind w:firstLine="420"/>
              <w:jc w:val="both"/>
            </w:pPr>
            <w:r>
              <w:rPr>
                <w:sz w:val="21"/>
              </w:rPr>
              <w:t>6.2、海丝产教融合协同创新中心日常运营服务期内KPI指标。</w:t>
            </w:r>
          </w:p>
          <w:p>
            <w:pPr>
              <w:jc w:val="center"/>
            </w:pPr>
            <w:r>
              <w:rPr>
                <w:b/>
                <w:sz w:val="21"/>
              </w:rPr>
              <w:t>海丝产教融合协同创新中心日常运营服务期内</w:t>
            </w:r>
            <w:r>
              <w:rPr>
                <w:b/>
                <w:sz w:val="21"/>
              </w:rPr>
              <w:t>KPI指标</w:t>
            </w:r>
          </w:p>
          <w:tbl>
            <w:tblPr>
              <w:tblBorders>
                <w:top w:val="none" w:color="000000" w:sz="4"/>
                <w:left w:val="none" w:color="000000" w:sz="4"/>
                <w:bottom w:val="none" w:color="000000" w:sz="4"/>
                <w:right w:val="none" w:color="000000" w:sz="4"/>
                <w:insideH w:val="none"/>
                <w:insideV w:val="none"/>
              </w:tblBorders>
            </w:tblPr>
            <w:tblGrid>
              <w:gridCol w:w="623"/>
              <w:gridCol w:w="1019"/>
              <w:gridCol w:w="3956"/>
            </w:tblGrid>
            <w:tr>
              <w:tc>
                <w:tcPr>
                  <w:tcW w:type="dxa" w:w="62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19"/>
                  <w:tcBorders>
                    <w:top w:val="single" w:color="000000" w:sz="4"/>
                    <w:left w:val="single" w:color="000000" w:sz="4"/>
                    <w:bottom w:val="single" w:color="000000" w:sz="4"/>
                    <w:right w:val="single" w:color="000000" w:sz="4"/>
                  </w:tcBorders>
                  <w:vAlign w:val="top"/>
                </w:tcPr>
                <w:p>
                  <w:pPr>
                    <w:jc w:val="center"/>
                  </w:pPr>
                  <w:r>
                    <w:rPr>
                      <w:sz w:val="21"/>
                    </w:rPr>
                    <w:t>服务内容</w:t>
                  </w:r>
                </w:p>
              </w:tc>
              <w:tc>
                <w:tcPr>
                  <w:tcW w:type="dxa" w:w="3956"/>
                  <w:tcBorders>
                    <w:top w:val="single" w:color="000000" w:sz="4"/>
                    <w:left w:val="single" w:color="000000" w:sz="4"/>
                    <w:bottom w:val="single" w:color="000000" w:sz="4"/>
                    <w:right w:val="single" w:color="000000" w:sz="4"/>
                  </w:tcBorders>
                  <w:vAlign w:val="top"/>
                </w:tcPr>
                <w:p>
                  <w:pPr>
                    <w:jc w:val="center"/>
                  </w:pPr>
                  <w:r>
                    <w:rPr>
                      <w:sz w:val="21"/>
                    </w:rPr>
                    <w:t>具体指标</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19"/>
                  <w:vMerge w:val="restart"/>
                  <w:tcBorders>
                    <w:top w:val="none" w:color="000000" w:sz="4"/>
                    <w:left w:val="single" w:color="000000" w:sz="4"/>
                    <w:bottom w:val="single" w:color="000000" w:sz="4"/>
                    <w:right w:val="single" w:color="000000" w:sz="4"/>
                  </w:tcBorders>
                  <w:vAlign w:val="top"/>
                </w:tcPr>
                <w:p>
                  <w:pPr>
                    <w:jc w:val="center"/>
                  </w:pPr>
                  <w:r>
                    <w:rPr>
                      <w:sz w:val="21"/>
                    </w:rPr>
                    <w:t>聚集创新要素</w:t>
                  </w:r>
                </w:p>
              </w:tc>
              <w:tc>
                <w:tcPr>
                  <w:tcW w:type="dxa" w:w="3956"/>
                  <w:tcBorders>
                    <w:top w:val="none" w:color="000000" w:sz="4"/>
                    <w:left w:val="single" w:color="000000" w:sz="4"/>
                    <w:bottom w:val="single" w:color="000000" w:sz="4"/>
                    <w:right w:val="single" w:color="000000" w:sz="4"/>
                  </w:tcBorders>
                  <w:vAlign w:val="top"/>
                </w:tcPr>
                <w:p>
                  <w:pPr>
                    <w:jc w:val="both"/>
                  </w:pPr>
                  <w:r>
                    <w:rPr>
                      <w:sz w:val="21"/>
                    </w:rPr>
                    <w:t>服务期内推动举办不少于</w:t>
                  </w:r>
                  <w:r>
                    <w:rPr>
                      <w:sz w:val="21"/>
                    </w:rPr>
                    <w:t>4场国际品牌活动，活动应有国际科研机构、企业或国际专家学者参加，或活动主题与国际合作相关，线下会议规模不少于50人。</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19"/>
                  <w:vMerge/>
                  <w:tcBorders>
                    <w:top w:val="none" w:color="000000" w:sz="4"/>
                    <w:left w:val="single" w:color="000000" w:sz="4"/>
                    <w:bottom w:val="single" w:color="000000" w:sz="4"/>
                    <w:right w:val="single" w:color="000000" w:sz="4"/>
                  </w:tcBorders>
                </w:tcPr>
                <w:p/>
              </w:tc>
              <w:tc>
                <w:tcPr>
                  <w:tcW w:type="dxa" w:w="3956"/>
                  <w:tcBorders>
                    <w:top w:val="none" w:color="000000" w:sz="4"/>
                    <w:left w:val="single" w:color="000000" w:sz="4"/>
                    <w:bottom w:val="single" w:color="000000" w:sz="4"/>
                    <w:right w:val="single" w:color="000000" w:sz="4"/>
                  </w:tcBorders>
                  <w:vAlign w:val="top"/>
                </w:tcPr>
                <w:p>
                  <w:pPr>
                    <w:jc w:val="both"/>
                  </w:pPr>
                  <w:r>
                    <w:rPr>
                      <w:sz w:val="21"/>
                    </w:rPr>
                    <w:t>服务期内促成知识城相关高校与不少于</w:t>
                  </w:r>
                  <w:r>
                    <w:rPr>
                      <w:sz w:val="21"/>
                    </w:rPr>
                    <w:t>3家境外科研机构对接交流。</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19"/>
                  <w:vMerge/>
                  <w:tcBorders>
                    <w:top w:val="none" w:color="000000" w:sz="4"/>
                    <w:left w:val="single" w:color="000000" w:sz="4"/>
                    <w:bottom w:val="single" w:color="000000" w:sz="4"/>
                    <w:right w:val="single" w:color="000000" w:sz="4"/>
                  </w:tcBorders>
                </w:tcPr>
                <w:p/>
              </w:tc>
              <w:tc>
                <w:tcPr>
                  <w:tcW w:type="dxa" w:w="3956"/>
                  <w:tcBorders>
                    <w:top w:val="none" w:color="000000" w:sz="4"/>
                    <w:left w:val="single" w:color="000000" w:sz="4"/>
                    <w:bottom w:val="single" w:color="000000" w:sz="4"/>
                    <w:right w:val="single" w:color="000000" w:sz="4"/>
                  </w:tcBorders>
                  <w:vAlign w:val="top"/>
                </w:tcPr>
                <w:p>
                  <w:pPr>
                    <w:jc w:val="both"/>
                  </w:pPr>
                  <w:r>
                    <w:rPr>
                      <w:sz w:val="21"/>
                    </w:rPr>
                    <w:t>推动创新成果项目、人才、团队考察知识城，服务期内不少于</w:t>
                  </w:r>
                  <w:r>
                    <w:rPr>
                      <w:sz w:val="21"/>
                    </w:rPr>
                    <w:t>6个，其中港澳项目不少于2个。</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19"/>
                  <w:vMerge w:val="restart"/>
                  <w:tcBorders>
                    <w:top w:val="none" w:color="000000" w:sz="4"/>
                    <w:left w:val="single" w:color="000000" w:sz="4"/>
                    <w:bottom w:val="single" w:color="000000" w:sz="4"/>
                    <w:right w:val="single" w:color="000000" w:sz="4"/>
                  </w:tcBorders>
                  <w:vAlign w:val="top"/>
                </w:tcPr>
                <w:p>
                  <w:pPr>
                    <w:jc w:val="center"/>
                  </w:pPr>
                  <w:r>
                    <w:rPr>
                      <w:sz w:val="21"/>
                    </w:rPr>
                    <w:t>助推成果转化</w:t>
                  </w:r>
                </w:p>
              </w:tc>
              <w:tc>
                <w:tcPr>
                  <w:tcW w:type="dxa" w:w="3956"/>
                  <w:tcBorders>
                    <w:top w:val="none" w:color="000000" w:sz="4"/>
                    <w:left w:val="single" w:color="000000" w:sz="4"/>
                    <w:bottom w:val="single" w:color="000000" w:sz="4"/>
                    <w:right w:val="single" w:color="000000" w:sz="4"/>
                  </w:tcBorders>
                  <w:vAlign w:val="top"/>
                </w:tcPr>
                <w:p>
                  <w:pPr>
                    <w:jc w:val="both"/>
                  </w:pPr>
                  <w:r>
                    <w:rPr>
                      <w:sz w:val="21"/>
                    </w:rPr>
                    <w:t>打造</w:t>
                  </w:r>
                  <w:r>
                    <w:rPr>
                      <w:sz w:val="21"/>
                    </w:rPr>
                    <w:t>“科教论道 产研创投”品牌性人才沙龙，全年举办不少于8场</w:t>
                  </w:r>
                  <w:r>
                    <w:rPr>
                      <w:sz w:val="21"/>
                    </w:rPr>
                    <w:t>。</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19"/>
                  <w:vMerge/>
                  <w:tcBorders>
                    <w:top w:val="none" w:color="000000" w:sz="4"/>
                    <w:left w:val="single" w:color="000000" w:sz="4"/>
                    <w:bottom w:val="single" w:color="000000" w:sz="4"/>
                    <w:right w:val="single" w:color="000000" w:sz="4"/>
                  </w:tcBorders>
                </w:tcPr>
                <w:p/>
              </w:tc>
              <w:tc>
                <w:tcPr>
                  <w:tcW w:type="dxa" w:w="3956"/>
                  <w:tcBorders>
                    <w:top w:val="none" w:color="000000" w:sz="4"/>
                    <w:left w:val="single" w:color="000000" w:sz="4"/>
                    <w:bottom w:val="single" w:color="000000" w:sz="4"/>
                    <w:right w:val="single" w:color="000000" w:sz="4"/>
                  </w:tcBorders>
                  <w:vAlign w:val="top"/>
                </w:tcPr>
                <w:p>
                  <w:pPr>
                    <w:jc w:val="both"/>
                  </w:pPr>
                  <w:r>
                    <w:rPr>
                      <w:sz w:val="21"/>
                    </w:rPr>
                    <w:t>服务期内</w:t>
                  </w:r>
                  <w:r>
                    <w:rPr>
                      <w:sz w:val="21"/>
                    </w:rPr>
                    <w:t>开展校企成果对接会、项目路演等活动不少于</w:t>
                  </w:r>
                  <w:r>
                    <w:rPr>
                      <w:sz w:val="21"/>
                    </w:rPr>
                    <w:t>4场</w:t>
                  </w:r>
                  <w:r>
                    <w:rPr>
                      <w:sz w:val="21"/>
                    </w:rPr>
                    <w:t>，每场参演项目不少于</w:t>
                  </w:r>
                  <w:r>
                    <w:rPr>
                      <w:sz w:val="21"/>
                    </w:rPr>
                    <w:t>2个。</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019"/>
                  <w:vMerge w:val="restart"/>
                  <w:tcBorders>
                    <w:top w:val="none" w:color="000000" w:sz="4"/>
                    <w:left w:val="single" w:color="000000" w:sz="4"/>
                    <w:bottom w:val="single" w:color="000000" w:sz="4"/>
                    <w:right w:val="single" w:color="000000" w:sz="4"/>
                  </w:tcBorders>
                  <w:vAlign w:val="top"/>
                </w:tcPr>
                <w:p>
                  <w:pPr>
                    <w:jc w:val="center"/>
                  </w:pPr>
                  <w:r>
                    <w:rPr>
                      <w:sz w:val="21"/>
                    </w:rPr>
                    <w:t>促进产才融合</w:t>
                  </w:r>
                </w:p>
              </w:tc>
              <w:tc>
                <w:tcPr>
                  <w:tcW w:type="dxa" w:w="3956"/>
                  <w:tcBorders>
                    <w:top w:val="none" w:color="000000" w:sz="4"/>
                    <w:left w:val="single" w:color="000000" w:sz="4"/>
                    <w:bottom w:val="single" w:color="000000" w:sz="4"/>
                    <w:right w:val="single" w:color="000000" w:sz="4"/>
                  </w:tcBorders>
                  <w:vAlign w:val="top"/>
                </w:tcPr>
                <w:p>
                  <w:pPr>
                    <w:jc w:val="both"/>
                  </w:pPr>
                  <w:r>
                    <w:rPr>
                      <w:sz w:val="21"/>
                    </w:rPr>
                    <w:t>服务期内</w:t>
                  </w:r>
                  <w:r>
                    <w:rPr>
                      <w:sz w:val="21"/>
                    </w:rPr>
                    <w:t>举办</w:t>
                  </w:r>
                  <w:r>
                    <w:rPr>
                      <w:sz w:val="21"/>
                    </w:rPr>
                    <w:t>1</w:t>
                  </w:r>
                  <w:r>
                    <w:rPr>
                      <w:sz w:val="21"/>
                    </w:rPr>
                    <w:t>期不少于</w:t>
                  </w:r>
                  <w:r>
                    <w:rPr>
                      <w:sz w:val="21"/>
                    </w:rPr>
                    <w:t>30家区内重点高校、科研院所、企事业单位参加的招聘会。</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019"/>
                  <w:vMerge/>
                  <w:tcBorders>
                    <w:top w:val="none" w:color="000000" w:sz="4"/>
                    <w:left w:val="single" w:color="000000" w:sz="4"/>
                    <w:bottom w:val="single" w:color="000000" w:sz="4"/>
                    <w:right w:val="single" w:color="000000" w:sz="4"/>
                  </w:tcBorders>
                </w:tcPr>
                <w:p/>
              </w:tc>
              <w:tc>
                <w:tcPr>
                  <w:tcW w:type="dxa" w:w="3956"/>
                  <w:tcBorders>
                    <w:top w:val="none" w:color="000000" w:sz="4"/>
                    <w:left w:val="single" w:color="000000" w:sz="4"/>
                    <w:bottom w:val="single" w:color="000000" w:sz="4"/>
                    <w:right w:val="single" w:color="000000" w:sz="4"/>
                  </w:tcBorders>
                  <w:vAlign w:val="top"/>
                </w:tcPr>
                <w:p>
                  <w:pPr>
                    <w:jc w:val="both"/>
                  </w:pPr>
                  <w:r>
                    <w:rPr>
                      <w:sz w:val="21"/>
                    </w:rPr>
                    <w:t>服务期内</w:t>
                  </w:r>
                  <w:r>
                    <w:rPr>
                      <w:sz w:val="21"/>
                    </w:rPr>
                    <w:t>针对产业领域，开设生物医药、集成电路等专场招聘会不少于</w:t>
                  </w:r>
                  <w:r>
                    <w:rPr>
                      <w:sz w:val="21"/>
                    </w:rPr>
                    <w:t>3场。</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019"/>
                  <w:vMerge/>
                  <w:tcBorders>
                    <w:top w:val="none" w:color="000000" w:sz="4"/>
                    <w:left w:val="single" w:color="000000" w:sz="4"/>
                    <w:bottom w:val="single" w:color="000000" w:sz="4"/>
                    <w:right w:val="single" w:color="000000" w:sz="4"/>
                  </w:tcBorders>
                </w:tcPr>
                <w:p/>
              </w:tc>
              <w:tc>
                <w:tcPr>
                  <w:tcW w:type="dxa" w:w="3956"/>
                  <w:tcBorders>
                    <w:top w:val="none" w:color="000000" w:sz="4"/>
                    <w:left w:val="single" w:color="000000" w:sz="4"/>
                    <w:bottom w:val="single" w:color="000000" w:sz="4"/>
                    <w:right w:val="single" w:color="000000" w:sz="4"/>
                  </w:tcBorders>
                  <w:vAlign w:val="top"/>
                </w:tcPr>
                <w:p>
                  <w:pPr>
                    <w:jc w:val="both"/>
                  </w:pPr>
                  <w:r>
                    <w:rPr>
                      <w:sz w:val="21"/>
                    </w:rPr>
                    <w:t>服务期内举办</w:t>
                  </w:r>
                  <w:r>
                    <w:rPr>
                      <w:sz w:val="21"/>
                    </w:rPr>
                    <w:t>5场“头雁引航‘职’享未来”、“职引未来”等系列分享会、座谈会，邀请行业领军人才、优秀毕业生为应届毕业生求职路途提供指引方向。</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019"/>
                  <w:vMerge w:val="restart"/>
                  <w:tcBorders>
                    <w:top w:val="none" w:color="000000" w:sz="4"/>
                    <w:left w:val="single" w:color="000000" w:sz="4"/>
                    <w:bottom w:val="single" w:color="000000" w:sz="4"/>
                    <w:right w:val="single" w:color="000000" w:sz="4"/>
                  </w:tcBorders>
                  <w:vAlign w:val="top"/>
                </w:tcPr>
                <w:p>
                  <w:pPr>
                    <w:jc w:val="center"/>
                  </w:pPr>
                  <w:r>
                    <w:rPr>
                      <w:sz w:val="21"/>
                    </w:rPr>
                    <w:t>深化知识产权运用与保护</w:t>
                  </w:r>
                </w:p>
              </w:tc>
              <w:tc>
                <w:tcPr>
                  <w:tcW w:type="dxa" w:w="3956"/>
                  <w:tcBorders>
                    <w:top w:val="none" w:color="000000" w:sz="4"/>
                    <w:left w:val="single" w:color="000000" w:sz="4"/>
                    <w:bottom w:val="single" w:color="000000" w:sz="4"/>
                    <w:right w:val="single" w:color="000000" w:sz="4"/>
                  </w:tcBorders>
                  <w:vAlign w:val="top"/>
                </w:tcPr>
                <w:p>
                  <w:pPr>
                    <w:jc w:val="both"/>
                  </w:pPr>
                  <w:r>
                    <w:rPr>
                      <w:sz w:val="21"/>
                    </w:rPr>
                    <w:t>推动一批产学研合作项目中核心技术实现专利</w:t>
                  </w:r>
                  <w:r>
                    <w:rPr>
                      <w:sz w:val="21"/>
                    </w:rPr>
                    <w:t>“灭零倍增”，服务期内帮助知识城相关单位提交专利申请不少于5个。</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019"/>
                  <w:vMerge/>
                  <w:tcBorders>
                    <w:top w:val="none" w:color="000000" w:sz="4"/>
                    <w:left w:val="single" w:color="000000" w:sz="4"/>
                    <w:bottom w:val="single" w:color="000000" w:sz="4"/>
                    <w:right w:val="single" w:color="000000" w:sz="4"/>
                  </w:tcBorders>
                </w:tcPr>
                <w:p/>
              </w:tc>
              <w:tc>
                <w:tcPr>
                  <w:tcW w:type="dxa" w:w="3956"/>
                  <w:tcBorders>
                    <w:top w:val="none" w:color="000000" w:sz="4"/>
                    <w:left w:val="single" w:color="000000" w:sz="4"/>
                    <w:bottom w:val="single" w:color="000000" w:sz="4"/>
                    <w:right w:val="single" w:color="000000" w:sz="4"/>
                  </w:tcBorders>
                  <w:vAlign w:val="top"/>
                </w:tcPr>
                <w:p>
                  <w:pPr>
                    <w:jc w:val="both"/>
                  </w:pPr>
                  <w:r>
                    <w:rPr>
                      <w:sz w:val="21"/>
                    </w:rPr>
                    <w:t>服务期内促成一批产学研合作项目中核心技术实现转化，在本区实现产业化不少于</w:t>
                  </w:r>
                  <w:r>
                    <w:rPr>
                      <w:sz w:val="21"/>
                    </w:rPr>
                    <w:t>2个。</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019"/>
                  <w:vMerge/>
                  <w:tcBorders>
                    <w:top w:val="none" w:color="000000" w:sz="4"/>
                    <w:left w:val="single" w:color="000000" w:sz="4"/>
                    <w:bottom w:val="single" w:color="000000" w:sz="4"/>
                    <w:right w:val="single" w:color="000000" w:sz="4"/>
                  </w:tcBorders>
                </w:tcPr>
                <w:p/>
              </w:tc>
              <w:tc>
                <w:tcPr>
                  <w:tcW w:type="dxa" w:w="3956"/>
                  <w:tcBorders>
                    <w:top w:val="none" w:color="000000" w:sz="4"/>
                    <w:left w:val="single" w:color="000000" w:sz="4"/>
                    <w:bottom w:val="single" w:color="000000" w:sz="4"/>
                    <w:right w:val="single" w:color="000000" w:sz="4"/>
                  </w:tcBorders>
                  <w:vAlign w:val="top"/>
                </w:tcPr>
                <w:p>
                  <w:pPr>
                    <w:jc w:val="both"/>
                  </w:pPr>
                  <w:r>
                    <w:rPr>
                      <w:sz w:val="21"/>
                    </w:rPr>
                    <w:t>提高一批产学研合作项目中核心技术知识产权管理水平，服务期内培训企业、院所不少于</w:t>
                  </w:r>
                  <w:r>
                    <w:rPr>
                      <w:sz w:val="21"/>
                    </w:rPr>
                    <w:t>5批。在专利、商标、软件著作权、版权、地理标志等分别开展专项服务，提高创新主体强化知识产权培育布局意识与管理水平，服务期内服务企业不少于20家。</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019"/>
                  <w:vMerge w:val="restart"/>
                  <w:tcBorders>
                    <w:top w:val="none" w:color="000000" w:sz="4"/>
                    <w:left w:val="single" w:color="000000" w:sz="4"/>
                    <w:bottom w:val="single" w:color="000000" w:sz="4"/>
                    <w:right w:val="single" w:color="000000" w:sz="4"/>
                  </w:tcBorders>
                  <w:vAlign w:val="top"/>
                </w:tcPr>
                <w:p>
                  <w:pPr>
                    <w:jc w:val="center"/>
                  </w:pPr>
                  <w:r>
                    <w:rPr>
                      <w:sz w:val="21"/>
                    </w:rPr>
                    <w:t>建设展示阵地</w:t>
                  </w:r>
                </w:p>
              </w:tc>
              <w:tc>
                <w:tcPr>
                  <w:tcW w:type="dxa" w:w="3956"/>
                  <w:tcBorders>
                    <w:top w:val="none" w:color="000000" w:sz="4"/>
                    <w:left w:val="single" w:color="000000" w:sz="4"/>
                    <w:bottom w:val="single" w:color="000000" w:sz="4"/>
                    <w:right w:val="single" w:color="000000" w:sz="4"/>
                  </w:tcBorders>
                  <w:vAlign w:val="top"/>
                </w:tcPr>
                <w:p>
                  <w:pPr>
                    <w:jc w:val="both"/>
                  </w:pPr>
                  <w:r>
                    <w:rPr>
                      <w:sz w:val="21"/>
                    </w:rPr>
                    <w:t>做好宣传工作，服务期内在全国各级媒体发布知识城科技创新、产教融合、知识产权新闻稿件不少于</w:t>
                  </w:r>
                  <w:r>
                    <w:rPr>
                      <w:sz w:val="21"/>
                    </w:rPr>
                    <w:t>50篇。</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019"/>
                  <w:vMerge/>
                  <w:tcBorders>
                    <w:top w:val="none" w:color="000000" w:sz="4"/>
                    <w:left w:val="single" w:color="000000" w:sz="4"/>
                    <w:bottom w:val="single" w:color="000000" w:sz="4"/>
                    <w:right w:val="single" w:color="000000" w:sz="4"/>
                  </w:tcBorders>
                </w:tcPr>
                <w:p/>
              </w:tc>
              <w:tc>
                <w:tcPr>
                  <w:tcW w:type="dxa" w:w="3956"/>
                  <w:tcBorders>
                    <w:top w:val="none" w:color="000000" w:sz="4"/>
                    <w:left w:val="single" w:color="000000" w:sz="4"/>
                    <w:bottom w:val="single" w:color="000000" w:sz="4"/>
                    <w:right w:val="single" w:color="000000" w:sz="4"/>
                  </w:tcBorders>
                  <w:vAlign w:val="top"/>
                </w:tcPr>
                <w:p>
                  <w:pPr>
                    <w:jc w:val="both"/>
                  </w:pPr>
                  <w:r>
                    <w:rPr>
                      <w:sz w:val="21"/>
                    </w:rPr>
                    <w:t>服务期内接待各类单位参观、参会总批数不少于</w:t>
                  </w:r>
                  <w:r>
                    <w:rPr>
                      <w:sz w:val="21"/>
                    </w:rPr>
                    <w:t>70批，总接待量不少于2000人次。</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019"/>
                  <w:vMerge/>
                  <w:tcBorders>
                    <w:top w:val="none" w:color="000000" w:sz="4"/>
                    <w:left w:val="single" w:color="000000" w:sz="4"/>
                    <w:bottom w:val="single" w:color="000000" w:sz="4"/>
                    <w:right w:val="single" w:color="000000" w:sz="4"/>
                  </w:tcBorders>
                </w:tcPr>
                <w:p/>
              </w:tc>
              <w:tc>
                <w:tcPr>
                  <w:tcW w:type="dxa" w:w="3956"/>
                  <w:tcBorders>
                    <w:top w:val="none" w:color="000000" w:sz="4"/>
                    <w:left w:val="single" w:color="000000" w:sz="4"/>
                    <w:bottom w:val="single" w:color="000000" w:sz="4"/>
                    <w:right w:val="single" w:color="000000" w:sz="4"/>
                  </w:tcBorders>
                  <w:vAlign w:val="top"/>
                </w:tcPr>
                <w:p>
                  <w:pPr>
                    <w:jc w:val="both"/>
                  </w:pPr>
                  <w:r>
                    <w:rPr>
                      <w:sz w:val="21"/>
                    </w:rPr>
                    <w:t>服务期内协助为</w:t>
                  </w:r>
                  <w:r>
                    <w:rPr>
                      <w:sz w:val="21"/>
                    </w:rPr>
                    <w:t>5家创新创业团队、企业、科研院所匹配办公场所载体支持。</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019"/>
                  <w:vMerge w:val="restart"/>
                  <w:tcBorders>
                    <w:top w:val="none" w:color="000000" w:sz="4"/>
                    <w:left w:val="single" w:color="000000" w:sz="4"/>
                    <w:bottom w:val="single" w:color="000000" w:sz="4"/>
                    <w:right w:val="single" w:color="000000" w:sz="4"/>
                  </w:tcBorders>
                  <w:vAlign w:val="top"/>
                </w:tcPr>
                <w:p>
                  <w:pPr>
                    <w:jc w:val="center"/>
                  </w:pPr>
                  <w:r>
                    <w:rPr>
                      <w:sz w:val="21"/>
                    </w:rPr>
                    <w:t>优化服务供给</w:t>
                  </w:r>
                </w:p>
              </w:tc>
              <w:tc>
                <w:tcPr>
                  <w:tcW w:type="dxa" w:w="3956"/>
                  <w:tcBorders>
                    <w:top w:val="none" w:color="000000" w:sz="4"/>
                    <w:left w:val="single" w:color="000000" w:sz="4"/>
                    <w:bottom w:val="single" w:color="000000" w:sz="4"/>
                    <w:right w:val="single" w:color="000000" w:sz="4"/>
                  </w:tcBorders>
                  <w:vAlign w:val="top"/>
                </w:tcPr>
                <w:p>
                  <w:pPr>
                    <w:jc w:val="both"/>
                  </w:pPr>
                  <w:r>
                    <w:rPr>
                      <w:sz w:val="21"/>
                    </w:rPr>
                    <w:t>作为海丝知识中心园区配套设施，为进驻园区或知识城片区内的科研院所、科技型企业提供交流座谈、产学研对接等服务工作，服务期内服务相关单位不少于</w:t>
                  </w:r>
                  <w:r>
                    <w:rPr>
                      <w:sz w:val="21"/>
                    </w:rPr>
                    <w:t>30家。</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019"/>
                  <w:vMerge/>
                  <w:tcBorders>
                    <w:top w:val="none" w:color="000000" w:sz="4"/>
                    <w:left w:val="single" w:color="000000" w:sz="4"/>
                    <w:bottom w:val="single" w:color="000000" w:sz="4"/>
                    <w:right w:val="single" w:color="000000" w:sz="4"/>
                  </w:tcBorders>
                </w:tcPr>
                <w:p/>
              </w:tc>
              <w:tc>
                <w:tcPr>
                  <w:tcW w:type="dxa" w:w="3956"/>
                  <w:tcBorders>
                    <w:top w:val="none" w:color="000000" w:sz="4"/>
                    <w:left w:val="single" w:color="000000" w:sz="4"/>
                    <w:bottom w:val="single" w:color="000000" w:sz="4"/>
                    <w:right w:val="single" w:color="000000" w:sz="4"/>
                  </w:tcBorders>
                  <w:vAlign w:val="top"/>
                </w:tcPr>
                <w:p>
                  <w:pPr>
                    <w:jc w:val="both"/>
                  </w:pPr>
                  <w:r>
                    <w:rPr>
                      <w:sz w:val="21"/>
                    </w:rPr>
                    <w:t>中标供应商须赴市外调研优质地市的相关做法，并提交相应的调研成果报告，服务期内不少于</w:t>
                  </w:r>
                  <w:r>
                    <w:rPr>
                      <w:sz w:val="21"/>
                    </w:rPr>
                    <w:t>3次。</w:t>
                  </w:r>
                </w:p>
              </w:tc>
            </w:tr>
          </w:tbl>
          <w:p>
            <w:pPr>
              <w:ind w:firstLine="422"/>
              <w:jc w:val="both"/>
            </w:pPr>
          </w:p>
          <w:p>
            <w:pPr>
              <w:ind w:firstLine="422"/>
              <w:jc w:val="both"/>
            </w:pPr>
            <w:r>
              <w:rPr>
                <w:b/>
                <w:sz w:val="21"/>
              </w:rPr>
              <w:t>（三）日常运营其他内容及要求</w:t>
            </w:r>
          </w:p>
          <w:p>
            <w:pPr>
              <w:ind w:firstLine="420"/>
              <w:jc w:val="both"/>
            </w:pPr>
            <w:r>
              <w:rPr>
                <w:sz w:val="21"/>
              </w:rPr>
              <w:t>1、中标供应商需负责展示厅的接待用品、客用品、办公用品等。</w:t>
            </w:r>
          </w:p>
          <w:p>
            <w:pPr>
              <w:ind w:firstLine="420"/>
              <w:jc w:val="both"/>
            </w:pPr>
            <w:r>
              <w:rPr>
                <w:sz w:val="21"/>
              </w:rPr>
              <w:t>2、中标供应商负责外事接待绿化美化工作和重大节日布置装点工作。</w:t>
            </w:r>
          </w:p>
          <w:p>
            <w:pPr>
              <w:ind w:firstLine="420"/>
              <w:jc w:val="both"/>
            </w:pPr>
            <w:r>
              <w:rPr>
                <w:sz w:val="21"/>
              </w:rPr>
              <w:t>3、中标供应商须提供展示区外墙清洗工作。</w:t>
            </w:r>
          </w:p>
          <w:p>
            <w:pPr>
              <w:ind w:firstLine="420"/>
              <w:jc w:val="both"/>
            </w:pPr>
            <w:r>
              <w:rPr>
                <w:sz w:val="21"/>
              </w:rPr>
              <w:t>4、中标供应商须提供人员的服装及接待讲解必备工具。</w:t>
            </w:r>
          </w:p>
          <w:p>
            <w:pPr>
              <w:ind w:firstLine="420"/>
              <w:jc w:val="left"/>
            </w:pPr>
            <w:r>
              <w:rPr>
                <w:sz w:val="21"/>
              </w:rPr>
              <w:t>5、</w:t>
            </w:r>
            <w:r>
              <w:rPr>
                <w:sz w:val="21"/>
              </w:rPr>
              <w:t>本项目报价应包含水电费，由中标供应商负责整理水电费明细并进行支付，采购人不再额外支付相关费用。</w:t>
            </w:r>
          </w:p>
          <w:p>
            <w:pPr>
              <w:ind w:firstLine="422"/>
              <w:jc w:val="left"/>
            </w:pPr>
            <w:r>
              <w:rPr>
                <w:b/>
                <w:sz w:val="21"/>
              </w:rPr>
              <w:t>五、其他要求</w:t>
            </w:r>
          </w:p>
          <w:p>
            <w:pPr>
              <w:ind w:firstLine="420"/>
              <w:jc w:val="left"/>
            </w:pPr>
            <w:r>
              <w:rPr>
                <w:sz w:val="21"/>
              </w:rPr>
              <w:t>1.</w:t>
            </w:r>
            <w:r>
              <w:rPr>
                <w:sz w:val="21"/>
              </w:rPr>
              <w:t>整体服务方案</w:t>
            </w:r>
          </w:p>
          <w:p>
            <w:pPr>
              <w:ind w:firstLine="420"/>
              <w:jc w:val="left"/>
            </w:pPr>
            <w:r>
              <w:rPr>
                <w:sz w:val="21"/>
              </w:rPr>
              <w:t>投标人根据项目的实际情况，科学合理地拟定项目的</w:t>
            </w:r>
            <w:r>
              <w:rPr>
                <w:sz w:val="21"/>
              </w:rPr>
              <w:t>整体服务方案</w:t>
            </w:r>
            <w:r>
              <w:rPr>
                <w:sz w:val="21"/>
              </w:rPr>
              <w:t>，对如下内容作出详细说明：（1）</w:t>
            </w:r>
            <w:r>
              <w:rPr>
                <w:sz w:val="21"/>
              </w:rPr>
              <w:t>项目整体情况、运营服务经验优势及管理服务方案</w:t>
            </w:r>
            <w:r>
              <w:rPr>
                <w:sz w:val="21"/>
              </w:rPr>
              <w:t>；（2）运营服务团队人员要求及配置；（3）重点难点分析及应对措施。</w:t>
            </w:r>
          </w:p>
          <w:p>
            <w:pPr>
              <w:ind w:firstLine="420"/>
              <w:jc w:val="left"/>
            </w:pPr>
            <w:r>
              <w:rPr>
                <w:sz w:val="21"/>
              </w:rPr>
              <w:t>2. 解说会务服务方案</w:t>
            </w:r>
          </w:p>
          <w:p>
            <w:pPr>
              <w:ind w:firstLine="420"/>
              <w:jc w:val="left"/>
            </w:pPr>
            <w:r>
              <w:rPr>
                <w:sz w:val="21"/>
              </w:rPr>
              <w:t>投标人根据项目的实际情况，科学合理地拟定项目的解说会务服务方案，对如下内容作出详细说明：（</w:t>
            </w:r>
            <w:r>
              <w:rPr>
                <w:sz w:val="21"/>
              </w:rPr>
              <w:t>1）解说会务服务内容及要求；（2）解说会务服务方案；（3）合理化建议。</w:t>
            </w:r>
          </w:p>
          <w:p>
            <w:pPr>
              <w:ind w:firstLine="420"/>
              <w:jc w:val="left"/>
            </w:pPr>
            <w:r>
              <w:rPr>
                <w:sz w:val="21"/>
              </w:rPr>
              <w:t>3. 多媒体保障服务方案</w:t>
            </w:r>
          </w:p>
          <w:p>
            <w:pPr>
              <w:ind w:firstLine="420"/>
              <w:jc w:val="left"/>
            </w:pPr>
            <w:r>
              <w:rPr>
                <w:sz w:val="21"/>
              </w:rPr>
              <w:t>投标人根据项目的实际情况，科学合理地拟定项目的</w:t>
            </w:r>
            <w:r>
              <w:rPr>
                <w:sz w:val="21"/>
              </w:rPr>
              <w:t>多媒体保障服务方案</w:t>
            </w:r>
            <w:r>
              <w:rPr>
                <w:sz w:val="21"/>
              </w:rPr>
              <w:t>，对如下内容作出详细说明：（</w:t>
            </w:r>
            <w:r>
              <w:rPr>
                <w:sz w:val="21"/>
              </w:rPr>
              <w:t>1）展馆多媒体演示设施设备的服务内容及要求；（2）多媒体系统服务保障方案；（3）多媒体服务工作流程及应急方案。</w:t>
            </w:r>
          </w:p>
          <w:p>
            <w:pPr>
              <w:ind w:firstLine="420"/>
              <w:jc w:val="left"/>
            </w:pPr>
            <w:r>
              <w:rPr>
                <w:sz w:val="21"/>
              </w:rPr>
              <w:t>4.</w:t>
            </w:r>
            <w:r>
              <w:rPr>
                <w:sz w:val="21"/>
              </w:rPr>
              <w:t>现场秩序及巡查维护、卫生清洁、花卉树木维护服务方案</w:t>
            </w:r>
          </w:p>
          <w:p>
            <w:pPr>
              <w:ind w:firstLine="420"/>
              <w:jc w:val="left"/>
            </w:pPr>
            <w:r>
              <w:rPr>
                <w:sz w:val="21"/>
              </w:rPr>
              <w:t>投标人根据项目的实际情况，科学合理地拟定项目的</w:t>
            </w:r>
            <w:r>
              <w:rPr>
                <w:sz w:val="21"/>
              </w:rPr>
              <w:t>现场秩序及巡查维护、卫生清洁、花卉树木维护服务方案</w:t>
            </w:r>
            <w:r>
              <w:rPr>
                <w:sz w:val="21"/>
              </w:rPr>
              <w:t>，对如下内容作出详细说明：</w:t>
            </w:r>
            <w:r>
              <w:rPr>
                <w:sz w:val="21"/>
              </w:rPr>
              <w:t>（</w:t>
            </w:r>
            <w:r>
              <w:rPr>
                <w:sz w:val="21"/>
              </w:rPr>
              <w:t>1）现场秩序及巡查维护服务方案；（2）</w:t>
            </w:r>
            <w:r>
              <w:rPr>
                <w:sz w:val="21"/>
              </w:rPr>
              <w:t>卫生清洁</w:t>
            </w:r>
            <w:r>
              <w:rPr>
                <w:sz w:val="21"/>
              </w:rPr>
              <w:t>服务方案；（</w:t>
            </w:r>
            <w:r>
              <w:rPr>
                <w:sz w:val="21"/>
              </w:rPr>
              <w:t>3）</w:t>
            </w:r>
            <w:r>
              <w:rPr>
                <w:sz w:val="21"/>
              </w:rPr>
              <w:t>花卉树木维护服务方案</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中新广州知识城开发建设办公室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李国晨、董镜</w:t>
      </w:r>
    </w:p>
    <w:p>
      <w:pPr>
        <w:ind w:firstLine="480"/>
      </w:pPr>
      <w:r>
        <w:rPr/>
        <w:t>电话：</w:t>
      </w:r>
      <w:r>
        <w:rPr/>
        <w:t>020-31603842、020-87776423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海丝产教融合协同创新中心日常运营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采购包1（海丝产教融合协同创新中心日常运营项目）：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采购包1（海丝产教融合协同创新中心日常运营项目）：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采购包1（海丝产教融合协同创新中心日常运营项目）：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采购包1(海丝产教融合协同创新中心日常运营项目):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整体服务方案（一） (1.5分)</w:t>
            </w:r>
            <w:r>
              <w:rPr/>
              <w:t>，（等次分值选择：</w:t>
            </w:r>
            <w:r>
              <w:rPr/>
              <w:t>0.0;</w:t>
            </w:r>
            <w:r>
              <w:rPr/>
              <w:t>0.5;</w:t>
            </w:r>
            <w:r>
              <w:rPr/>
              <w:t>1.0;</w:t>
            </w:r>
            <w:r>
              <w:rPr/>
              <w:t>1.5;</w:t>
            </w:r>
            <w:r>
              <w:rPr/>
              <w:t>）</w:t>
            </w:r>
          </w:p>
        </w:tc>
        <w:tc>
          <w:tcPr>
            <w:tcW w:type="dxa" w:w="5076"/>
          </w:tcPr>
          <w:p>
            <w:pPr>
              <w:jc w:val="left"/>
            </w:pPr>
            <w:r>
              <w:rPr/>
              <w:t>评标委员会根据投标人提供的整体服务方案进行评审，方案应包括： （1）项目整体情况、运营服务经验优势及管理服务方案； （2）运营服务团队人员要求及配置； （3）重点难点分析及应对措施。 注：提供全部内容得1.5分，每缺1项扣0.5分。</w:t>
            </w:r>
          </w:p>
        </w:tc>
      </w:tr>
      <w:tr>
        <w:tc>
          <w:tcPr>
            <w:tcW w:type="dxa" w:w="922"/>
            <w:gridSpan w:val="2"/>
            <w:vMerge/>
          </w:tcPr>
          <w:p/>
        </w:tc>
        <w:tc>
          <w:tcPr>
            <w:tcW w:type="dxa" w:w="2307"/>
          </w:tcPr>
          <w:p>
            <w:pPr>
              <w:jc w:val="left"/>
            </w:pPr>
            <w:r>
              <w:rPr/>
              <w:t>整体服务方案（二） (12.0分)</w:t>
            </w:r>
            <w:r>
              <w:rPr/>
              <w:t>，（等次分值选择：</w:t>
            </w:r>
            <w:r>
              <w:rPr/>
              <w:t>0.0;</w:t>
            </w:r>
            <w:r>
              <w:rPr/>
              <w:t>1.0;</w:t>
            </w:r>
            <w:r>
              <w:rPr/>
              <w:t>6.0;</w:t>
            </w:r>
            <w:r>
              <w:rPr/>
              <w:t>12.0;</w:t>
            </w:r>
            <w:r>
              <w:rPr/>
              <w:t>）</w:t>
            </w:r>
          </w:p>
        </w:tc>
        <w:tc>
          <w:tcPr>
            <w:tcW w:type="dxa" w:w="5076"/>
          </w:tcPr>
          <w:p>
            <w:pPr>
              <w:jc w:val="left"/>
            </w:pPr>
            <w:r>
              <w:rPr/>
              <w:t>评标委员会根据投标人提供整体服务方案（一）的详细内容进行综合评审： （1）服务方案对需求充分响应，对需求全面剖析，针对重点、难点、要点需求全面理解，分别提出具备专业性、实用性的实施方案并有合理可行保障措施，有效保障本项目实施，有利于实现服务效果，得12分； （2）服务方案对需求充分响应，对部分需求进行剖析，针对部分重点、难点、要点需求进行理解，提出部分具备专业性、实用性的实施方案或者部分合理可行保障措施，基本保障本项目服务实施，基本满足服务效果，得6分； （3）服务方案对需求响应不充分，没有对需求进行理解进行剖析，没有提出体现专业性或针对性的措施，或者措施方案不合理不可行的，无法保障本项目服务实施，达不到服务效果，得1分； （4）无提供不得分。</w:t>
            </w:r>
          </w:p>
        </w:tc>
      </w:tr>
      <w:tr>
        <w:tc>
          <w:tcPr>
            <w:tcW w:type="dxa" w:w="922"/>
            <w:gridSpan w:val="2"/>
            <w:vMerge/>
          </w:tcPr>
          <w:p/>
        </w:tc>
        <w:tc>
          <w:tcPr>
            <w:tcW w:type="dxa" w:w="2307"/>
          </w:tcPr>
          <w:p>
            <w:pPr>
              <w:jc w:val="left"/>
            </w:pPr>
            <w:r>
              <w:rPr/>
              <w:t>解说会务服务方案（一） (1.5分)</w:t>
            </w:r>
            <w:r>
              <w:rPr/>
              <w:t>，（等次分值选择：</w:t>
            </w:r>
            <w:r>
              <w:rPr/>
              <w:t>0.0;</w:t>
            </w:r>
            <w:r>
              <w:rPr/>
              <w:t>0.5;</w:t>
            </w:r>
            <w:r>
              <w:rPr/>
              <w:t>1.0;</w:t>
            </w:r>
            <w:r>
              <w:rPr/>
              <w:t>1.5;</w:t>
            </w:r>
            <w:r>
              <w:rPr/>
              <w:t>）</w:t>
            </w:r>
          </w:p>
        </w:tc>
        <w:tc>
          <w:tcPr>
            <w:tcW w:type="dxa" w:w="5076"/>
          </w:tcPr>
          <w:p>
            <w:pPr>
              <w:jc w:val="left"/>
            </w:pPr>
            <w:r>
              <w:rPr/>
              <w:t>评标委员会根据投标人提供的解说会务服务方案进行评审，方案应包括： （1）解说会务服务内容及要求； （2）解说会务服务方案； （3）合理化建议。 注：提供全部内容得1.5分，每缺1项扣0.5分。</w:t>
            </w:r>
          </w:p>
        </w:tc>
      </w:tr>
      <w:tr>
        <w:tc>
          <w:tcPr>
            <w:tcW w:type="dxa" w:w="922"/>
            <w:gridSpan w:val="2"/>
            <w:vMerge/>
          </w:tcPr>
          <w:p/>
        </w:tc>
        <w:tc>
          <w:tcPr>
            <w:tcW w:type="dxa" w:w="2307"/>
          </w:tcPr>
          <w:p>
            <w:pPr>
              <w:jc w:val="left"/>
            </w:pPr>
            <w:r>
              <w:rPr/>
              <w:t>解说会务服务方案（二） (9.0分)</w:t>
            </w:r>
            <w:r>
              <w:rPr/>
              <w:t>，（等次分值选择：</w:t>
            </w:r>
            <w:r>
              <w:rPr/>
              <w:t>0.0;</w:t>
            </w:r>
            <w:r>
              <w:rPr/>
              <w:t>1.0;</w:t>
            </w:r>
            <w:r>
              <w:rPr/>
              <w:t>5.0;</w:t>
            </w:r>
            <w:r>
              <w:rPr/>
              <w:t>9.0;</w:t>
            </w:r>
            <w:r>
              <w:rPr/>
              <w:t>）</w:t>
            </w:r>
          </w:p>
        </w:tc>
        <w:tc>
          <w:tcPr>
            <w:tcW w:type="dxa" w:w="5076"/>
          </w:tcPr>
          <w:p>
            <w:pPr>
              <w:jc w:val="left"/>
            </w:pPr>
            <w:r>
              <w:rPr/>
              <w:t>评标委员会根据投标人提供解说会务服务方案（一）的详细内容进行综合评审： （1）解说会务服务方案对需求响应全面具体、针对项目全部重点难点全面剖析，能针对全部重点难点提出科学合理、可直接执行的实施方案，有效保障本项目实施，有利于实现服务效果，得9分； （2）解说会务服务方案对需求响应全面具体，针对部分重点难点进剖析，并提出具备执行条件的针对措施，基本保障本项目服务实施，基本满足服务效果，得5分； （3）解说会务服务方案对需求响应不全面，只针对少部分重点或难点问题进行解析或没有剖析项目重点难点问题，提出的措施没有针对性或难以施行的，无法保障本项目服务实施，达不到服务效果，得1分； （4）无提供不得分。</w:t>
            </w:r>
          </w:p>
        </w:tc>
      </w:tr>
      <w:tr>
        <w:tc>
          <w:tcPr>
            <w:tcW w:type="dxa" w:w="922"/>
            <w:gridSpan w:val="2"/>
            <w:vMerge/>
          </w:tcPr>
          <w:p/>
        </w:tc>
        <w:tc>
          <w:tcPr>
            <w:tcW w:type="dxa" w:w="2307"/>
          </w:tcPr>
          <w:p>
            <w:pPr>
              <w:jc w:val="left"/>
            </w:pPr>
            <w:r>
              <w:rPr/>
              <w:t>多媒体保障服务方案（一） (1.5分)</w:t>
            </w:r>
            <w:r>
              <w:rPr/>
              <w:t>，（等次分值选择：</w:t>
            </w:r>
            <w:r>
              <w:rPr/>
              <w:t>0.0;</w:t>
            </w:r>
            <w:r>
              <w:rPr/>
              <w:t>0.5;</w:t>
            </w:r>
            <w:r>
              <w:rPr/>
              <w:t>1.0;</w:t>
            </w:r>
            <w:r>
              <w:rPr/>
              <w:t>1.5;</w:t>
            </w:r>
            <w:r>
              <w:rPr/>
              <w:t>）</w:t>
            </w:r>
          </w:p>
        </w:tc>
        <w:tc>
          <w:tcPr>
            <w:tcW w:type="dxa" w:w="5076"/>
          </w:tcPr>
          <w:p>
            <w:pPr>
              <w:jc w:val="left"/>
            </w:pPr>
            <w:r>
              <w:rPr/>
              <w:t>评标委员会根据投标人提供的多媒体保障服务方案进行评审，方案应包括： （1）展馆多媒体演示设施设备的服务内容及要求； （2）多媒体系统服务保障方案； （3）多媒体服务工作流程及应急方案。 注：提供全部内容得1.5分，每缺1项扣0.5分。</w:t>
            </w:r>
          </w:p>
        </w:tc>
      </w:tr>
      <w:tr>
        <w:tc>
          <w:tcPr>
            <w:tcW w:type="dxa" w:w="922"/>
            <w:gridSpan w:val="2"/>
            <w:vMerge/>
          </w:tcPr>
          <w:p/>
        </w:tc>
        <w:tc>
          <w:tcPr>
            <w:tcW w:type="dxa" w:w="2307"/>
          </w:tcPr>
          <w:p>
            <w:pPr>
              <w:jc w:val="left"/>
            </w:pPr>
            <w:r>
              <w:rPr/>
              <w:t>多媒体保障服务方案（二） (9.0分)</w:t>
            </w:r>
            <w:r>
              <w:rPr/>
              <w:t>，（等次分值选择：</w:t>
            </w:r>
            <w:r>
              <w:rPr/>
              <w:t>0.0;</w:t>
            </w:r>
            <w:r>
              <w:rPr/>
              <w:t>1.0;</w:t>
            </w:r>
            <w:r>
              <w:rPr/>
              <w:t>5.0;</w:t>
            </w:r>
            <w:r>
              <w:rPr/>
              <w:t>9.0;</w:t>
            </w:r>
            <w:r>
              <w:rPr/>
              <w:t>）</w:t>
            </w:r>
          </w:p>
        </w:tc>
        <w:tc>
          <w:tcPr>
            <w:tcW w:type="dxa" w:w="5076"/>
          </w:tcPr>
          <w:p>
            <w:pPr>
              <w:jc w:val="left"/>
            </w:pPr>
            <w:r>
              <w:rPr/>
              <w:t>评标委员会根据投标人提供多媒体保障服务方案（一）的详细内容进行综合评审： （1）投标人所提供方案满足项目实施要求的，能有效保障本项目实施，有利于实现服务效果的，得9分。 （2）投标人所提供方案存在瑕疵的，能基本保障本项目服务实施，基本满足服务效果的，得5分。 （3）投标人所提供方案存在不足或缺陷的，难以本项目服务实施或难以达到服务效果的，得1分； （4）无提供不得分。</w:t>
            </w:r>
          </w:p>
        </w:tc>
      </w:tr>
      <w:tr>
        <w:tc>
          <w:tcPr>
            <w:tcW w:type="dxa" w:w="922"/>
            <w:gridSpan w:val="2"/>
            <w:vMerge/>
          </w:tcPr>
          <w:p/>
        </w:tc>
        <w:tc>
          <w:tcPr>
            <w:tcW w:type="dxa" w:w="2307"/>
          </w:tcPr>
          <w:p>
            <w:pPr>
              <w:jc w:val="left"/>
            </w:pPr>
            <w:r>
              <w:rPr/>
              <w:t>现场秩序及巡查维护、卫生清洁、花卉树木维护服务方案（一） (1.5分)</w:t>
            </w:r>
            <w:r>
              <w:rPr/>
              <w:t>，（等次分值选择：</w:t>
            </w:r>
            <w:r>
              <w:rPr/>
              <w:t>0.0;</w:t>
            </w:r>
            <w:r>
              <w:rPr/>
              <w:t>0.5;</w:t>
            </w:r>
            <w:r>
              <w:rPr/>
              <w:t>1.0;</w:t>
            </w:r>
            <w:r>
              <w:rPr/>
              <w:t>1.5;</w:t>
            </w:r>
            <w:r>
              <w:rPr/>
              <w:t>）</w:t>
            </w:r>
          </w:p>
        </w:tc>
        <w:tc>
          <w:tcPr>
            <w:tcW w:type="dxa" w:w="5076"/>
          </w:tcPr>
          <w:p>
            <w:pPr>
              <w:jc w:val="left"/>
            </w:pPr>
            <w:r>
              <w:rPr/>
              <w:t>评标委员会根据投标人提供的现场秩序及巡查维护、卫生清洁、花卉树木维护服务方案进行评审，方案应包括： （1）现场秩序及巡查维护服务方案； （2）卫生清洁服务方案； （3）花卉树木维护服务方案。 注：提供全部内容得1.5分，每缺1项扣0.5分。</w:t>
            </w:r>
          </w:p>
        </w:tc>
      </w:tr>
      <w:tr>
        <w:tc>
          <w:tcPr>
            <w:tcW w:type="dxa" w:w="922"/>
            <w:gridSpan w:val="2"/>
            <w:vMerge/>
          </w:tcPr>
          <w:p/>
        </w:tc>
        <w:tc>
          <w:tcPr>
            <w:tcW w:type="dxa" w:w="2307"/>
          </w:tcPr>
          <w:p>
            <w:pPr>
              <w:jc w:val="left"/>
            </w:pPr>
            <w:r>
              <w:rPr/>
              <w:t>现场秩序及巡查维护、卫生清洁、花卉树木维护服务方案（二） (9.0分)</w:t>
            </w:r>
            <w:r>
              <w:rPr/>
              <w:t>，（等次分值选择：</w:t>
            </w:r>
            <w:r>
              <w:rPr/>
              <w:t>0.0;</w:t>
            </w:r>
            <w:r>
              <w:rPr/>
              <w:t>1.0;</w:t>
            </w:r>
            <w:r>
              <w:rPr/>
              <w:t>5.0;</w:t>
            </w:r>
            <w:r>
              <w:rPr/>
              <w:t>9.0;</w:t>
            </w:r>
            <w:r>
              <w:rPr/>
              <w:t>）</w:t>
            </w:r>
          </w:p>
        </w:tc>
        <w:tc>
          <w:tcPr>
            <w:tcW w:type="dxa" w:w="5076"/>
          </w:tcPr>
          <w:p>
            <w:pPr>
              <w:jc w:val="left"/>
            </w:pPr>
            <w:r>
              <w:rPr/>
              <w:t>评标委员会根据投标人提供现场秩序及巡查维护、卫生清洁、花卉树木维护服务方案（一）的详细内容进行综合评审： （1）投标人所提供方案满足项目实施要求的，能有效保障本项目实施，有利于实现服务效果的，得9分。 （2）投标人所提供方案存在瑕疵的，能基本保障本项目服务实施，基本满足服务效果的，得5分。 （3）投标人所提供方案存在不足或缺陷的，难以本项目服务实施或难以达到服务效果的，得1分； （4）无提供不得分。</w:t>
            </w:r>
          </w:p>
        </w:tc>
      </w:tr>
      <w:tr>
        <w:tc>
          <w:tcPr>
            <w:tcW w:type="dxa" w:w="922"/>
            <w:gridSpan w:val="2"/>
            <w:vMerge/>
          </w:tcPr>
          <w:p/>
        </w:tc>
        <w:tc>
          <w:tcPr>
            <w:tcW w:type="dxa" w:w="2307"/>
          </w:tcPr>
          <w:p>
            <w:pPr>
              <w:jc w:val="left"/>
            </w:pPr>
            <w:r>
              <w:rPr/>
              <w:t>服务中心现场模拟解说演示及讲解能力 (15.0分)</w:t>
            </w:r>
            <w:r>
              <w:rPr/>
              <w:t>，（等次分值选择：</w:t>
            </w:r>
            <w:r>
              <w:rPr/>
              <w:t>0.0;</w:t>
            </w:r>
            <w:r>
              <w:rPr/>
              <w:t>5.0;</w:t>
            </w:r>
            <w:r>
              <w:rPr/>
              <w:t>10.0;</w:t>
            </w:r>
            <w:r>
              <w:rPr/>
              <w:t>15.0;</w:t>
            </w:r>
            <w:r>
              <w:rPr/>
              <w:t>）</w:t>
            </w:r>
          </w:p>
        </w:tc>
        <w:tc>
          <w:tcPr>
            <w:tcW w:type="dxa" w:w="5076"/>
          </w:tcPr>
          <w:p>
            <w:pPr>
              <w:jc w:val="left"/>
            </w:pPr>
            <w:r>
              <w:rPr/>
              <w:t>投标人自行收集相关讯息及实际情况以“知识城两高地三集群，以及科教板块”为主题制作宣讲材料并进行现场模拟中英文讲解： （1）能针对“知识城两高地三集群，以及科教板块”全面剖析，多媒体演示及讲解内容全面具体，中英文讲解过程流畅，口语标准，用词妥当，逻辑清晰，能有效保障本项目实施，有利于实现服务效果的，得15分； （2）只针对“知识城两高地三集群，以及科教板块”部分内容进行剖析，多媒体演示及讲解内容存在瑕疵的，中英文讲解过程无明显卡顿，口语基本标准，用词无明显错误，逻辑基本清晰，能基本保障本项目服务实施，基本满足服务效果，得10分； （3）“知识城两高地三集群，以及科教板块”主题不清晰，多媒体演示及讲解内容存在不足或缺陷的，中英文讲解过程明显卡顿，口语不标准，用词存在错误，逻辑不清晰，难以保障本项目服务实施或难以达到服务效果的，得5分； （4）没有参与现场讲解的，不得分。 注：①评审时按照云平台系统上的顺序进行演示，每家投标人限时15分钟 ，讲解人员不超过2名讲解人，演示及讲解时其他投标人需离场。 ②投标文件中需体现讲解人在本单位任职的外部证明材料（如提供加盖政府有关部门印章的在本项目投标截止日之前6个月内任意1个月的：《投保单》或《社会保险参保人员证明》或《个人所得税》或主管部门出具可以证明工作单位的相关材料复印件加盖公章）。 ③现场仅提供电源及投影设备（投标人须考虑兼容性），其余讲解需要的设备均由投标人自行准备。</w:t>
            </w:r>
          </w:p>
        </w:tc>
      </w:tr>
      <w:tr>
        <w:tc>
          <w:tcPr>
            <w:tcW w:type="dxa" w:w="922"/>
            <w:gridSpan w:val="2"/>
            <w:vMerge w:val="restart"/>
          </w:tcPr>
          <w:p>
            <w:pPr>
              <w:jc w:val="center"/>
            </w:pPr>
            <w:r>
              <w:rPr/>
              <w:t>商务部分</w:t>
            </w:r>
          </w:p>
        </w:tc>
        <w:tc>
          <w:tcPr>
            <w:tcW w:type="dxa" w:w="2307"/>
          </w:tcPr>
          <w:p>
            <w:pPr>
              <w:jc w:val="left"/>
            </w:pPr>
            <w:r>
              <w:rPr/>
              <w:t>同类业绩 (6.0分)</w:t>
            </w:r>
            <w:r>
              <w:rPr/>
              <w:t>，（等次分值选择：</w:t>
            </w:r>
            <w:r>
              <w:rPr/>
              <w:t>0.0;</w:t>
            </w:r>
            <w:r>
              <w:rPr/>
              <w:t>2.0;</w:t>
            </w:r>
            <w:r>
              <w:rPr/>
              <w:t>4.0;</w:t>
            </w:r>
            <w:r>
              <w:rPr/>
              <w:t>6.0;</w:t>
            </w:r>
            <w:r>
              <w:rPr/>
              <w:t>）</w:t>
            </w:r>
          </w:p>
        </w:tc>
        <w:tc>
          <w:tcPr>
            <w:tcW w:type="dxa" w:w="5076"/>
          </w:tcPr>
          <w:p>
            <w:pPr>
              <w:jc w:val="left"/>
            </w:pPr>
            <w:r>
              <w:rPr/>
              <w:t>2021年1月1日以来投标人具有同类项目业绩，每提供一份业绩合同得2分，此项最高得6分。 注：需提供合同关键页（合同关键页必须有用户单位名称、合同项目名称、合同标的主要采购内容、签订合同双方的落款盖章、合同签订日期），以合同的签订日期为准，不提供或专家无法认定的不得分。</w:t>
            </w:r>
          </w:p>
        </w:tc>
      </w:tr>
      <w:tr>
        <w:tc>
          <w:tcPr>
            <w:tcW w:type="dxa" w:w="922"/>
            <w:gridSpan w:val="2"/>
            <w:vMerge/>
          </w:tcPr>
          <w:p/>
        </w:tc>
        <w:tc>
          <w:tcPr>
            <w:tcW w:type="dxa" w:w="2307"/>
          </w:tcPr>
          <w:p>
            <w:pPr>
              <w:jc w:val="left"/>
            </w:pPr>
            <w:r>
              <w:rPr/>
              <w:t>用户评价 (6.0分)</w:t>
            </w:r>
            <w:r>
              <w:rPr/>
              <w:t>，（等次分值选择：</w:t>
            </w:r>
            <w:r>
              <w:rPr/>
              <w:t>0.0;</w:t>
            </w:r>
            <w:r>
              <w:rPr/>
              <w:t>2.0;</w:t>
            </w:r>
            <w:r>
              <w:rPr/>
              <w:t>4.0;</w:t>
            </w:r>
            <w:r>
              <w:rPr/>
              <w:t>6.0;</w:t>
            </w:r>
            <w:r>
              <w:rPr/>
              <w:t>）</w:t>
            </w:r>
          </w:p>
        </w:tc>
        <w:tc>
          <w:tcPr>
            <w:tcW w:type="dxa" w:w="5076"/>
          </w:tcPr>
          <w:p>
            <w:pPr>
              <w:jc w:val="left"/>
            </w:pPr>
            <w:r>
              <w:rPr/>
              <w:t>投标人提供与上述的同类项目对应的用户单位满意度评价的，评价情况至少须为“满意或表扬信或感谢信或锦旗等类似好评”的方可计分：  每提供一项得2分，最高得6分，无不得分。 注：①提供经用户单位盖章确认的满意度评价证明材料复印件 ②同一客户或同一项目提供多项用户满意度评价的，按一项计算； ③须与投标人上述提供的同类项目的用户单位一致； ④用户满意度评价须经用户单位盖章，评价情况至少须为“满意或表扬信或感谢信或锦旗等类似好评”的方可计分，证明材料不清晰无法辨认的不得分。</w:t>
            </w:r>
          </w:p>
        </w:tc>
      </w:tr>
      <w:tr>
        <w:tc>
          <w:tcPr>
            <w:tcW w:type="dxa" w:w="922"/>
            <w:gridSpan w:val="2"/>
            <w:vMerge/>
          </w:tcPr>
          <w:p/>
        </w:tc>
        <w:tc>
          <w:tcPr>
            <w:tcW w:type="dxa" w:w="2307"/>
          </w:tcPr>
          <w:p>
            <w:pPr>
              <w:jc w:val="left"/>
            </w:pPr>
            <w:r>
              <w:rPr/>
              <w:t>企业认证 (9.0分)</w:t>
            </w:r>
            <w:r>
              <w:rPr/>
              <w:t>，（等次分值选择：</w:t>
            </w:r>
            <w:r>
              <w:rPr/>
              <w:t>0.0;</w:t>
            </w:r>
            <w:r>
              <w:rPr/>
              <w:t>1.5;</w:t>
            </w:r>
            <w:r>
              <w:rPr/>
              <w:t>3.0;</w:t>
            </w:r>
            <w:r>
              <w:rPr/>
              <w:t>4.5;</w:t>
            </w:r>
            <w:r>
              <w:rPr/>
              <w:t>6.0;</w:t>
            </w:r>
            <w:r>
              <w:rPr/>
              <w:t>7.5;</w:t>
            </w:r>
            <w:r>
              <w:rPr/>
              <w:t>9.0;</w:t>
            </w:r>
            <w:r>
              <w:rPr/>
              <w:t>）</w:t>
            </w:r>
          </w:p>
        </w:tc>
        <w:tc>
          <w:tcPr>
            <w:tcW w:type="dxa" w:w="5076"/>
          </w:tcPr>
          <w:p>
            <w:pPr>
              <w:jc w:val="left"/>
            </w:pPr>
            <w:r>
              <w:rPr/>
              <w:t>（1）投标人具有质量管理体系认证证书的，得1.5分； （2）投标人具有环境管理体系认证证书的，得1.5分； （3）投标人具有职业健康安全管理体系认证证书的，得1.5分。 （4）投标人具有服务质量评价认证证书的，得1.5分； （5）投标人具有企业诚信管理体系认证证书的，得1.5分； （6）投标人具有设备维修保养服务认证证书的，得1.5分。注：提供上述有效期内的认证证书复印件并加盖公章，不提供或专家无法认定的不得分。</w:t>
            </w:r>
          </w:p>
        </w:tc>
      </w:tr>
      <w:tr>
        <w:tc>
          <w:tcPr>
            <w:tcW w:type="dxa" w:w="922"/>
            <w:gridSpan w:val="2"/>
            <w:vMerge/>
          </w:tcPr>
          <w:p/>
        </w:tc>
        <w:tc>
          <w:tcPr>
            <w:tcW w:type="dxa" w:w="2307"/>
          </w:tcPr>
          <w:p>
            <w:pPr>
              <w:jc w:val="left"/>
            </w:pPr>
            <w:r>
              <w:rPr/>
              <w:t>企业的快速响应程度 (4.0分)</w:t>
            </w:r>
            <w:r>
              <w:rPr/>
              <w:t>，（等次分值选择：</w:t>
            </w:r>
            <w:r>
              <w:rPr/>
              <w:t>0.0;</w:t>
            </w:r>
            <w:r>
              <w:rPr/>
              <w:t>1.0;</w:t>
            </w:r>
            <w:r>
              <w:rPr/>
              <w:t>2.0;</w:t>
            </w:r>
            <w:r>
              <w:rPr/>
              <w:t>4.0;</w:t>
            </w:r>
            <w:r>
              <w:rPr/>
              <w:t>）</w:t>
            </w:r>
          </w:p>
        </w:tc>
        <w:tc>
          <w:tcPr>
            <w:tcW w:type="dxa" w:w="5076"/>
          </w:tcPr>
          <w:p>
            <w:pPr>
              <w:jc w:val="left"/>
            </w:pPr>
            <w:r>
              <w:rPr/>
              <w:t>（1）投标人如遇突发事件，企业主要负责人能在15分钟内响应采购人要求到场且在2小时内有明确的解决方案并妥善处理突发事件的，得4分； （2）投标人如遇突发事件，企业主要负责人能在15分钟内响应采购人要求到场且在5小时内有明确的解决方案并妥善处理突发事件的，得2分； （3）投标人如遇突发事件，企业主要负责人能在30分钟内响应采购人要求到场且在10小时内有明确的解决方案并妥善处理突发事件的得1分。 注：投标人须在投标文件中提供承诺函加盖公章，不提供不得分。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满足招标文件要求且投标报价价格最低的投标报价为评标基准价。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海丝产教融合协同创新中心日常运营项目</w:t>
      </w:r>
      <w:r>
        <w:rPr>
          <w:sz w:val="21"/>
        </w:rPr>
        <w:t>招标文件（项目编号：</w:t>
      </w:r>
      <w:r>
        <w:rPr>
          <w:sz w:val="21"/>
        </w:rPr>
        <w:t>GZGK24D003C0007Z）的要求，经双方协商，本着平等互利和诚实信用的原则，一致同意签订本合同。</w:t>
      </w:r>
    </w:p>
    <w:p>
      <w:pPr>
        <w:jc w:val="both"/>
      </w:pPr>
      <w:r>
        <w:rPr>
          <w:b/>
          <w:sz w:val="21"/>
        </w:rPr>
        <w:t>一、</w:t>
      </w:r>
      <w:r>
        <w:rPr>
          <w:b/>
          <w:sz w:val="21"/>
        </w:rPr>
        <w:t>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56"/>
        <w:gridCol w:w="961"/>
        <w:gridCol w:w="1089"/>
        <w:gridCol w:w="1153"/>
        <w:gridCol w:w="961"/>
        <w:gridCol w:w="961"/>
        <w:gridCol w:w="794"/>
        <w:gridCol w:w="794"/>
        <w:gridCol w:w="794"/>
      </w:tblGrid>
      <w:tr>
        <w:tc>
          <w:tcPr>
            <w:tcW w:type="dxa" w:w="75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89"/>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3"/>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w:t>
      </w:r>
      <w:r>
        <w:rPr>
          <w:sz w:val="21"/>
        </w:rPr>
        <w:t>投标文件</w:t>
      </w:r>
      <w:r>
        <w:rPr>
          <w:sz w:val="21"/>
        </w:rPr>
        <w:t>承诺为准，如招标文件与</w:t>
      </w:r>
      <w:r>
        <w:rPr>
          <w:sz w:val="21"/>
        </w:rPr>
        <w:t>投标文件</w:t>
      </w:r>
      <w:r>
        <w:rPr>
          <w:sz w:val="21"/>
        </w:rPr>
        <w:t>不一致时，以更有利于甲方的条款执行。</w:t>
      </w:r>
    </w:p>
    <w:p>
      <w:pPr>
        <w:jc w:val="left"/>
      </w:pPr>
      <w:r>
        <w:rPr>
          <w:b/>
          <w:sz w:val="21"/>
        </w:rPr>
        <w:t>2.</w:t>
      </w:r>
      <w:r>
        <w:rPr>
          <w:color w:val="000000"/>
          <w:sz w:val="21"/>
        </w:rPr>
        <w:t xml:space="preserve"> </w:t>
      </w:r>
      <w:r>
        <w:rPr>
          <w:color w:val="000000"/>
          <w:sz w:val="21"/>
        </w:rPr>
        <w:t>验收期限：全部服务完成后</w:t>
      </w:r>
      <w:r>
        <w:rPr>
          <w:sz w:val="21"/>
          <w:u w:val="single"/>
        </w:rPr>
        <w:t xml:space="preserve">   </w:t>
      </w:r>
      <w:r>
        <w:rPr>
          <w:color w:val="000000"/>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乙方未能按本合同规定的时间内提供全部服务的，合同期满后每有</w:t>
      </w:r>
      <w:r>
        <w:rPr>
          <w:sz w:val="21"/>
        </w:rPr>
        <w:t>1项日常运营KPI指标未完成的，甲方于合同尾款支付中扣罚5万元。累计达到8项日常运营KPI指标未完成的，甲方不予支付合同尾款，并有权追回全部或部分已支付款项。</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440112-2024-00469</w:t>
      </w:r>
    </w:p>
    <w:p>
      <w:pPr>
        <w:jc w:val="center"/>
      </w:pPr>
      <w:r>
        <w:rPr>
          <w:b/>
          <w:sz w:val="24"/>
        </w:rPr>
        <w:t>采购项目编号：</w:t>
      </w:r>
      <w:r>
        <w:rPr>
          <w:b/>
          <w:sz w:val="24"/>
        </w:rPr>
        <w:t>GZGK24D003C0007Z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海丝产教融合协同创新中心日常运营项目</w:t>
      </w:r>
      <w:r>
        <w:rPr>
          <w:u w:val="single"/>
        </w:rPr>
        <w:t>”</w:t>
      </w:r>
      <w:r>
        <w:rPr/>
        <w:t>项目的招标[采购项目编号为：</w:t>
      </w:r>
      <w:r>
        <w:rPr>
          <w:u w:val="single"/>
        </w:rPr>
        <w:t>GZGK24D003C0007Z</w:t>
      </w:r>
      <w:r>
        <w:rPr/>
        <w:t>]，我方愿参与投标。</w:t>
      </w:r>
    </w:p>
    <w:p>
      <w:pPr>
        <w:ind w:firstLine="480"/>
      </w:pPr>
      <w:r>
        <w:rPr/>
        <w:t>我方确认收到贵方提供的</w:t>
      </w:r>
      <w:r>
        <w:rPr>
          <w:u w:val="single"/>
        </w:rPr>
        <w:t>“</w:t>
      </w:r>
      <w:r>
        <w:rPr>
          <w:u w:val="single"/>
        </w:rPr>
        <w:t>海丝产教融合协同创新中心日常运营项目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海丝产教融合协同创新中心日常运营项目</w:t>
      </w:r>
      <w:r>
        <w:rPr/>
        <w:t>”项目采购[采购项目编号为</w:t>
      </w:r>
      <w:r>
        <w:rPr/>
        <w:t>GZGK24D003C0007Z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中新广州知识城开发建设办公室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海丝产教融合协同创新中心日常运营项目</w:t>
      </w:r>
      <w:r>
        <w:rPr/>
        <w:t>招标中获中标（采购项目编号：</w:t>
      </w:r>
      <w:r>
        <w:rPr/>
        <w:t>GZGK24D003C0007Z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