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440001-2022-24157</w:t>
      </w:r>
    </w:p>
    <w:p>
      <w:pPr>
        <w:jc w:val="center"/>
      </w:pPr>
      <w:r>
        <w:rPr>
          <w:b/>
          <w:sz w:val="24"/>
        </w:rPr>
        <w:t>采购项目编号：</w:t>
      </w:r>
      <w:r>
        <w:rPr>
          <w:b/>
          <w:sz w:val="24"/>
        </w:rPr>
        <w:t>GZGK22P092C0323Z</w:t>
      </w:r>
    </w:p>
    <w:p>
      <w:pPr>
        <w:jc w:val="center"/>
      </w:pPr>
      <w:r>
        <w:rPr>
          <w:b/>
          <w:sz w:val="24"/>
        </w:rPr>
        <w:t>项目名称：</w:t>
      </w:r>
      <w:r>
        <w:rPr>
          <w:b/>
          <w:sz w:val="24"/>
        </w:rPr>
        <w:t>2022年食品生产环节抽检监测和风险监测项目</w:t>
      </w:r>
    </w:p>
    <w:p>
      <w:pPr>
        <w:jc w:val="center"/>
      </w:pPr>
      <w:r>
        <w:rPr>
          <w:b/>
          <w:sz w:val="24"/>
        </w:rPr>
        <w:t>采购人：</w:t>
      </w:r>
      <w:r>
        <w:rPr>
          <w:b/>
          <w:sz w:val="24"/>
        </w:rPr>
        <w:t>广东省市场监督管理局</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广东省市场监督管理局</w:t>
      </w:r>
      <w:r>
        <w:rPr/>
        <w:t>的委托，采用</w:t>
      </w:r>
      <w:r>
        <w:rPr/>
        <w:t>公开招标</w:t>
      </w:r>
      <w:r>
        <w:rPr/>
        <w:t>方式组织采购</w:t>
      </w:r>
      <w:r>
        <w:rPr/>
        <w:t>2022年食品生产环节抽检监测和风险监测项目</w:t>
      </w:r>
      <w:r>
        <w:rPr/>
        <w:t>。欢迎符合资格条件的国内供应商参加投标。</w:t>
      </w:r>
    </w:p>
    <w:p>
      <w:r>
        <w:rPr>
          <w:b/>
          <w:sz w:val="28"/>
        </w:rPr>
        <w:t>一.项目概述</w:t>
      </w:r>
    </w:p>
    <w:p>
      <w:r>
        <w:rPr>
          <w:b/>
          <w:sz w:val="24"/>
        </w:rPr>
        <w:t>1.名称与编号</w:t>
      </w:r>
    </w:p>
    <w:p>
      <w:pPr>
        <w:ind w:firstLine="480"/>
      </w:pPr>
      <w:r>
        <w:rPr/>
        <w:t>项目名称：</w:t>
      </w:r>
      <w:r>
        <w:rPr/>
        <w:t>2022年食品生产环节抽检监测和风险监测项目</w:t>
      </w:r>
    </w:p>
    <w:p>
      <w:pPr>
        <w:ind w:firstLine="480"/>
      </w:pPr>
      <w:r>
        <w:rPr/>
        <w:t>采购计划编号：</w:t>
      </w:r>
      <w:r>
        <w:rPr/>
        <w:t>440001-2022-24157</w:t>
      </w:r>
    </w:p>
    <w:p>
      <w:pPr>
        <w:ind w:firstLine="480"/>
      </w:pPr>
      <w:r>
        <w:rPr/>
        <w:t>采购项目编号：</w:t>
      </w:r>
      <w:r>
        <w:rPr/>
        <w:t>GZGK22P092C0323Z</w:t>
      </w:r>
    </w:p>
    <w:p>
      <w:pPr>
        <w:ind w:firstLine="480"/>
      </w:pPr>
      <w:r>
        <w:rPr/>
        <w:t>采购方式：</w:t>
      </w:r>
      <w:r>
        <w:rPr/>
        <w:t>公开招标</w:t>
      </w:r>
    </w:p>
    <w:p>
      <w:pPr>
        <w:ind w:firstLine="480"/>
      </w:pPr>
      <w:r>
        <w:rPr/>
        <w:t>预算金额：</w:t>
      </w:r>
      <w:r>
        <w:rPr/>
        <w:t>11,936,400.00</w:t>
      </w:r>
      <w:r>
        <w:rPr/>
        <w:t>元</w:t>
      </w:r>
    </w:p>
    <w:p>
      <w:r>
        <w:rPr>
          <w:b/>
          <w:sz w:val="24"/>
        </w:rPr>
        <w:t>2.项目内容及需求情况（采购项目技术规格、参数及要求）</w:t>
      </w:r>
    </w:p>
    <w:p>
      <w:pPr>
        <w:ind w:firstLine="480"/>
      </w:pPr>
    </w:p>
    <w:p/>
    <w:p>
      <w:r>
        <w:rPr/>
        <w:t>采购包1(肉制品专项抽检监测):</w:t>
      </w:r>
    </w:p>
    <w:p>
      <w:r>
        <w:rPr/>
        <w:t>采购包预算金额：2,506,000.00元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技术测试和分析服务</w:t>
            </w:r>
          </w:p>
        </w:tc>
        <w:tc>
          <w:tcPr>
            <w:tcW w:type="dxa" w:w="2052"/>
          </w:tcPr>
          <w:p>
            <w:r>
              <w:rPr/>
              <w:t>肉制品专项抽检监测</w:t>
            </w:r>
          </w:p>
        </w:tc>
        <w:tc>
          <w:tcPr>
            <w:tcW w:type="dxa" w:w="977"/>
          </w:tcPr>
          <w:p>
            <w:r>
              <w:rPr/>
              <w:t>1.0000(项)</w:t>
            </w:r>
          </w:p>
        </w:tc>
        <w:tc>
          <w:tcPr>
            <w:tcW w:type="dxa" w:w="977"/>
          </w:tcPr>
          <w:p>
            <w:r>
              <w:rPr/>
              <w:t>详见第二章</w:t>
            </w:r>
          </w:p>
        </w:tc>
        <w:tc>
          <w:tcPr>
            <w:tcW w:type="dxa" w:w="977"/>
          </w:tcPr>
          <w:p>
            <w:r>
              <w:rPr/>
              <w:t>2,506,000.00</w:t>
            </w:r>
          </w:p>
        </w:tc>
        <w:tc>
          <w:tcPr>
            <w:tcW w:type="dxa" w:w="977"/>
          </w:tcPr>
          <w:p>
            <w:r>
              <w:rPr/>
              <w:t>否</w:t>
            </w:r>
          </w:p>
        </w:tc>
      </w:tr>
    </w:tbl>
    <w:p/>
    <w:p>
      <w:r>
        <w:rPr/>
        <w:t>本采购包不接受联合体投标</w:t>
      </w:r>
    </w:p>
    <w:p/>
    <w:p>
      <w:r>
        <w:rPr/>
        <w:t>合同履行期限：见“标的提供时间”要求。</w:t>
      </w:r>
    </w:p>
    <w:p/>
    <w:p>
      <w:r>
        <w:rPr/>
        <w:t>采购包2(乳制品专项抽检监测):</w:t>
      </w:r>
    </w:p>
    <w:p>
      <w:r>
        <w:rPr/>
        <w:t>采购包预算金额：762,300.00元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2-1</w:t>
            </w:r>
          </w:p>
        </w:tc>
        <w:tc>
          <w:tcPr>
            <w:tcW w:type="dxa" w:w="1368"/>
          </w:tcPr>
          <w:p>
            <w:r>
              <w:rPr/>
              <w:t>技术测试和分析服务</w:t>
            </w:r>
          </w:p>
        </w:tc>
        <w:tc>
          <w:tcPr>
            <w:tcW w:type="dxa" w:w="2052"/>
          </w:tcPr>
          <w:p>
            <w:r>
              <w:rPr/>
              <w:t>乳制品专项抽检监测</w:t>
            </w:r>
          </w:p>
        </w:tc>
        <w:tc>
          <w:tcPr>
            <w:tcW w:type="dxa" w:w="977"/>
          </w:tcPr>
          <w:p>
            <w:r>
              <w:rPr/>
              <w:t>1.0000(项)</w:t>
            </w:r>
          </w:p>
        </w:tc>
        <w:tc>
          <w:tcPr>
            <w:tcW w:type="dxa" w:w="977"/>
          </w:tcPr>
          <w:p>
            <w:r>
              <w:rPr/>
              <w:t>详见第二章</w:t>
            </w:r>
          </w:p>
        </w:tc>
        <w:tc>
          <w:tcPr>
            <w:tcW w:type="dxa" w:w="977"/>
          </w:tcPr>
          <w:p>
            <w:r>
              <w:rPr/>
              <w:t>762,300.00</w:t>
            </w:r>
          </w:p>
        </w:tc>
        <w:tc>
          <w:tcPr>
            <w:tcW w:type="dxa" w:w="977"/>
          </w:tcPr>
          <w:p>
            <w:r>
              <w:rPr/>
              <w:t>否</w:t>
            </w:r>
          </w:p>
        </w:tc>
      </w:tr>
    </w:tbl>
    <w:p/>
    <w:p>
      <w:r>
        <w:rPr/>
        <w:t>本采购包不接受联合体投标</w:t>
      </w:r>
    </w:p>
    <w:p/>
    <w:p>
      <w:r>
        <w:rPr/>
        <w:t>合同履行期限：见“标的提供时间”要求。</w:t>
      </w:r>
    </w:p>
    <w:p/>
    <w:p>
      <w:r>
        <w:rPr/>
        <w:t>采购包3(植物源专项抽检监测):</w:t>
      </w:r>
    </w:p>
    <w:p>
      <w:r>
        <w:rPr/>
        <w:t>采购包预算金额：3,883,200.00元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3-1</w:t>
            </w:r>
          </w:p>
        </w:tc>
        <w:tc>
          <w:tcPr>
            <w:tcW w:type="dxa" w:w="1368"/>
          </w:tcPr>
          <w:p>
            <w:r>
              <w:rPr/>
              <w:t>技术测试和分析服务</w:t>
            </w:r>
          </w:p>
        </w:tc>
        <w:tc>
          <w:tcPr>
            <w:tcW w:type="dxa" w:w="2052"/>
          </w:tcPr>
          <w:p>
            <w:r>
              <w:rPr/>
              <w:t>植物源专项抽检监测</w:t>
            </w:r>
          </w:p>
        </w:tc>
        <w:tc>
          <w:tcPr>
            <w:tcW w:type="dxa" w:w="977"/>
          </w:tcPr>
          <w:p>
            <w:r>
              <w:rPr/>
              <w:t>1.0000(项)</w:t>
            </w:r>
          </w:p>
        </w:tc>
        <w:tc>
          <w:tcPr>
            <w:tcW w:type="dxa" w:w="977"/>
          </w:tcPr>
          <w:p>
            <w:r>
              <w:rPr/>
              <w:t>详见第二章</w:t>
            </w:r>
          </w:p>
        </w:tc>
        <w:tc>
          <w:tcPr>
            <w:tcW w:type="dxa" w:w="977"/>
          </w:tcPr>
          <w:p>
            <w:r>
              <w:rPr/>
              <w:t>3,883,200.00</w:t>
            </w:r>
          </w:p>
        </w:tc>
        <w:tc>
          <w:tcPr>
            <w:tcW w:type="dxa" w:w="977"/>
          </w:tcPr>
          <w:p>
            <w:r>
              <w:rPr/>
              <w:t>否</w:t>
            </w:r>
          </w:p>
        </w:tc>
      </w:tr>
    </w:tbl>
    <w:p/>
    <w:p>
      <w:r>
        <w:rPr/>
        <w:t>本采购包不接受联合体投标</w:t>
      </w:r>
    </w:p>
    <w:p/>
    <w:p>
      <w:r>
        <w:rPr/>
        <w:t>合同履行期限：见“标的提供时间”要求。</w:t>
      </w:r>
    </w:p>
    <w:p/>
    <w:p>
      <w:r>
        <w:rPr/>
        <w:t>采购包4(小作坊专项监督抽检):</w:t>
      </w:r>
    </w:p>
    <w:p>
      <w:r>
        <w:rPr/>
        <w:t>采购包预算金额：1,090,100.00元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4-1</w:t>
            </w:r>
          </w:p>
        </w:tc>
        <w:tc>
          <w:tcPr>
            <w:tcW w:type="dxa" w:w="1368"/>
          </w:tcPr>
          <w:p>
            <w:r>
              <w:rPr/>
              <w:t>技术测试和分析服务</w:t>
            </w:r>
          </w:p>
        </w:tc>
        <w:tc>
          <w:tcPr>
            <w:tcW w:type="dxa" w:w="2052"/>
          </w:tcPr>
          <w:p>
            <w:r>
              <w:rPr/>
              <w:t>小作坊专项监督抽检</w:t>
            </w:r>
          </w:p>
        </w:tc>
        <w:tc>
          <w:tcPr>
            <w:tcW w:type="dxa" w:w="977"/>
          </w:tcPr>
          <w:p>
            <w:r>
              <w:rPr/>
              <w:t>1.0000(项)</w:t>
            </w:r>
          </w:p>
        </w:tc>
        <w:tc>
          <w:tcPr>
            <w:tcW w:type="dxa" w:w="977"/>
          </w:tcPr>
          <w:p>
            <w:r>
              <w:rPr/>
              <w:t>详见第二章</w:t>
            </w:r>
          </w:p>
        </w:tc>
        <w:tc>
          <w:tcPr>
            <w:tcW w:type="dxa" w:w="977"/>
          </w:tcPr>
          <w:p>
            <w:r>
              <w:rPr/>
              <w:t>1,090,100.00</w:t>
            </w:r>
          </w:p>
        </w:tc>
        <w:tc>
          <w:tcPr>
            <w:tcW w:type="dxa" w:w="977"/>
          </w:tcPr>
          <w:p>
            <w:r>
              <w:rPr/>
              <w:t>否</w:t>
            </w:r>
          </w:p>
        </w:tc>
      </w:tr>
    </w:tbl>
    <w:p/>
    <w:p>
      <w:r>
        <w:rPr/>
        <w:t>本采购包不接受联合体投标</w:t>
      </w:r>
    </w:p>
    <w:p/>
    <w:p>
      <w:r>
        <w:rPr/>
        <w:t>合同履行期限：见“标的提供时间”要求。</w:t>
      </w:r>
    </w:p>
    <w:p/>
    <w:p>
      <w:r>
        <w:rPr/>
        <w:t>采购包5(小作坊专项抽检监测):</w:t>
      </w:r>
    </w:p>
    <w:p>
      <w:r>
        <w:rPr/>
        <w:t>采购包预算金额：783,800.00元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5-1</w:t>
            </w:r>
          </w:p>
        </w:tc>
        <w:tc>
          <w:tcPr>
            <w:tcW w:type="dxa" w:w="1368"/>
          </w:tcPr>
          <w:p>
            <w:r>
              <w:rPr/>
              <w:t>技术测试和分析服务</w:t>
            </w:r>
          </w:p>
        </w:tc>
        <w:tc>
          <w:tcPr>
            <w:tcW w:type="dxa" w:w="2052"/>
          </w:tcPr>
          <w:p>
            <w:r>
              <w:rPr/>
              <w:t>小作坊专项抽检监测</w:t>
            </w:r>
          </w:p>
        </w:tc>
        <w:tc>
          <w:tcPr>
            <w:tcW w:type="dxa" w:w="977"/>
          </w:tcPr>
          <w:p>
            <w:r>
              <w:rPr/>
              <w:t>1.0000(项)</w:t>
            </w:r>
          </w:p>
        </w:tc>
        <w:tc>
          <w:tcPr>
            <w:tcW w:type="dxa" w:w="977"/>
          </w:tcPr>
          <w:p>
            <w:r>
              <w:rPr/>
              <w:t>详见第二章</w:t>
            </w:r>
          </w:p>
        </w:tc>
        <w:tc>
          <w:tcPr>
            <w:tcW w:type="dxa" w:w="977"/>
          </w:tcPr>
          <w:p>
            <w:r>
              <w:rPr/>
              <w:t>783,800.00</w:t>
            </w:r>
          </w:p>
        </w:tc>
        <w:tc>
          <w:tcPr>
            <w:tcW w:type="dxa" w:w="977"/>
          </w:tcPr>
          <w:p>
            <w:r>
              <w:rPr/>
              <w:t>否</w:t>
            </w:r>
          </w:p>
        </w:tc>
      </w:tr>
    </w:tbl>
    <w:p/>
    <w:p>
      <w:r>
        <w:rPr/>
        <w:t>本采购包不接受联合体投标</w:t>
      </w:r>
    </w:p>
    <w:p/>
    <w:p>
      <w:r>
        <w:rPr/>
        <w:t>合同履行期限：见“标的提供时间”要求。</w:t>
      </w:r>
    </w:p>
    <w:p/>
    <w:p>
      <w:r>
        <w:rPr/>
        <w:t>采购包6(食品相关产品监督抽检和风险监测):</w:t>
      </w:r>
    </w:p>
    <w:p>
      <w:r>
        <w:rPr/>
        <w:t>采购包预算金额：1,501,000.00元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6-1</w:t>
            </w:r>
          </w:p>
        </w:tc>
        <w:tc>
          <w:tcPr>
            <w:tcW w:type="dxa" w:w="1368"/>
          </w:tcPr>
          <w:p>
            <w:r>
              <w:rPr/>
              <w:t>技术测试和分析服务</w:t>
            </w:r>
          </w:p>
        </w:tc>
        <w:tc>
          <w:tcPr>
            <w:tcW w:type="dxa" w:w="2052"/>
          </w:tcPr>
          <w:p>
            <w:r>
              <w:rPr/>
              <w:t>食品相关产品监督抽检和风险监测</w:t>
            </w:r>
          </w:p>
        </w:tc>
        <w:tc>
          <w:tcPr>
            <w:tcW w:type="dxa" w:w="977"/>
          </w:tcPr>
          <w:p>
            <w:r>
              <w:rPr/>
              <w:t>1.0000(项)</w:t>
            </w:r>
          </w:p>
        </w:tc>
        <w:tc>
          <w:tcPr>
            <w:tcW w:type="dxa" w:w="977"/>
          </w:tcPr>
          <w:p>
            <w:r>
              <w:rPr/>
              <w:t>详见第二章</w:t>
            </w:r>
          </w:p>
        </w:tc>
        <w:tc>
          <w:tcPr>
            <w:tcW w:type="dxa" w:w="977"/>
          </w:tcPr>
          <w:p>
            <w:r>
              <w:rPr/>
              <w:t>1,501,000.00</w:t>
            </w:r>
          </w:p>
        </w:tc>
        <w:tc>
          <w:tcPr>
            <w:tcW w:type="dxa" w:w="977"/>
          </w:tcPr>
          <w:p>
            <w:r>
              <w:rPr/>
              <w:t>否</w:t>
            </w:r>
          </w:p>
        </w:tc>
      </w:tr>
    </w:tbl>
    <w:p/>
    <w:p>
      <w:r>
        <w:rPr/>
        <w:t>本采购包不接受联合体投标</w:t>
      </w:r>
    </w:p>
    <w:p/>
    <w:p>
      <w:r>
        <w:rPr/>
        <w:t>合同履行期限：见“标的提供时间”要求。</w:t>
      </w:r>
    </w:p>
    <w:p/>
    <w:p>
      <w:r>
        <w:rPr/>
        <w:t>采购包7(粤东西北地区应急抽检监测):</w:t>
      </w:r>
    </w:p>
    <w:p>
      <w:r>
        <w:rPr/>
        <w:t>采购包预算金额：710,000.00元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7-1</w:t>
            </w:r>
          </w:p>
        </w:tc>
        <w:tc>
          <w:tcPr>
            <w:tcW w:type="dxa" w:w="1368"/>
          </w:tcPr>
          <w:p>
            <w:r>
              <w:rPr/>
              <w:t>技术测试和分析服务</w:t>
            </w:r>
          </w:p>
        </w:tc>
        <w:tc>
          <w:tcPr>
            <w:tcW w:type="dxa" w:w="2052"/>
          </w:tcPr>
          <w:p>
            <w:r>
              <w:rPr/>
              <w:t>粤东西北地区应急抽检监测</w:t>
            </w:r>
          </w:p>
        </w:tc>
        <w:tc>
          <w:tcPr>
            <w:tcW w:type="dxa" w:w="977"/>
          </w:tcPr>
          <w:p>
            <w:r>
              <w:rPr/>
              <w:t>1.0000(项)</w:t>
            </w:r>
          </w:p>
        </w:tc>
        <w:tc>
          <w:tcPr>
            <w:tcW w:type="dxa" w:w="977"/>
          </w:tcPr>
          <w:p>
            <w:r>
              <w:rPr/>
              <w:t>详见第二章</w:t>
            </w:r>
          </w:p>
        </w:tc>
        <w:tc>
          <w:tcPr>
            <w:tcW w:type="dxa" w:w="977"/>
          </w:tcPr>
          <w:p>
            <w:r>
              <w:rPr/>
              <w:t>710,000.00</w:t>
            </w:r>
          </w:p>
        </w:tc>
        <w:tc>
          <w:tcPr>
            <w:tcW w:type="dxa" w:w="977"/>
          </w:tcPr>
          <w:p>
            <w:r>
              <w:rPr/>
              <w:t>否</w:t>
            </w:r>
          </w:p>
        </w:tc>
      </w:tr>
    </w:tbl>
    <w:p/>
    <w:p>
      <w:r>
        <w:rPr/>
        <w:t>本采购包不接受联合体投标</w:t>
      </w:r>
    </w:p>
    <w:p/>
    <w:p>
      <w:r>
        <w:rPr/>
        <w:t>合同履行期限：见“标的提供时间”要求。</w:t>
      </w:r>
    </w:p>
    <w:p/>
    <w:p>
      <w:r>
        <w:rPr/>
        <w:t>采购包8(珠三角地区应急抽检):</w:t>
      </w:r>
    </w:p>
    <w:p>
      <w:r>
        <w:rPr/>
        <w:t>采购包预算金额：700,000.00元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8-1</w:t>
            </w:r>
          </w:p>
        </w:tc>
        <w:tc>
          <w:tcPr>
            <w:tcW w:type="dxa" w:w="1368"/>
          </w:tcPr>
          <w:p>
            <w:r>
              <w:rPr/>
              <w:t>技术测试和分析服务</w:t>
            </w:r>
          </w:p>
        </w:tc>
        <w:tc>
          <w:tcPr>
            <w:tcW w:type="dxa" w:w="2052"/>
          </w:tcPr>
          <w:p>
            <w:r>
              <w:rPr/>
              <w:t>珠三角地区应急抽检</w:t>
            </w:r>
          </w:p>
        </w:tc>
        <w:tc>
          <w:tcPr>
            <w:tcW w:type="dxa" w:w="977"/>
          </w:tcPr>
          <w:p>
            <w:r>
              <w:rPr/>
              <w:t>1.0000(项)</w:t>
            </w:r>
          </w:p>
        </w:tc>
        <w:tc>
          <w:tcPr>
            <w:tcW w:type="dxa" w:w="977"/>
          </w:tcPr>
          <w:p>
            <w:r>
              <w:rPr/>
              <w:t>详见第二章</w:t>
            </w:r>
          </w:p>
        </w:tc>
        <w:tc>
          <w:tcPr>
            <w:tcW w:type="dxa" w:w="977"/>
          </w:tcPr>
          <w:p>
            <w:r>
              <w:rPr/>
              <w:t>700,000.00</w:t>
            </w:r>
          </w:p>
        </w:tc>
        <w:tc>
          <w:tcPr>
            <w:tcW w:type="dxa" w:w="97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3）具有良好的商业信誉和健全的财务会计制度：供应商必须具有良好的商业信誉和健全的财务会计制度（提供2020年度或2021年度财务状况报告或基本开户行出具的资信证明）。</w:t>
      </w:r>
    </w:p>
    <w:p/>
    <w:p>
      <w:r>
        <w:rPr/>
        <w:t>4）履行合同所必需的设备和专业技术能力：依据《投标函》</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采购包1（肉制品专项抽检监测）：</w:t>
      </w:r>
      <w:r>
        <w:rPr/>
        <w:t>本采购包不属于专门面向中小企业采购的项目。</w:t>
      </w:r>
    </w:p>
    <w:p>
      <w:pPr>
        <w:jc w:val="left"/>
      </w:pPr>
    </w:p>
    <w:p>
      <w:r>
        <w:rPr/>
        <w:t>采购包2（乳制品专项抽检监测）：</w:t>
      </w:r>
      <w:r>
        <w:rPr/>
        <w:t>本采购包不属于专门面向中小企业采购的项目。</w:t>
      </w:r>
    </w:p>
    <w:p>
      <w:pPr>
        <w:jc w:val="left"/>
      </w:pPr>
    </w:p>
    <w:p>
      <w:r>
        <w:rPr/>
        <w:t>采购包3（植物源专项抽检监测）：</w:t>
      </w:r>
      <w:r>
        <w:rPr/>
        <w:t>本采购包不属于专门面向中小企业采购的项目。</w:t>
      </w:r>
    </w:p>
    <w:p>
      <w:pPr>
        <w:jc w:val="left"/>
      </w:pPr>
    </w:p>
    <w:p>
      <w:r>
        <w:rPr/>
        <w:t>采购包4（小作坊专项监督抽检）：</w:t>
      </w:r>
      <w:r>
        <w:rPr/>
        <w:t>本采购包不属于专门面向中小企业采购的项目。</w:t>
      </w:r>
    </w:p>
    <w:p>
      <w:pPr>
        <w:jc w:val="left"/>
      </w:pPr>
    </w:p>
    <w:p>
      <w:r>
        <w:rPr/>
        <w:t>采购包5（小作坊专项抽检监测）：</w:t>
      </w:r>
      <w:r>
        <w:rPr/>
        <w:t>本采购包不属于专门面向中小企业采购的项目。</w:t>
      </w:r>
    </w:p>
    <w:p>
      <w:pPr>
        <w:jc w:val="left"/>
      </w:pPr>
    </w:p>
    <w:p>
      <w:r>
        <w:rPr/>
        <w:t>采购包6（食品相关产品监督抽检和风险监测）：</w:t>
      </w:r>
      <w:r>
        <w:rPr/>
        <w:t>本采购包不属于专门面向中小企业采购的项目。</w:t>
      </w:r>
    </w:p>
    <w:p>
      <w:pPr>
        <w:jc w:val="left"/>
      </w:pPr>
    </w:p>
    <w:p>
      <w:r>
        <w:rPr/>
        <w:t>采购包7（粤东西北地区应急抽检监测）：</w:t>
      </w:r>
      <w:r>
        <w:rPr/>
        <w:t>本采购包不属于专门面向中小企业采购的项目。</w:t>
      </w:r>
    </w:p>
    <w:p>
      <w:pPr>
        <w:jc w:val="left"/>
      </w:pPr>
    </w:p>
    <w:p>
      <w:r>
        <w:rPr/>
        <w:t>采购包8（珠三角地区应急抽检）：</w:t>
      </w:r>
      <w:r>
        <w:rPr/>
        <w:t>本采购包不属于专门面向中小企业采购的项目。</w:t>
      </w:r>
    </w:p>
    <w:p/>
    <w:p>
      <w:r>
        <w:rPr>
          <w:b/>
          <w:sz w:val="24"/>
        </w:rPr>
        <w:t>3.本项目特定的资格要求：</w:t>
      </w:r>
    </w:p>
    <w:p>
      <w:pPr>
        <w:ind w:firstLine="480"/>
      </w:pPr>
    </w:p>
    <w:p/>
    <w:p>
      <w:r>
        <w:rPr/>
        <w:t>采购包1（肉制品专项抽检监测）：</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t>采购包2（乳制品专项抽检监测）：</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t>采购包3（植物源专项抽检监测）：</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t>采购包4（小作坊专项监督抽检）：</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t>采购包5（小作坊专项抽检监测）：</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t>采购包6（食品相关产品监督抽检和风险监测）：</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t>采购包7（粤东西北地区应急抽检监测）：</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t>采购包8（珠三角地区应急抽检）：</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广东省市场监督管理局</w:t>
      </w:r>
    </w:p>
    <w:p>
      <w:pPr>
        <w:ind w:firstLine="480"/>
      </w:pPr>
      <w:r>
        <w:rPr/>
        <w:t>地址：</w:t>
      </w:r>
      <w:r>
        <w:rPr/>
        <w:t>广州市天河区黄埔大道西363号</w:t>
      </w:r>
    </w:p>
    <w:p>
      <w:pPr>
        <w:ind w:firstLine="480"/>
      </w:pPr>
      <w:r>
        <w:rPr/>
        <w:t>联系方式：</w:t>
      </w:r>
      <w:r>
        <w:rPr/>
        <w:t>020-38835069</w:t>
      </w:r>
    </w:p>
    <w:p>
      <w:r>
        <w:rPr>
          <w:b/>
          <w:sz w:val="24"/>
        </w:rPr>
        <w:t>2.采购代理机构信息</w:t>
      </w:r>
    </w:p>
    <w:p>
      <w:pPr>
        <w:ind w:firstLine="480"/>
      </w:pPr>
      <w:r>
        <w:rPr/>
        <w:t>名称：</w:t>
      </w:r>
      <w:r>
        <w:rPr/>
        <w:t>广州市国科招标代理有限公司</w:t>
      </w:r>
    </w:p>
    <w:p>
      <w:pPr>
        <w:ind w:firstLine="480"/>
      </w:pPr>
      <w:r>
        <w:rPr/>
        <w:t>地址：</w:t>
      </w:r>
      <w:r>
        <w:rPr/>
        <w:t>越秀区越秀区logandefault</w:t>
      </w:r>
    </w:p>
    <w:p>
      <w:pPr>
        <w:ind w:firstLine="480"/>
      </w:pPr>
      <w:r>
        <w:rPr/>
        <w:t>联系方式：</w:t>
      </w:r>
      <w:r>
        <w:rPr/>
        <w:t>020-87685501</w:t>
      </w:r>
    </w:p>
    <w:p>
      <w:r>
        <w:rPr>
          <w:b/>
          <w:sz w:val="24"/>
        </w:rPr>
        <w:t>3.项目联系方式</w:t>
      </w:r>
    </w:p>
    <w:p>
      <w:pPr>
        <w:ind w:firstLine="480"/>
      </w:pPr>
      <w:r>
        <w:rPr/>
        <w:t>项目联系人：</w:t>
      </w:r>
      <w:r>
        <w:rPr/>
        <w:t>国科招标</w:t>
      </w:r>
    </w:p>
    <w:p>
      <w:pPr>
        <w:ind w:firstLine="480"/>
      </w:pPr>
      <w:r>
        <w:rPr/>
        <w:t>电话：</w:t>
      </w:r>
      <w:r>
        <w:rPr/>
        <w:t>020-87685501</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b/>
        </w:rPr>
        <w:t>（一）项目编号：</w:t>
      </w:r>
      <w:r>
        <w:rPr/>
        <w:t>GZGK22P092C0323Z</w:t>
      </w:r>
      <w:r>
        <w:br/>
      </w:r>
      <w:r>
        <w:rPr>
          <w:b/>
        </w:rPr>
        <w:t>（二）项目名称：</w:t>
      </w:r>
      <w:r>
        <w:rPr/>
        <w:t>2022年食品生产环节抽检监测和风险监测项目</w:t>
      </w:r>
      <w:r>
        <w:br/>
      </w:r>
      <w:r>
        <w:rPr>
          <w:b/>
        </w:rPr>
        <w:t>（三）总体要求说明：</w:t>
      </w:r>
      <w:r>
        <w:br/>
      </w:r>
      <w:r>
        <w:rPr/>
        <w:t>1、标有“★”的条款为必须完全满足的实质性要求，投标人如有一项带“★”的条款未响应或负偏离，将按无效投标处理。</w:t>
      </w:r>
      <w:r>
        <w:br/>
      </w:r>
      <w:r>
        <w:rPr/>
        <w:t>2、标有“▲”的条款为重要性要求，投标人如有“▲”的条款未响应或负偏离的将被严重扣分。</w:t>
      </w:r>
      <w:r>
        <w:br/>
      </w:r>
      <w:r>
        <w:rPr/>
        <w:t>3、投标人应对采购需求中的服务指标在响应详细内容中列出明确承诺。如果投标人只注明“正偏离”或“无偏离”，将可能被视为“负偏离”，从而可能导致严重影响评标结果。</w:t>
      </w:r>
      <w:r>
        <w:br/>
      </w:r>
      <w:r>
        <w:rPr/>
        <w:t>4、涉及到软件产品的，必须采购和使用正版软件，项目中涉及计算机办公产品的，必须预装正版操作系统软件。</w:t>
      </w:r>
      <w:r>
        <w:br/>
      </w:r>
      <w:r>
        <w:rPr/>
        <w:t>5、投标人没有在投标文件中注明偏离（文字说明或在响应表注明）的条款视为被投标人完全接受。</w:t>
      </w:r>
      <w:r>
        <w:br/>
      </w:r>
      <w:r>
        <w:rPr/>
        <w:t>6、投标人应保证，采购人在中华人民共和国使用该服务或服务的任何一部分时，免受第三方提出的侵犯其专利权、商标权、著作权或其它知识产权的起诉。</w:t>
      </w:r>
      <w:r>
        <w:br/>
      </w:r>
      <w:r>
        <w:rPr/>
        <w:t>7、不允许中标供应商转包、分包项目（中标采购包的）内容。</w:t>
      </w:r>
      <w:r>
        <w:br/>
      </w:r>
      <w:r>
        <w:rPr/>
        <w:t>8、小型和微型企业、监狱企业和残疾人福利性单位必须按照投标须知的内容提供相应的资料。</w:t>
      </w:r>
      <w:r>
        <w:br/>
      </w:r>
      <w:r>
        <w:rPr/>
        <w:t>9、需落实政府采购政策为：促进中小企业发展政策、支持监狱企业发展政策、支持残疾人福利性单位发展政策、优先采购节能产品、环境标志产品相关政策等。</w:t>
      </w:r>
      <w:r>
        <w:br/>
      </w:r>
      <w:r>
        <w:rPr/>
        <w:t>10、中标人拟投入的检验实验室需具备与项目需求相匹配的检验能力，具有支撑检验任务的检验人员及仪器设备，具有一定的科研实力，拥有运行良好的实验室管理体系，能提供清晰、全面的检测分析方案，确保检验结果的准确可靠。</w:t>
      </w:r>
      <w:r>
        <w:br/>
      </w:r>
      <w:r>
        <w:rPr/>
        <w:t>★11.如采购人出现需要应急抽检的项目，中标人必须无条件配合采购人的要求。（提供承诺函）</w:t>
      </w:r>
      <w:r>
        <w:br/>
      </w:r>
      <w:r>
        <w:rPr/>
        <w:t>★12.中标人的检验任务必须由其投标文件中载明的实验室负责检验。（提供承诺函）</w:t>
      </w:r>
      <w:r>
        <w:br/>
      </w:r>
      <w:r>
        <w:rPr/>
        <w:t>★13.中标人发生事业单位改革或者公司合并、分立等情况，不能以原机构名义履行合同的，拟继续履约的检验机构应及时以书面方式报告采购人、提供相关证明材料，经采购人审查并报有关部门同意后方可继续履约。</w:t>
      </w:r>
      <w:r>
        <w:br/>
      </w:r>
      <w:r>
        <w:rPr/>
        <w:t>★14.投标人必须具备有效的食品检验机构资质认定证书（CMAF）或检验检测机构资质认定证书（ CMA），投标时应提供证书复印件。</w:t>
      </w:r>
      <w:r>
        <w:br/>
      </w:r>
      <w:r>
        <w:rPr>
          <w:b/>
        </w:rPr>
        <w:t>（四）其他说明：</w:t>
      </w:r>
      <w:r>
        <w:br/>
      </w:r>
      <w:r>
        <w:rPr/>
        <w:t>1、本项目开标方式为远程开标。参与全流程云平台采购项目的供应商登录云平台通过“新供应商开标大厅”进行签到及投标文件的解密，签到需在开标时间前30分钟内完成，不需要委派代表前往开标现场。</w:t>
      </w:r>
      <w:r>
        <w:br/>
      </w:r>
      <w:r>
        <w:rPr/>
        <w:t>但为了保证开标程序顺利、高效地完成，在疫情防控政策允许的前提下，投标人亦可委派代表携带CA-key、存储有非加密投标文件的U盘及纸质投标文件前往开标现场进行签到、解密。供应商递交投标资料的法定代表人或授权代表须凭“健康码”绿码到达开标现场递交投标资料，否则采购人与采购代理机构有权拒绝接收其投标资料,由此产生的后果由供应商自行承担。</w:t>
      </w:r>
      <w:r>
        <w:br/>
      </w:r>
      <w:r>
        <w:rPr/>
        <w:t>2、纸质投标文件邮寄地址（邮寄地址：广州市先烈中路100号科学院大院9号楼东座2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gzgk@gzgkbidding.com。</w:t>
      </w:r>
      <w:r>
        <w:br/>
      </w:r>
      <w:r>
        <w:rPr/>
        <w:t>3、供应商电脑需提前安装CA签章客户端，并运行CA证书。</w:t>
      </w:r>
      <w:r>
        <w:br/>
      </w:r>
      <w:r>
        <w:rPr>
          <w:b/>
        </w:rPr>
        <w:t>4、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r>
        <w:br/>
      </w:r>
      <w:r>
        <w:rPr>
          <w:b/>
        </w:rPr>
        <w:t>（五）投标报价说明：</w:t>
      </w:r>
      <w:r>
        <w:br/>
      </w:r>
      <w:r>
        <w:rPr/>
        <w:t>1、投标报价包含：检验检查费、抽样费（如有）、购样费（如有）、专家评审费（如有）、邮寄费、物料耗材、资料费、应交税费、工作人员薪酬、工作人员的社会保险（包括工伤保险）和公积金、交通费等完成本项目要求的内容发生的所有费用。投标人报价中漏报、少报的费用，视为此项费用已隐含在投标报价中，中标后不得再向采购人收取任何费用。</w:t>
      </w:r>
      <w:r>
        <w:br/>
      </w:r>
      <w:r>
        <w:rPr/>
        <w:t>2、本次报价要求各投标人报出一个固定的投标综合折扣率，该投标综合折扣率适用于整个项目。</w:t>
      </w:r>
      <w:r>
        <w:br/>
      </w:r>
      <w:r>
        <w:rPr/>
        <w:t>投标综合折扣率在0.00%-100.00%范围内取值，以百分比表示，必须为固定报价，不接受区间报价，不能为负数。</w:t>
      </w:r>
      <w:r>
        <w:br/>
      </w:r>
      <w:r>
        <w:rPr/>
        <w:t>例如：某项目的最高限价为100元，投标拟优惠20元，结算价格为80元，那么投标综合折扣率则为：80.00/100.00×100%=80.00%。</w:t>
      </w:r>
      <w:r>
        <w:br/>
      </w:r>
      <w:r>
        <w:rPr/>
        <w:t>3、单项检验项目费用以《广东省产品质量监督检验收费标准》（粤价 [2002] 170号）为检验项目最高限价；所检项目未在粤价 [2002] 170号文中定价的，以中标人报备物价局对外收费标准为检验项目最高限价；以上规定不能确定计价的，由双方协商确定。</w:t>
      </w:r>
      <w:r>
        <w:br/>
      </w:r>
      <w:r>
        <w:rPr/>
        <w:t>实际单项检验项目检验费=检验项目最高限价×中标综合折扣率。</w:t>
      </w:r>
      <w:r>
        <w:br/>
      </w:r>
      <w:r>
        <w:rPr/>
        <w:t>结算总金额不超过本项目对应采购包的采购预算。</w:t>
      </w:r>
      <w:r>
        <w:br/>
      </w:r>
      <w:r>
        <w:rPr>
          <w:b/>
        </w:rPr>
        <w:t>（六）实现的目标</w:t>
      </w:r>
      <w:r>
        <w:br/>
      </w:r>
      <w:r>
        <w:rPr/>
        <w:t>食品生产环节抽检监测和风险监测：计划对肉制品、乳制品、婴幼儿辅助食品、湿粉类、粮食加工品、桶装饮用水、糕点、水果制品、调味品、食用油、油脂及其制品等食品类别,以及食品生产加工小作坊食品抽检监测不少于3020批次。</w:t>
      </w:r>
      <w:r>
        <w:br/>
      </w:r>
      <w:r>
        <w:rPr/>
        <w:t>食品生产环节应急抽检监测：为更好处理日常监管、飞行检查、投诉举报、媒体曝光等突发应急事件，拟设立食品生产环节应急抽检监测经费，用于开展应急性、机动性抽检监测，解决食品突发应急事件。</w:t>
      </w:r>
      <w:r>
        <w:br/>
      </w:r>
      <w:r>
        <w:rPr>
          <w:b/>
        </w:rPr>
        <w:t>（七）需执行国家相关标准、行业标准、地方标准或者其他标准、规范</w:t>
      </w:r>
    </w:p>
    <w:p/>
    <w:p>
      <w:pPr>
        <w:ind w:firstLine="480"/>
      </w:pPr>
    </w:p>
    <w:p/>
    <w:p>
      <w:r>
        <w:rPr/>
        <w:t>采购包1（肉制品专项抽检监测）：</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服务期限：中标人应于2022年11月30日前完成所中标抽检工作，部分任务对具体完成时间另有要求的，经双方协商同意，以抽查实施方案确定的时间为准。</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1期：支付比例90%，合同签订后五个工作日内，按合同总额90%支付第一期费用；</w:t>
            </w:r>
          </w:p>
          <w:p/>
          <w:p>
            <w:r>
              <w:rPr/>
              <w:t>2期：支付比例10%，在合同项目结束后十个工作日内按合同总额10%支付合同尾款。</w:t>
            </w:r>
          </w:p>
        </w:tc>
      </w:tr>
      <w:tr>
        <w:tc>
          <w:tcPr>
            <w:tcW w:type="dxa" w:w="4153"/>
          </w:tcPr>
          <w:p>
            <w:r>
              <w:rPr/>
              <w:t>验收要求</w:t>
            </w:r>
          </w:p>
        </w:tc>
        <w:tc>
          <w:tcPr>
            <w:tcW w:type="dxa" w:w="4153"/>
          </w:tcPr>
          <w:p>
            <w:pPr>
              <w:jc w:val="left"/>
            </w:pPr>
          </w:p>
          <w:p/>
          <w:p/>
          <w:p>
            <w:r>
              <w:rPr/>
              <w:t>1期：1、</w:t>
              <w:tab/>
              <w:t>中标供应商需严格按照招标文件承诺内容提供相应服务，采购方有权对项目实施过程、售后服务情况进行检查、考核和客观评价况。 2、</w:t>
              <w:tab/>
              <w:t>中标供应商在本项目完成后，提出验收申请，由采购人对所编制文件进行审评验收。</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tc>
      </w:tr>
    </w:tbl>
    <w:p>
      <w:r>
        <w:rPr>
          <w:b/>
          <w:sz w:val="24"/>
        </w:rPr>
        <w:t>2.技术标准与要求</w:t>
      </w:r>
    </w:p>
    <w:tbl>
      <w:tblPr>
        <w:tblW w:w="0" w:type="auto"/>
        <w:tblBorders>
          <w:top w:val="single"/>
          <w:left w:val="single"/>
          <w:bottom w:val="single"/>
          <w:right w:val="single"/>
          <w:insideH w:val="single"/>
          <w:insideV w:val="single"/>
        </w:tblBorders>
      </w:tblPr>
      <w:tblGrid>
        <w:gridCol w:w="218"/>
        <w:gridCol w:w="363"/>
        <w:gridCol w:w="1816"/>
        <w:gridCol w:w="1816"/>
        <w:gridCol w:w="363"/>
        <w:gridCol w:w="660"/>
        <w:gridCol w:w="660"/>
        <w:gridCol w:w="660"/>
        <w:gridCol w:w="660"/>
        <w:gridCol w:w="726"/>
        <w:gridCol w:w="363"/>
      </w:tblGrid>
      <w:tr>
        <w:tc>
          <w:tcPr>
            <w:tcW w:type="dxa" w:w="218"/>
          </w:tcPr>
          <w:p>
            <w:r>
              <w:rPr/>
              <w:t>序号</w:t>
            </w:r>
          </w:p>
        </w:tc>
        <w:tc>
          <w:tcPr>
            <w:tcW w:type="dxa" w:w="363"/>
          </w:tcPr>
          <w:p>
            <w:r>
              <w:rPr/>
              <w:t>核心产品（“△”）</w:t>
            </w:r>
          </w:p>
        </w:tc>
        <w:tc>
          <w:tcPr>
            <w:tcW w:type="dxa" w:w="1816"/>
          </w:tcPr>
          <w:p>
            <w:r>
              <w:rPr/>
              <w:t>品目名称</w:t>
            </w:r>
          </w:p>
        </w:tc>
        <w:tc>
          <w:tcPr>
            <w:tcW w:type="dxa" w:w="1816"/>
          </w:tcPr>
          <w:p>
            <w:r>
              <w:rPr/>
              <w:t>标的名称</w:t>
            </w:r>
          </w:p>
        </w:tc>
        <w:tc>
          <w:tcPr>
            <w:tcW w:type="dxa" w:w="363"/>
          </w:tcPr>
          <w:p>
            <w:r>
              <w:rPr/>
              <w:t>单位</w:t>
            </w:r>
          </w:p>
        </w:tc>
        <w:tc>
          <w:tcPr>
            <w:tcW w:type="dxa" w:w="660"/>
          </w:tcPr>
          <w:p>
            <w:r>
              <w:rPr/>
              <w:t>数量</w:t>
            </w:r>
          </w:p>
        </w:tc>
        <w:tc>
          <w:tcPr>
            <w:tcW w:type="dxa" w:w="660"/>
          </w:tcPr>
          <w:p>
            <w:r>
              <w:rPr/>
              <w:t>分项预算单价（元）</w:t>
            </w:r>
          </w:p>
        </w:tc>
        <w:tc>
          <w:tcPr>
            <w:tcW w:type="dxa" w:w="660"/>
          </w:tcPr>
          <w:p>
            <w:r>
              <w:rPr/>
              <w:t>分项预算总价（元）</w:t>
            </w:r>
          </w:p>
        </w:tc>
        <w:tc>
          <w:tcPr>
            <w:tcW w:type="dxa" w:w="660"/>
          </w:tcPr>
          <w:p>
            <w:r>
              <w:rPr/>
              <w:t>权重%</w:t>
            </w:r>
          </w:p>
        </w:tc>
        <w:tc>
          <w:tcPr>
            <w:tcW w:type="dxa" w:w="726"/>
          </w:tcPr>
          <w:p>
            <w:r>
              <w:rPr/>
              <w:t>所属行业</w:t>
            </w:r>
          </w:p>
        </w:tc>
        <w:tc>
          <w:tcPr>
            <w:tcW w:type="dxa" w:w="363"/>
          </w:tcPr>
          <w:p>
            <w:r>
              <w:rPr/>
              <w:t>技术要求</w:t>
            </w:r>
          </w:p>
        </w:tc>
      </w:tr>
      <w:tr>
        <w:tc>
          <w:tcPr>
            <w:tcW w:type="dxa" w:w="218"/>
          </w:tcPr>
          <w:p>
            <w:r>
              <w:rPr/>
              <w:t>1</w:t>
            </w:r>
          </w:p>
        </w:tc>
        <w:tc>
          <w:tcPr>
            <w:tcW w:type="dxa" w:w="363"/>
          </w:tcPr>
          <w:p/>
        </w:tc>
        <w:tc>
          <w:tcPr>
            <w:tcW w:type="dxa" w:w="1816"/>
          </w:tcPr>
          <w:p>
            <w:r>
              <w:rPr/>
              <w:t>技术测试和分析服务</w:t>
            </w:r>
          </w:p>
        </w:tc>
        <w:tc>
          <w:tcPr>
            <w:tcW w:type="dxa" w:w="1816"/>
          </w:tcPr>
          <w:p>
            <w:r>
              <w:rPr/>
              <w:t>肉制品专项抽检监测</w:t>
            </w:r>
          </w:p>
        </w:tc>
        <w:tc>
          <w:tcPr>
            <w:tcW w:type="dxa" w:w="363"/>
          </w:tcPr>
          <w:p>
            <w:r>
              <w:rPr/>
              <w:t>项</w:t>
            </w:r>
          </w:p>
        </w:tc>
        <w:tc>
          <w:tcPr>
            <w:tcW w:type="dxa" w:w="660"/>
          </w:tcPr>
          <w:p>
            <w:pPr>
              <w:jc w:val="right"/>
            </w:pPr>
            <w:r>
              <w:rPr/>
              <w:t>1.0000</w:t>
            </w:r>
          </w:p>
        </w:tc>
        <w:tc>
          <w:tcPr>
            <w:tcW w:type="dxa" w:w="660"/>
          </w:tcPr>
          <w:p>
            <w:pPr>
              <w:jc w:val="right"/>
            </w:pPr>
            <w:r>
              <w:rPr/>
              <w:t>2,506,000.00</w:t>
            </w:r>
          </w:p>
        </w:tc>
        <w:tc>
          <w:tcPr>
            <w:tcW w:type="dxa" w:w="660"/>
          </w:tcPr>
          <w:p>
            <w:pPr>
              <w:jc w:val="right"/>
            </w:pPr>
            <w:r>
              <w:rPr/>
              <w:t>2,506,000.00</w:t>
            </w:r>
          </w:p>
        </w:tc>
        <w:tc>
          <w:tcPr>
            <w:tcW w:type="dxa" w:w="660"/>
          </w:tcPr>
          <w:p>
            <w:r>
              <w:rPr/>
              <w:t>100.0</w:t>
            </w:r>
          </w:p>
        </w:tc>
        <w:tc>
          <w:tcPr>
            <w:tcW w:type="dxa" w:w="726"/>
          </w:tcPr>
          <w:p>
            <w:r>
              <w:rPr/>
              <w:t>其他未列明行业</w:t>
            </w:r>
          </w:p>
        </w:tc>
        <w:tc>
          <w:tcPr>
            <w:tcW w:type="dxa" w:w="363"/>
          </w:tcPr>
          <w:p>
            <w:r>
              <w:rPr/>
              <w:t>详见附表一</w:t>
            </w:r>
          </w:p>
        </w:tc>
      </w:tr>
    </w:tbl>
    <w:p>
      <w:r>
        <w:rPr/>
        <w:t>备注：最终综合总报价=（各产品报价×各项产品权重）的相加值</w:t>
      </w:r>
    </w:p>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肉制品专项抽检监测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一、项目基本概况</w:t>
            </w:r>
          </w:p>
          <w:p>
            <w:pPr>
              <w:ind w:firstLine="384"/>
              <w:jc w:val="both"/>
            </w:pPr>
            <w:r>
              <w:rPr>
                <w:sz w:val="21"/>
              </w:rPr>
              <w:t>本采购包选定1家食品检验承检机构。本采购包中标人应能使用“国家食品安全抽样检验信息系统”抽样APP在线抽样以及出具电子版检验报告。</w:t>
            </w:r>
          </w:p>
          <w:p>
            <w:pPr>
              <w:jc w:val="both"/>
            </w:pPr>
            <w:r>
              <w:rPr>
                <w:b/>
                <w:sz w:val="21"/>
              </w:rPr>
              <w:t>二、服务要求</w:t>
            </w:r>
          </w:p>
          <w:p>
            <w:pPr>
              <w:ind w:firstLine="384"/>
              <w:jc w:val="both"/>
            </w:pPr>
            <w:r>
              <w:rPr>
                <w:sz w:val="21"/>
              </w:rPr>
              <w:t>1.采购标的：肉制品专项抽检监测</w:t>
            </w:r>
          </w:p>
          <w:p>
            <w:pPr>
              <w:ind w:firstLine="384"/>
              <w:jc w:val="both"/>
            </w:pPr>
            <w:r>
              <w:rPr>
                <w:sz w:val="21"/>
              </w:rPr>
              <w:t>2.</w:t>
            </w:r>
            <w:r>
              <w:rPr>
                <w:sz w:val="21"/>
              </w:rPr>
              <w:t>服务内容：</w:t>
            </w:r>
            <w:r>
              <w:rPr>
                <w:sz w:val="21"/>
              </w:rPr>
              <w:t>对广东省肉制品</w:t>
            </w:r>
            <w:r>
              <w:rPr>
                <w:sz w:val="21"/>
              </w:rPr>
              <w:t>生产企业开展监督抽检及风险监测，计划抽取样品不低于540批次，抽样费、检验费等合计250.60万元。</w:t>
            </w:r>
          </w:p>
          <w:p>
            <w:pPr>
              <w:ind w:firstLine="384"/>
              <w:jc w:val="both"/>
            </w:pPr>
            <w:r>
              <w:rPr>
                <w:sz w:val="21"/>
              </w:rPr>
              <w:t>3.</w:t>
            </w:r>
            <w:r>
              <w:rPr>
                <w:sz w:val="21"/>
              </w:rPr>
              <w:t>食品细类及数量：</w:t>
            </w:r>
          </w:p>
          <w:tbl>
            <w:tblGrid>
              <w:gridCol w:w="800"/>
              <w:gridCol w:w="800"/>
              <w:gridCol w:w="800"/>
              <w:gridCol w:w="800"/>
              <w:gridCol w:w="800"/>
              <w:gridCol w:w="800"/>
              <w:gridCol w:w="800"/>
            </w:tblGrid>
            <w:tr>
              <w:tc>
                <w:tcPr>
                  <w:tcW w:type="dxa" w:w="800"/>
                  <w:tcBorders>
                    <w:top w:val="single" w:color="000000" w:sz="4"/>
                    <w:left w:val="single" w:color="000000" w:sz="4"/>
                    <w:bottom w:val="single" w:color="000000" w:sz="4"/>
                    <w:right w:val="single" w:color="000000" w:sz="4"/>
                  </w:tcBorders>
                </w:tcPr>
                <w:p>
                  <w:pPr>
                    <w:jc w:val="center"/>
                  </w:pPr>
                  <w:r>
                    <w:rPr>
                      <w:b/>
                      <w:color w:val="000000"/>
                      <w:sz w:val="21"/>
                    </w:rPr>
                    <w:t>采购包</w:t>
                  </w:r>
                </w:p>
              </w:tc>
              <w:tc>
                <w:tcPr>
                  <w:tcW w:type="dxa" w:w="800"/>
                  <w:tcBorders>
                    <w:top w:val="single" w:color="000000" w:sz="4"/>
                    <w:left w:val="none" w:color="000000" w:sz="4"/>
                    <w:bottom w:val="single" w:color="000000" w:sz="4"/>
                    <w:right w:val="single" w:color="000000" w:sz="4"/>
                  </w:tcBorders>
                </w:tcPr>
                <w:p>
                  <w:pPr>
                    <w:jc w:val="center"/>
                  </w:pPr>
                  <w:r>
                    <w:rPr>
                      <w:b/>
                      <w:color w:val="000000"/>
                      <w:sz w:val="21"/>
                    </w:rPr>
                    <w:t>任务类别</w:t>
                  </w:r>
                </w:p>
              </w:tc>
              <w:tc>
                <w:tcPr>
                  <w:tcW w:type="dxa" w:w="800"/>
                  <w:tcBorders>
                    <w:top w:val="single" w:color="000000" w:sz="4"/>
                    <w:left w:val="none" w:color="000000" w:sz="4"/>
                    <w:bottom w:val="single" w:color="000000" w:sz="4"/>
                    <w:right w:val="single" w:color="000000" w:sz="4"/>
                  </w:tcBorders>
                </w:tcPr>
                <w:p>
                  <w:pPr>
                    <w:jc w:val="center"/>
                  </w:pPr>
                  <w:r>
                    <w:rPr>
                      <w:b/>
                      <w:color w:val="000000"/>
                      <w:sz w:val="21"/>
                    </w:rPr>
                    <w:t>食品类别</w:t>
                  </w:r>
                </w:p>
              </w:tc>
              <w:tc>
                <w:tcPr>
                  <w:tcW w:type="dxa" w:w="800"/>
                  <w:tcBorders>
                    <w:top w:val="single" w:color="000000" w:sz="4"/>
                    <w:left w:val="none" w:color="000000" w:sz="4"/>
                    <w:bottom w:val="single" w:color="000000" w:sz="4"/>
                    <w:right w:val="single" w:color="000000" w:sz="4"/>
                  </w:tcBorders>
                </w:tcPr>
                <w:p>
                  <w:pPr>
                    <w:jc w:val="center"/>
                  </w:pPr>
                  <w:r>
                    <w:rPr>
                      <w:b/>
                      <w:color w:val="000000"/>
                      <w:sz w:val="21"/>
                    </w:rPr>
                    <w:t>食品细类</w:t>
                  </w:r>
                </w:p>
              </w:tc>
              <w:tc>
                <w:tcPr>
                  <w:tcW w:type="dxa" w:w="800"/>
                  <w:tcBorders>
                    <w:top w:val="single" w:color="000000" w:sz="4"/>
                    <w:left w:val="none" w:color="000000" w:sz="4"/>
                    <w:bottom w:val="single" w:color="000000" w:sz="4"/>
                    <w:right w:val="single" w:color="000000" w:sz="4"/>
                  </w:tcBorders>
                </w:tcPr>
                <w:p>
                  <w:pPr>
                    <w:jc w:val="center"/>
                  </w:pPr>
                  <w:r>
                    <w:rPr>
                      <w:b/>
                      <w:color w:val="000000"/>
                      <w:sz w:val="21"/>
                    </w:rPr>
                    <w:t>监督检验项目</w:t>
                  </w:r>
                </w:p>
              </w:tc>
              <w:tc>
                <w:tcPr>
                  <w:tcW w:type="dxa" w:w="800"/>
                  <w:tcBorders>
                    <w:top w:val="single" w:color="000000" w:sz="4"/>
                    <w:left w:val="none" w:color="000000" w:sz="4"/>
                    <w:bottom w:val="single" w:color="000000" w:sz="4"/>
                    <w:right w:val="single" w:color="000000" w:sz="4"/>
                  </w:tcBorders>
                </w:tcPr>
                <w:p>
                  <w:pPr>
                    <w:jc w:val="center"/>
                  </w:pPr>
                  <w:r>
                    <w:rPr>
                      <w:b/>
                      <w:color w:val="000000"/>
                      <w:sz w:val="21"/>
                    </w:rPr>
                    <w:t>风险监测项目</w:t>
                  </w:r>
                </w:p>
              </w:tc>
              <w:tc>
                <w:tcPr>
                  <w:tcW w:type="dxa" w:w="800"/>
                  <w:tcBorders>
                    <w:top w:val="single" w:color="000000" w:sz="4"/>
                    <w:left w:val="none" w:color="000000" w:sz="4"/>
                    <w:bottom w:val="single" w:color="000000" w:sz="4"/>
                    <w:right w:val="single" w:color="000000" w:sz="4"/>
                  </w:tcBorders>
                </w:tcPr>
                <w:p>
                  <w:pPr>
                    <w:jc w:val="center"/>
                  </w:pPr>
                  <w:r>
                    <w:rPr>
                      <w:b/>
                      <w:color w:val="000000"/>
                      <w:sz w:val="21"/>
                    </w:rPr>
                    <w:t>抽检批次数</w:t>
                  </w:r>
                </w:p>
              </w:tc>
            </w:tr>
            <w:tr>
              <w:tc>
                <w:tcPr>
                  <w:tcW w:type="dxa" w:w="800"/>
                  <w:vMerge w:val="restart"/>
                  <w:tcBorders>
                    <w:top w:val="none" w:color="000000" w:sz="4"/>
                    <w:left w:val="single" w:color="000000" w:sz="4"/>
                    <w:bottom w:val="single" w:color="000000" w:sz="4"/>
                    <w:right w:val="single" w:color="000000" w:sz="4"/>
                  </w:tcBorders>
                </w:tcPr>
                <w:p>
                  <w:pPr>
                    <w:jc w:val="center"/>
                  </w:pPr>
                  <w:r>
                    <w:rPr>
                      <w:color w:val="000000"/>
                      <w:sz w:val="21"/>
                    </w:rPr>
                    <w:t>1</w:t>
                  </w:r>
                </w:p>
              </w:tc>
              <w:tc>
                <w:tcPr>
                  <w:tcW w:type="dxa" w:w="800"/>
                  <w:vMerge w:val="restart"/>
                  <w:tcBorders>
                    <w:top w:val="none" w:color="000000" w:sz="4"/>
                    <w:left w:val="none" w:color="000000" w:sz="4"/>
                    <w:bottom w:val="single" w:color="000000" w:sz="4"/>
                    <w:right w:val="single" w:color="000000" w:sz="4"/>
                  </w:tcBorders>
                </w:tcPr>
                <w:p>
                  <w:pPr>
                    <w:jc w:val="center"/>
                  </w:pPr>
                  <w:r>
                    <w:rPr>
                      <w:color w:val="000000"/>
                      <w:sz w:val="21"/>
                    </w:rPr>
                    <w:t>肉制品专项抽检监测</w:t>
                  </w:r>
                </w:p>
              </w:tc>
              <w:tc>
                <w:tcPr>
                  <w:tcW w:type="dxa" w:w="800"/>
                  <w:vMerge w:val="restart"/>
                  <w:tcBorders>
                    <w:top w:val="none" w:color="000000" w:sz="4"/>
                    <w:left w:val="none" w:color="000000" w:sz="4"/>
                    <w:bottom w:val="single" w:color="000000" w:sz="4"/>
                    <w:right w:val="single" w:color="000000" w:sz="4"/>
                  </w:tcBorders>
                </w:tcPr>
                <w:p>
                  <w:pPr>
                    <w:jc w:val="center"/>
                  </w:pPr>
                  <w:r>
                    <w:rPr>
                      <w:color w:val="000000"/>
                      <w:sz w:val="21"/>
                    </w:rPr>
                    <w:t>肉制品</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调理肉制品</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氯霉素、山梨酸及其钾盐、苯甲酸及其钠盐、脱氢乙酸及其钠盐、N-二甲基亚硝胺</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硼酸、恩诺沙星</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110</w:t>
                  </w:r>
                </w:p>
              </w:tc>
            </w:tr>
            <w:tr>
              <w:tc>
                <w:tcPr>
                  <w:tcW w:type="dxa" w:w="800"/>
                  <w:vMerge/>
                  <w:tcBorders>
                    <w:top w:val="non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Pr>
                <w:p>
                  <w:pPr>
                    <w:jc w:val="center"/>
                  </w:pPr>
                  <w:r>
                    <w:rPr>
                      <w:color w:val="000000"/>
                      <w:sz w:val="21"/>
                    </w:rPr>
                    <w:t>腌腊肉制品</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过氧化值（以脂肪计）、总砷（以As计）、亚硝酸盐（以亚硝酸钠计）、苯甲酸及其钠盐（以苯甲酸计）、山梨酸及其钾盐（以山梨酸计）、胭脂红、N-二甲基亚硝胺、镉（以Cd计）</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苯并[a]芘、柠檬黄、日落黄、苋菜红、诱惑红、赤藓红、酸性红、克伦特罗、沙丁胺醇、莱克多巴胺、敌敌畏、恩诺沙星、氟苯尼考、氧氟沙星、酸性橙Ⅱ</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150</w:t>
                  </w:r>
                </w:p>
              </w:tc>
            </w:tr>
            <w:tr>
              <w:tc>
                <w:tcPr>
                  <w:tcW w:type="dxa" w:w="800"/>
                  <w:vMerge/>
                  <w:tcBorders>
                    <w:top w:val="non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Pr>
                <w:p>
                  <w:pPr>
                    <w:jc w:val="center"/>
                  </w:pPr>
                  <w:r>
                    <w:rPr>
                      <w:color w:val="000000"/>
                      <w:sz w:val="21"/>
                    </w:rPr>
                    <w:t>酱卤肉制品</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纳他霉素、苯甲酸及其钠盐（以苯甲酸计）、山梨酸及其钾盐（以山梨酸计）、脱氢乙酸及其钠盐（以脱氢乙酸计）、防腐剂混合使用时各自用量占其最大使用量的比例之和、亚硝酸盐（以亚硝酸钠计）、菌落总数、大肠菌群、金黄色葡萄球菌、酸性橙Ⅱ、N-二甲基亚硝胺、营养成分（钠）、沙门氏菌、单核细胞增生李斯特氏菌、致泻大肠埃希氏菌（仅适用于牛肉制品）</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安赛蜜、柠檬黄、日落黄、诱惑红、4-甲基咪唑、过氧化值（以脂肪计）（限含脂肪样品）、克伦特罗、沙丁胺醇、莱克多巴胺、恩诺沙星</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80</w:t>
                  </w:r>
                </w:p>
              </w:tc>
            </w:tr>
            <w:tr>
              <w:tc>
                <w:tcPr>
                  <w:tcW w:type="dxa" w:w="800"/>
                  <w:vMerge/>
                  <w:tcBorders>
                    <w:top w:val="non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Pr>
                <w:p>
                  <w:pPr>
                    <w:jc w:val="center"/>
                  </w:pPr>
                  <w:r>
                    <w:rPr>
                      <w:color w:val="000000"/>
                      <w:sz w:val="21"/>
                    </w:rPr>
                    <w:t>熏烧烤肉制品</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苯并[a]芘、N-二甲基亚硝胺、亚硝酸盐（以亚硝酸钠计）、纳他霉素、菌落总数、大肠菌群、沙门氏菌、金黄色葡萄球菌、单核细胞增生李斯特氏菌、营养成分（钠）、致泻大肠埃希氏菌（仅适用于牛肉制品）</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恩诺沙星、甜蜜素、丙酸钙、诱惑红、过氧化值（以脂肪计）（限含脂肪样品）</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50</w:t>
                  </w:r>
                </w:p>
              </w:tc>
            </w:tr>
            <w:tr>
              <w:tc>
                <w:tcPr>
                  <w:tcW w:type="dxa" w:w="800"/>
                  <w:vMerge/>
                  <w:tcBorders>
                    <w:top w:val="non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Pr>
                <w:p>
                  <w:pPr>
                    <w:jc w:val="center"/>
                  </w:pPr>
                  <w:r>
                    <w:rPr>
                      <w:color w:val="000000"/>
                      <w:sz w:val="21"/>
                    </w:rPr>
                    <w:t>熟肉干制品</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苯甲酸及其钠盐（以苯甲酸计）、山梨酸及其钾盐（以山梨酸计）、脱氢乙酸及其钠盐（以脱氢乙酸计）、纳他霉素、防腐剂混合使用时各自用量占其最大使用量的比例之和、菌落总数、大肠菌群、单核细胞增生李斯特氏菌、N-二甲基亚硝胺、铅（以Pb计）、镉（以Cd计）、铬（以Cr计）、胭脂红、营养成分（钠）、沙门氏菌、金黄色葡萄球菌、致泻大肠埃希氏菌（仅适用于牛肉制品）</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碱性嫩黄、柠檬黄、日落黄、动物源性成分、克伦特罗、沙丁胺醇、莱克多巴胺</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100</w:t>
                  </w:r>
                </w:p>
              </w:tc>
            </w:tr>
            <w:tr>
              <w:tc>
                <w:tcPr>
                  <w:tcW w:type="dxa" w:w="800"/>
                  <w:vMerge/>
                  <w:tcBorders>
                    <w:top w:val="non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Pr>
                <w:p>
                  <w:pPr>
                    <w:jc w:val="center"/>
                  </w:pPr>
                  <w:r>
                    <w:rPr>
                      <w:color w:val="000000"/>
                      <w:sz w:val="21"/>
                    </w:rPr>
                    <w:t>熏煮香肠火腿制品</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亚硝酸盐（以亚硝酸钠计）、苯甲酸及其钠盐（以苯甲酸计）、山梨酸及其钾盐（以山梨酸计）、脱氢乙酸及其钠盐（以脱氢乙酸计）、纳他霉素、防腐剂混合使用时各自用量占其最大使用量的比例之和、菌落总数、大肠菌群、沙门氏菌、N-二甲基亚硝胺、胭脂红、苯并[a]芘、单核细胞增生李斯特氏菌、金黄色葡萄球菌、致泻大肠埃希氏菌（仅适用于牛肉制品）</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丙酸钙（以丙酸计）、硼酸、诱惑红、克伦特罗、沙丁胺醇、莱克多巴胺</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50</w:t>
                  </w:r>
                </w:p>
              </w:tc>
            </w:tr>
            <w:tr>
              <w:tc>
                <w:tcPr>
                  <w:tcW w:type="dxa" w:w="800"/>
                  <w:vMerge/>
                  <w:tcBorders>
                    <w:top w:val="none" w:color="000000" w:sz="4"/>
                    <w:left w:val="single" w:color="000000" w:sz="4"/>
                    <w:bottom w:val="single" w:color="000000" w:sz="4"/>
                    <w:right w:val="single" w:color="000000" w:sz="4"/>
                  </w:tcBorders>
                </w:tcPr>
                <w:p/>
              </w:tc>
              <w:tc>
                <w:tcPr>
                  <w:tcW w:type="dxa" w:w="4000"/>
                  <w:gridSpan w:val="5"/>
                  <w:tcBorders>
                    <w:top w:val="none" w:color="000000" w:sz="4"/>
                    <w:left w:val="none" w:color="000000" w:sz="4"/>
                    <w:bottom w:val="single" w:color="000000" w:sz="4"/>
                    <w:right w:val="single" w:color="000000" w:sz="4"/>
                  </w:tcBorders>
                </w:tcPr>
                <w:p>
                  <w:pPr>
                    <w:jc w:val="center"/>
                  </w:pPr>
                  <w:r>
                    <w:rPr>
                      <w:sz w:val="21"/>
                    </w:rPr>
                    <w:t xml:space="preserve"> </w:t>
                  </w:r>
                  <w:r>
                    <w:rPr>
                      <w:b/>
                      <w:color w:val="000000"/>
                      <w:sz w:val="21"/>
                    </w:rPr>
                    <w:t>小计</w:t>
                  </w:r>
                </w:p>
              </w:tc>
              <w:tc>
                <w:tcPr>
                  <w:tcW w:type="dxa" w:w="800"/>
                  <w:tcBorders>
                    <w:top w:val="none" w:color="000000" w:sz="4"/>
                    <w:left w:val="none" w:color="000000" w:sz="4"/>
                    <w:bottom w:val="single" w:color="000000" w:sz="4"/>
                    <w:right w:val="single" w:color="000000" w:sz="4"/>
                  </w:tcBorders>
                </w:tcPr>
                <w:p>
                  <w:pPr>
                    <w:jc w:val="both"/>
                  </w:pPr>
                  <w:r>
                    <w:rPr>
                      <w:b/>
                      <w:color w:val="000000"/>
                      <w:sz w:val="21"/>
                    </w:rPr>
                    <w:t>540</w:t>
                  </w:r>
                </w:p>
              </w:tc>
            </w:tr>
          </w:tbl>
          <w:p>
            <w:pPr>
              <w:ind w:firstLine="384"/>
              <w:jc w:val="both"/>
            </w:pPr>
            <w:r>
              <w:rPr/>
              <w:t>4.基本要求：</w:t>
            </w:r>
            <w:r>
              <w:br/>
            </w:r>
            <w:r>
              <w:rPr/>
              <w:t>（1）采样地点：在广东省内开展抽查。</w:t>
            </w:r>
            <w:r>
              <w:br/>
            </w:r>
            <w:r>
              <w:rPr/>
              <w:t>（2）抽样人员：由中标人安排2名或以上具有符合要求的抽样人员。</w:t>
            </w:r>
            <w:r>
              <w:br/>
            </w:r>
            <w:r>
              <w:rPr/>
              <w:t>（3）完成时限：中标人应于2022年11月30日前完成所中标抽检工作，部分任务对具体完成时间另有要求的，经双方协商同意，以抽查实施方案确定的时间为准。</w:t>
            </w:r>
            <w:r>
              <w:br/>
            </w:r>
            <w:r>
              <w:rPr/>
              <w:t>（4）采样办法：根据检验项目及国家标准中规定的采样方法及采样数量抽取样品。</w:t>
            </w:r>
            <w:r>
              <w:br/>
            </w:r>
            <w:r>
              <w:rPr/>
              <w:t>（5）样品运输：由中标人负责，确保样品质量不受影响。</w:t>
            </w:r>
            <w:r>
              <w:br/>
            </w:r>
            <w:r>
              <w:rPr/>
              <w:t>（6）样品检验：由中标人负责，并对样品检验结果负责。</w:t>
            </w:r>
            <w:r>
              <w:br/>
            </w:r>
            <w:r>
              <w:rPr/>
              <w:t>（7）结果判定：本项目要求出具判定结论。</w:t>
            </w:r>
            <w:r>
              <w:br/>
            </w:r>
            <w:r>
              <w:rPr/>
              <w:t>（8）结果送达与数据报送：由中标人负责，检验完毕后，按要求及时送达。按照国家总局、省局和采购人有关文件要求，按时报送监测结果数据，发现问题样品，应及时上报和通报有关部门。</w:t>
            </w:r>
            <w:r>
              <w:br/>
            </w:r>
            <w:r>
              <w:rPr/>
              <w:t>（9）数据汇总与分析：依据汇总数据及抽查情况进行评估分析，对不合格项目进行原因及危害性分析，并编制分析报告。</w:t>
            </w:r>
            <w:r>
              <w:br/>
            </w:r>
            <w:r>
              <w:rPr/>
              <w:t>5.工作要求</w:t>
            </w:r>
            <w:r>
              <w:br/>
            </w:r>
            <w:r>
              <w:rPr/>
              <w:t>（1）对中标人在开展抽检监测过程中弄虚作假或不配合采购人开展工作的，采购人有权单方面终止合同，并追究其经济赔偿责任和法律责任。</w:t>
            </w:r>
            <w:r>
              <w:br/>
            </w:r>
            <w:r>
              <w:rPr/>
              <w:t>（2）中标人负责提供交通工具，积极配合抽检工作。须保证抽检过程公平、公正。</w:t>
            </w:r>
            <w:r>
              <w:br/>
            </w:r>
            <w:r>
              <w:rPr/>
              <w:t>（3）中标人实验室检验设备、检验人员充裕，能满足食品检验的特殊要求，能按时按质完成抽检任务，出具合法有效的检验报告。</w:t>
            </w:r>
            <w:r>
              <w:br/>
            </w:r>
            <w:r>
              <w:rPr/>
              <w:t>（4）中标人技术服务水平高，采样操作规范，实验室质量控制严格，近3年无食品检验数据严重质量问题。</w:t>
            </w:r>
            <w:r>
              <w:br/>
            </w:r>
            <w:r>
              <w:rPr/>
              <w:t>（5）沟通协调能力强，与各市市场监管部门工作配合到位。工作作风端正，态度温和。</w:t>
            </w:r>
            <w:r>
              <w:br/>
            </w:r>
            <w:r>
              <w:rPr/>
              <w:t>（6）中标人应按照专业操守尽职尽责，根据国际国内的相关标准进行样品的抽样、检验，并且按当次抽检方案约定日期出具检验报告；在采购人与第三方同等的条件下，中标人应优先完成对采购人的抽检和监测任务。</w:t>
            </w:r>
            <w:r>
              <w:br/>
            </w:r>
            <w:r>
              <w:rPr/>
              <w:t>（7）食品安全抽检监测工作遵照国家总局制定的最新工作规范执行，并接受广东省市场监督管理局及当地监察机构的监督。</w:t>
            </w:r>
            <w:r>
              <w:br/>
            </w:r>
            <w:r>
              <w:rPr/>
              <w:t>（8）中标人对检验结果的真实性负责，由于虚假、错误检验数据和结论而给被检人造成损失的，或者给社会带来不良影响的，采购人有权单方面终止合同，并承担赔偿责任及相应法律责任。</w:t>
            </w:r>
            <w:r>
              <w:br/>
            </w:r>
            <w:r>
              <w:rPr/>
              <w:t>（9）涉及抽样的全部情况包括数据及结果，中标人必须对抽检监测的结果及数据等信息保密，不得向除采购人外的任何单位与个人透露，否则采购人有权单方面终止合同；如造成经济损失及不良影响的，追究其经济赔偿责任和法律责任。</w:t>
            </w:r>
            <w:r>
              <w:br/>
            </w:r>
            <w:r>
              <w:rPr/>
              <w:t>（10）中标人应积极配合采购人开展抽检及后续工作。应安排专人与采购人联系，并提供手机、QQ、邮箱等联系方式， 必要时应在半小时内及时响应采购人需求。</w:t>
            </w:r>
            <w:r>
              <w:br/>
            </w:r>
            <w:r>
              <w:rPr/>
              <w:t>（11）中标人对其抽取的样品负责，检验结果反映送检样品的真实状况。</w:t>
            </w:r>
            <w:r>
              <w:br/>
            </w:r>
            <w:r>
              <w:rPr/>
              <w:t>6.服务考核标准</w:t>
            </w:r>
            <w:r>
              <w:br/>
            </w:r>
            <w:r>
              <w:rPr/>
              <w:t>经采购人认定中标人违反一项或多项以下内容，采购人视情况有权对中标人进行警告、处罚，情况严重的，采购人可单方面终止合同。</w:t>
            </w:r>
            <w:r>
              <w:br/>
            </w:r>
            <w:r>
              <w:rPr/>
              <w:t>（1）检测项目没有在其能力范围的；</w:t>
            </w:r>
            <w:r>
              <w:br/>
            </w:r>
            <w:r>
              <w:rPr/>
              <w:t>（2）中标人未按规定时间完成检测任务的；</w:t>
            </w:r>
            <w:r>
              <w:br/>
            </w:r>
            <w:r>
              <w:rPr/>
              <w:t>（3）经采购人数据复核（复检）确认，中标人检测准确度有较大误差，整改后无法纠正的；</w:t>
            </w:r>
            <w:r>
              <w:br/>
            </w:r>
            <w:r>
              <w:rPr/>
              <w:t>（4）多次出现漏检、误检、重检、检测结果错漏等，上报资料不符合规定的；</w:t>
            </w:r>
            <w:r>
              <w:br/>
            </w:r>
            <w:r>
              <w:rPr/>
              <w:t>（5）对采购人提出的工作任务不响应不配合的；</w:t>
            </w:r>
            <w:r>
              <w:br/>
            </w:r>
            <w:r>
              <w:rPr/>
              <w:t>（6）违反保密规定，泄露检测结果数据，或未经采购人许可擅自使用检测数据的；</w:t>
            </w:r>
            <w:r>
              <w:br/>
            </w:r>
            <w:r>
              <w:rPr/>
              <w:t>（7）数据弄虚作假，原始记录、图谱与电脑存档内容不符，没有保留原始图谱等。</w:t>
            </w:r>
            <w:r>
              <w:br/>
            </w:r>
            <w:r>
              <w:rPr>
                <w:b/>
              </w:rPr>
              <w:t>7.项目完成期要求：本采购包应在2022年11月30日前完成。</w:t>
            </w:r>
            <w:r>
              <w:br/>
            </w:r>
            <w:r>
              <w:rPr>
                <w:b/>
              </w:rPr>
              <w:t>★三、抽样检验信息系统</w:t>
            </w:r>
            <w:r>
              <w:br/>
            </w:r>
            <w:r>
              <w:rPr/>
              <w:t>中标人应能使用“国家食品安全抽样检验信息系统”抽样APP在线抽样以及出具电子版检验报告。严格按照时限要求将抽样检验信息录入“国家食品安全抽样检验信息系统”。</w:t>
            </w:r>
            <w:r>
              <w:br/>
            </w:r>
            <w:r>
              <w:rPr/>
              <w:t>四、检验工作的实施</w:t>
            </w:r>
            <w:r>
              <w:br/>
            </w:r>
            <w:r>
              <w:rPr/>
              <w:t>1.食品检验由食品检验机构指定的检验人独立进行。检验人应当依照有关法律、法规的规定，并依照食品安全标准和检验规范对食品进行检验，尊重科学，恪守职业道德，保证出具的检验数据和结论客观、公正，不得出具虚假的检验报告。</w:t>
            </w:r>
            <w:r>
              <w:br/>
            </w:r>
            <w:r>
              <w:rPr/>
              <w:t>2.工作要求：一般要求从收到样品之日起20个工作日内出具检验报告，如因特殊情况需延长检验期限的，可另行约定。 应节应急抽检、执法抽检等有特殊时限要求的，根据采购人要求加快检验。投标人应具有食品检验方法研发能力，了解行业发展动态，熟悉食品生产工艺，具备食品相关的科研能力。对目前暂未有判定依据的项目应出具检测数值、检测方法介绍、结果分析和处理建议。</w:t>
            </w:r>
            <w:r>
              <w:br/>
            </w:r>
            <w:r>
              <w:rPr>
                <w:b/>
              </w:rPr>
              <w:t>五、检验结果的处理</w:t>
            </w:r>
            <w:r>
              <w:br/>
            </w:r>
            <w:r>
              <w:rPr/>
              <w:t>1.出具检验结论、提供检验报告及有关材料的送达、告知：采购人将根据《中华人民共和国食品安全法》、《食品安全抽样检验管理办法》（市场监管总局令第15号）、《食品药品监管总局办公厅关于印发食品安全监督抽检和风险监测工作规 范的通知》等政策法规制定具体要求，供中标人执行。</w:t>
            </w:r>
            <w:r>
              <w:br/>
            </w:r>
            <w:r>
              <w:rPr/>
              <w:t>2.检验结果的评估：中标人应指派专人负责整理、分类、汇总抽检数据。中标人要对不合格项目进行原因及危害性分析 评估，并出具分析评估报告，提出下一步检测意见和建议。发生食品安全突发事件时，中标人应配合做好分析评估工作，为采购人的决策提供技术依据。</w:t>
            </w:r>
            <w:r>
              <w:br/>
            </w:r>
            <w:r>
              <w:rPr/>
              <w:t>3.对被抽检单位异议的处理以及复检：</w:t>
            </w:r>
            <w:r>
              <w:br/>
            </w:r>
            <w:r>
              <w:rPr/>
              <w:t>（1）协助采购人处理被抽检单位提出的异议申请。</w:t>
            </w:r>
            <w:r>
              <w:br/>
            </w:r>
            <w:r>
              <w:rPr/>
              <w:t>（2）初检机构配合有关复检工作，复检机构依法开展复检工作。</w:t>
            </w:r>
            <w:r>
              <w:br/>
            </w:r>
            <w:r>
              <w:rPr/>
              <w:t>（3）具备复检机构资格的中标人，在接到采购人指定的复检任务时，应予以受理。特殊情况不能接受的，中标人应说明理由并与采购人协商解决。复检机构由采购人指定。</w:t>
            </w:r>
            <w:r>
              <w:br/>
            </w:r>
            <w:r>
              <w:rPr/>
              <w:t>（4）复检结论与初检结论不一致的，复检费用由初检机构承担；复检结论与初检结论一致的，复检费用由复检申请人承担。</w:t>
            </w:r>
            <w:r>
              <w:br/>
            </w:r>
            <w:r>
              <w:rPr/>
              <w:t>4.为保证检验报告及有关公文的顺利送达，邮寄必须选择EMS。邮寄所需费用由中标人支付。</w:t>
            </w:r>
            <w:r>
              <w:br/>
            </w:r>
            <w:r>
              <w:rPr>
                <w:b/>
              </w:rPr>
              <w:t>六、技术服务</w:t>
            </w:r>
            <w:r>
              <w:br/>
            </w:r>
            <w:r>
              <w:rPr/>
              <w:t>中标人根据采购人的工作需求，提供以下技术服务：</w:t>
            </w:r>
            <w:r>
              <w:br/>
            </w:r>
            <w:r>
              <w:rPr/>
              <w:t>（1）食品安全宣传活动中的咨询、检测、宣讲等服务。</w:t>
            </w:r>
            <w:r>
              <w:br/>
            </w:r>
            <w:r>
              <w:rPr/>
              <w:t>（2）新闻发布、舆</w:t>
            </w:r>
            <w:r>
              <w:rPr>
                <w:color w:val="FFFFFF"/>
              </w:rPr>
              <w:t>.</w:t>
            </w:r>
            <w:r>
              <w:rPr/>
              <w:t>情应对、应急处置等相关工作中的技术支持。</w:t>
            </w:r>
            <w:r>
              <w:br/>
            </w:r>
            <w:r>
              <w:rPr/>
              <w:t>（3）安排专家接受咨询、参加研讨、提出建议等。</w:t>
            </w:r>
            <w:r>
              <w:br/>
            </w:r>
            <w:r>
              <w:rPr/>
              <w:t>（4）其他根据工作提出的技术服务。</w:t>
            </w:r>
            <w:r>
              <w:br/>
            </w:r>
            <w:r>
              <w:rPr/>
              <w:t xml:space="preserve"> </w:t>
            </w:r>
          </w:p>
          <w:p>
            <w:pPr>
              <w:ind w:firstLine="384"/>
              <w:jc w:val="both"/>
            </w:pPr>
            <w:r>
              <w:rPr/>
              <w:t xml:space="preserve"> </w:t>
            </w:r>
          </w:p>
          <w:p>
            <w:pPr>
              <w:ind w:firstLine="384"/>
              <w:jc w:val="both"/>
            </w:pPr>
            <w:r>
              <w:rPr/>
              <w:t xml:space="preserve"> </w:t>
            </w:r>
          </w:p>
          <w:p>
            <w:pPr>
              <w:ind w:firstLine="384"/>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采购包2（乳制品专项抽检监测）：</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服务期限：中标人应于2022年11月30日前完成所中标抽检工作，部分任务对具体完成时间另有要求的，经双方协商同意，以抽查实施方案确定的时间为准。</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1期：支付比例90%，合同签订后五个工作日内，按合同总额90%支付第一期费用；</w:t>
            </w:r>
          </w:p>
          <w:p/>
          <w:p>
            <w:r>
              <w:rPr/>
              <w:t>2期：支付比例10%，在合同项目结束后十个工作日内按合同总额10%支付合同尾款。</w:t>
            </w:r>
          </w:p>
        </w:tc>
      </w:tr>
      <w:tr>
        <w:tc>
          <w:tcPr>
            <w:tcW w:type="dxa" w:w="4153"/>
          </w:tcPr>
          <w:p>
            <w:r>
              <w:rPr/>
              <w:t>验收要求</w:t>
            </w:r>
          </w:p>
        </w:tc>
        <w:tc>
          <w:tcPr>
            <w:tcW w:type="dxa" w:w="4153"/>
          </w:tcPr>
          <w:p>
            <w:pPr>
              <w:jc w:val="left"/>
            </w:pPr>
          </w:p>
          <w:p/>
          <w:p/>
          <w:p>
            <w:r>
              <w:rPr/>
              <w:t>1期：1、</w:t>
              <w:tab/>
              <w:t>中标供应商需严格按照招标文件承诺内容提供相应服务，采购方有权对项目实施过程、售后服务情况进行检查、考核和客观评价况。 2、</w:t>
              <w:tab/>
              <w:t>中标供应商在本项目完成后，提出验收申请，由采购人对所编制文件进行审评验收。</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tc>
      </w:tr>
    </w:tbl>
    <w:p>
      <w:r>
        <w:rPr>
          <w:b/>
          <w:sz w:val="24"/>
        </w:rPr>
        <w:t>2.技术标准与要求</w:t>
      </w:r>
    </w:p>
    <w:tbl>
      <w:tblPr>
        <w:tblW w:w="0" w:type="auto"/>
        <w:tblBorders>
          <w:top w:val="single"/>
          <w:left w:val="single"/>
          <w:bottom w:val="single"/>
          <w:right w:val="single"/>
          <w:insideH w:val="single"/>
          <w:insideV w:val="single"/>
        </w:tblBorders>
      </w:tblPr>
      <w:tblGrid>
        <w:gridCol w:w="218"/>
        <w:gridCol w:w="363"/>
        <w:gridCol w:w="1816"/>
        <w:gridCol w:w="1816"/>
        <w:gridCol w:w="363"/>
        <w:gridCol w:w="660"/>
        <w:gridCol w:w="660"/>
        <w:gridCol w:w="660"/>
        <w:gridCol w:w="660"/>
        <w:gridCol w:w="726"/>
        <w:gridCol w:w="363"/>
      </w:tblGrid>
      <w:tr>
        <w:tc>
          <w:tcPr>
            <w:tcW w:type="dxa" w:w="218"/>
          </w:tcPr>
          <w:p>
            <w:r>
              <w:rPr/>
              <w:t>序号</w:t>
            </w:r>
          </w:p>
        </w:tc>
        <w:tc>
          <w:tcPr>
            <w:tcW w:type="dxa" w:w="363"/>
          </w:tcPr>
          <w:p>
            <w:r>
              <w:rPr/>
              <w:t>核心产品（“△”）</w:t>
            </w:r>
          </w:p>
        </w:tc>
        <w:tc>
          <w:tcPr>
            <w:tcW w:type="dxa" w:w="1816"/>
          </w:tcPr>
          <w:p>
            <w:r>
              <w:rPr/>
              <w:t>品目名称</w:t>
            </w:r>
          </w:p>
        </w:tc>
        <w:tc>
          <w:tcPr>
            <w:tcW w:type="dxa" w:w="1816"/>
          </w:tcPr>
          <w:p>
            <w:r>
              <w:rPr/>
              <w:t>标的名称</w:t>
            </w:r>
          </w:p>
        </w:tc>
        <w:tc>
          <w:tcPr>
            <w:tcW w:type="dxa" w:w="363"/>
          </w:tcPr>
          <w:p>
            <w:r>
              <w:rPr/>
              <w:t>单位</w:t>
            </w:r>
          </w:p>
        </w:tc>
        <w:tc>
          <w:tcPr>
            <w:tcW w:type="dxa" w:w="660"/>
          </w:tcPr>
          <w:p>
            <w:r>
              <w:rPr/>
              <w:t>数量</w:t>
            </w:r>
          </w:p>
        </w:tc>
        <w:tc>
          <w:tcPr>
            <w:tcW w:type="dxa" w:w="660"/>
          </w:tcPr>
          <w:p>
            <w:r>
              <w:rPr/>
              <w:t>分项预算单价（元）</w:t>
            </w:r>
          </w:p>
        </w:tc>
        <w:tc>
          <w:tcPr>
            <w:tcW w:type="dxa" w:w="660"/>
          </w:tcPr>
          <w:p>
            <w:r>
              <w:rPr/>
              <w:t>分项预算总价（元）</w:t>
            </w:r>
          </w:p>
        </w:tc>
        <w:tc>
          <w:tcPr>
            <w:tcW w:type="dxa" w:w="660"/>
          </w:tcPr>
          <w:p>
            <w:r>
              <w:rPr/>
              <w:t>权重%</w:t>
            </w:r>
          </w:p>
        </w:tc>
        <w:tc>
          <w:tcPr>
            <w:tcW w:type="dxa" w:w="726"/>
          </w:tcPr>
          <w:p>
            <w:r>
              <w:rPr/>
              <w:t>所属行业</w:t>
            </w:r>
          </w:p>
        </w:tc>
        <w:tc>
          <w:tcPr>
            <w:tcW w:type="dxa" w:w="363"/>
          </w:tcPr>
          <w:p>
            <w:r>
              <w:rPr/>
              <w:t>技术要求</w:t>
            </w:r>
          </w:p>
        </w:tc>
      </w:tr>
      <w:tr>
        <w:tc>
          <w:tcPr>
            <w:tcW w:type="dxa" w:w="218"/>
          </w:tcPr>
          <w:p>
            <w:r>
              <w:rPr/>
              <w:t>1</w:t>
            </w:r>
          </w:p>
        </w:tc>
        <w:tc>
          <w:tcPr>
            <w:tcW w:type="dxa" w:w="363"/>
          </w:tcPr>
          <w:p/>
        </w:tc>
        <w:tc>
          <w:tcPr>
            <w:tcW w:type="dxa" w:w="1816"/>
          </w:tcPr>
          <w:p>
            <w:r>
              <w:rPr/>
              <w:t>技术测试和分析服务</w:t>
            </w:r>
          </w:p>
        </w:tc>
        <w:tc>
          <w:tcPr>
            <w:tcW w:type="dxa" w:w="1816"/>
          </w:tcPr>
          <w:p>
            <w:r>
              <w:rPr/>
              <w:t>乳制品专项抽检监测</w:t>
            </w:r>
          </w:p>
        </w:tc>
        <w:tc>
          <w:tcPr>
            <w:tcW w:type="dxa" w:w="363"/>
          </w:tcPr>
          <w:p>
            <w:r>
              <w:rPr/>
              <w:t>项</w:t>
            </w:r>
          </w:p>
        </w:tc>
        <w:tc>
          <w:tcPr>
            <w:tcW w:type="dxa" w:w="660"/>
          </w:tcPr>
          <w:p>
            <w:pPr>
              <w:jc w:val="right"/>
            </w:pPr>
            <w:r>
              <w:rPr/>
              <w:t>1.0000</w:t>
            </w:r>
          </w:p>
        </w:tc>
        <w:tc>
          <w:tcPr>
            <w:tcW w:type="dxa" w:w="660"/>
          </w:tcPr>
          <w:p>
            <w:pPr>
              <w:jc w:val="right"/>
            </w:pPr>
            <w:r>
              <w:rPr/>
              <w:t>762,300.00</w:t>
            </w:r>
          </w:p>
        </w:tc>
        <w:tc>
          <w:tcPr>
            <w:tcW w:type="dxa" w:w="660"/>
          </w:tcPr>
          <w:p>
            <w:pPr>
              <w:jc w:val="right"/>
            </w:pPr>
            <w:r>
              <w:rPr/>
              <w:t>762,300.00</w:t>
            </w:r>
          </w:p>
        </w:tc>
        <w:tc>
          <w:tcPr>
            <w:tcW w:type="dxa" w:w="660"/>
          </w:tcPr>
          <w:p>
            <w:r>
              <w:rPr/>
              <w:t>100.0</w:t>
            </w:r>
          </w:p>
        </w:tc>
        <w:tc>
          <w:tcPr>
            <w:tcW w:type="dxa" w:w="726"/>
          </w:tcPr>
          <w:p>
            <w:r>
              <w:rPr/>
              <w:t>其他未列明行业</w:t>
            </w:r>
          </w:p>
        </w:tc>
        <w:tc>
          <w:tcPr>
            <w:tcW w:type="dxa" w:w="363"/>
          </w:tcPr>
          <w:p>
            <w:r>
              <w:rPr/>
              <w:t>详见附表一</w:t>
            </w:r>
          </w:p>
        </w:tc>
      </w:tr>
    </w:tbl>
    <w:p>
      <w:r>
        <w:rPr/>
        <w:t>备注：最终综合总报价=（各产品报价×各项产品权重）的相加值</w:t>
      </w:r>
    </w:p>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乳制品专项抽检监测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一、项目基本概况</w:t>
            </w:r>
          </w:p>
          <w:p>
            <w:pPr>
              <w:ind w:firstLine="384"/>
              <w:jc w:val="both"/>
            </w:pPr>
            <w:r>
              <w:rPr>
                <w:sz w:val="21"/>
              </w:rPr>
              <w:t>本采购包选定1家食品检验承检机构。本采购包中标人应能使用“国家食品安全抽样检验信息系统”抽样APP在线抽样以及出具电子版检验报告。</w:t>
            </w:r>
          </w:p>
          <w:p>
            <w:pPr>
              <w:jc w:val="both"/>
            </w:pPr>
            <w:r>
              <w:rPr>
                <w:b/>
                <w:sz w:val="21"/>
              </w:rPr>
              <w:t>二、服务要求</w:t>
            </w:r>
          </w:p>
          <w:p>
            <w:pPr>
              <w:ind w:firstLine="420"/>
              <w:jc w:val="left"/>
            </w:pPr>
            <w:r>
              <w:rPr>
                <w:sz w:val="21"/>
              </w:rPr>
              <w:t>1.</w:t>
            </w:r>
            <w:r>
              <w:rPr>
                <w:sz w:val="21"/>
              </w:rPr>
              <w:t>采购标的：</w:t>
            </w:r>
            <w:r>
              <w:rPr>
                <w:sz w:val="21"/>
              </w:rPr>
              <w:t>乳制品专项抽检监测</w:t>
            </w:r>
          </w:p>
          <w:p>
            <w:pPr>
              <w:ind w:firstLine="420"/>
              <w:jc w:val="left"/>
            </w:pPr>
            <w:r>
              <w:rPr>
                <w:sz w:val="21"/>
              </w:rPr>
              <w:t>2.</w:t>
            </w:r>
            <w:r>
              <w:rPr>
                <w:sz w:val="21"/>
              </w:rPr>
              <w:t>服务内容：</w:t>
            </w:r>
            <w:r>
              <w:rPr>
                <w:color w:val="000000"/>
                <w:sz w:val="21"/>
              </w:rPr>
              <w:t>对广东</w:t>
            </w:r>
            <w:r>
              <w:rPr>
                <w:sz w:val="21"/>
              </w:rPr>
              <w:t>省</w:t>
            </w:r>
            <w:r>
              <w:rPr>
                <w:sz w:val="21"/>
              </w:rPr>
              <w:t>乳制品生产企业</w:t>
            </w:r>
            <w:r>
              <w:rPr>
                <w:sz w:val="21"/>
              </w:rPr>
              <w:t>开展</w:t>
            </w:r>
            <w:r>
              <w:rPr>
                <w:color w:val="000000"/>
                <w:sz w:val="21"/>
              </w:rPr>
              <w:t>监督抽检及风险监测，计划抽取样品不低于270批次，抽样费、检验费等合计76.23万元。</w:t>
            </w:r>
          </w:p>
          <w:p>
            <w:pPr>
              <w:ind w:firstLine="420"/>
              <w:jc w:val="left"/>
            </w:pPr>
            <w:r>
              <w:rPr>
                <w:sz w:val="21"/>
              </w:rPr>
              <w:t>3.</w:t>
            </w:r>
            <w:r>
              <w:rPr>
                <w:sz w:val="21"/>
              </w:rPr>
              <w:t>食品细类及数量：</w:t>
            </w:r>
          </w:p>
          <w:tbl>
            <w:tblGrid>
              <w:gridCol w:w="800"/>
              <w:gridCol w:w="800"/>
              <w:gridCol w:w="800"/>
              <w:gridCol w:w="800"/>
              <w:gridCol w:w="800"/>
              <w:gridCol w:w="800"/>
              <w:gridCol w:w="800"/>
            </w:tblGrid>
            <w:tr>
              <w:tc>
                <w:tcPr>
                  <w:tcW w:type="dxa" w:w="800"/>
                  <w:vMerge w:val="restart"/>
                  <w:tcBorders>
                    <w:top w:val="single" w:color="000000" w:sz="4"/>
                    <w:left w:val="single" w:color="000000" w:sz="4"/>
                    <w:bottom w:val="single" w:color="000000" w:sz="4"/>
                    <w:right w:val="single" w:color="000000" w:sz="4"/>
                  </w:tcBorders>
                </w:tcPr>
                <w:p>
                  <w:pPr>
                    <w:jc w:val="center"/>
                  </w:pPr>
                  <w:r>
                    <w:rPr>
                      <w:b/>
                      <w:color w:val="000000"/>
                      <w:sz w:val="21"/>
                    </w:rPr>
                    <w:t>包2</w:t>
                  </w:r>
                </w:p>
              </w:tc>
              <w:tc>
                <w:tcPr>
                  <w:tcW w:type="dxa" w:w="800"/>
                  <w:tcBorders>
                    <w:top w:val="single" w:color="000000" w:sz="4"/>
                    <w:left w:val="none" w:color="000000" w:sz="4"/>
                    <w:bottom w:val="single" w:color="000000" w:sz="4"/>
                    <w:right w:val="single" w:color="000000" w:sz="4"/>
                  </w:tcBorders>
                </w:tcPr>
                <w:p>
                  <w:pPr>
                    <w:jc w:val="center"/>
                  </w:pPr>
                  <w:r>
                    <w:rPr>
                      <w:b/>
                      <w:color w:val="000000"/>
                      <w:sz w:val="21"/>
                    </w:rPr>
                    <w:t>任务类别</w:t>
                  </w:r>
                </w:p>
              </w:tc>
              <w:tc>
                <w:tcPr>
                  <w:tcW w:type="dxa" w:w="800"/>
                  <w:tcBorders>
                    <w:top w:val="single" w:color="000000" w:sz="4"/>
                    <w:left w:val="none" w:color="000000" w:sz="4"/>
                    <w:bottom w:val="single" w:color="000000" w:sz="4"/>
                    <w:right w:val="single" w:color="000000" w:sz="4"/>
                  </w:tcBorders>
                </w:tcPr>
                <w:p>
                  <w:pPr>
                    <w:jc w:val="center"/>
                  </w:pPr>
                  <w:r>
                    <w:rPr>
                      <w:b/>
                      <w:color w:val="000000"/>
                      <w:sz w:val="21"/>
                    </w:rPr>
                    <w:t>食品类别</w:t>
                  </w:r>
                </w:p>
              </w:tc>
              <w:tc>
                <w:tcPr>
                  <w:tcW w:type="dxa" w:w="800"/>
                  <w:tcBorders>
                    <w:top w:val="single" w:color="000000" w:sz="4"/>
                    <w:left w:val="none" w:color="000000" w:sz="4"/>
                    <w:bottom w:val="single" w:color="000000" w:sz="4"/>
                    <w:right w:val="single" w:color="000000" w:sz="4"/>
                  </w:tcBorders>
                </w:tcPr>
                <w:p>
                  <w:pPr>
                    <w:jc w:val="center"/>
                  </w:pPr>
                  <w:r>
                    <w:rPr>
                      <w:b/>
                      <w:color w:val="000000"/>
                      <w:sz w:val="21"/>
                    </w:rPr>
                    <w:t>食品细类</w:t>
                  </w:r>
                </w:p>
              </w:tc>
              <w:tc>
                <w:tcPr>
                  <w:tcW w:type="dxa" w:w="800"/>
                  <w:tcBorders>
                    <w:top w:val="single" w:color="000000" w:sz="4"/>
                    <w:left w:val="none" w:color="000000" w:sz="4"/>
                    <w:bottom w:val="single" w:color="000000" w:sz="4"/>
                    <w:right w:val="single" w:color="000000" w:sz="4"/>
                  </w:tcBorders>
                </w:tcPr>
                <w:p>
                  <w:pPr>
                    <w:jc w:val="center"/>
                  </w:pPr>
                  <w:r>
                    <w:rPr>
                      <w:b/>
                      <w:color w:val="000000"/>
                      <w:sz w:val="21"/>
                    </w:rPr>
                    <w:t>监督检验项目</w:t>
                  </w:r>
                </w:p>
              </w:tc>
              <w:tc>
                <w:tcPr>
                  <w:tcW w:type="dxa" w:w="800"/>
                  <w:tcBorders>
                    <w:top w:val="single" w:color="000000" w:sz="4"/>
                    <w:left w:val="none" w:color="000000" w:sz="4"/>
                    <w:bottom w:val="single" w:color="000000" w:sz="4"/>
                    <w:right w:val="single" w:color="000000" w:sz="4"/>
                  </w:tcBorders>
                </w:tcPr>
                <w:p>
                  <w:pPr>
                    <w:jc w:val="center"/>
                  </w:pPr>
                  <w:r>
                    <w:rPr>
                      <w:b/>
                      <w:color w:val="000000"/>
                      <w:sz w:val="21"/>
                    </w:rPr>
                    <w:t>风险监测项目</w:t>
                  </w:r>
                </w:p>
              </w:tc>
              <w:tc>
                <w:tcPr>
                  <w:tcW w:type="dxa" w:w="800"/>
                  <w:tcBorders>
                    <w:top w:val="single" w:color="000000" w:sz="4"/>
                    <w:left w:val="none" w:color="000000" w:sz="4"/>
                    <w:bottom w:val="single" w:color="000000" w:sz="4"/>
                    <w:right w:val="single" w:color="000000" w:sz="4"/>
                  </w:tcBorders>
                </w:tcPr>
                <w:p>
                  <w:pPr>
                    <w:jc w:val="center"/>
                  </w:pPr>
                  <w:r>
                    <w:rPr>
                      <w:b/>
                      <w:color w:val="000000"/>
                      <w:sz w:val="21"/>
                    </w:rPr>
                    <w:t>抽检批次数</w:t>
                  </w:r>
                </w:p>
              </w:tc>
            </w:tr>
            <w:tr>
              <w:tc>
                <w:tcPr>
                  <w:tcW w:type="dxa" w:w="800"/>
                  <w:vMerge/>
                  <w:tcBorders>
                    <w:top w:val="single" w:color="000000" w:sz="4"/>
                    <w:left w:val="single" w:color="000000" w:sz="4"/>
                    <w:bottom w:val="single" w:color="000000" w:sz="4"/>
                    <w:right w:val="single" w:color="000000" w:sz="4"/>
                  </w:tcBorders>
                </w:tcPr>
                <w:p/>
              </w:tc>
              <w:tc>
                <w:tcPr>
                  <w:tcW w:type="dxa" w:w="800"/>
                  <w:vMerge w:val="restart"/>
                  <w:tcBorders>
                    <w:top w:val="none" w:color="000000" w:sz="4"/>
                    <w:left w:val="none" w:color="000000" w:sz="4"/>
                    <w:bottom w:val="single" w:color="000000" w:sz="4"/>
                    <w:right w:val="single" w:color="000000" w:sz="4"/>
                  </w:tcBorders>
                </w:tcPr>
                <w:p>
                  <w:pPr>
                    <w:jc w:val="center"/>
                  </w:pPr>
                  <w:r>
                    <w:rPr>
                      <w:color w:val="000000"/>
                      <w:sz w:val="21"/>
                    </w:rPr>
                    <w:t>乳制品专项抽检监测</w:t>
                  </w:r>
                </w:p>
              </w:tc>
              <w:tc>
                <w:tcPr>
                  <w:tcW w:type="dxa" w:w="800"/>
                  <w:vMerge w:val="restart"/>
                  <w:tcBorders>
                    <w:top w:val="none" w:color="000000" w:sz="4"/>
                    <w:left w:val="none" w:color="000000" w:sz="4"/>
                    <w:bottom w:val="single" w:color="000000" w:sz="4"/>
                    <w:right w:val="single" w:color="000000" w:sz="4"/>
                  </w:tcBorders>
                </w:tcPr>
                <w:p>
                  <w:pPr>
                    <w:jc w:val="center"/>
                  </w:pPr>
                  <w:r>
                    <w:rPr>
                      <w:color w:val="000000"/>
                      <w:sz w:val="21"/>
                    </w:rPr>
                    <w:t>乳制品</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灭菌乳</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蛋白质、非脂乳固体、酸度、脂肪、商业无菌、钙（根据标签确定是否检测）</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氯霉素、硫氰酸钠（以硫氰酸根计）、双酚A、壬基酚、氯酸盐、高氯酸盐、糠氨酸、乳果糖、复原乳鉴定</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40</w:t>
                  </w:r>
                </w:p>
              </w:tc>
            </w:tr>
            <w:tr>
              <w:tc>
                <w:tcPr>
                  <w:tcW w:type="dxa" w:w="800"/>
                  <w:vMerge/>
                  <w:tcBorders>
                    <w:top w:val="singl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Pr>
                <w:p>
                  <w:pPr>
                    <w:jc w:val="center"/>
                  </w:pPr>
                  <w:r>
                    <w:rPr>
                      <w:color w:val="000000"/>
                      <w:sz w:val="21"/>
                    </w:rPr>
                    <w:t>巴氏杀菌乳</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蛋白质、酸度、三聚氰胺、菌落总数、大肠菌群、金黄色葡萄球菌、沙门氏菌、钙（根据标签确定是否检测）</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氯霉素、硫氰酸钠（以硫氰酸根计）、双酚A、壬基酚、氯酸盐、高氯酸盐、糠氨酸、乳果糖、复原乳鉴定</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40</w:t>
                  </w:r>
                </w:p>
              </w:tc>
            </w:tr>
            <w:tr>
              <w:tc>
                <w:tcPr>
                  <w:tcW w:type="dxa" w:w="800"/>
                  <w:vMerge/>
                  <w:tcBorders>
                    <w:top w:val="singl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Pr>
                <w:p>
                  <w:pPr>
                    <w:jc w:val="center"/>
                  </w:pPr>
                  <w:r>
                    <w:rPr>
                      <w:color w:val="000000"/>
                      <w:sz w:val="21"/>
                    </w:rPr>
                    <w:t>调制乳</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蛋白质、三聚氰胺、菌落总数、大肠菌群、商业无菌、钙（根据标签确定是否检测）</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苯甲酸及其钠盐（以苯甲酸计）、氯霉素、硫氰酸钠（以硫氰酸根计）、双酚A、壬基酚、高氯酸盐、氯酸盐</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30</w:t>
                  </w:r>
                </w:p>
              </w:tc>
            </w:tr>
            <w:tr>
              <w:tc>
                <w:tcPr>
                  <w:tcW w:type="dxa" w:w="800"/>
                  <w:vMerge/>
                  <w:tcBorders>
                    <w:top w:val="singl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Pr>
                <w:p>
                  <w:pPr>
                    <w:jc w:val="center"/>
                  </w:pPr>
                  <w:r>
                    <w:rPr>
                      <w:color w:val="000000"/>
                      <w:sz w:val="21"/>
                    </w:rPr>
                    <w:t>发酵乳</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脂肪、蛋白质、酸度、三聚氰胺、山梨酸及其钾盐（以山梨酸计）、大肠菌群、酵母、霉菌、金黄色葡萄球菌、沙门氏菌、脱氢乙酸及其钠盐（以脱氢乙酸计）、乳酸菌数、钙（根据标签确定是否检测）</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苯甲酸及其钠盐（以苯甲酸计）、氯霉素、纳他霉素、硫氰酸钠（以硫氰酸根计）、双酚A、壬基酚、高氯酸盐、氯酸盐</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50</w:t>
                  </w:r>
                </w:p>
              </w:tc>
            </w:tr>
            <w:tr>
              <w:tc>
                <w:tcPr>
                  <w:tcW w:type="dxa" w:w="800"/>
                  <w:vMerge/>
                  <w:tcBorders>
                    <w:top w:val="singl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Pr>
                <w:p>
                  <w:pPr>
                    <w:jc w:val="center"/>
                  </w:pPr>
                  <w:r>
                    <w:rPr>
                      <w:color w:val="000000"/>
                      <w:sz w:val="21"/>
                    </w:rPr>
                    <w:t>乳粉</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蛋白质、三聚氰胺、菌落总数、大肠菌群、黄曲霉毒素M1、钙（根据标签确定是否检测）、沙门氏菌、金黄色葡萄球菌</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苯甲酸及其钠盐（以苯甲酸计）、总汞（以Hg计）、铝的残留量（以Al计）、氯霉素、硫氰酸钠（以硫氰酸根计）、壬基酚、双酚A</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30</w:t>
                  </w:r>
                </w:p>
              </w:tc>
            </w:tr>
            <w:tr>
              <w:tc>
                <w:tcPr>
                  <w:tcW w:type="dxa" w:w="800"/>
                  <w:vMerge/>
                  <w:tcBorders>
                    <w:top w:val="singl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800"/>
                  <w:vMerge w:val="restart"/>
                  <w:tcBorders>
                    <w:top w:val="none" w:color="000000" w:sz="4"/>
                    <w:left w:val="none" w:color="000000" w:sz="4"/>
                    <w:bottom w:val="single" w:color="000000" w:sz="4"/>
                    <w:right w:val="single" w:color="000000" w:sz="4"/>
                  </w:tcBorders>
                </w:tcPr>
                <w:p>
                  <w:pPr>
                    <w:jc w:val="center"/>
                  </w:pPr>
                  <w:r>
                    <w:rPr>
                      <w:color w:val="000000"/>
                      <w:sz w:val="21"/>
                    </w:rPr>
                    <w:t>婴幼儿辅助食品</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婴幼儿谷类</w:t>
                  </w:r>
                  <w:r>
                    <w:br/>
                  </w:r>
                  <w:r>
                    <w:rPr>
                      <w:color w:val="000000"/>
                      <w:sz w:val="21"/>
                    </w:rPr>
                    <w:t>辅助食品</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能量、蛋白质、脂肪、亚油酸、月桂酸占总脂肪的比值、肉豆蔻酸占总脂肪的比值、维生素A、维生素D、维生素B1、钙、铁、锌、钠、可选择成分明示指标、水分、不溶性膳食纤维、脲酶活性定性测定、铅（以Pb计）、无机砷（以As计）、锡（以Sn计）、镉（以Cd计）、黄曲霉毒素B1、硝酸盐（以NaNO3计）、亚硝酸盐（以NaNO2计）、菌落总数、大肠菌群、沙门氏菌、金黄色葡萄球菌</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脱氧雪腐镰刀菌烯醇、邻苯二甲酸二丁酯（DBP）、邻苯二甲酸二（2-乙基）己酯（DEHP）、双酚A、壬基酚、伏马毒素B1、伏马毒素B2 、T-2毒素</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50</w:t>
                  </w:r>
                </w:p>
              </w:tc>
            </w:tr>
            <w:tr>
              <w:tc>
                <w:tcPr>
                  <w:tcW w:type="dxa" w:w="800"/>
                  <w:vMerge/>
                  <w:tcBorders>
                    <w:top w:val="singl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Pr>
                <w:p>
                  <w:pPr>
                    <w:jc w:val="center"/>
                  </w:pPr>
                  <w:r>
                    <w:rPr>
                      <w:color w:val="000000"/>
                      <w:sz w:val="21"/>
                    </w:rPr>
                    <w:t>辅食营养补充品</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蛋白质、黄曲霉毒素M1、黄曲霉毒素B1、铅（以Pb计）、总砷（以As计）、硝酸盐（以NaNO3计）、亚硝酸盐（以NaNO2计）、脲酶活性定性、菌落总数、大肠菌群、沙门氏菌、金黄色葡萄球菌</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镉（以Cd计）、总汞（以Hg计）、锡（以Sn计）、铬（以Cr计）、壬基酚、双酚A、邻苯二甲酸二丁酯（DBP）、邻苯二甲酸二（2-乙基）己酯（DEHP）</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30</w:t>
                  </w:r>
                </w:p>
              </w:tc>
            </w:tr>
            <w:tr>
              <w:tc>
                <w:tcPr>
                  <w:tcW w:type="dxa" w:w="800"/>
                  <w:vMerge/>
                  <w:tcBorders>
                    <w:top w:val="singl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2400"/>
                  <w:gridSpan w:val="3"/>
                  <w:tcBorders>
                    <w:top w:val="none" w:color="000000" w:sz="4"/>
                    <w:left w:val="none" w:color="000000" w:sz="4"/>
                    <w:bottom w:val="single" w:color="000000" w:sz="4"/>
                    <w:right w:val="single" w:color="000000" w:sz="4"/>
                  </w:tcBorders>
                </w:tcPr>
                <w:p>
                  <w:pPr>
                    <w:jc w:val="center"/>
                  </w:pPr>
                  <w:r>
                    <w:rPr>
                      <w:color w:val="000000"/>
                      <w:sz w:val="21"/>
                    </w:rPr>
                    <w:t>小计</w:t>
                  </w:r>
                </w:p>
              </w:tc>
              <w:tc>
                <w:tcPr>
                  <w:tcW w:type="dxa" w:w="800"/>
                  <w:tcBorders>
                    <w:top w:val="none" w:color="000000" w:sz="4"/>
                    <w:left w:val="none" w:color="000000" w:sz="4"/>
                    <w:bottom w:val="single" w:color="000000" w:sz="4"/>
                    <w:right w:val="single" w:color="000000" w:sz="4"/>
                  </w:tcBorders>
                </w:tcPr>
                <w:p>
                  <w:pPr>
                    <w:jc w:val="center"/>
                  </w:pPr>
                </w:p>
              </w:tc>
              <w:tc>
                <w:tcPr>
                  <w:tcW w:type="dxa" w:w="800"/>
                  <w:tcBorders>
                    <w:top w:val="none" w:color="000000" w:sz="4"/>
                    <w:left w:val="none" w:color="000000" w:sz="4"/>
                    <w:bottom w:val="single" w:color="000000" w:sz="4"/>
                    <w:right w:val="single" w:color="000000" w:sz="4"/>
                  </w:tcBorders>
                </w:tcPr>
                <w:p>
                  <w:pPr>
                    <w:jc w:val="center"/>
                  </w:pPr>
                  <w:r>
                    <w:rPr>
                      <w:color w:val="000000"/>
                      <w:sz w:val="21"/>
                    </w:rPr>
                    <w:t>270</w:t>
                  </w:r>
                </w:p>
              </w:tc>
            </w:tr>
          </w:tbl>
          <w:p>
            <w:pPr>
              <w:ind w:firstLine="420"/>
              <w:jc w:val="left"/>
            </w:pPr>
            <w:r>
              <w:rPr/>
              <w:t xml:space="preserve"> </w:t>
            </w:r>
          </w:p>
          <w:p>
            <w:pPr>
              <w:ind w:firstLine="420"/>
              <w:jc w:val="left"/>
            </w:pPr>
            <w:r>
              <w:rPr/>
              <w:t>4.基本要求：</w:t>
            </w:r>
            <w:r>
              <w:br/>
            </w:r>
            <w:r>
              <w:rPr/>
              <w:t>（1）采样地点：在广东省内开展抽查。</w:t>
            </w:r>
            <w:r>
              <w:br/>
            </w:r>
            <w:r>
              <w:rPr/>
              <w:t>（2）抽样人员：由中标人安排2名或以上具有符合要求的抽样人员。</w:t>
            </w:r>
            <w:r>
              <w:br/>
            </w:r>
            <w:r>
              <w:rPr/>
              <w:t>（3）完成时限：中标人应于2022年11月30日前完成所中标抽检工作，部分任务对具体完成时间另有要求的，经双方协  商同意，以抽查实施方案确定的时间为准。</w:t>
            </w:r>
            <w:r>
              <w:br/>
            </w:r>
            <w:r>
              <w:rPr/>
              <w:t>（4）采样办法：根据检验项目及国家标准中规定的采样方法及采样数量抽取样品。</w:t>
            </w:r>
            <w:r>
              <w:br/>
            </w:r>
            <w:r>
              <w:rPr/>
              <w:t>（5）样品运输：由中标人负责，确保样品质量不受影响。</w:t>
            </w:r>
            <w:r>
              <w:br/>
            </w:r>
            <w:r>
              <w:rPr/>
              <w:t>（6）样品检验：由中标人负责，并对样品检验结果负责。</w:t>
            </w:r>
            <w:r>
              <w:br/>
            </w:r>
            <w:r>
              <w:rPr/>
              <w:t>（7）结果判定：本项目要求出具判定结论。</w:t>
            </w:r>
            <w:r>
              <w:br/>
            </w:r>
            <w:r>
              <w:rPr/>
              <w:t>（8）结果送达与数据报送：由中标人负责，检验完毕后，按要求及时送达。按照国家总局、省局和采购人有关文件要求，按时报送监测结果数据，发现问题样品，应及时上报和通报有关部门。</w:t>
            </w:r>
            <w:r>
              <w:br/>
            </w:r>
            <w:r>
              <w:rPr/>
              <w:t>（9）数据汇总与分析：依据汇总数据及抽查情况进行评估分析，对不合格项目进行原因及危害性分析，并编制分析报告。</w:t>
            </w:r>
            <w:r>
              <w:br/>
            </w:r>
            <w:r>
              <w:rPr/>
              <w:t>5.工作要求</w:t>
            </w:r>
            <w:r>
              <w:br/>
            </w:r>
            <w:r>
              <w:rPr/>
              <w:t>（1）对中标人在开展抽检监测过程中弄虚作假或不配合采购人开展工作的，采购人有权单方面终止合同，并追究其经济赔偿责任和法律责任。</w:t>
            </w:r>
            <w:r>
              <w:br/>
            </w:r>
            <w:r>
              <w:rPr/>
              <w:t>（2）中标人负责提供交通工具，积极配合抽检工作。须保证抽检过程公平、公正。</w:t>
            </w:r>
            <w:r>
              <w:br/>
            </w:r>
            <w:r>
              <w:rPr/>
              <w:t>（3）中标人实验室检验设备、检验人员充裕，能满足食品检验的特殊要求，能按时按质完成抽检任务，出具合法有效的检验报告。</w:t>
            </w:r>
            <w:r>
              <w:br/>
            </w:r>
            <w:r>
              <w:rPr/>
              <w:t>（4）中标人技术服务水平高，采样操作规范，实验室质量控制严格，近3年无食品检验数据严重质量问题。</w:t>
            </w:r>
            <w:r>
              <w:br/>
            </w:r>
            <w:r>
              <w:rPr/>
              <w:t>（5）沟通协调能力强，与各市市场监管部门工作配合到位。工作作风端正，态度温和。</w:t>
            </w:r>
            <w:r>
              <w:br/>
            </w:r>
            <w:r>
              <w:rPr/>
              <w:t>（6）中标人应按照专业操守尽职尽责，根据国际国内的相关标准进行样品的抽样、检验，并且按当次抽检方案约定日期出具检验报告；在采购人与第三方同等的条件下，中标人应优先完成对采购人的抽检和监测任务。</w:t>
            </w:r>
            <w:r>
              <w:br/>
            </w:r>
            <w:r>
              <w:rPr/>
              <w:t>（7）食品安全抽检监测工作遵照国家总局制定的最新工作规范执行，并接受广东省市场监督管理局及当地监察机构的监督。</w:t>
            </w:r>
            <w:r>
              <w:br/>
            </w:r>
            <w:r>
              <w:rPr/>
              <w:t>（8）中标人对检验结果的真实性负责，由于虚假、错误检验数据和结论而给被检人造成损失的，或者给社会带来不良影响的，采购人有权单方面终止合同，并承担赔偿责任及相应法律责任。</w:t>
            </w:r>
            <w:r>
              <w:br/>
            </w:r>
            <w:r>
              <w:rPr/>
              <w:t>（9）涉及抽样的全部情况包括数据及结果，中标人必须对抽检监测的结果及数据等信息保密，不得向除采购人外的任何单位与个人透露，否则采购人有权单方面终止合同；如造成经济损失及不良影响的，追究其经济赔偿责任和法律责任。</w:t>
            </w:r>
            <w:r>
              <w:br/>
            </w:r>
            <w:r>
              <w:rPr/>
              <w:t>（10）中标人应积极配合采购人开展抽检及后续工作。应安排专人与采购人联系，并提供手机、QQ、邮箱等联系方式， 必要时应在半小时内及时响应采购人需求。</w:t>
            </w:r>
            <w:r>
              <w:br/>
            </w:r>
            <w:r>
              <w:rPr/>
              <w:t>（11）中标人对其抽取的样品负责，检验结果反映送检样品的真实状况。</w:t>
            </w:r>
            <w:r>
              <w:br/>
            </w:r>
            <w:r>
              <w:rPr/>
              <w:t>6.服务考核标准</w:t>
            </w:r>
            <w:r>
              <w:br/>
            </w:r>
            <w:r>
              <w:rPr/>
              <w:t>经采购人认定中标人违反一项或多项以下内容，采购人视情况有权对中标人进行警告、处罚，情况严重的，采购人可单方面终止合同。</w:t>
            </w:r>
            <w:r>
              <w:br/>
            </w:r>
            <w:r>
              <w:rPr/>
              <w:t>（1）检测项目没有在其能力范围的；</w:t>
            </w:r>
            <w:r>
              <w:br/>
            </w:r>
            <w:r>
              <w:rPr/>
              <w:t>（2）中标人未按规定时间完成检测任务的；</w:t>
            </w:r>
            <w:r>
              <w:br/>
            </w:r>
            <w:r>
              <w:rPr/>
              <w:t>（3）经采购人数据复核（复检）确认，中标人检测准确度有较大误差，整改后无法纠正的；</w:t>
            </w:r>
            <w:r>
              <w:br/>
            </w:r>
            <w:r>
              <w:rPr/>
              <w:t>（4）多次出现漏检、误检、重检、检测结果错漏等，上报资料不符合规定的；</w:t>
            </w:r>
            <w:r>
              <w:br/>
            </w:r>
            <w:r>
              <w:rPr/>
              <w:t>（5）对采购人提出的工作任务不响应不配合的；</w:t>
            </w:r>
            <w:r>
              <w:br/>
            </w:r>
            <w:r>
              <w:rPr/>
              <w:t>（6）违反保密规定，泄露检测结果数据，或未经采购人许可擅自使用检测数据的；</w:t>
            </w:r>
            <w:r>
              <w:br/>
            </w:r>
            <w:r>
              <w:rPr/>
              <w:t>（7）数据弄虚作假，原始记录、图谱与电脑存档内容不符，没有保留原始图谱等。</w:t>
            </w:r>
            <w:r>
              <w:br/>
            </w:r>
            <w:r>
              <w:rPr/>
              <w:t>7.项目完成期要求：本采购包应在2022年11月30日前完成。</w:t>
            </w:r>
            <w:r>
              <w:br/>
            </w:r>
            <w:r>
              <w:rPr/>
              <w:t>★三、抽样检验信息系统</w:t>
            </w:r>
            <w:r>
              <w:br/>
            </w:r>
            <w:r>
              <w:rPr/>
              <w:t>中标人应能使用“国家食品安全抽样检验信息系统”抽样APP在线抽样以及出具电子版检验报告。严格按照时限要求将抽样检验信息录入“国家食品安全抽样检验信息系统”</w:t>
            </w:r>
            <w:r>
              <w:br/>
            </w:r>
            <w:r>
              <w:rPr/>
              <w:t>四、检验工作的实施</w:t>
            </w:r>
            <w:r>
              <w:br/>
            </w:r>
            <w:r>
              <w:rPr/>
              <w:t>1.食品检验由食品检验机构指定的检验人独立进行。检验人应当依照有关法律、法规的规定，并依照食品安全标准和检验规范对食品进行检验，尊重科学，恪守职业道德，保证出具的检验数据和结论客观、公正，不得出具虚假的检验报告。</w:t>
            </w:r>
            <w:r>
              <w:br/>
            </w:r>
            <w:r>
              <w:rPr/>
              <w:t>2、工作要求：一般要求从收到样品之日起20个工作日内出具检验报告，如因特殊情况需延长检验期限的，可另行约定。 应节应急抽检、执法抽检等有特殊时限要求的，根据采购人要求加快检验。投标人应具有食品检验方法研发能力，了解行业发展动态，熟悉食品生产工艺，具备食品相关的科研能力。对目前暂未有判定依据的项目应出具检测数值、检测方法介绍、结果分析和处理建议。</w:t>
            </w:r>
            <w:r>
              <w:br/>
            </w:r>
            <w:r>
              <w:rPr/>
              <w:t>五、检验结果的处理</w:t>
            </w:r>
            <w:r>
              <w:br/>
            </w:r>
            <w:r>
              <w:rPr/>
              <w:t>1.出具检验结论、提供检验报告及有关材料的送达、告知：采购人将根据《中华人民共和国食品安全法》、《食品安全抽样检验管理办法》（市场监管总局令第15号）、《食品药品监管总局办公厅关于印发食品安全监督抽检和风险监测工作规 范的通知》等政策法规制定具体要求，供中标人执行。</w:t>
            </w:r>
            <w:r>
              <w:br/>
            </w:r>
            <w:r>
              <w:rPr/>
              <w:t>2.检验结果的评估：中标人应指派专人负责整理、分类、汇总抽检数据。中标人要对不合格项目进行原因及危害性分析 评估，并出具分析评估报告，提出下一步检测意见和建议。发生食品安全突发事件时，中标人应配合做好分析评估工作，为采购人的决策提供技术依据。</w:t>
            </w:r>
            <w:r>
              <w:br/>
            </w:r>
            <w:r>
              <w:rPr/>
              <w:t>3.对被抽检单位异议的处理以及复检：</w:t>
            </w:r>
            <w:r>
              <w:br/>
            </w:r>
            <w:r>
              <w:rPr/>
              <w:t>（1）协助采购人处理被抽检单位提出的异议申请。</w:t>
            </w:r>
            <w:r>
              <w:br/>
            </w:r>
            <w:r>
              <w:rPr/>
              <w:t>（2）初检机构配合有关复检工作，复检机构依法开展复检工作。</w:t>
            </w:r>
            <w:r>
              <w:br/>
            </w:r>
            <w:r>
              <w:rPr/>
              <w:t>（3）具备复检机构资格的中标人，在接到采购人指定的复检任务时，应予以受理。特殊情况不能接受的，中标人应说明理由并与采购人协商解决。复检机构由采购人指定。</w:t>
            </w:r>
            <w:r>
              <w:br/>
            </w:r>
            <w:r>
              <w:rPr/>
              <w:t>（4）复检结论与初检结论不一致的，复检费用由初检机构承担；复检结论与初检结论一致的，复检费用由复检申请人承担。</w:t>
            </w:r>
            <w:r>
              <w:br/>
            </w:r>
            <w:r>
              <w:rPr/>
              <w:t>4.为保证检验报告及有关公文的顺利送达，邮寄必须选择EMS。邮寄所需费用由中标人支付。</w:t>
            </w:r>
            <w:r>
              <w:br/>
            </w:r>
            <w:r>
              <w:rPr/>
              <w:t>六、技术服务</w:t>
            </w:r>
            <w:r>
              <w:br/>
            </w:r>
            <w:r>
              <w:rPr/>
              <w:t>中标人根据采购人的工作需求，提供以下技术服务：</w:t>
            </w:r>
            <w:r>
              <w:br/>
            </w:r>
            <w:r>
              <w:rPr/>
              <w:t>（1）食品安全宣传活动中的咨询、检测、宣讲等服务。</w:t>
            </w:r>
            <w:r>
              <w:br/>
            </w:r>
            <w:r>
              <w:rPr/>
              <w:t>（2）新闻发布、舆</w:t>
            </w:r>
            <w:r>
              <w:rPr>
                <w:color w:val="FFFFFF"/>
              </w:rPr>
              <w:t>.</w:t>
            </w:r>
            <w:r>
              <w:rPr/>
              <w:t>情应对、应急处置等相关工作中的技术支持。</w:t>
            </w:r>
            <w:r>
              <w:br/>
            </w:r>
            <w:r>
              <w:rPr/>
              <w:t>（3）安排专家接受咨询、参加研讨、提出建议等。</w:t>
            </w:r>
            <w:r>
              <w:br/>
            </w:r>
            <w:r>
              <w:rPr/>
              <w:t>（4）其他根据工作提出的技术服务。</w:t>
            </w:r>
            <w:r>
              <w:br/>
            </w:r>
            <w:r>
              <w:rPr/>
              <w:t xml:space="preserve"> </w:t>
            </w:r>
          </w:p>
          <w:p>
            <w:pPr>
              <w:ind w:firstLine="420"/>
              <w:jc w:val="left"/>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采购包3（植物源专项抽检监测）：</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服务期限：中标人应于2022年11月30日前完成所中标抽检工作，部分任务对具体完成时间另有要求的，经双方协商同意，以抽查实施方案确定的时间为准。</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1期：支付比例90%，合同签订后五个工作日内，按合同总额90%支付第一期费用；</w:t>
            </w:r>
          </w:p>
          <w:p/>
          <w:p>
            <w:r>
              <w:rPr/>
              <w:t>2期：支付比例10%，在合同项目结束后十个工作日内按合同总额10%支付合同尾款。</w:t>
            </w:r>
          </w:p>
        </w:tc>
      </w:tr>
      <w:tr>
        <w:tc>
          <w:tcPr>
            <w:tcW w:type="dxa" w:w="4153"/>
          </w:tcPr>
          <w:p>
            <w:r>
              <w:rPr/>
              <w:t>验收要求</w:t>
            </w:r>
          </w:p>
        </w:tc>
        <w:tc>
          <w:tcPr>
            <w:tcW w:type="dxa" w:w="4153"/>
          </w:tcPr>
          <w:p>
            <w:pPr>
              <w:jc w:val="left"/>
            </w:pPr>
          </w:p>
          <w:p/>
          <w:p/>
          <w:p>
            <w:r>
              <w:rPr/>
              <w:t>1期：1、</w:t>
              <w:tab/>
              <w:t>中标供应商需严格按照招标文件承诺内容提供相应服务，采购方有权对项目实施过程、售后服务情况进行检查、考核和客观评价况。 2、</w:t>
              <w:tab/>
              <w:t>中标供应商在本项目完成后，提出验收申请，由采购人对所编制文件进行审评验收。</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tc>
      </w:tr>
    </w:tbl>
    <w:p>
      <w:r>
        <w:rPr>
          <w:b/>
          <w:sz w:val="24"/>
        </w:rPr>
        <w:t>2.技术标准与要求</w:t>
      </w:r>
    </w:p>
    <w:tbl>
      <w:tblPr>
        <w:tblW w:w="0" w:type="auto"/>
        <w:tblBorders>
          <w:top w:val="single"/>
          <w:left w:val="single"/>
          <w:bottom w:val="single"/>
          <w:right w:val="single"/>
          <w:insideH w:val="single"/>
          <w:insideV w:val="single"/>
        </w:tblBorders>
      </w:tblPr>
      <w:tblGrid>
        <w:gridCol w:w="218"/>
        <w:gridCol w:w="363"/>
        <w:gridCol w:w="1816"/>
        <w:gridCol w:w="1816"/>
        <w:gridCol w:w="363"/>
        <w:gridCol w:w="660"/>
        <w:gridCol w:w="660"/>
        <w:gridCol w:w="660"/>
        <w:gridCol w:w="660"/>
        <w:gridCol w:w="726"/>
        <w:gridCol w:w="363"/>
      </w:tblGrid>
      <w:tr>
        <w:tc>
          <w:tcPr>
            <w:tcW w:type="dxa" w:w="218"/>
          </w:tcPr>
          <w:p>
            <w:r>
              <w:rPr/>
              <w:t>序号</w:t>
            </w:r>
          </w:p>
        </w:tc>
        <w:tc>
          <w:tcPr>
            <w:tcW w:type="dxa" w:w="363"/>
          </w:tcPr>
          <w:p>
            <w:r>
              <w:rPr/>
              <w:t>核心产品（“△”）</w:t>
            </w:r>
          </w:p>
        </w:tc>
        <w:tc>
          <w:tcPr>
            <w:tcW w:type="dxa" w:w="1816"/>
          </w:tcPr>
          <w:p>
            <w:r>
              <w:rPr/>
              <w:t>品目名称</w:t>
            </w:r>
          </w:p>
        </w:tc>
        <w:tc>
          <w:tcPr>
            <w:tcW w:type="dxa" w:w="1816"/>
          </w:tcPr>
          <w:p>
            <w:r>
              <w:rPr/>
              <w:t>标的名称</w:t>
            </w:r>
          </w:p>
        </w:tc>
        <w:tc>
          <w:tcPr>
            <w:tcW w:type="dxa" w:w="363"/>
          </w:tcPr>
          <w:p>
            <w:r>
              <w:rPr/>
              <w:t>单位</w:t>
            </w:r>
          </w:p>
        </w:tc>
        <w:tc>
          <w:tcPr>
            <w:tcW w:type="dxa" w:w="660"/>
          </w:tcPr>
          <w:p>
            <w:r>
              <w:rPr/>
              <w:t>数量</w:t>
            </w:r>
          </w:p>
        </w:tc>
        <w:tc>
          <w:tcPr>
            <w:tcW w:type="dxa" w:w="660"/>
          </w:tcPr>
          <w:p>
            <w:r>
              <w:rPr/>
              <w:t>分项预算单价（元）</w:t>
            </w:r>
          </w:p>
        </w:tc>
        <w:tc>
          <w:tcPr>
            <w:tcW w:type="dxa" w:w="660"/>
          </w:tcPr>
          <w:p>
            <w:r>
              <w:rPr/>
              <w:t>分项预算总价（元）</w:t>
            </w:r>
          </w:p>
        </w:tc>
        <w:tc>
          <w:tcPr>
            <w:tcW w:type="dxa" w:w="660"/>
          </w:tcPr>
          <w:p>
            <w:r>
              <w:rPr/>
              <w:t>权重%</w:t>
            </w:r>
          </w:p>
        </w:tc>
        <w:tc>
          <w:tcPr>
            <w:tcW w:type="dxa" w:w="726"/>
          </w:tcPr>
          <w:p>
            <w:r>
              <w:rPr/>
              <w:t>所属行业</w:t>
            </w:r>
          </w:p>
        </w:tc>
        <w:tc>
          <w:tcPr>
            <w:tcW w:type="dxa" w:w="363"/>
          </w:tcPr>
          <w:p>
            <w:r>
              <w:rPr/>
              <w:t>技术要求</w:t>
            </w:r>
          </w:p>
        </w:tc>
      </w:tr>
      <w:tr>
        <w:tc>
          <w:tcPr>
            <w:tcW w:type="dxa" w:w="218"/>
          </w:tcPr>
          <w:p>
            <w:r>
              <w:rPr/>
              <w:t>1</w:t>
            </w:r>
          </w:p>
        </w:tc>
        <w:tc>
          <w:tcPr>
            <w:tcW w:type="dxa" w:w="363"/>
          </w:tcPr>
          <w:p/>
        </w:tc>
        <w:tc>
          <w:tcPr>
            <w:tcW w:type="dxa" w:w="1816"/>
          </w:tcPr>
          <w:p>
            <w:r>
              <w:rPr/>
              <w:t>技术测试和分析服务</w:t>
            </w:r>
          </w:p>
        </w:tc>
        <w:tc>
          <w:tcPr>
            <w:tcW w:type="dxa" w:w="1816"/>
          </w:tcPr>
          <w:p>
            <w:r>
              <w:rPr/>
              <w:t>植物源专项抽检监测</w:t>
            </w:r>
          </w:p>
        </w:tc>
        <w:tc>
          <w:tcPr>
            <w:tcW w:type="dxa" w:w="363"/>
          </w:tcPr>
          <w:p>
            <w:r>
              <w:rPr/>
              <w:t>项</w:t>
            </w:r>
          </w:p>
        </w:tc>
        <w:tc>
          <w:tcPr>
            <w:tcW w:type="dxa" w:w="660"/>
          </w:tcPr>
          <w:p>
            <w:pPr>
              <w:jc w:val="right"/>
            </w:pPr>
            <w:r>
              <w:rPr/>
              <w:t>1.0000</w:t>
            </w:r>
          </w:p>
        </w:tc>
        <w:tc>
          <w:tcPr>
            <w:tcW w:type="dxa" w:w="660"/>
          </w:tcPr>
          <w:p>
            <w:pPr>
              <w:jc w:val="right"/>
            </w:pPr>
            <w:r>
              <w:rPr/>
              <w:t>3,883,200.00</w:t>
            </w:r>
          </w:p>
        </w:tc>
        <w:tc>
          <w:tcPr>
            <w:tcW w:type="dxa" w:w="660"/>
          </w:tcPr>
          <w:p>
            <w:pPr>
              <w:jc w:val="right"/>
            </w:pPr>
            <w:r>
              <w:rPr/>
              <w:t>3,883,200.00</w:t>
            </w:r>
          </w:p>
        </w:tc>
        <w:tc>
          <w:tcPr>
            <w:tcW w:type="dxa" w:w="660"/>
          </w:tcPr>
          <w:p>
            <w:r>
              <w:rPr/>
              <w:t>100.0</w:t>
            </w:r>
          </w:p>
        </w:tc>
        <w:tc>
          <w:tcPr>
            <w:tcW w:type="dxa" w:w="726"/>
          </w:tcPr>
          <w:p>
            <w:r>
              <w:rPr/>
              <w:t>其他未列明行业</w:t>
            </w:r>
          </w:p>
        </w:tc>
        <w:tc>
          <w:tcPr>
            <w:tcW w:type="dxa" w:w="363"/>
          </w:tcPr>
          <w:p>
            <w:r>
              <w:rPr/>
              <w:t>详见附表一</w:t>
            </w:r>
          </w:p>
        </w:tc>
      </w:tr>
    </w:tbl>
    <w:p>
      <w:r>
        <w:rPr/>
        <w:t>备注：最终综合总报价=（各产品报价×各项产品权重）的相加值</w:t>
      </w:r>
    </w:p>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植物源专项抽检监测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一、项目基本概况</w:t>
            </w:r>
          </w:p>
          <w:p>
            <w:pPr>
              <w:ind w:firstLine="384"/>
              <w:jc w:val="both"/>
            </w:pPr>
            <w:r>
              <w:rPr>
                <w:sz w:val="21"/>
              </w:rPr>
              <w:t>本采购包选定1家食品检验承检机构。本采购包中标人应能使用“国家食品安全抽样检验信息系统”抽样APP在线抽样以及出具电子版检验报告。</w:t>
            </w:r>
          </w:p>
          <w:p>
            <w:pPr>
              <w:jc w:val="both"/>
            </w:pPr>
            <w:r>
              <w:rPr>
                <w:b/>
                <w:sz w:val="21"/>
              </w:rPr>
              <w:t>二、服务要求</w:t>
            </w:r>
          </w:p>
          <w:p>
            <w:pPr>
              <w:ind w:firstLine="384"/>
              <w:jc w:val="both"/>
            </w:pPr>
            <w:r>
              <w:rPr>
                <w:sz w:val="21"/>
              </w:rPr>
              <w:t>1.采购标的：植物源专项抽检监测</w:t>
            </w:r>
          </w:p>
          <w:p>
            <w:pPr>
              <w:ind w:firstLine="384"/>
              <w:jc w:val="both"/>
            </w:pPr>
            <w:r>
              <w:rPr>
                <w:sz w:val="21"/>
              </w:rPr>
              <w:t>2.</w:t>
            </w:r>
            <w:r>
              <w:rPr>
                <w:sz w:val="21"/>
              </w:rPr>
              <w:t>服务内容：</w:t>
            </w:r>
            <w:r>
              <w:rPr>
                <w:color w:val="000000"/>
                <w:sz w:val="21"/>
              </w:rPr>
              <w:t>对</w:t>
            </w:r>
            <w:r>
              <w:rPr>
                <w:sz w:val="21"/>
              </w:rPr>
              <w:t>广东省植物源生产企业</w:t>
            </w:r>
            <w:r>
              <w:rPr>
                <w:sz w:val="21"/>
              </w:rPr>
              <w:t>开</w:t>
            </w:r>
            <w:r>
              <w:rPr>
                <w:color w:val="000000"/>
                <w:sz w:val="21"/>
              </w:rPr>
              <w:t>展监督抽检及风险监测，计划抽取样品不低于1510批次，抽样费、检验费等合计388.32万元。</w:t>
            </w:r>
          </w:p>
          <w:p>
            <w:pPr>
              <w:ind w:firstLine="384"/>
              <w:jc w:val="both"/>
            </w:pPr>
            <w:r>
              <w:rPr>
                <w:sz w:val="21"/>
              </w:rPr>
              <w:t>3.</w:t>
            </w:r>
            <w:r>
              <w:rPr>
                <w:sz w:val="21"/>
              </w:rPr>
              <w:t>食品细类及数量：</w:t>
            </w:r>
          </w:p>
          <w:tbl>
            <w:tblGrid>
              <w:gridCol w:w="800"/>
              <w:gridCol w:w="800"/>
              <w:gridCol w:w="800"/>
              <w:gridCol w:w="800"/>
              <w:gridCol w:w="800"/>
              <w:gridCol w:w="800"/>
              <w:gridCol w:w="800"/>
            </w:tblGrid>
            <w:tr>
              <w:tc>
                <w:tcPr>
                  <w:tcW w:type="dxa" w:w="800"/>
                  <w:vMerge w:val="restart"/>
                  <w:tcBorders>
                    <w:top w:val="single" w:color="000000" w:sz="4"/>
                    <w:left w:val="single" w:color="000000" w:sz="4"/>
                    <w:bottom w:val="single" w:color="000000" w:sz="4"/>
                    <w:right w:val="single" w:color="000000" w:sz="4"/>
                  </w:tcBorders>
                </w:tcPr>
                <w:p>
                  <w:pPr>
                    <w:jc w:val="center"/>
                  </w:pPr>
                  <w:r>
                    <w:rPr>
                      <w:color w:val="000000"/>
                      <w:sz w:val="21"/>
                    </w:rPr>
                    <w:t>包3</w:t>
                  </w:r>
                </w:p>
              </w:tc>
              <w:tc>
                <w:tcPr>
                  <w:tcW w:type="dxa" w:w="800"/>
                  <w:tcBorders>
                    <w:top w:val="single" w:color="000000" w:sz="4"/>
                    <w:left w:val="none" w:color="000000" w:sz="4"/>
                    <w:bottom w:val="single" w:color="000000" w:sz="4"/>
                    <w:right w:val="single" w:color="000000" w:sz="4"/>
                  </w:tcBorders>
                </w:tcPr>
                <w:p>
                  <w:pPr>
                    <w:jc w:val="center"/>
                  </w:pPr>
                  <w:r>
                    <w:rPr>
                      <w:b/>
                      <w:color w:val="000000"/>
                      <w:sz w:val="21"/>
                    </w:rPr>
                    <w:t>任务类别</w:t>
                  </w:r>
                </w:p>
              </w:tc>
              <w:tc>
                <w:tcPr>
                  <w:tcW w:type="dxa" w:w="800"/>
                  <w:tcBorders>
                    <w:top w:val="single" w:color="000000" w:sz="4"/>
                    <w:left w:val="none" w:color="000000" w:sz="4"/>
                    <w:bottom w:val="single" w:color="000000" w:sz="4"/>
                    <w:right w:val="single" w:color="000000" w:sz="4"/>
                  </w:tcBorders>
                </w:tcPr>
                <w:p>
                  <w:pPr>
                    <w:jc w:val="center"/>
                  </w:pPr>
                  <w:r>
                    <w:rPr>
                      <w:b/>
                      <w:color w:val="000000"/>
                      <w:sz w:val="21"/>
                    </w:rPr>
                    <w:t>食品类别</w:t>
                  </w:r>
                </w:p>
              </w:tc>
              <w:tc>
                <w:tcPr>
                  <w:tcW w:type="dxa" w:w="800"/>
                  <w:tcBorders>
                    <w:top w:val="single" w:color="000000" w:sz="4"/>
                    <w:left w:val="none" w:color="000000" w:sz="4"/>
                    <w:bottom w:val="single" w:color="000000" w:sz="4"/>
                    <w:right w:val="single" w:color="000000" w:sz="4"/>
                  </w:tcBorders>
                </w:tcPr>
                <w:p>
                  <w:pPr>
                    <w:jc w:val="center"/>
                  </w:pPr>
                  <w:r>
                    <w:rPr>
                      <w:b/>
                      <w:color w:val="000000"/>
                      <w:sz w:val="21"/>
                    </w:rPr>
                    <w:t>食品细类</w:t>
                  </w:r>
                </w:p>
              </w:tc>
              <w:tc>
                <w:tcPr>
                  <w:tcW w:type="dxa" w:w="800"/>
                  <w:tcBorders>
                    <w:top w:val="single" w:color="000000" w:sz="4"/>
                    <w:left w:val="none" w:color="000000" w:sz="4"/>
                    <w:bottom w:val="single" w:color="000000" w:sz="4"/>
                    <w:right w:val="single" w:color="000000" w:sz="4"/>
                  </w:tcBorders>
                </w:tcPr>
                <w:p>
                  <w:pPr>
                    <w:jc w:val="center"/>
                  </w:pPr>
                  <w:r>
                    <w:rPr>
                      <w:b/>
                      <w:color w:val="000000"/>
                      <w:sz w:val="21"/>
                    </w:rPr>
                    <w:t>监督检验项目</w:t>
                  </w:r>
                </w:p>
              </w:tc>
              <w:tc>
                <w:tcPr>
                  <w:tcW w:type="dxa" w:w="800"/>
                  <w:tcBorders>
                    <w:top w:val="single" w:color="000000" w:sz="4"/>
                    <w:left w:val="none" w:color="000000" w:sz="4"/>
                    <w:bottom w:val="single" w:color="000000" w:sz="4"/>
                    <w:right w:val="single" w:color="000000" w:sz="4"/>
                  </w:tcBorders>
                </w:tcPr>
                <w:p>
                  <w:pPr>
                    <w:jc w:val="center"/>
                  </w:pPr>
                  <w:r>
                    <w:rPr>
                      <w:b/>
                      <w:color w:val="000000"/>
                      <w:sz w:val="21"/>
                    </w:rPr>
                    <w:t>风险监测项目</w:t>
                  </w:r>
                </w:p>
              </w:tc>
              <w:tc>
                <w:tcPr>
                  <w:tcW w:type="dxa" w:w="800"/>
                  <w:tcBorders>
                    <w:top w:val="single" w:color="000000" w:sz="4"/>
                    <w:left w:val="none" w:color="000000" w:sz="4"/>
                    <w:bottom w:val="single" w:color="000000" w:sz="4"/>
                    <w:right w:val="single" w:color="000000" w:sz="4"/>
                  </w:tcBorders>
                </w:tcPr>
                <w:p>
                  <w:pPr>
                    <w:jc w:val="center"/>
                  </w:pPr>
                  <w:r>
                    <w:rPr>
                      <w:b/>
                      <w:color w:val="000000"/>
                      <w:sz w:val="21"/>
                    </w:rPr>
                    <w:t>抽检批次数</w:t>
                  </w:r>
                </w:p>
              </w:tc>
            </w:tr>
            <w:tr>
              <w:tc>
                <w:tcPr>
                  <w:tcW w:type="dxa" w:w="800"/>
                  <w:vMerge/>
                  <w:tcBorders>
                    <w:top w:val="single" w:color="000000" w:sz="4"/>
                    <w:left w:val="single" w:color="000000" w:sz="4"/>
                    <w:bottom w:val="single" w:color="000000" w:sz="4"/>
                    <w:right w:val="single" w:color="000000" w:sz="4"/>
                  </w:tcBorders>
                </w:tcPr>
                <w:p/>
              </w:tc>
              <w:tc>
                <w:tcPr>
                  <w:tcW w:type="dxa" w:w="800"/>
                  <w:vMerge w:val="restart"/>
                  <w:tcBorders>
                    <w:top w:val="none" w:color="000000" w:sz="4"/>
                    <w:left w:val="none" w:color="000000" w:sz="4"/>
                    <w:bottom w:val="single" w:color="000000" w:sz="4"/>
                    <w:right w:val="single" w:color="000000" w:sz="4"/>
                  </w:tcBorders>
                </w:tcPr>
                <w:p>
                  <w:pPr>
                    <w:jc w:val="center"/>
                  </w:pPr>
                  <w:r>
                    <w:rPr>
                      <w:color w:val="000000"/>
                      <w:sz w:val="21"/>
                    </w:rPr>
                    <w:t>植物源专项抽检监测</w:t>
                  </w:r>
                </w:p>
              </w:tc>
              <w:tc>
                <w:tcPr>
                  <w:tcW w:type="dxa" w:w="800"/>
                  <w:vMerge w:val="restart"/>
                  <w:tcBorders>
                    <w:top w:val="none" w:color="000000" w:sz="4"/>
                    <w:left w:val="none" w:color="000000" w:sz="4"/>
                    <w:bottom w:val="single" w:color="000000" w:sz="4"/>
                    <w:right w:val="single" w:color="000000" w:sz="4"/>
                  </w:tcBorders>
                </w:tcPr>
                <w:p>
                  <w:pPr>
                    <w:jc w:val="center"/>
                  </w:pPr>
                  <w:r>
                    <w:rPr>
                      <w:color w:val="000000"/>
                      <w:sz w:val="21"/>
                    </w:rPr>
                    <w:t>湿粉类</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粮食加工品（米粉制品）</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苯甲酸及其钠盐（以苯甲酸计）、山梨酸及其钾盐（以山梨酸计）、脱氢乙酸及其钠盐（以脱氢乙酸计）、二氧化硫残留量、金黄色葡萄球菌、沙门氏菌、蜡样芽胞杆菌、水分、蛋白质、酸度、甲醛次硫酸氢钠（以甲醛计）</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米酵菌酸、硼酸、镉</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200</w:t>
                  </w:r>
                </w:p>
              </w:tc>
            </w:tr>
            <w:tr>
              <w:tc>
                <w:tcPr>
                  <w:tcW w:type="dxa" w:w="800"/>
                  <w:vMerge/>
                  <w:tcBorders>
                    <w:top w:val="singl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Pr>
                <w:p>
                  <w:pPr>
                    <w:jc w:val="center"/>
                  </w:pPr>
                  <w:r>
                    <w:rPr>
                      <w:color w:val="000000"/>
                      <w:sz w:val="21"/>
                    </w:rPr>
                    <w:t>淀粉制品（淀粉制品）</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铅（以Pb计）、铝的残留量（干样品，以Al计）、二氧化硫残留量、苯甲酸及其钠盐（以苯甲酸计）、山梨酸及其钾盐（以山梨酸计）、脱氢乙酸及其钠盐（以脱氢乙酸计）、甲醛次硫酸氢钠（以甲醛计）、沙门氏菌、金黄色葡萄球菌</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米酵菌酸、硼酸</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300</w:t>
                  </w:r>
                </w:p>
              </w:tc>
            </w:tr>
            <w:tr>
              <w:tc>
                <w:tcPr>
                  <w:tcW w:type="dxa" w:w="800"/>
                  <w:vMerge/>
                  <w:tcBorders>
                    <w:top w:val="singl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800"/>
                  <w:vMerge w:val="restart"/>
                  <w:tcBorders>
                    <w:top w:val="none" w:color="000000" w:sz="4"/>
                    <w:left w:val="none" w:color="000000" w:sz="4"/>
                    <w:bottom w:val="single" w:color="000000" w:sz="4"/>
                    <w:right w:val="single" w:color="000000" w:sz="4"/>
                  </w:tcBorders>
                </w:tcPr>
                <w:p>
                  <w:pPr>
                    <w:jc w:val="center"/>
                  </w:pPr>
                  <w:r>
                    <w:rPr>
                      <w:color w:val="000000"/>
                      <w:sz w:val="21"/>
                    </w:rPr>
                    <w:t>桶装饮用水</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饮用纯净水</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耗氧量（以O2计）、亚硝酸盐（以NO2-计）、余氯（游离氯）、三氯甲烷、溴酸盐、大肠菌群、铜绿假单胞菌、总砷（以As计）</w:t>
                  </w:r>
                </w:p>
              </w:tc>
              <w:tc>
                <w:tcPr>
                  <w:tcW w:type="dxa" w:w="800"/>
                  <w:tcBorders>
                    <w:top w:val="none" w:color="000000" w:sz="4"/>
                    <w:left w:val="none" w:color="000000" w:sz="4"/>
                    <w:bottom w:val="single" w:color="000000" w:sz="4"/>
                    <w:right w:val="single" w:color="000000" w:sz="4"/>
                  </w:tcBorders>
                </w:tcPr>
                <w:p>
                  <w:pPr>
                    <w:jc w:val="center"/>
                  </w:pPr>
                </w:p>
              </w:tc>
              <w:tc>
                <w:tcPr>
                  <w:tcW w:type="dxa" w:w="800"/>
                  <w:tcBorders>
                    <w:top w:val="none" w:color="000000" w:sz="4"/>
                    <w:left w:val="none" w:color="000000" w:sz="4"/>
                    <w:bottom w:val="single" w:color="000000" w:sz="4"/>
                    <w:right w:val="single" w:color="000000" w:sz="4"/>
                  </w:tcBorders>
                </w:tcPr>
                <w:p>
                  <w:pPr>
                    <w:jc w:val="center"/>
                  </w:pPr>
                  <w:r>
                    <w:rPr>
                      <w:color w:val="000000"/>
                      <w:sz w:val="21"/>
                    </w:rPr>
                    <w:t>100</w:t>
                  </w:r>
                </w:p>
              </w:tc>
            </w:tr>
            <w:tr>
              <w:tc>
                <w:tcPr>
                  <w:tcW w:type="dxa" w:w="800"/>
                  <w:vMerge/>
                  <w:tcBorders>
                    <w:top w:val="singl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Pr>
                <w:p>
                  <w:pPr>
                    <w:jc w:val="center"/>
                  </w:pPr>
                  <w:r>
                    <w:rPr>
                      <w:color w:val="000000"/>
                      <w:sz w:val="21"/>
                    </w:rPr>
                    <w:t>其他饮用水</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浑浊度、耗氧量（以O2计）、亚硝酸盐（以NO2-计）、余氯（游离氯）、三氯甲烷、溴酸盐、大肠菌群、铜绿假单胞菌</w:t>
                  </w:r>
                </w:p>
              </w:tc>
              <w:tc>
                <w:tcPr>
                  <w:tcW w:type="dxa" w:w="800"/>
                  <w:tcBorders>
                    <w:top w:val="none" w:color="000000" w:sz="4"/>
                    <w:left w:val="none" w:color="000000" w:sz="4"/>
                    <w:bottom w:val="single" w:color="000000" w:sz="4"/>
                    <w:right w:val="single" w:color="000000" w:sz="4"/>
                  </w:tcBorders>
                </w:tcPr>
                <w:p>
                  <w:pPr>
                    <w:jc w:val="center"/>
                  </w:pPr>
                </w:p>
              </w:tc>
              <w:tc>
                <w:tcPr>
                  <w:tcW w:type="dxa" w:w="800"/>
                  <w:tcBorders>
                    <w:top w:val="none" w:color="000000" w:sz="4"/>
                    <w:left w:val="none" w:color="000000" w:sz="4"/>
                    <w:bottom w:val="single" w:color="000000" w:sz="4"/>
                    <w:right w:val="single" w:color="000000" w:sz="4"/>
                  </w:tcBorders>
                </w:tcPr>
                <w:p>
                  <w:pPr>
                    <w:jc w:val="center"/>
                  </w:pPr>
                  <w:r>
                    <w:rPr>
                      <w:color w:val="000000"/>
                      <w:sz w:val="21"/>
                    </w:rPr>
                    <w:t>150</w:t>
                  </w:r>
                </w:p>
              </w:tc>
            </w:tr>
            <w:tr>
              <w:tc>
                <w:tcPr>
                  <w:tcW w:type="dxa" w:w="800"/>
                  <w:vMerge/>
                  <w:tcBorders>
                    <w:top w:val="singl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Pr>
                <w:p>
                  <w:pPr>
                    <w:jc w:val="center"/>
                  </w:pPr>
                  <w:r>
                    <w:rPr>
                      <w:color w:val="000000"/>
                      <w:sz w:val="21"/>
                    </w:rPr>
                    <w:t>调味品</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食醋</w:t>
                  </w:r>
                </w:p>
              </w:tc>
              <w:tc>
                <w:tcPr>
                  <w:tcW w:type="dxa" w:w="800"/>
                  <w:tcBorders>
                    <w:top w:val="none" w:color="000000" w:sz="4"/>
                    <w:left w:val="none" w:color="000000" w:sz="4"/>
                    <w:bottom w:val="single" w:color="000000" w:sz="4"/>
                    <w:right w:val="single" w:color="000000" w:sz="4"/>
                  </w:tcBorders>
                </w:tcPr>
                <w:p>
                  <w:pPr>
                    <w:jc w:val="center"/>
                  </w:pPr>
                </w:p>
              </w:tc>
              <w:tc>
                <w:tcPr>
                  <w:tcW w:type="dxa" w:w="800"/>
                  <w:tcBorders>
                    <w:top w:val="none" w:color="000000" w:sz="4"/>
                    <w:left w:val="none" w:color="000000" w:sz="4"/>
                    <w:bottom w:val="single" w:color="000000" w:sz="4"/>
                    <w:right w:val="single" w:color="000000" w:sz="4"/>
                  </w:tcBorders>
                </w:tcPr>
                <w:p>
                  <w:pPr>
                    <w:jc w:val="center"/>
                  </w:pPr>
                  <w:r>
                    <w:rPr>
                      <w:color w:val="000000"/>
                      <w:sz w:val="21"/>
                    </w:rPr>
                    <w:t>天然度</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200</w:t>
                  </w:r>
                </w:p>
              </w:tc>
            </w:tr>
            <w:tr>
              <w:tc>
                <w:tcPr>
                  <w:tcW w:type="dxa" w:w="800"/>
                  <w:vMerge/>
                  <w:tcBorders>
                    <w:top w:val="singl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800"/>
                  <w:vMerge w:val="restart"/>
                  <w:tcBorders>
                    <w:top w:val="none" w:color="000000" w:sz="4"/>
                    <w:left w:val="none" w:color="000000" w:sz="4"/>
                    <w:bottom w:val="single" w:color="000000" w:sz="4"/>
                    <w:right w:val="single" w:color="000000" w:sz="4"/>
                  </w:tcBorders>
                </w:tcPr>
                <w:p>
                  <w:pPr>
                    <w:jc w:val="center"/>
                  </w:pPr>
                  <w:r>
                    <w:rPr>
                      <w:color w:val="000000"/>
                      <w:sz w:val="21"/>
                    </w:rPr>
                    <w:t>食用油、油脂及其制品</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花生油</w:t>
                  </w:r>
                </w:p>
              </w:tc>
              <w:tc>
                <w:tcPr>
                  <w:tcW w:type="dxa" w:w="800"/>
                  <w:tcBorders>
                    <w:top w:val="none" w:color="000000" w:sz="4"/>
                    <w:left w:val="none" w:color="000000" w:sz="4"/>
                    <w:bottom w:val="single" w:color="000000" w:sz="4"/>
                    <w:right w:val="single" w:color="000000" w:sz="4"/>
                  </w:tcBorders>
                </w:tcPr>
                <w:p>
                  <w:pPr>
                    <w:jc w:val="both"/>
                  </w:pPr>
                  <w:r>
                    <w:rPr>
                      <w:color w:val="000000"/>
                      <w:sz w:val="22"/>
                    </w:rPr>
                    <w:t>酸值/酸价、过氧化值、黄曲霉毒素B</w:t>
                  </w:r>
                  <w:r>
                    <w:rPr>
                      <w:color w:val="000000"/>
                      <w:sz w:val="21"/>
                      <w:vertAlign w:val="subscript"/>
                    </w:rPr>
                    <w:t>1</w:t>
                  </w:r>
                  <w:r>
                    <w:rPr>
                      <w:color w:val="000000"/>
                      <w:sz w:val="22"/>
                    </w:rPr>
                    <w:t>、苯并[a]芘、溶剂残留量、特丁基对苯二酚（TBHQ）</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邻苯二甲酸二丁酯（DBP）、邻苯二甲酸二（2-乙基）己酯（DEHP）、天然辣椒素、二氢辣椒素、合成辣椒素、辣椒素总量、乙基麦芽酚</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150</w:t>
                  </w:r>
                </w:p>
              </w:tc>
            </w:tr>
            <w:tr>
              <w:tc>
                <w:tcPr>
                  <w:tcW w:type="dxa" w:w="800"/>
                  <w:vMerge/>
                  <w:tcBorders>
                    <w:top w:val="singl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Pr>
                <w:p>
                  <w:pPr>
                    <w:jc w:val="center"/>
                  </w:pPr>
                  <w:r>
                    <w:rPr>
                      <w:color w:val="000000"/>
                      <w:sz w:val="21"/>
                    </w:rPr>
                    <w:t>玉米油</w:t>
                  </w:r>
                </w:p>
              </w:tc>
              <w:tc>
                <w:tcPr>
                  <w:tcW w:type="dxa" w:w="800"/>
                  <w:tcBorders>
                    <w:top w:val="none" w:color="000000" w:sz="4"/>
                    <w:left w:val="none" w:color="000000" w:sz="4"/>
                    <w:bottom w:val="single" w:color="000000" w:sz="4"/>
                    <w:right w:val="single" w:color="000000" w:sz="4"/>
                  </w:tcBorders>
                </w:tcPr>
                <w:p>
                  <w:pPr>
                    <w:jc w:val="both"/>
                  </w:pPr>
                  <w:r>
                    <w:rPr>
                      <w:color w:val="000000"/>
                      <w:sz w:val="22"/>
                    </w:rPr>
                    <w:t>酸值/酸价、过氧化值、黄曲霉毒素B</w:t>
                  </w:r>
                  <w:r>
                    <w:rPr>
                      <w:color w:val="000000"/>
                      <w:sz w:val="21"/>
                      <w:vertAlign w:val="subscript"/>
                    </w:rPr>
                    <w:t>1</w:t>
                  </w:r>
                  <w:r>
                    <w:rPr>
                      <w:color w:val="000000"/>
                      <w:sz w:val="22"/>
                    </w:rPr>
                    <w:t>、苯并[a]芘、溶剂残留量、特丁基对苯二酚（TBHQ）</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邻苯二甲酸二丁酯（DBP）、邻苯二甲酸二（2-乙基）己酯（DEHP）、天然辣椒素、二氢辣椒素、合成辣椒素、辣椒素总量、乙基麦芽酚、玉米赤霉烯酮</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50</w:t>
                  </w:r>
                </w:p>
              </w:tc>
            </w:tr>
            <w:tr>
              <w:tc>
                <w:tcPr>
                  <w:tcW w:type="dxa" w:w="800"/>
                  <w:vMerge/>
                  <w:tcBorders>
                    <w:top w:val="singl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Pr>
                <w:p>
                  <w:pPr>
                    <w:jc w:val="center"/>
                  </w:pPr>
                  <w:r>
                    <w:rPr>
                      <w:color w:val="000000"/>
                      <w:sz w:val="21"/>
                    </w:rPr>
                    <w:t>芝麻油</w:t>
                  </w:r>
                </w:p>
              </w:tc>
              <w:tc>
                <w:tcPr>
                  <w:tcW w:type="dxa" w:w="800"/>
                  <w:tcBorders>
                    <w:top w:val="none" w:color="000000" w:sz="4"/>
                    <w:left w:val="none" w:color="000000" w:sz="4"/>
                    <w:bottom w:val="single" w:color="000000" w:sz="4"/>
                    <w:right w:val="single" w:color="000000" w:sz="4"/>
                  </w:tcBorders>
                </w:tcPr>
                <w:p>
                  <w:pPr>
                    <w:jc w:val="both"/>
                  </w:pPr>
                  <w:r>
                    <w:rPr>
                      <w:color w:val="000000"/>
                      <w:sz w:val="21"/>
                    </w:rPr>
                    <w:t>酸值/酸价、过氧化值、苯并[a]芘、溶剂残留量、特丁基对苯二酚（TBHQ）、乙基麦芽酚</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邻苯二甲酸二丁酯（DBP）、邻苯二甲酸二（2-乙基）己酯（DEHP）、天然辣椒素、二氢辣椒素、合成辣椒素、辣椒素总量</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80</w:t>
                  </w:r>
                </w:p>
              </w:tc>
            </w:tr>
            <w:tr>
              <w:tc>
                <w:tcPr>
                  <w:tcW w:type="dxa" w:w="800"/>
                  <w:vMerge/>
                  <w:tcBorders>
                    <w:top w:val="singl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Pr>
                <w:p>
                  <w:pPr>
                    <w:jc w:val="center"/>
                  </w:pPr>
                  <w:r>
                    <w:rPr>
                      <w:color w:val="000000"/>
                      <w:sz w:val="21"/>
                    </w:rPr>
                    <w:t>菜籽油</w:t>
                  </w:r>
                </w:p>
              </w:tc>
              <w:tc>
                <w:tcPr>
                  <w:tcW w:type="dxa" w:w="800"/>
                  <w:tcBorders>
                    <w:top w:val="none" w:color="000000" w:sz="4"/>
                    <w:left w:val="none" w:color="000000" w:sz="4"/>
                    <w:bottom w:val="single" w:color="000000" w:sz="4"/>
                    <w:right w:val="single" w:color="000000" w:sz="4"/>
                  </w:tcBorders>
                </w:tcPr>
                <w:p>
                  <w:pPr>
                    <w:jc w:val="both"/>
                  </w:pPr>
                  <w:r>
                    <w:rPr>
                      <w:color w:val="000000"/>
                      <w:sz w:val="21"/>
                    </w:rPr>
                    <w:t>酸值/酸价、过氧化值、铅（以Pb计）、苯并[a]芘、溶剂残留量、特丁基对苯二酚（TBHQ）、乙基麦芽酚</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邻苯二甲酸二丁酯（DBP）、邻苯二甲酸二（2-乙基）己酯（DEHP）、天然辣椒素、二氢辣椒素、合成辣椒素、辣椒素总量</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50</w:t>
                  </w:r>
                </w:p>
              </w:tc>
            </w:tr>
            <w:tr>
              <w:tc>
                <w:tcPr>
                  <w:tcW w:type="dxa" w:w="800"/>
                  <w:vMerge/>
                  <w:tcBorders>
                    <w:top w:val="singl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Pr>
                <w:p>
                  <w:pPr>
                    <w:jc w:val="center"/>
                  </w:pPr>
                  <w:r>
                    <w:rPr>
                      <w:color w:val="000000"/>
                      <w:sz w:val="21"/>
                    </w:rPr>
                    <w:t>大豆油</w:t>
                  </w:r>
                </w:p>
              </w:tc>
              <w:tc>
                <w:tcPr>
                  <w:tcW w:type="dxa" w:w="800"/>
                  <w:tcBorders>
                    <w:top w:val="none" w:color="000000" w:sz="4"/>
                    <w:left w:val="none" w:color="000000" w:sz="4"/>
                    <w:bottom w:val="single" w:color="000000" w:sz="4"/>
                    <w:right w:val="single" w:color="000000" w:sz="4"/>
                  </w:tcBorders>
                </w:tcPr>
                <w:p>
                  <w:pPr>
                    <w:jc w:val="both"/>
                  </w:pPr>
                  <w:r>
                    <w:rPr>
                      <w:color w:val="000000"/>
                      <w:sz w:val="21"/>
                    </w:rPr>
                    <w:t>酸值/酸价、过氧化值、苯并[a]芘、溶剂残留量、特丁基对苯二酚（TBHQ）</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邻苯二甲酸二丁酯（DBP）、邻苯二甲酸二（2-乙基）己酯（DEHP）、天然辣椒素、二氢辣椒素、合成辣椒素、辣椒素总量</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80</w:t>
                  </w:r>
                </w:p>
              </w:tc>
            </w:tr>
            <w:tr>
              <w:tc>
                <w:tcPr>
                  <w:tcW w:type="dxa" w:w="800"/>
                  <w:vMerge/>
                  <w:tcBorders>
                    <w:top w:val="singl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Pr>
                <w:p>
                  <w:pPr>
                    <w:jc w:val="center"/>
                  </w:pPr>
                  <w:r>
                    <w:rPr>
                      <w:color w:val="000000"/>
                      <w:sz w:val="21"/>
                    </w:rPr>
                    <w:t>食用植物调和油</w:t>
                  </w:r>
                </w:p>
              </w:tc>
              <w:tc>
                <w:tcPr>
                  <w:tcW w:type="dxa" w:w="800"/>
                  <w:tcBorders>
                    <w:top w:val="none" w:color="000000" w:sz="4"/>
                    <w:left w:val="none" w:color="000000" w:sz="4"/>
                    <w:bottom w:val="single" w:color="000000" w:sz="4"/>
                    <w:right w:val="single" w:color="000000" w:sz="4"/>
                  </w:tcBorders>
                </w:tcPr>
                <w:p>
                  <w:pPr>
                    <w:jc w:val="both"/>
                  </w:pPr>
                  <w:r>
                    <w:rPr>
                      <w:color w:val="000000"/>
                      <w:sz w:val="21"/>
                    </w:rPr>
                    <w:t>酸价、过氧化值、苯并[a]芘、溶剂残留量、特丁基对苯二酚（TBHQ）、乙基麦芽酚</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邻苯二甲酸二丁酯（DBP）、邻苯二甲酸二（2-乙基）己酯（DEHP）、天然辣椒素、二氢辣椒素、合成辣椒素、辣椒素总量、黄曲霉毒素B1、玉米赤霉烯酮、游离棉酚、乙基麦芽酚（不含芝麻油的食用植物调和油检测）</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150</w:t>
                  </w:r>
                </w:p>
              </w:tc>
            </w:tr>
            <w:tr>
              <w:tc>
                <w:tcPr>
                  <w:tcW w:type="dxa" w:w="800"/>
                  <w:vMerge/>
                  <w:tcBorders>
                    <w:top w:val="singl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1600"/>
                  <w:gridSpan w:val="2"/>
                  <w:tcBorders>
                    <w:top w:val="none" w:color="000000" w:sz="4"/>
                    <w:left w:val="none" w:color="000000" w:sz="4"/>
                    <w:bottom w:val="single" w:color="000000" w:sz="4"/>
                    <w:right w:val="single" w:color="000000" w:sz="4"/>
                  </w:tcBorders>
                </w:tcPr>
                <w:p>
                  <w:pPr>
                    <w:jc w:val="center"/>
                  </w:pPr>
                  <w:r>
                    <w:rPr>
                      <w:b/>
                      <w:color w:val="000000"/>
                      <w:sz w:val="21"/>
                    </w:rPr>
                    <w:t>小计</w:t>
                  </w:r>
                </w:p>
              </w:tc>
              <w:tc>
                <w:tcPr>
                  <w:tcW w:type="dxa" w:w="800"/>
                  <w:tcBorders>
                    <w:top w:val="none" w:color="000000" w:sz="4"/>
                    <w:left w:val="none" w:color="000000" w:sz="4"/>
                    <w:bottom w:val="single" w:color="000000" w:sz="4"/>
                    <w:right w:val="single" w:color="000000" w:sz="4"/>
                  </w:tcBorders>
                </w:tcPr>
                <w:p>
                  <w:pPr>
                    <w:jc w:val="both"/>
                  </w:pPr>
                </w:p>
              </w:tc>
              <w:tc>
                <w:tcPr>
                  <w:tcW w:type="dxa" w:w="800"/>
                  <w:tcBorders>
                    <w:top w:val="none" w:color="000000" w:sz="4"/>
                    <w:left w:val="none" w:color="000000" w:sz="4"/>
                    <w:bottom w:val="single" w:color="000000" w:sz="4"/>
                    <w:right w:val="single" w:color="000000" w:sz="4"/>
                  </w:tcBorders>
                </w:tcPr>
                <w:p>
                  <w:pPr>
                    <w:jc w:val="center"/>
                  </w:pPr>
                  <w:r>
                    <w:rPr>
                      <w:b/>
                      <w:color w:val="000000"/>
                      <w:sz w:val="21"/>
                    </w:rPr>
                    <w:t>1510</w:t>
                  </w:r>
                </w:p>
              </w:tc>
            </w:tr>
          </w:tbl>
          <w:p>
            <w:pPr>
              <w:ind w:firstLine="384"/>
              <w:jc w:val="both"/>
            </w:pPr>
            <w:r>
              <w:rPr/>
              <w:t>4.基本要求：</w:t>
            </w:r>
            <w:r>
              <w:br/>
            </w:r>
            <w:r>
              <w:rPr/>
              <w:t>（1）采样地点：在广东省内开展抽查。</w:t>
            </w:r>
            <w:r>
              <w:br/>
            </w:r>
            <w:r>
              <w:rPr/>
              <w:t>（2）抽样人员：由中标人安排2名或以上具有符合要求的抽样人员。</w:t>
            </w:r>
            <w:r>
              <w:br/>
            </w:r>
            <w:r>
              <w:rPr/>
              <w:t>（3）完成时限：中标人应于2022年11月30日前完成所中标抽检工作，部分任务对具体完成时间另有要求的，经双方协  商同意，以抽查实施方案确定的时间为准。</w:t>
            </w:r>
            <w:r>
              <w:br/>
            </w:r>
            <w:r>
              <w:rPr/>
              <w:t>（4）采样办法：根据检验项目及国家标准中规定的采样方法及采样数量抽取样品。</w:t>
            </w:r>
            <w:r>
              <w:br/>
            </w:r>
            <w:r>
              <w:rPr/>
              <w:t>（5）样品运输：由中标人负责，确保样品质量不受影响。</w:t>
            </w:r>
            <w:r>
              <w:br/>
            </w:r>
            <w:r>
              <w:rPr/>
              <w:t>（6）样品检验：由中标人负责，并对样品检验结果负责。</w:t>
            </w:r>
            <w:r>
              <w:br/>
            </w:r>
            <w:r>
              <w:rPr/>
              <w:t>（7）结果判定：本项目要求出具判定结论。</w:t>
            </w:r>
            <w:r>
              <w:br/>
            </w:r>
            <w:r>
              <w:rPr/>
              <w:t>（8）结果送达与数据报送：由中标人负责，检验完毕后，按要求及时送达。按照国家总局、省局和采购人有关文件要求，按时报送监测结果数据，发现问题样品，应及时上报和通报有关部门。</w:t>
            </w:r>
            <w:r>
              <w:br/>
            </w:r>
            <w:r>
              <w:rPr/>
              <w:t>（9）数据汇总与分析：依据汇总数据及抽查情况进行评估分析，对不合格项目进行原因及危害性分析，并编制分析报告。</w:t>
            </w:r>
            <w:r>
              <w:br/>
            </w:r>
            <w:r>
              <w:rPr/>
              <w:t>5.工作要求</w:t>
            </w:r>
            <w:r>
              <w:br/>
            </w:r>
            <w:r>
              <w:rPr/>
              <w:t>（1）对中标人在开展抽检监测过程中弄虚作假或不配合采购人开展工作的，采购人有权单方面终止合同，并追究其经济赔偿责任和法律责任。</w:t>
            </w:r>
            <w:r>
              <w:br/>
            </w:r>
            <w:r>
              <w:rPr/>
              <w:t>（2）中标人负责提供交通工具，积极配合抽检工作。须保证抽检过程公平、公正。</w:t>
            </w:r>
            <w:r>
              <w:br/>
            </w:r>
            <w:r>
              <w:rPr/>
              <w:t>（3）中标人实验室检验设备、检验人员充裕，能满足食品检验的特殊要求，能按时按质完成抽检任务，出具合法有效的检验报告。</w:t>
            </w:r>
            <w:r>
              <w:br/>
            </w:r>
            <w:r>
              <w:rPr/>
              <w:t>（4）中标人技术服务水平高，采样操作规范，实验室质量控制严格，近3年无食品检验数据严重质量问题。</w:t>
            </w:r>
            <w:r>
              <w:br/>
            </w:r>
            <w:r>
              <w:rPr/>
              <w:t>（5）沟通协调能力强，与各市市场监管部门工作配合到位。工作作风端正，态度温和。</w:t>
            </w:r>
            <w:r>
              <w:br/>
            </w:r>
            <w:r>
              <w:rPr/>
              <w:t>（6）中标人应按照专业操守尽职尽责，根据国际国内的相关标准进行样品的抽样、检验，并且按当次抽检方案约定日期出具检验报告；在采购人与第三方同等的条件下，中标人应优先完成对采购人的抽检和监测任务。</w:t>
            </w:r>
            <w:r>
              <w:br/>
            </w:r>
            <w:r>
              <w:rPr/>
              <w:t>（7）食品安全抽检监测工作遵照国家总局制定的最新工作规范执行，并接受广东省市场监督管理局及当地监察机构的监督。</w:t>
            </w:r>
            <w:r>
              <w:br/>
            </w:r>
            <w:r>
              <w:rPr/>
              <w:t>（8）中标人对检验结果的真实性负责，由于虚假、错误检验数据和结论而给被检人造成损失的，或者给社会带来不良影响的，采购人有权单方面终止合同，并承担赔偿责任及相应法律责任。</w:t>
            </w:r>
            <w:r>
              <w:br/>
            </w:r>
            <w:r>
              <w:rPr/>
              <w:t>（9）涉及抽样的全部情况包括数据及结果，中标人必须对抽检监测的结果及数据等信息保密，不得向除采购人外的任何单位与个人透露，否则采购人有权单方面终止合同；如造成经济损失及不良影响的，追究其经济赔偿责任和法律责任。</w:t>
            </w:r>
            <w:r>
              <w:br/>
            </w:r>
            <w:r>
              <w:rPr/>
              <w:t>（10）中标人应积极配合采购人开展抽检及后续工作。应安排专人与采购人联系，并提供手机、QQ、邮箱等联系方式， 必要时应在半小时内及时响应采购人需求。</w:t>
            </w:r>
            <w:r>
              <w:br/>
            </w:r>
            <w:r>
              <w:rPr/>
              <w:t>（11）中标人对其抽取的样品负责，检验结果反映送检样品的真实状况。</w:t>
            </w:r>
            <w:r>
              <w:br/>
            </w:r>
            <w:r>
              <w:rPr/>
              <w:t>6.服务考核标准</w:t>
            </w:r>
            <w:r>
              <w:br/>
            </w:r>
            <w:r>
              <w:rPr/>
              <w:t>经采购人认定中标人违反一项或多项以下内容，采购人视情况有权对中标人进行警告、处罚，情况严重的，采购人可单方面终止合同。</w:t>
            </w:r>
            <w:r>
              <w:br/>
            </w:r>
            <w:r>
              <w:rPr/>
              <w:t>（1）检测项目没有在其能力范围的；</w:t>
            </w:r>
            <w:r>
              <w:br/>
            </w:r>
            <w:r>
              <w:rPr/>
              <w:t>（2）中标人未按规定时间完成检测任务的；</w:t>
            </w:r>
            <w:r>
              <w:br/>
            </w:r>
            <w:r>
              <w:rPr/>
              <w:t>（3）经采购人数据复核（复检）确认，中标人检测准确度有较大误差，整改后无法纠正的；</w:t>
            </w:r>
            <w:r>
              <w:br/>
            </w:r>
            <w:r>
              <w:rPr/>
              <w:t>（4）多次出现漏检、误检、重检、检测结果错漏等，上报资料不符合规定的；</w:t>
            </w:r>
            <w:r>
              <w:br/>
            </w:r>
            <w:r>
              <w:rPr/>
              <w:t>（5）对采购人提出的工作任务不响应不配合的；</w:t>
            </w:r>
            <w:r>
              <w:br/>
            </w:r>
            <w:r>
              <w:rPr/>
              <w:t>（6）违反保密规定，泄露检测结果数据，或未经采购人许可擅自使用检测数据的；</w:t>
            </w:r>
            <w:r>
              <w:br/>
            </w:r>
            <w:r>
              <w:rPr/>
              <w:t>（7）数据弄虚作假，原始记录、图谱与电脑存档内容不符，没有保留原始图谱等。</w:t>
            </w:r>
            <w:r>
              <w:br/>
            </w:r>
            <w:r>
              <w:rPr/>
              <w:t>7.项目完成期要求：本采购包应在2022年11月30日前完成。</w:t>
            </w:r>
            <w:r>
              <w:br/>
            </w:r>
            <w:r>
              <w:rPr/>
              <w:t>★三、抽样检验信息系统</w:t>
            </w:r>
            <w:r>
              <w:br/>
            </w:r>
            <w:r>
              <w:rPr/>
              <w:t>中标人应能使用“国家食品安全抽样检验信息系统”抽样APP在线抽样以及出具电子版检验报告。严格按照时限要求将抽样检验信息录入“国家食品安全抽样检验信息系统”</w:t>
            </w:r>
            <w:r>
              <w:br/>
            </w:r>
            <w:r>
              <w:rPr/>
              <w:t>四、检验工作的实施</w:t>
            </w:r>
            <w:r>
              <w:br/>
            </w:r>
            <w:r>
              <w:rPr/>
              <w:t>1.食品检验由食品检验机构指定的检验人独立进行。检验人应当依照有关法律、法规的规定，并依照食品安全标准和检验规范对食品进行检验，尊重科学，恪守职业道德，保证出具的检验数据和结论客观、公正，不得出具虚假的检验报告。</w:t>
            </w:r>
            <w:r>
              <w:br/>
            </w:r>
            <w:r>
              <w:rPr/>
              <w:t>2、工作要求：一般要求从收到样品之日起20个工作日内出具检验报告，如因特殊情况需延长检验期限的，可另行约定。 应节应急抽检、执法抽检等有特殊时限要求的，根据采购人要求加快检验。投标人应具有食品检验方法研发能力，了解行业发展动态，熟悉食品生产工艺，具备食品相关的科研能力。对目前暂未有判定依据的项目应出具检测数值、检测方法介绍、结果分析和处理建议。</w:t>
            </w:r>
            <w:r>
              <w:br/>
            </w:r>
            <w:r>
              <w:rPr/>
              <w:t>五、检验结果的处理</w:t>
            </w:r>
            <w:r>
              <w:br/>
            </w:r>
            <w:r>
              <w:rPr/>
              <w:t>1.出具检验结论、提供检验报告及有关材料的送达、告知：采购人将根据《中华人民共和国食品安全法》、《食品安全抽样检验管理办法》（市场监管总局令第15号）、《食品药品监管总局办公厅关于印发食品安全监督抽检和风险监测工作规 范的通知》等政策法规制定具体要求，供中标人执行。</w:t>
            </w:r>
            <w:r>
              <w:br/>
            </w:r>
            <w:r>
              <w:rPr/>
              <w:t>2.检验结果的评估：中标人应指派专人负责整理、分类、汇总抽检数据。中标人要对不合格项目进行原因及危害性分析 评估，并出具分析评估报告，提出下一步检测意见和建议。发生食品安全突发事件时，中标人应配合做好分析评估工作，为采购人的决策提供技术依据。</w:t>
            </w:r>
            <w:r>
              <w:br/>
            </w:r>
            <w:r>
              <w:rPr/>
              <w:t>3.对被抽检单位异议的处理以及复检：</w:t>
            </w:r>
            <w:r>
              <w:br/>
            </w:r>
            <w:r>
              <w:rPr/>
              <w:t>（1）协助采购人处理被抽检单位提出的异议申请。</w:t>
            </w:r>
            <w:r>
              <w:br/>
            </w:r>
            <w:r>
              <w:rPr/>
              <w:t>（2）初检机构配合有关复检工作，复检机构依法开展复检工作。</w:t>
            </w:r>
            <w:r>
              <w:br/>
            </w:r>
            <w:r>
              <w:rPr/>
              <w:t>（3）具备复检机构资格的中标人，在接到采购人指定的复检任务时，应予以受理。特殊情况不能接受的，中标人应说明理由并与采购人协商解决。复检机构由采购人指定。</w:t>
            </w:r>
            <w:r>
              <w:br/>
            </w:r>
            <w:r>
              <w:rPr/>
              <w:t>（4）复检结论与初检结论不一致的，复检费用由初检机构承担；复检结论与初检结论一致的，复检费用由复检申请人承担。</w:t>
            </w:r>
            <w:r>
              <w:br/>
            </w:r>
            <w:r>
              <w:rPr/>
              <w:t>4.为保证检验报告及有关公文的顺利送达，邮寄必须选择EMS。邮寄所需费用由中标人支付。</w:t>
            </w:r>
            <w:r>
              <w:br/>
            </w:r>
            <w:r>
              <w:rPr/>
              <w:t>六、技术服务</w:t>
            </w:r>
            <w:r>
              <w:br/>
            </w:r>
            <w:r>
              <w:rPr/>
              <w:t>中标人根据采购人的工作需求，提供以下技术服务：</w:t>
            </w:r>
            <w:r>
              <w:br/>
            </w:r>
            <w:r>
              <w:rPr/>
              <w:t>（1）食品安全宣传活动中的咨询、检测、宣讲等服务。</w:t>
            </w:r>
            <w:r>
              <w:br/>
            </w:r>
            <w:r>
              <w:rPr/>
              <w:t>（2）新闻发布、舆</w:t>
            </w:r>
            <w:r>
              <w:rPr>
                <w:color w:val="FFFFFF"/>
              </w:rPr>
              <w:t>.</w:t>
            </w:r>
            <w:r>
              <w:rPr/>
              <w:t>情应对、应急处置等相关工作中的技术支持。</w:t>
            </w:r>
            <w:r>
              <w:br/>
            </w:r>
            <w:r>
              <w:rPr/>
              <w:t>（3）安排专家接受咨询、参加研讨、提出建议等。</w:t>
            </w:r>
            <w:r>
              <w:br/>
            </w:r>
            <w:r>
              <w:rPr/>
              <w:t>（4）其他根据工作提出的技术服务。</w:t>
            </w:r>
            <w:r>
              <w:br/>
            </w:r>
            <w:r>
              <w:rPr/>
              <w:t xml:space="preserve"> </w:t>
            </w:r>
          </w:p>
          <w:p>
            <w:pPr>
              <w:ind w:firstLine="384"/>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采购包4（小作坊专项监督抽检）：</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服务期限：中标人应于2022年11月30日前完成所中标抽检工作，部分任务对具体完成时间另有要求的，经双方协商同意，以抽查实施方案确定的时间为准。</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1期：支付比例90%，合同签订后五个工作日内，按合同总额90%支付第一期费用；</w:t>
            </w:r>
          </w:p>
          <w:p/>
          <w:p>
            <w:r>
              <w:rPr/>
              <w:t>2期：支付比例10%，在合同项目结束后十个工作日内按合同总额10%支付合同尾款。</w:t>
            </w:r>
          </w:p>
        </w:tc>
      </w:tr>
      <w:tr>
        <w:tc>
          <w:tcPr>
            <w:tcW w:type="dxa" w:w="4153"/>
          </w:tcPr>
          <w:p>
            <w:r>
              <w:rPr/>
              <w:t>验收要求</w:t>
            </w:r>
          </w:p>
        </w:tc>
        <w:tc>
          <w:tcPr>
            <w:tcW w:type="dxa" w:w="4153"/>
          </w:tcPr>
          <w:p>
            <w:pPr>
              <w:jc w:val="left"/>
            </w:pPr>
          </w:p>
          <w:p/>
          <w:p/>
          <w:p>
            <w:r>
              <w:rPr/>
              <w:t>1期：1、</w:t>
              <w:tab/>
              <w:t>中标供应商需严格按照招标文件承诺内容提供相应服务，采购方有权对项目实施过程、售后服务情况进行检查、考核和客观评价况。 2、</w:t>
              <w:tab/>
              <w:t>中标供应商在本项目完成后，提出验收申请，由采购人对所编制文件进行审评验收。</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tc>
      </w:tr>
    </w:tbl>
    <w:p>
      <w:r>
        <w:rPr>
          <w:b/>
          <w:sz w:val="24"/>
        </w:rPr>
        <w:t>2.技术标准与要求</w:t>
      </w:r>
    </w:p>
    <w:tbl>
      <w:tblPr>
        <w:tblW w:w="0" w:type="auto"/>
        <w:tblBorders>
          <w:top w:val="single"/>
          <w:left w:val="single"/>
          <w:bottom w:val="single"/>
          <w:right w:val="single"/>
          <w:insideH w:val="single"/>
          <w:insideV w:val="single"/>
        </w:tblBorders>
      </w:tblPr>
      <w:tblGrid>
        <w:gridCol w:w="218"/>
        <w:gridCol w:w="363"/>
        <w:gridCol w:w="1816"/>
        <w:gridCol w:w="1816"/>
        <w:gridCol w:w="363"/>
        <w:gridCol w:w="660"/>
        <w:gridCol w:w="660"/>
        <w:gridCol w:w="660"/>
        <w:gridCol w:w="660"/>
        <w:gridCol w:w="726"/>
        <w:gridCol w:w="363"/>
      </w:tblGrid>
      <w:tr>
        <w:tc>
          <w:tcPr>
            <w:tcW w:type="dxa" w:w="218"/>
          </w:tcPr>
          <w:p>
            <w:r>
              <w:rPr/>
              <w:t>序号</w:t>
            </w:r>
          </w:p>
        </w:tc>
        <w:tc>
          <w:tcPr>
            <w:tcW w:type="dxa" w:w="363"/>
          </w:tcPr>
          <w:p>
            <w:r>
              <w:rPr/>
              <w:t>核心产品（“△”）</w:t>
            </w:r>
          </w:p>
        </w:tc>
        <w:tc>
          <w:tcPr>
            <w:tcW w:type="dxa" w:w="1816"/>
          </w:tcPr>
          <w:p>
            <w:r>
              <w:rPr/>
              <w:t>品目名称</w:t>
            </w:r>
          </w:p>
        </w:tc>
        <w:tc>
          <w:tcPr>
            <w:tcW w:type="dxa" w:w="1816"/>
          </w:tcPr>
          <w:p>
            <w:r>
              <w:rPr/>
              <w:t>标的名称</w:t>
            </w:r>
          </w:p>
        </w:tc>
        <w:tc>
          <w:tcPr>
            <w:tcW w:type="dxa" w:w="363"/>
          </w:tcPr>
          <w:p>
            <w:r>
              <w:rPr/>
              <w:t>单位</w:t>
            </w:r>
          </w:p>
        </w:tc>
        <w:tc>
          <w:tcPr>
            <w:tcW w:type="dxa" w:w="660"/>
          </w:tcPr>
          <w:p>
            <w:r>
              <w:rPr/>
              <w:t>数量</w:t>
            </w:r>
          </w:p>
        </w:tc>
        <w:tc>
          <w:tcPr>
            <w:tcW w:type="dxa" w:w="660"/>
          </w:tcPr>
          <w:p>
            <w:r>
              <w:rPr/>
              <w:t>分项预算单价（元）</w:t>
            </w:r>
          </w:p>
        </w:tc>
        <w:tc>
          <w:tcPr>
            <w:tcW w:type="dxa" w:w="660"/>
          </w:tcPr>
          <w:p>
            <w:r>
              <w:rPr/>
              <w:t>分项预算总价（元）</w:t>
            </w:r>
          </w:p>
        </w:tc>
        <w:tc>
          <w:tcPr>
            <w:tcW w:type="dxa" w:w="660"/>
          </w:tcPr>
          <w:p>
            <w:r>
              <w:rPr/>
              <w:t>权重%</w:t>
            </w:r>
          </w:p>
        </w:tc>
        <w:tc>
          <w:tcPr>
            <w:tcW w:type="dxa" w:w="726"/>
          </w:tcPr>
          <w:p>
            <w:r>
              <w:rPr/>
              <w:t>所属行业</w:t>
            </w:r>
          </w:p>
        </w:tc>
        <w:tc>
          <w:tcPr>
            <w:tcW w:type="dxa" w:w="363"/>
          </w:tcPr>
          <w:p>
            <w:r>
              <w:rPr/>
              <w:t>技术要求</w:t>
            </w:r>
          </w:p>
        </w:tc>
      </w:tr>
      <w:tr>
        <w:tc>
          <w:tcPr>
            <w:tcW w:type="dxa" w:w="218"/>
          </w:tcPr>
          <w:p>
            <w:r>
              <w:rPr/>
              <w:t>1</w:t>
            </w:r>
          </w:p>
        </w:tc>
        <w:tc>
          <w:tcPr>
            <w:tcW w:type="dxa" w:w="363"/>
          </w:tcPr>
          <w:p/>
        </w:tc>
        <w:tc>
          <w:tcPr>
            <w:tcW w:type="dxa" w:w="1816"/>
          </w:tcPr>
          <w:p>
            <w:r>
              <w:rPr/>
              <w:t>技术测试和分析服务</w:t>
            </w:r>
          </w:p>
        </w:tc>
        <w:tc>
          <w:tcPr>
            <w:tcW w:type="dxa" w:w="1816"/>
          </w:tcPr>
          <w:p>
            <w:r>
              <w:rPr/>
              <w:t>小作坊专项监督抽检</w:t>
            </w:r>
          </w:p>
        </w:tc>
        <w:tc>
          <w:tcPr>
            <w:tcW w:type="dxa" w:w="363"/>
          </w:tcPr>
          <w:p>
            <w:r>
              <w:rPr/>
              <w:t>项</w:t>
            </w:r>
          </w:p>
        </w:tc>
        <w:tc>
          <w:tcPr>
            <w:tcW w:type="dxa" w:w="660"/>
          </w:tcPr>
          <w:p>
            <w:pPr>
              <w:jc w:val="right"/>
            </w:pPr>
            <w:r>
              <w:rPr/>
              <w:t>1.0000</w:t>
            </w:r>
          </w:p>
        </w:tc>
        <w:tc>
          <w:tcPr>
            <w:tcW w:type="dxa" w:w="660"/>
          </w:tcPr>
          <w:p>
            <w:pPr>
              <w:jc w:val="right"/>
            </w:pPr>
            <w:r>
              <w:rPr/>
              <w:t>1,090,100.00</w:t>
            </w:r>
          </w:p>
        </w:tc>
        <w:tc>
          <w:tcPr>
            <w:tcW w:type="dxa" w:w="660"/>
          </w:tcPr>
          <w:p>
            <w:pPr>
              <w:jc w:val="right"/>
            </w:pPr>
            <w:r>
              <w:rPr/>
              <w:t>1,090,100.00</w:t>
            </w:r>
          </w:p>
        </w:tc>
        <w:tc>
          <w:tcPr>
            <w:tcW w:type="dxa" w:w="660"/>
          </w:tcPr>
          <w:p>
            <w:r>
              <w:rPr/>
              <w:t>100.0</w:t>
            </w:r>
          </w:p>
        </w:tc>
        <w:tc>
          <w:tcPr>
            <w:tcW w:type="dxa" w:w="726"/>
          </w:tcPr>
          <w:p>
            <w:r>
              <w:rPr/>
              <w:t>其他未列明行业</w:t>
            </w:r>
          </w:p>
        </w:tc>
        <w:tc>
          <w:tcPr>
            <w:tcW w:type="dxa" w:w="363"/>
          </w:tcPr>
          <w:p>
            <w:r>
              <w:rPr/>
              <w:t>详见附表一</w:t>
            </w:r>
          </w:p>
        </w:tc>
      </w:tr>
    </w:tbl>
    <w:p>
      <w:r>
        <w:rPr/>
        <w:t>备注：最终综合总报价=（各产品报价×各项产品权重）的相加值</w:t>
      </w:r>
    </w:p>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小作坊专项监督抽检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一、项目基本概况</w:t>
            </w:r>
          </w:p>
          <w:p>
            <w:pPr>
              <w:ind w:firstLine="384"/>
              <w:jc w:val="both"/>
            </w:pPr>
            <w:r>
              <w:rPr>
                <w:sz w:val="21"/>
              </w:rPr>
              <w:t>本采购包选定1家食品检验承检机构。本采购包中标人应能使用“国家食品安全抽样检验信息系统”抽样APP在线抽样以及出具电子版检验报告。</w:t>
            </w:r>
          </w:p>
          <w:p>
            <w:pPr>
              <w:jc w:val="both"/>
            </w:pPr>
            <w:r>
              <w:rPr>
                <w:b/>
                <w:sz w:val="21"/>
              </w:rPr>
              <w:t>二、服务要求</w:t>
            </w:r>
          </w:p>
          <w:p>
            <w:pPr>
              <w:ind w:firstLine="384"/>
              <w:jc w:val="both"/>
            </w:pPr>
            <w:r>
              <w:rPr>
                <w:sz w:val="21"/>
              </w:rPr>
              <w:t>1.采购标的：小作坊专项监督抽检</w:t>
            </w:r>
          </w:p>
          <w:p>
            <w:pPr>
              <w:ind w:firstLine="384"/>
              <w:jc w:val="both"/>
            </w:pPr>
            <w:r>
              <w:rPr>
                <w:sz w:val="21"/>
              </w:rPr>
              <w:t>2.</w:t>
            </w:r>
            <w:r>
              <w:rPr>
                <w:sz w:val="21"/>
              </w:rPr>
              <w:t>服务内容：</w:t>
            </w:r>
            <w:r>
              <w:rPr>
                <w:color w:val="000000"/>
                <w:sz w:val="21"/>
              </w:rPr>
              <w:t>对</w:t>
            </w:r>
            <w:r>
              <w:rPr>
                <w:sz w:val="21"/>
              </w:rPr>
              <w:t>广东省小作坊</w:t>
            </w:r>
            <w:r>
              <w:rPr>
                <w:sz w:val="21"/>
              </w:rPr>
              <w:t>开展监督抽</w:t>
            </w:r>
            <w:r>
              <w:rPr>
                <w:color w:val="000000"/>
                <w:sz w:val="21"/>
              </w:rPr>
              <w:t>检及风险监测，计划抽取样品不低于400批次，抽样费、检验费等合计109.01万元。</w:t>
            </w:r>
          </w:p>
          <w:p>
            <w:pPr>
              <w:ind w:firstLine="384"/>
              <w:jc w:val="both"/>
            </w:pPr>
            <w:r>
              <w:rPr>
                <w:sz w:val="21"/>
              </w:rPr>
              <w:t>3.</w:t>
            </w:r>
            <w:r>
              <w:rPr>
                <w:sz w:val="21"/>
              </w:rPr>
              <w:t>食品细类及数量：</w:t>
            </w:r>
          </w:p>
          <w:tbl>
            <w:tblGrid>
              <w:gridCol w:w="800"/>
              <w:gridCol w:w="800"/>
              <w:gridCol w:w="800"/>
              <w:gridCol w:w="800"/>
              <w:gridCol w:w="800"/>
              <w:gridCol w:w="800"/>
              <w:gridCol w:w="800"/>
            </w:tblGrid>
            <w:tr>
              <w:tc>
                <w:tcPr>
                  <w:tcW w:type="dxa" w:w="800"/>
                  <w:vMerge w:val="restart"/>
                  <w:tcBorders>
                    <w:top w:val="single" w:color="000000" w:sz="4"/>
                    <w:left w:val="single" w:color="000000" w:sz="4"/>
                    <w:bottom w:val="single" w:color="000000" w:sz="4"/>
                    <w:right w:val="single" w:color="000000" w:sz="4"/>
                  </w:tcBorders>
                </w:tcPr>
                <w:p>
                  <w:pPr>
                    <w:jc w:val="center"/>
                  </w:pPr>
                  <w:r>
                    <w:rPr>
                      <w:color w:val="000000"/>
                      <w:sz w:val="21"/>
                    </w:rPr>
                    <w:t>包4</w:t>
                  </w:r>
                </w:p>
              </w:tc>
              <w:tc>
                <w:tcPr>
                  <w:tcW w:type="dxa" w:w="800"/>
                  <w:tcBorders>
                    <w:top w:val="single" w:color="000000" w:sz="4"/>
                    <w:left w:val="none" w:color="000000" w:sz="4"/>
                    <w:bottom w:val="single" w:color="000000" w:sz="4"/>
                    <w:right w:val="single" w:color="000000" w:sz="4"/>
                  </w:tcBorders>
                </w:tcPr>
                <w:p>
                  <w:pPr>
                    <w:jc w:val="center"/>
                  </w:pPr>
                  <w:r>
                    <w:rPr>
                      <w:b/>
                      <w:color w:val="000000"/>
                      <w:sz w:val="21"/>
                    </w:rPr>
                    <w:t>任务类别</w:t>
                  </w:r>
                </w:p>
              </w:tc>
              <w:tc>
                <w:tcPr>
                  <w:tcW w:type="dxa" w:w="800"/>
                  <w:tcBorders>
                    <w:top w:val="single" w:color="000000" w:sz="4"/>
                    <w:left w:val="none" w:color="000000" w:sz="4"/>
                    <w:bottom w:val="single" w:color="000000" w:sz="4"/>
                    <w:right w:val="single" w:color="000000" w:sz="4"/>
                  </w:tcBorders>
                </w:tcPr>
                <w:p>
                  <w:pPr>
                    <w:jc w:val="left"/>
                  </w:pPr>
                  <w:r>
                    <w:rPr>
                      <w:b/>
                      <w:color w:val="000000"/>
                      <w:sz w:val="21"/>
                    </w:rPr>
                    <w:t>食品类别</w:t>
                  </w:r>
                </w:p>
              </w:tc>
              <w:tc>
                <w:tcPr>
                  <w:tcW w:type="dxa" w:w="800"/>
                  <w:tcBorders>
                    <w:top w:val="single" w:color="000000" w:sz="4"/>
                    <w:left w:val="none" w:color="000000" w:sz="4"/>
                    <w:bottom w:val="single" w:color="000000" w:sz="4"/>
                    <w:right w:val="single" w:color="000000" w:sz="4"/>
                  </w:tcBorders>
                </w:tcPr>
                <w:p>
                  <w:pPr>
                    <w:jc w:val="center"/>
                  </w:pPr>
                  <w:r>
                    <w:rPr>
                      <w:b/>
                      <w:color w:val="000000"/>
                      <w:sz w:val="21"/>
                    </w:rPr>
                    <w:t>食品细类</w:t>
                  </w:r>
                </w:p>
              </w:tc>
              <w:tc>
                <w:tcPr>
                  <w:tcW w:type="dxa" w:w="800"/>
                  <w:tcBorders>
                    <w:top w:val="single" w:color="000000" w:sz="4"/>
                    <w:left w:val="none" w:color="000000" w:sz="4"/>
                    <w:bottom w:val="single" w:color="000000" w:sz="4"/>
                    <w:right w:val="single" w:color="000000" w:sz="4"/>
                  </w:tcBorders>
                </w:tcPr>
                <w:p>
                  <w:pPr>
                    <w:jc w:val="center"/>
                  </w:pPr>
                  <w:r>
                    <w:rPr>
                      <w:b/>
                      <w:color w:val="000000"/>
                      <w:sz w:val="21"/>
                    </w:rPr>
                    <w:t>监督检验项目</w:t>
                  </w:r>
                </w:p>
              </w:tc>
              <w:tc>
                <w:tcPr>
                  <w:tcW w:type="dxa" w:w="800"/>
                  <w:tcBorders>
                    <w:top w:val="single" w:color="000000" w:sz="4"/>
                    <w:left w:val="none" w:color="000000" w:sz="4"/>
                    <w:bottom w:val="single" w:color="000000" w:sz="4"/>
                    <w:right w:val="single" w:color="000000" w:sz="4"/>
                  </w:tcBorders>
                </w:tcPr>
                <w:p>
                  <w:pPr>
                    <w:jc w:val="left"/>
                  </w:pPr>
                  <w:r>
                    <w:rPr>
                      <w:b/>
                      <w:color w:val="000000"/>
                      <w:sz w:val="21"/>
                    </w:rPr>
                    <w:t>风险监测项目</w:t>
                  </w:r>
                </w:p>
              </w:tc>
              <w:tc>
                <w:tcPr>
                  <w:tcW w:type="dxa" w:w="800"/>
                  <w:tcBorders>
                    <w:top w:val="single" w:color="000000" w:sz="4"/>
                    <w:left w:val="none" w:color="000000" w:sz="4"/>
                    <w:bottom w:val="single" w:color="000000" w:sz="4"/>
                    <w:right w:val="single" w:color="000000" w:sz="4"/>
                  </w:tcBorders>
                </w:tcPr>
                <w:p>
                  <w:pPr>
                    <w:jc w:val="center"/>
                  </w:pPr>
                  <w:r>
                    <w:rPr>
                      <w:b/>
                      <w:color w:val="000000"/>
                      <w:sz w:val="21"/>
                    </w:rPr>
                    <w:t>抽检批次数</w:t>
                  </w:r>
                </w:p>
              </w:tc>
            </w:tr>
            <w:tr>
              <w:tc>
                <w:tcPr>
                  <w:tcW w:type="dxa" w:w="800"/>
                  <w:vMerge/>
                  <w:tcBorders>
                    <w:top w:val="single" w:color="000000" w:sz="4"/>
                    <w:left w:val="single" w:color="000000" w:sz="4"/>
                    <w:bottom w:val="single" w:color="000000" w:sz="4"/>
                    <w:right w:val="single" w:color="000000" w:sz="4"/>
                  </w:tcBorders>
                </w:tcPr>
                <w:p/>
              </w:tc>
              <w:tc>
                <w:tcPr>
                  <w:tcW w:type="dxa" w:w="800"/>
                  <w:vMerge w:val="restart"/>
                  <w:tcBorders>
                    <w:top w:val="none" w:color="000000" w:sz="4"/>
                    <w:left w:val="none" w:color="000000" w:sz="4"/>
                    <w:bottom w:val="single" w:color="000000" w:sz="4"/>
                    <w:right w:val="single" w:color="000000" w:sz="4"/>
                  </w:tcBorders>
                </w:tcPr>
                <w:p>
                  <w:pPr>
                    <w:jc w:val="center"/>
                  </w:pPr>
                  <w:r>
                    <w:rPr>
                      <w:color w:val="000000"/>
                      <w:sz w:val="21"/>
                    </w:rPr>
                    <w:t>小作坊专项监督抽检</w:t>
                  </w:r>
                </w:p>
              </w:tc>
              <w:tc>
                <w:tcPr>
                  <w:tcW w:type="dxa" w:w="800"/>
                  <w:tcBorders>
                    <w:top w:val="none" w:color="000000" w:sz="4"/>
                    <w:left w:val="none" w:color="000000" w:sz="4"/>
                    <w:bottom w:val="single" w:color="000000" w:sz="4"/>
                    <w:right w:val="single" w:color="000000" w:sz="4"/>
                  </w:tcBorders>
                </w:tcPr>
                <w:p>
                  <w:pPr>
                    <w:jc w:val="left"/>
                  </w:pPr>
                  <w:r>
                    <w:rPr>
                      <w:color w:val="000000"/>
                      <w:sz w:val="21"/>
                    </w:rPr>
                    <w:t>食用植物油</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花生油</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酸值/酸价、过氧化值、黄曲霉毒素B1、苯并[a]芘、溶剂残留量、特丁基对苯二酚（TBHQ）</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邻苯二甲酸二丁酯（DBP）、邻苯二甲酸二（2-乙基）己酯（DEHP）、天然辣椒素、二氢辣椒素、合成辣椒素、辣椒素总量、乙基麦芽酚</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150</w:t>
                  </w:r>
                </w:p>
              </w:tc>
            </w:tr>
            <w:tr>
              <w:tc>
                <w:tcPr>
                  <w:tcW w:type="dxa" w:w="800"/>
                  <w:vMerge/>
                  <w:tcBorders>
                    <w:top w:val="singl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Pr>
                <w:p>
                  <w:pPr>
                    <w:jc w:val="left"/>
                  </w:pPr>
                  <w:r>
                    <w:rPr>
                      <w:color w:val="000000"/>
                      <w:sz w:val="21"/>
                    </w:rPr>
                    <w:t>白酒</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白酒</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酒精度、甲醇、氰化物（以HCN计）、糖精钠（以糖精计）、甜蜜素（以环己基氨基磺酸计）、三氯蔗糖</w:t>
                  </w:r>
                </w:p>
              </w:tc>
              <w:tc>
                <w:tcPr>
                  <w:tcW w:type="dxa" w:w="800"/>
                  <w:tcBorders>
                    <w:top w:val="none" w:color="000000" w:sz="4"/>
                    <w:left w:val="none" w:color="000000" w:sz="4"/>
                    <w:bottom w:val="single" w:color="000000" w:sz="4"/>
                    <w:right w:val="single" w:color="000000" w:sz="4"/>
                  </w:tcBorders>
                </w:tcPr>
                <w:p>
                  <w:pPr>
                    <w:jc w:val="left"/>
                  </w:pPr>
                  <w:r>
                    <w:rPr>
                      <w:color w:val="000000"/>
                      <w:sz w:val="21"/>
                    </w:rPr>
                    <w:t>邻苯二甲酸二丁酯（DBP）、邻苯二甲酸二（2-乙基）己酯（DEHP）、纽甜、阿斯巴甜、安赛蜜</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150</w:t>
                  </w:r>
                </w:p>
              </w:tc>
            </w:tr>
            <w:tr>
              <w:tc>
                <w:tcPr>
                  <w:tcW w:type="dxa" w:w="800"/>
                  <w:vMerge/>
                  <w:tcBorders>
                    <w:top w:val="singl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Pr>
                <w:p>
                  <w:pPr>
                    <w:jc w:val="left"/>
                  </w:pPr>
                  <w:r>
                    <w:rPr>
                      <w:color w:val="000000"/>
                      <w:sz w:val="21"/>
                    </w:rPr>
                    <w:t>肉制品</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烧腊</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苯并[a]芘、N-二甲基亚硝胺、亚硝酸盐（以亚硝酸钠计）、菌落总数、大肠菌群、沙门氏菌、金黄色葡萄球菌、单核细胞增生李斯特氏菌、总砷、沙门氏菌、金黄色葡萄球菌</w:t>
                  </w:r>
                </w:p>
              </w:tc>
              <w:tc>
                <w:tcPr>
                  <w:tcW w:type="dxa" w:w="800"/>
                  <w:tcBorders>
                    <w:top w:val="none" w:color="000000" w:sz="4"/>
                    <w:left w:val="none" w:color="000000" w:sz="4"/>
                    <w:bottom w:val="single" w:color="000000" w:sz="4"/>
                    <w:right w:val="single" w:color="000000" w:sz="4"/>
                  </w:tcBorders>
                </w:tcPr>
                <w:p>
                  <w:pPr>
                    <w:jc w:val="both"/>
                  </w:pPr>
                </w:p>
              </w:tc>
              <w:tc>
                <w:tcPr>
                  <w:tcW w:type="dxa" w:w="800"/>
                  <w:tcBorders>
                    <w:top w:val="none" w:color="000000" w:sz="4"/>
                    <w:left w:val="none" w:color="000000" w:sz="4"/>
                    <w:bottom w:val="single" w:color="000000" w:sz="4"/>
                    <w:right w:val="single" w:color="000000" w:sz="4"/>
                  </w:tcBorders>
                </w:tcPr>
                <w:p>
                  <w:pPr>
                    <w:jc w:val="center"/>
                  </w:pPr>
                  <w:r>
                    <w:rPr>
                      <w:color w:val="000000"/>
                      <w:sz w:val="21"/>
                    </w:rPr>
                    <w:t>100</w:t>
                  </w:r>
                </w:p>
              </w:tc>
            </w:tr>
            <w:tr>
              <w:tc>
                <w:tcPr>
                  <w:tcW w:type="dxa" w:w="800"/>
                  <w:vMerge/>
                  <w:tcBorders>
                    <w:top w:val="singl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Pr>
                <w:p>
                  <w:pPr>
                    <w:jc w:val="both"/>
                  </w:pPr>
                </w:p>
              </w:tc>
              <w:tc>
                <w:tcPr>
                  <w:tcW w:type="dxa" w:w="1600"/>
                  <w:gridSpan w:val="2"/>
                  <w:tcBorders>
                    <w:top w:val="none" w:color="000000" w:sz="4"/>
                    <w:left w:val="none" w:color="000000" w:sz="4"/>
                    <w:bottom w:val="single" w:color="000000" w:sz="4"/>
                    <w:right w:val="single" w:color="000000" w:sz="4"/>
                  </w:tcBorders>
                </w:tcPr>
                <w:p>
                  <w:pPr>
                    <w:jc w:val="center"/>
                  </w:pPr>
                  <w:r>
                    <w:rPr>
                      <w:b/>
                      <w:color w:val="000000"/>
                      <w:sz w:val="21"/>
                    </w:rPr>
                    <w:t>小计</w:t>
                  </w:r>
                </w:p>
              </w:tc>
              <w:tc>
                <w:tcPr>
                  <w:tcW w:type="dxa" w:w="800"/>
                  <w:tcBorders>
                    <w:top w:val="none" w:color="000000" w:sz="4"/>
                    <w:left w:val="none" w:color="000000" w:sz="4"/>
                    <w:bottom w:val="single" w:color="000000" w:sz="4"/>
                    <w:right w:val="single" w:color="000000" w:sz="4"/>
                  </w:tcBorders>
                </w:tcPr>
                <w:p>
                  <w:pPr>
                    <w:jc w:val="center"/>
                  </w:pPr>
                </w:p>
              </w:tc>
              <w:tc>
                <w:tcPr>
                  <w:tcW w:type="dxa" w:w="800"/>
                  <w:tcBorders>
                    <w:top w:val="none" w:color="000000" w:sz="4"/>
                    <w:left w:val="none" w:color="000000" w:sz="4"/>
                    <w:bottom w:val="single" w:color="000000" w:sz="4"/>
                    <w:right w:val="single" w:color="000000" w:sz="4"/>
                  </w:tcBorders>
                </w:tcPr>
                <w:p>
                  <w:pPr>
                    <w:jc w:val="center"/>
                  </w:pPr>
                  <w:r>
                    <w:rPr>
                      <w:b/>
                      <w:color w:val="000000"/>
                      <w:sz w:val="21"/>
                    </w:rPr>
                    <w:t>400</w:t>
                  </w:r>
                </w:p>
              </w:tc>
            </w:tr>
          </w:tbl>
          <w:p>
            <w:pPr>
              <w:ind w:firstLine="384"/>
              <w:jc w:val="both"/>
            </w:pPr>
            <w:r>
              <w:rPr/>
              <w:t>4.基本要求：</w:t>
            </w:r>
            <w:r>
              <w:br/>
            </w:r>
            <w:r>
              <w:rPr/>
              <w:t>（1）采样地点：在广东省内开展抽查。</w:t>
            </w:r>
            <w:r>
              <w:br/>
            </w:r>
            <w:r>
              <w:rPr/>
              <w:t>（2）抽样人员：由中标人安排2名或以上具有符合要求的抽样人员。</w:t>
            </w:r>
            <w:r>
              <w:br/>
            </w:r>
            <w:r>
              <w:rPr/>
              <w:t>（3）完成时限：中标人应于2022年11月30日前完成所中标抽检工作，部分任务对具体完成时间另有要求的，经双方协  商同意，以抽查实施方案确定的时间为准。</w:t>
            </w:r>
            <w:r>
              <w:br/>
            </w:r>
            <w:r>
              <w:rPr/>
              <w:t>（4）采样办法：根据检验项目及国家标准中规定的采样方法及采样数量抽取样品。</w:t>
            </w:r>
            <w:r>
              <w:br/>
            </w:r>
            <w:r>
              <w:rPr/>
              <w:t>（5）样品运输：由中标人负责，确保样品质量不受影响。</w:t>
            </w:r>
            <w:r>
              <w:br/>
            </w:r>
            <w:r>
              <w:rPr/>
              <w:t>（6）样品检验：由中标人负责，并对样品检验结果负责。</w:t>
            </w:r>
            <w:r>
              <w:br/>
            </w:r>
            <w:r>
              <w:rPr/>
              <w:t>（7）结果判定：本项目要求出具判定结论。</w:t>
            </w:r>
            <w:r>
              <w:br/>
            </w:r>
            <w:r>
              <w:rPr/>
              <w:t>（8）结果送达与数据报送：由中标人负责，检验完毕后，按要求及时送达。按照国家总局、省局和采购人有关文件要求，按时报送监测结果数据，发现问题样品，应及时上报和通报有关部门。</w:t>
            </w:r>
            <w:r>
              <w:br/>
            </w:r>
            <w:r>
              <w:rPr/>
              <w:t>（9）数据汇总与分析：依据汇总数据及抽查情况进行评估分析，对不合格项目进行原因及危害性分析，并编制分析报告。</w:t>
            </w:r>
            <w:r>
              <w:br/>
            </w:r>
            <w:r>
              <w:rPr/>
              <w:t>5.工作要求</w:t>
            </w:r>
            <w:r>
              <w:br/>
            </w:r>
            <w:r>
              <w:rPr/>
              <w:t>（1）对中标人在开展抽检监测过程中弄虚作假或不配合采购人开展工作的，采购人有权单方面终止合同，并追究其经济赔偿责任和法律责任。</w:t>
            </w:r>
            <w:r>
              <w:br/>
            </w:r>
            <w:r>
              <w:rPr/>
              <w:t>（2）中标人负责提供交通工具，积极配合抽检工作。须保证抽检过程公平、公正。</w:t>
            </w:r>
            <w:r>
              <w:br/>
            </w:r>
            <w:r>
              <w:rPr/>
              <w:t>（3）中标人实验室检验设备、检验人员充裕，能满足食品检验的特殊要求，能按时按质完成抽检任务，出具合法有效的检验报告。</w:t>
            </w:r>
            <w:r>
              <w:br/>
            </w:r>
            <w:r>
              <w:rPr/>
              <w:t>（4）中标人技术服务水平高，采样操作规范，实验室质量控制严格，近3年无食品检验数据严重质量问题。</w:t>
            </w:r>
            <w:r>
              <w:br/>
            </w:r>
            <w:r>
              <w:rPr/>
              <w:t>（5）沟通协调能力强，与各市市场监管部门工作配合到位。工作作风端正，态度温和。</w:t>
            </w:r>
            <w:r>
              <w:br/>
            </w:r>
            <w:r>
              <w:rPr/>
              <w:t>（6）中标人应按照专业操守尽职尽责，根据国际国内的相关标准进行样品的抽样、检验，并且按当次抽检方案约定日期出具检验报告；在采购人与第三方同等的条件下，中标人应优先完成对采购人的抽检和监测任务。</w:t>
            </w:r>
            <w:r>
              <w:br/>
            </w:r>
            <w:r>
              <w:rPr/>
              <w:t>（7）食品安全抽检监测工作遵照国家总局制定的最新工作规范执行，并接受广东省市场监督管理局及当地监察机构的监督。</w:t>
            </w:r>
            <w:r>
              <w:br/>
            </w:r>
            <w:r>
              <w:rPr/>
              <w:t>（8）中标人对检验结果的真实性负责，由于虚假、错误检验数据和结论而给被检人造成损失的，或者给社会带来不良影响的，采购人有权单方面终止合同，并承担赔偿责任及相应法律责任。</w:t>
            </w:r>
            <w:r>
              <w:br/>
            </w:r>
            <w:r>
              <w:rPr/>
              <w:t>（9）涉及抽样的全部情况包括数据及结果，中标人必须对抽检监测的结果及数据等信息保密，不得向除采购人外的任何单位与个人透露，否则采购人有权单方面终止合同；如造成经济损失及不良影响的，追究其经济赔偿责任和法律责任。</w:t>
            </w:r>
            <w:r>
              <w:br/>
            </w:r>
            <w:r>
              <w:rPr/>
              <w:t>（10）中标人应积极配合采购人开展抽检及后续工作。应安排专人与采购人联系，并提供手机、QQ、邮箱等联系方式， 必要时应在半小时内及时响应采购人需求。</w:t>
            </w:r>
            <w:r>
              <w:br/>
            </w:r>
            <w:r>
              <w:rPr/>
              <w:t>（11）中标人对其抽取的样品负责，检验结果反映送检样品的真实状况。</w:t>
            </w:r>
            <w:r>
              <w:br/>
            </w:r>
            <w:r>
              <w:rPr/>
              <w:t>6.服务考核标准</w:t>
            </w:r>
            <w:r>
              <w:br/>
            </w:r>
            <w:r>
              <w:rPr/>
              <w:t>经采购人认定中标人违反一项或多项以下内容，采购人视情况有权对中标人进行警告、处罚，情况严重的，采购人可单方面终止合同。</w:t>
            </w:r>
            <w:r>
              <w:br/>
            </w:r>
            <w:r>
              <w:rPr/>
              <w:t>（1）检测项目没有在其能力范围的；</w:t>
            </w:r>
            <w:r>
              <w:br/>
            </w:r>
            <w:r>
              <w:rPr/>
              <w:t>（2）中标人未按规定时间完成检测任务的；</w:t>
            </w:r>
            <w:r>
              <w:br/>
            </w:r>
            <w:r>
              <w:rPr/>
              <w:t>（3）经采购人数据复核（复检）确认，中标人检测准确度有较大误差，整改后无法纠正的；</w:t>
            </w:r>
            <w:r>
              <w:br/>
            </w:r>
            <w:r>
              <w:rPr/>
              <w:t>（4）多次出现漏检、误检、重检、检测结果错漏等，上报资料不符合规定的；</w:t>
            </w:r>
            <w:r>
              <w:br/>
            </w:r>
            <w:r>
              <w:rPr/>
              <w:t>（5）对采购人提出的工作任务不响应不配合的；</w:t>
            </w:r>
            <w:r>
              <w:br/>
            </w:r>
            <w:r>
              <w:rPr/>
              <w:t>（6）违反保密规定，泄露检测结果数据，或未经采购人许可擅自使用检测数据的；</w:t>
            </w:r>
            <w:r>
              <w:br/>
            </w:r>
            <w:r>
              <w:rPr/>
              <w:t>（7）数据弄虚作假，原始记录、图谱与电脑存档内容不符，没有保留原始图谱等。</w:t>
            </w:r>
            <w:r>
              <w:br/>
            </w:r>
            <w:r>
              <w:rPr/>
              <w:t>7.项目完成期要求：本采购包应在2022年11月30日前完成。</w:t>
            </w:r>
            <w:r>
              <w:br/>
            </w:r>
            <w:r>
              <w:rPr/>
              <w:t>★三、抽样检验信息系统</w:t>
            </w:r>
            <w:r>
              <w:br/>
            </w:r>
            <w:r>
              <w:rPr/>
              <w:t>中标人应能使用“国家食品安全抽样检验信息系统”抽样APP在线抽样以及出具电子版检验报告。严格按照时限要求将抽样检验信息录入“国家食品安全抽样检验信息系统”。</w:t>
            </w:r>
            <w:r>
              <w:br/>
            </w:r>
            <w:r>
              <w:rPr/>
              <w:t>四、检验工作的实施</w:t>
            </w:r>
            <w:r>
              <w:br/>
            </w:r>
            <w:r>
              <w:rPr/>
              <w:t>1.食品检验由食品检验机构指定的检验人独立进行。检验人应当依照有关法律、法规的规定，并依照食品安全标准和检验规范对食品进行检验，尊重科学，恪守职业道德，保证出具的检验数据和结论客观、公正，不得出具虚假的检验报告。</w:t>
            </w:r>
            <w:r>
              <w:br/>
            </w:r>
            <w:r>
              <w:rPr/>
              <w:t>2、工作要求：一般要求从收到样品之日起20个工作日内出具检验报告，如因特殊情况需延长检验期限的，可另行约定。 应节应急抽检、执法抽检等有特殊时限要求的，根据采购人要求加快检验。投标人应具有食品检验方法研发能力，了解行业发展动态，熟悉食品生产工艺，具备食品相关的科研能力。对目前暂未有判定依据的项目应出具检测数值、检测方法介绍、结果分析和处理建议。</w:t>
            </w:r>
            <w:r>
              <w:br/>
            </w:r>
            <w:r>
              <w:rPr/>
              <w:t>五、检验结果的处理</w:t>
            </w:r>
            <w:r>
              <w:br/>
            </w:r>
            <w:r>
              <w:rPr/>
              <w:t>1.出具检验结论、提供检验报告及有关材料的送达、告知：采购人将根据《中华人民共和国食品安全法》、《食品安全抽样检验管理办法》（市场监管总局令第15号）、《食品药品监管总局办公厅关于印发食品安全监督抽检和风险监测工作规 范的通知》等政策法规制定具体要求，供中标人执行。</w:t>
            </w:r>
            <w:r>
              <w:br/>
            </w:r>
            <w:r>
              <w:rPr/>
              <w:t>2.检验结果的评估：中标人应指派专人负责整理、分类、汇总抽检数据。中标人要对不合格项目进行原因及危害性分析 评估，并出具分析评估报告，提出下一步检测意见和建议。发生食品安全突发事件时，中标人应配合做好分析评估工作，为采购人的决策提供技术依据。</w:t>
            </w:r>
            <w:r>
              <w:br/>
            </w:r>
            <w:r>
              <w:rPr/>
              <w:t>3.对被抽检单位异议的处理以及复检：</w:t>
            </w:r>
            <w:r>
              <w:br/>
            </w:r>
            <w:r>
              <w:rPr/>
              <w:t>（1）协助采购人处理被抽检单位提出的异议申请。</w:t>
            </w:r>
            <w:r>
              <w:br/>
            </w:r>
            <w:r>
              <w:rPr/>
              <w:t>（2）初检机构配合有关复检工作，复检机构依法开展复检工作。</w:t>
            </w:r>
            <w:r>
              <w:br/>
            </w:r>
            <w:r>
              <w:rPr/>
              <w:t>（3）具备复检机构资格的中标人，在接到采购人指定的复检任务时，应予以受理。特殊情况不能接受的，中标人应说明理由并与采购人协商解决。复检机构由采购人指定。</w:t>
            </w:r>
            <w:r>
              <w:br/>
            </w:r>
            <w:r>
              <w:rPr/>
              <w:t>（4）复检结论与初检结论不一致的，复检费用由初检机构承担；复检结论与初检结论一致的，复检费用由复检申请人承担。</w:t>
            </w:r>
            <w:r>
              <w:br/>
            </w:r>
            <w:r>
              <w:rPr/>
              <w:t>4.为保证检验报告及有关公文的顺利送达，邮寄必须选择EMS。邮寄所需费用由中标人支付。</w:t>
            </w:r>
            <w:r>
              <w:br/>
            </w:r>
            <w:r>
              <w:rPr/>
              <w:t>六、技术服务</w:t>
            </w:r>
            <w:r>
              <w:br/>
            </w:r>
            <w:r>
              <w:rPr/>
              <w:t>中标人根据采购人的工作需求，提供以下技术服务：</w:t>
            </w:r>
            <w:r>
              <w:br/>
            </w:r>
            <w:r>
              <w:rPr/>
              <w:t>（1）食品安全宣传活动中的咨询、检测、宣讲等服务。</w:t>
            </w:r>
            <w:r>
              <w:br/>
            </w:r>
            <w:r>
              <w:rPr/>
              <w:t>（2）新闻发布、舆</w:t>
            </w:r>
            <w:r>
              <w:rPr>
                <w:color w:val="FFFFFF"/>
              </w:rPr>
              <w:t>.</w:t>
            </w:r>
            <w:r>
              <w:rPr/>
              <w:t>情应对、应急处置等相关工作中的技术支持。</w:t>
            </w:r>
            <w:r>
              <w:br/>
            </w:r>
            <w:r>
              <w:rPr/>
              <w:t>（3）安排专家接受咨询、参加研讨、提出建议等。</w:t>
            </w:r>
            <w:r>
              <w:br/>
            </w:r>
            <w:r>
              <w:rPr/>
              <w:t>（4）其他根据工作提出的技术服务。</w:t>
            </w:r>
          </w:p>
          <w:p>
            <w:pPr>
              <w:ind w:firstLine="384"/>
              <w:jc w:val="both"/>
            </w:pPr>
            <w:r>
              <w:rPr/>
              <w:t xml:space="preserve"> </w:t>
            </w:r>
          </w:p>
          <w:p>
            <w:pPr>
              <w:ind w:firstLine="384"/>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采购包5（小作坊专项抽检监测）：</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服务期限：中标人应于2022年11月30日前完成所中标抽检工作，部分任务对具体完成时间另有要求的，经双方协商同意，以抽查实施方案确定的时间为准。</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1期：支付比例90%，合同签订后五个工作日内，按合同总额90%支付第一期费用；</w:t>
            </w:r>
          </w:p>
          <w:p/>
          <w:p>
            <w:r>
              <w:rPr/>
              <w:t>2期：支付比例10%，在合同项目结束后十个工作日内按合同总额10%支付合同尾款。</w:t>
            </w:r>
          </w:p>
        </w:tc>
      </w:tr>
      <w:tr>
        <w:tc>
          <w:tcPr>
            <w:tcW w:type="dxa" w:w="4153"/>
          </w:tcPr>
          <w:p>
            <w:r>
              <w:rPr/>
              <w:t>验收要求</w:t>
            </w:r>
          </w:p>
        </w:tc>
        <w:tc>
          <w:tcPr>
            <w:tcW w:type="dxa" w:w="4153"/>
          </w:tcPr>
          <w:p>
            <w:pPr>
              <w:jc w:val="left"/>
            </w:pPr>
          </w:p>
          <w:p/>
          <w:p/>
          <w:p>
            <w:r>
              <w:rPr/>
              <w:t>1期：1、</w:t>
              <w:tab/>
              <w:t>中标供应商需严格按照招标文件承诺内容提供相应服务，采购方有权对项目实施过程、售后服务情况进行检查、考核和客观评价况。 2、</w:t>
              <w:tab/>
              <w:t>中标供应商在本项目完成后，提出验收申请，由采购人对所编制文件进行审评验收。</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tc>
      </w:tr>
    </w:tbl>
    <w:p>
      <w:r>
        <w:rPr>
          <w:b/>
          <w:sz w:val="24"/>
        </w:rPr>
        <w:t>2.技术标准与要求</w:t>
      </w:r>
    </w:p>
    <w:tbl>
      <w:tblPr>
        <w:tblW w:w="0" w:type="auto"/>
        <w:tblBorders>
          <w:top w:val="single"/>
          <w:left w:val="single"/>
          <w:bottom w:val="single"/>
          <w:right w:val="single"/>
          <w:insideH w:val="single"/>
          <w:insideV w:val="single"/>
        </w:tblBorders>
      </w:tblPr>
      <w:tblGrid>
        <w:gridCol w:w="218"/>
        <w:gridCol w:w="363"/>
        <w:gridCol w:w="1816"/>
        <w:gridCol w:w="1816"/>
        <w:gridCol w:w="363"/>
        <w:gridCol w:w="660"/>
        <w:gridCol w:w="660"/>
        <w:gridCol w:w="660"/>
        <w:gridCol w:w="660"/>
        <w:gridCol w:w="726"/>
        <w:gridCol w:w="363"/>
      </w:tblGrid>
      <w:tr>
        <w:tc>
          <w:tcPr>
            <w:tcW w:type="dxa" w:w="218"/>
          </w:tcPr>
          <w:p>
            <w:r>
              <w:rPr/>
              <w:t>序号</w:t>
            </w:r>
          </w:p>
        </w:tc>
        <w:tc>
          <w:tcPr>
            <w:tcW w:type="dxa" w:w="363"/>
          </w:tcPr>
          <w:p>
            <w:r>
              <w:rPr/>
              <w:t>核心产品（“△”）</w:t>
            </w:r>
          </w:p>
        </w:tc>
        <w:tc>
          <w:tcPr>
            <w:tcW w:type="dxa" w:w="1816"/>
          </w:tcPr>
          <w:p>
            <w:r>
              <w:rPr/>
              <w:t>品目名称</w:t>
            </w:r>
          </w:p>
        </w:tc>
        <w:tc>
          <w:tcPr>
            <w:tcW w:type="dxa" w:w="1816"/>
          </w:tcPr>
          <w:p>
            <w:r>
              <w:rPr/>
              <w:t>标的名称</w:t>
            </w:r>
          </w:p>
        </w:tc>
        <w:tc>
          <w:tcPr>
            <w:tcW w:type="dxa" w:w="363"/>
          </w:tcPr>
          <w:p>
            <w:r>
              <w:rPr/>
              <w:t>单位</w:t>
            </w:r>
          </w:p>
        </w:tc>
        <w:tc>
          <w:tcPr>
            <w:tcW w:type="dxa" w:w="660"/>
          </w:tcPr>
          <w:p>
            <w:r>
              <w:rPr/>
              <w:t>数量</w:t>
            </w:r>
          </w:p>
        </w:tc>
        <w:tc>
          <w:tcPr>
            <w:tcW w:type="dxa" w:w="660"/>
          </w:tcPr>
          <w:p>
            <w:r>
              <w:rPr/>
              <w:t>分项预算单价（元）</w:t>
            </w:r>
          </w:p>
        </w:tc>
        <w:tc>
          <w:tcPr>
            <w:tcW w:type="dxa" w:w="660"/>
          </w:tcPr>
          <w:p>
            <w:r>
              <w:rPr/>
              <w:t>分项预算总价（元）</w:t>
            </w:r>
          </w:p>
        </w:tc>
        <w:tc>
          <w:tcPr>
            <w:tcW w:type="dxa" w:w="660"/>
          </w:tcPr>
          <w:p>
            <w:r>
              <w:rPr/>
              <w:t>权重%</w:t>
            </w:r>
          </w:p>
        </w:tc>
        <w:tc>
          <w:tcPr>
            <w:tcW w:type="dxa" w:w="726"/>
          </w:tcPr>
          <w:p>
            <w:r>
              <w:rPr/>
              <w:t>所属行业</w:t>
            </w:r>
          </w:p>
        </w:tc>
        <w:tc>
          <w:tcPr>
            <w:tcW w:type="dxa" w:w="363"/>
          </w:tcPr>
          <w:p>
            <w:r>
              <w:rPr/>
              <w:t>技术要求</w:t>
            </w:r>
          </w:p>
        </w:tc>
      </w:tr>
      <w:tr>
        <w:tc>
          <w:tcPr>
            <w:tcW w:type="dxa" w:w="218"/>
          </w:tcPr>
          <w:p>
            <w:r>
              <w:rPr/>
              <w:t>1</w:t>
            </w:r>
          </w:p>
        </w:tc>
        <w:tc>
          <w:tcPr>
            <w:tcW w:type="dxa" w:w="363"/>
          </w:tcPr>
          <w:p/>
        </w:tc>
        <w:tc>
          <w:tcPr>
            <w:tcW w:type="dxa" w:w="1816"/>
          </w:tcPr>
          <w:p>
            <w:r>
              <w:rPr/>
              <w:t>技术测试和分析服务</w:t>
            </w:r>
          </w:p>
        </w:tc>
        <w:tc>
          <w:tcPr>
            <w:tcW w:type="dxa" w:w="1816"/>
          </w:tcPr>
          <w:p>
            <w:r>
              <w:rPr/>
              <w:t>小作坊专项抽检监测</w:t>
            </w:r>
          </w:p>
        </w:tc>
        <w:tc>
          <w:tcPr>
            <w:tcW w:type="dxa" w:w="363"/>
          </w:tcPr>
          <w:p>
            <w:r>
              <w:rPr/>
              <w:t>项</w:t>
            </w:r>
          </w:p>
        </w:tc>
        <w:tc>
          <w:tcPr>
            <w:tcW w:type="dxa" w:w="660"/>
          </w:tcPr>
          <w:p>
            <w:pPr>
              <w:jc w:val="right"/>
            </w:pPr>
            <w:r>
              <w:rPr/>
              <w:t>1.0000</w:t>
            </w:r>
          </w:p>
        </w:tc>
        <w:tc>
          <w:tcPr>
            <w:tcW w:type="dxa" w:w="660"/>
          </w:tcPr>
          <w:p>
            <w:pPr>
              <w:jc w:val="right"/>
            </w:pPr>
            <w:r>
              <w:rPr/>
              <w:t>783,800.00</w:t>
            </w:r>
          </w:p>
        </w:tc>
        <w:tc>
          <w:tcPr>
            <w:tcW w:type="dxa" w:w="660"/>
          </w:tcPr>
          <w:p>
            <w:pPr>
              <w:jc w:val="right"/>
            </w:pPr>
            <w:r>
              <w:rPr/>
              <w:t>783,800.00</w:t>
            </w:r>
          </w:p>
        </w:tc>
        <w:tc>
          <w:tcPr>
            <w:tcW w:type="dxa" w:w="660"/>
          </w:tcPr>
          <w:p>
            <w:r>
              <w:rPr/>
              <w:t>100.0</w:t>
            </w:r>
          </w:p>
        </w:tc>
        <w:tc>
          <w:tcPr>
            <w:tcW w:type="dxa" w:w="726"/>
          </w:tcPr>
          <w:p>
            <w:r>
              <w:rPr/>
              <w:t>其他未列明行业</w:t>
            </w:r>
          </w:p>
        </w:tc>
        <w:tc>
          <w:tcPr>
            <w:tcW w:type="dxa" w:w="363"/>
          </w:tcPr>
          <w:p>
            <w:r>
              <w:rPr/>
              <w:t>详见附表一</w:t>
            </w:r>
          </w:p>
        </w:tc>
      </w:tr>
    </w:tbl>
    <w:p>
      <w:r>
        <w:rPr/>
        <w:t>备注：最终综合总报价=（各产品报价×各项产品权重）的相加值</w:t>
      </w:r>
    </w:p>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小作坊专项抽检监测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一、项目基本概况</w:t>
            </w:r>
          </w:p>
          <w:p>
            <w:pPr>
              <w:ind w:firstLine="384"/>
              <w:jc w:val="both"/>
            </w:pPr>
            <w:r>
              <w:rPr>
                <w:sz w:val="21"/>
              </w:rPr>
              <w:t>本采购包选定1家食品检验承检机构。本采购包中标人应能使用“国家食品安全抽样检验信息系统”抽样APP在线抽样以及出具电子版检验报告。</w:t>
            </w:r>
          </w:p>
          <w:p>
            <w:pPr>
              <w:jc w:val="both"/>
            </w:pPr>
            <w:r>
              <w:rPr>
                <w:b/>
                <w:sz w:val="21"/>
              </w:rPr>
              <w:t>二、服务要求</w:t>
            </w:r>
          </w:p>
          <w:p>
            <w:pPr>
              <w:ind w:firstLine="384"/>
              <w:jc w:val="both"/>
            </w:pPr>
            <w:r>
              <w:rPr>
                <w:sz w:val="21"/>
              </w:rPr>
              <w:t>1.采购标的：小作坊专项抽检监测</w:t>
            </w:r>
          </w:p>
          <w:p>
            <w:pPr>
              <w:ind w:firstLine="384"/>
              <w:jc w:val="both"/>
            </w:pPr>
            <w:r>
              <w:rPr>
                <w:sz w:val="21"/>
              </w:rPr>
              <w:t>2.</w:t>
            </w:r>
            <w:r>
              <w:rPr>
                <w:sz w:val="21"/>
              </w:rPr>
              <w:t>服务内容：</w:t>
            </w:r>
            <w:r>
              <w:rPr>
                <w:color w:val="000000"/>
                <w:sz w:val="21"/>
              </w:rPr>
              <w:t>对</w:t>
            </w:r>
            <w:r>
              <w:rPr>
                <w:sz w:val="21"/>
              </w:rPr>
              <w:t>广东省小作坊</w:t>
            </w:r>
            <w:r>
              <w:rPr>
                <w:sz w:val="21"/>
              </w:rPr>
              <w:t>开展</w:t>
            </w:r>
            <w:r>
              <w:rPr>
                <w:color w:val="000000"/>
                <w:sz w:val="21"/>
              </w:rPr>
              <w:t>监督抽检及风险监测，计划抽取样品不低于300批次，抽样费、检验费等合计78.38万元。</w:t>
            </w:r>
          </w:p>
          <w:p>
            <w:pPr>
              <w:ind w:firstLine="384"/>
              <w:jc w:val="both"/>
            </w:pPr>
            <w:r>
              <w:rPr>
                <w:sz w:val="21"/>
              </w:rPr>
              <w:t>3.</w:t>
            </w:r>
            <w:r>
              <w:rPr>
                <w:sz w:val="21"/>
              </w:rPr>
              <w:t>食品细类及数量：</w:t>
            </w:r>
          </w:p>
          <w:tbl>
            <w:tblGrid>
              <w:gridCol w:w="800"/>
              <w:gridCol w:w="800"/>
              <w:gridCol w:w="800"/>
              <w:gridCol w:w="800"/>
              <w:gridCol w:w="800"/>
              <w:gridCol w:w="800"/>
              <w:gridCol w:w="800"/>
            </w:tblGrid>
            <w:tr>
              <w:tc>
                <w:tcPr>
                  <w:tcW w:type="dxa" w:w="800"/>
                  <w:vMerge w:val="restart"/>
                  <w:tcBorders>
                    <w:top w:val="single" w:color="000000" w:sz="4"/>
                    <w:left w:val="single" w:color="000000" w:sz="4"/>
                    <w:bottom w:val="single" w:color="000000" w:sz="4"/>
                    <w:right w:val="single" w:color="000000" w:sz="4"/>
                  </w:tcBorders>
                </w:tcPr>
                <w:p>
                  <w:pPr>
                    <w:jc w:val="center"/>
                  </w:pPr>
                  <w:r>
                    <w:rPr>
                      <w:color w:val="000000"/>
                      <w:sz w:val="21"/>
                    </w:rPr>
                    <w:t>包5</w:t>
                  </w:r>
                </w:p>
              </w:tc>
              <w:tc>
                <w:tcPr>
                  <w:tcW w:type="dxa" w:w="800"/>
                  <w:tcBorders>
                    <w:top w:val="single" w:color="000000" w:sz="4"/>
                    <w:left w:val="none" w:color="000000" w:sz="4"/>
                    <w:bottom w:val="single" w:color="000000" w:sz="4"/>
                    <w:right w:val="single" w:color="000000" w:sz="4"/>
                  </w:tcBorders>
                </w:tcPr>
                <w:p>
                  <w:pPr>
                    <w:jc w:val="left"/>
                  </w:pPr>
                  <w:r>
                    <w:rPr>
                      <w:b/>
                      <w:color w:val="000000"/>
                      <w:sz w:val="21"/>
                    </w:rPr>
                    <w:t>任务类别</w:t>
                  </w:r>
                </w:p>
              </w:tc>
              <w:tc>
                <w:tcPr>
                  <w:tcW w:type="dxa" w:w="800"/>
                  <w:tcBorders>
                    <w:top w:val="single" w:color="000000" w:sz="4"/>
                    <w:left w:val="none" w:color="000000" w:sz="4"/>
                    <w:bottom w:val="single" w:color="000000" w:sz="4"/>
                    <w:right w:val="single" w:color="000000" w:sz="4"/>
                  </w:tcBorders>
                </w:tcPr>
                <w:p>
                  <w:pPr>
                    <w:jc w:val="left"/>
                  </w:pPr>
                  <w:r>
                    <w:rPr>
                      <w:b/>
                      <w:color w:val="000000"/>
                      <w:sz w:val="21"/>
                    </w:rPr>
                    <w:t>食品类别</w:t>
                  </w:r>
                </w:p>
              </w:tc>
              <w:tc>
                <w:tcPr>
                  <w:tcW w:type="dxa" w:w="800"/>
                  <w:tcBorders>
                    <w:top w:val="single" w:color="000000" w:sz="4"/>
                    <w:left w:val="none" w:color="000000" w:sz="4"/>
                    <w:bottom w:val="single" w:color="000000" w:sz="4"/>
                    <w:right w:val="single" w:color="000000" w:sz="4"/>
                  </w:tcBorders>
                </w:tcPr>
                <w:p>
                  <w:pPr>
                    <w:jc w:val="left"/>
                  </w:pPr>
                  <w:r>
                    <w:rPr>
                      <w:b/>
                      <w:color w:val="000000"/>
                      <w:sz w:val="21"/>
                    </w:rPr>
                    <w:t>食品细类</w:t>
                  </w:r>
                </w:p>
              </w:tc>
              <w:tc>
                <w:tcPr>
                  <w:tcW w:type="dxa" w:w="800"/>
                  <w:tcBorders>
                    <w:top w:val="single" w:color="000000" w:sz="4"/>
                    <w:left w:val="none" w:color="000000" w:sz="4"/>
                    <w:bottom w:val="single" w:color="000000" w:sz="4"/>
                    <w:right w:val="single" w:color="000000" w:sz="4"/>
                  </w:tcBorders>
                </w:tcPr>
                <w:p>
                  <w:pPr>
                    <w:jc w:val="left"/>
                  </w:pPr>
                  <w:r>
                    <w:rPr>
                      <w:b/>
                      <w:color w:val="000000"/>
                      <w:sz w:val="21"/>
                    </w:rPr>
                    <w:t>监督检验项目</w:t>
                  </w:r>
                </w:p>
              </w:tc>
              <w:tc>
                <w:tcPr>
                  <w:tcW w:type="dxa" w:w="800"/>
                  <w:tcBorders>
                    <w:top w:val="single" w:color="000000" w:sz="4"/>
                    <w:left w:val="none" w:color="000000" w:sz="4"/>
                    <w:bottom w:val="single" w:color="000000" w:sz="4"/>
                    <w:right w:val="single" w:color="000000" w:sz="4"/>
                  </w:tcBorders>
                </w:tcPr>
                <w:p>
                  <w:pPr>
                    <w:jc w:val="center"/>
                  </w:pPr>
                  <w:r>
                    <w:rPr>
                      <w:b/>
                      <w:color w:val="000000"/>
                      <w:sz w:val="21"/>
                    </w:rPr>
                    <w:t>风险监测项目</w:t>
                  </w:r>
                </w:p>
              </w:tc>
              <w:tc>
                <w:tcPr>
                  <w:tcW w:type="dxa" w:w="800"/>
                  <w:tcBorders>
                    <w:top w:val="single" w:color="000000" w:sz="4"/>
                    <w:left w:val="none" w:color="000000" w:sz="4"/>
                    <w:bottom w:val="single" w:color="000000" w:sz="4"/>
                    <w:right w:val="single" w:color="000000" w:sz="4"/>
                  </w:tcBorders>
                </w:tcPr>
                <w:p>
                  <w:pPr>
                    <w:jc w:val="center"/>
                  </w:pPr>
                  <w:r>
                    <w:rPr>
                      <w:b/>
                      <w:color w:val="000000"/>
                      <w:sz w:val="21"/>
                    </w:rPr>
                    <w:t>抽检批次数</w:t>
                  </w:r>
                </w:p>
              </w:tc>
            </w:tr>
            <w:tr>
              <w:tc>
                <w:tcPr>
                  <w:tcW w:type="dxa" w:w="800"/>
                  <w:vMerge/>
                  <w:tcBorders>
                    <w:top w:val="single" w:color="000000" w:sz="4"/>
                    <w:left w:val="single" w:color="000000" w:sz="4"/>
                    <w:bottom w:val="single" w:color="000000" w:sz="4"/>
                    <w:right w:val="single" w:color="000000" w:sz="4"/>
                  </w:tcBorders>
                </w:tcPr>
                <w:p/>
              </w:tc>
              <w:tc>
                <w:tcPr>
                  <w:tcW w:type="dxa" w:w="800"/>
                  <w:vMerge w:val="restart"/>
                  <w:tcBorders>
                    <w:top w:val="none" w:color="000000" w:sz="4"/>
                    <w:left w:val="none" w:color="000000" w:sz="4"/>
                    <w:bottom w:val="single" w:color="000000" w:sz="4"/>
                    <w:right w:val="single" w:color="000000" w:sz="4"/>
                  </w:tcBorders>
                </w:tcPr>
                <w:p>
                  <w:pPr>
                    <w:jc w:val="center"/>
                  </w:pPr>
                  <w:r>
                    <w:rPr>
                      <w:color w:val="000000"/>
                      <w:sz w:val="21"/>
                    </w:rPr>
                    <w:t>小作坊专项抽检监测</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豆制品</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豆腐</w:t>
                  </w:r>
                </w:p>
              </w:tc>
              <w:tc>
                <w:tcPr>
                  <w:tcW w:type="dxa" w:w="800"/>
                  <w:tcBorders>
                    <w:top w:val="none" w:color="000000" w:sz="4"/>
                    <w:left w:val="none" w:color="000000" w:sz="4"/>
                    <w:bottom w:val="single" w:color="000000" w:sz="4"/>
                    <w:right w:val="single" w:color="000000" w:sz="4"/>
                  </w:tcBorders>
                </w:tcPr>
                <w:p>
                  <w:pPr>
                    <w:jc w:val="left"/>
                  </w:pPr>
                  <w:r>
                    <w:rPr>
                      <w:color w:val="000000"/>
                      <w:sz w:val="21"/>
                    </w:rPr>
                    <w:t>铅（以Pb计）、苯甲酸及其钠盐（以苯甲酸计）、山梨酸及其钾盐（以山梨酸计）、脱氢乙酸及其钠盐（以脱氢乙酸计）、丙酸及其钠盐、钙盐（以丙酸计）、防腐剂混合使用时各自用量占其最大使用量的比例之和、铝的残留量（干样品，以Al计）、大肠菌群</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安赛蜜、甜蜜素、柠檬黄、日落黄</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100</w:t>
                  </w:r>
                </w:p>
              </w:tc>
            </w:tr>
            <w:tr>
              <w:tc>
                <w:tcPr>
                  <w:tcW w:type="dxa" w:w="800"/>
                  <w:vMerge/>
                  <w:tcBorders>
                    <w:top w:val="singl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Pr>
                <w:p>
                  <w:pPr>
                    <w:jc w:val="center"/>
                  </w:pPr>
                  <w:r>
                    <w:rPr>
                      <w:color w:val="000000"/>
                      <w:sz w:val="21"/>
                    </w:rPr>
                    <w:t>糕点</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糕点</w:t>
                  </w:r>
                </w:p>
              </w:tc>
              <w:tc>
                <w:tcPr>
                  <w:tcW w:type="dxa" w:w="800"/>
                  <w:tcBorders>
                    <w:top w:val="none" w:color="000000" w:sz="4"/>
                    <w:left w:val="none" w:color="000000" w:sz="4"/>
                    <w:bottom w:val="single" w:color="000000" w:sz="4"/>
                    <w:right w:val="single" w:color="000000" w:sz="4"/>
                  </w:tcBorders>
                </w:tcPr>
                <w:p>
                  <w:pPr>
                    <w:jc w:val="left"/>
                  </w:pPr>
                  <w:r>
                    <w:rPr>
                      <w:color w:val="000000"/>
                      <w:sz w:val="21"/>
                    </w:rPr>
                    <w:t>苯甲酸及其钠盐（以苯甲酸计）、山梨酸及其钾盐（以山梨酸计）、甜蜜素（以环己基氨基磺酸计）、安赛蜜、糖精钠（以糖精计）、脱氢乙酸及其钠盐（以脱氢乙酸计）、富马酸二甲酯、丙二醇</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丙二醇（限面包）、丙烯酰胺、溴酸盐、硼酸、脱氧雪腐镰刀菌烯醇、蜡样芽胞杆菌、柠檬黄、日落黄、胭脂红、苋菜红、亮蓝</w:t>
                  </w:r>
                </w:p>
              </w:tc>
              <w:tc>
                <w:tcPr>
                  <w:tcW w:type="dxa" w:w="800"/>
                  <w:tcBorders>
                    <w:top w:val="none" w:color="000000" w:sz="4"/>
                    <w:left w:val="none" w:color="000000" w:sz="4"/>
                    <w:bottom w:val="single" w:color="000000" w:sz="4"/>
                    <w:right w:val="single" w:color="000000" w:sz="4"/>
                  </w:tcBorders>
                </w:tcPr>
                <w:p>
                  <w:pPr>
                    <w:jc w:val="center"/>
                  </w:pPr>
                  <w:r>
                    <w:rPr>
                      <w:color w:val="000000"/>
                      <w:sz w:val="21"/>
                    </w:rPr>
                    <w:t>200</w:t>
                  </w:r>
                </w:p>
              </w:tc>
            </w:tr>
            <w:tr>
              <w:tc>
                <w:tcPr>
                  <w:tcW w:type="dxa" w:w="800"/>
                  <w:vMerge/>
                  <w:tcBorders>
                    <w:top w:val="singl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Pr>
                <w:p>
                  <w:pPr>
                    <w:jc w:val="both"/>
                  </w:pPr>
                </w:p>
              </w:tc>
              <w:tc>
                <w:tcPr>
                  <w:tcW w:type="dxa" w:w="1600"/>
                  <w:gridSpan w:val="2"/>
                  <w:tcBorders>
                    <w:top w:val="none" w:color="000000" w:sz="4"/>
                    <w:left w:val="none" w:color="000000" w:sz="4"/>
                    <w:bottom w:val="single" w:color="000000" w:sz="4"/>
                    <w:right w:val="single" w:color="000000" w:sz="4"/>
                  </w:tcBorders>
                </w:tcPr>
                <w:p>
                  <w:pPr>
                    <w:jc w:val="center"/>
                  </w:pPr>
                  <w:r>
                    <w:rPr>
                      <w:b/>
                      <w:color w:val="000000"/>
                      <w:sz w:val="21"/>
                    </w:rPr>
                    <w:t>小计</w:t>
                  </w:r>
                </w:p>
              </w:tc>
              <w:tc>
                <w:tcPr>
                  <w:tcW w:type="dxa" w:w="800"/>
                  <w:tcBorders>
                    <w:top w:val="none" w:color="000000" w:sz="4"/>
                    <w:left w:val="none" w:color="000000" w:sz="4"/>
                    <w:bottom w:val="single" w:color="000000" w:sz="4"/>
                    <w:right w:val="single" w:color="000000" w:sz="4"/>
                  </w:tcBorders>
                </w:tcPr>
                <w:p>
                  <w:pPr>
                    <w:jc w:val="center"/>
                  </w:pPr>
                </w:p>
              </w:tc>
              <w:tc>
                <w:tcPr>
                  <w:tcW w:type="dxa" w:w="800"/>
                  <w:tcBorders>
                    <w:top w:val="none" w:color="000000" w:sz="4"/>
                    <w:left w:val="none" w:color="000000" w:sz="4"/>
                    <w:bottom w:val="single" w:color="000000" w:sz="4"/>
                    <w:right w:val="single" w:color="000000" w:sz="4"/>
                  </w:tcBorders>
                </w:tcPr>
                <w:p>
                  <w:pPr>
                    <w:jc w:val="center"/>
                  </w:pPr>
                  <w:r>
                    <w:rPr>
                      <w:b/>
                      <w:color w:val="000000"/>
                      <w:sz w:val="21"/>
                    </w:rPr>
                    <w:t>300</w:t>
                  </w:r>
                </w:p>
              </w:tc>
            </w:tr>
          </w:tbl>
          <w:p>
            <w:pPr>
              <w:ind w:firstLine="384"/>
              <w:jc w:val="both"/>
            </w:pPr>
            <w:r>
              <w:rPr/>
              <w:t>4.基本要求：</w:t>
            </w:r>
            <w:r>
              <w:br/>
            </w:r>
            <w:r>
              <w:rPr/>
              <w:t>（1）采样地点：在广东省内开展抽查。</w:t>
            </w:r>
            <w:r>
              <w:br/>
            </w:r>
            <w:r>
              <w:rPr/>
              <w:t>（2）抽样人员：由中标人安排2名或以上具有符合要求的抽样人员。</w:t>
            </w:r>
            <w:r>
              <w:br/>
            </w:r>
            <w:r>
              <w:rPr/>
              <w:t>（3）完成时限：中标人应于2022年11月30日前完成所中标抽检工作，部分任务对具体完成时间另有要求的，经双方协  商同意，以抽查实施方案确定的时间为准。</w:t>
            </w:r>
            <w:r>
              <w:br/>
            </w:r>
            <w:r>
              <w:rPr/>
              <w:t>（4）采样办法：根据检验项目及国家标准中规定的采样方法及采样数量抽取样品。</w:t>
            </w:r>
            <w:r>
              <w:br/>
            </w:r>
            <w:r>
              <w:rPr/>
              <w:t>（5）样品运输：由中标人负责，确保样品质量不受影响。</w:t>
            </w:r>
            <w:r>
              <w:br/>
            </w:r>
            <w:r>
              <w:rPr/>
              <w:t>（6）样品检验：由中标人负责，并对样品检验结果负责。</w:t>
            </w:r>
            <w:r>
              <w:br/>
            </w:r>
            <w:r>
              <w:rPr/>
              <w:t>（7）结果判定：本项目要求出具判定结论。</w:t>
            </w:r>
            <w:r>
              <w:br/>
            </w:r>
            <w:r>
              <w:rPr/>
              <w:t>（8）结果送达与数据报送：由中标人负责，检验完毕后，按要求及时送达。按照国家总局、省局和采购人有关文件要求，按时报送监测结果数据，发现问题样品，应及时上报和通报有关部门。</w:t>
            </w:r>
            <w:r>
              <w:br/>
            </w:r>
            <w:r>
              <w:rPr/>
              <w:t>（9）数据汇总与分析：依据汇总数据及抽查情况进行评估分析，对不合格项目进行原因及危害性分析，并编制分析报告。</w:t>
            </w:r>
            <w:r>
              <w:br/>
            </w:r>
            <w:r>
              <w:rPr/>
              <w:t>5.工作要求</w:t>
            </w:r>
            <w:r>
              <w:br/>
            </w:r>
            <w:r>
              <w:rPr/>
              <w:t>（1）对中标人在开展抽检监测过程中弄虚作假或不配合采购人开展工作的，采购人有权单方面终止合同，并追究其经济赔偿责任和法律责任。</w:t>
            </w:r>
            <w:r>
              <w:br/>
            </w:r>
            <w:r>
              <w:rPr/>
              <w:t>（2）中标人负责提供交通工具，积极配合抽检工作。须保证抽检过程公平、公正。</w:t>
            </w:r>
            <w:r>
              <w:br/>
            </w:r>
            <w:r>
              <w:rPr/>
              <w:t>（3）中标人实验室检验设备、检验人员充裕，能满足食品检验的特殊要求，能按时按质完成抽检任务，出具合法有效的检验报告。</w:t>
            </w:r>
            <w:r>
              <w:br/>
            </w:r>
            <w:r>
              <w:rPr/>
              <w:t>（4）中标人技术服务水平高，采样操作规范，实验室质量控制严格，近3年无食品检验数据严重质量问题。</w:t>
            </w:r>
            <w:r>
              <w:br/>
            </w:r>
            <w:r>
              <w:rPr/>
              <w:t>（5）沟通协调能力强，与各市市场监管部门工作配合到位。工作作风端正，态度温和。</w:t>
            </w:r>
            <w:r>
              <w:br/>
            </w:r>
            <w:r>
              <w:rPr/>
              <w:t>（6）中标人应按照专业操守尽职尽责，根据国际国内的相关标准进行样品的抽样、检验，并且按当次抽检方案约定日期出具检验报告；在采购人与第三方同等的条件下，中标人应优先完成对采购人的抽检和监测任务。</w:t>
            </w:r>
            <w:r>
              <w:br/>
            </w:r>
            <w:r>
              <w:rPr/>
              <w:t>（7）食品安全抽检监测工作遵照国家总局制定的最新工作规范执行，并接受广东省市场监督管理局及当地监察机构的监督。</w:t>
            </w:r>
            <w:r>
              <w:br/>
            </w:r>
            <w:r>
              <w:rPr/>
              <w:t>（8）中标人对检验结果的真实性负责，由于虚假、错误检验数据和结论而给被检人造成损失的，或者给社会带来不良影响的，采购人有权单方面终止合同，并承担赔偿责任及相应法律责任。</w:t>
            </w:r>
            <w:r>
              <w:br/>
            </w:r>
            <w:r>
              <w:rPr/>
              <w:t>（9）涉及抽样的全部情况包括数据及结果，中标人必须对抽检监测的结果及数据等信息保密，不得向除采购人外的任何单位与个人透露，否则采购人有权单方面终止合同；如造成经济损失及不良影响的，追究其经济赔偿责任和法律责任。</w:t>
            </w:r>
            <w:r>
              <w:br/>
            </w:r>
            <w:r>
              <w:rPr/>
              <w:t>（10）中标人应积极配合采购人开展抽检及后续工作。应安排专人与采购人联系，并提供手机、QQ、邮箱等联系方式， 必要时应在半小时内及时响应采购人需求。</w:t>
            </w:r>
            <w:r>
              <w:br/>
            </w:r>
            <w:r>
              <w:rPr/>
              <w:t>（11）中标人对其抽取的样品负责，检验结果反映送检样品的真实状况。</w:t>
            </w:r>
            <w:r>
              <w:br/>
            </w:r>
            <w:r>
              <w:rPr/>
              <w:t>6.服务考核标准</w:t>
            </w:r>
            <w:r>
              <w:br/>
            </w:r>
            <w:r>
              <w:rPr/>
              <w:t>经采购人认定中标人违反一项或多项以下内容，采购人视情况有权对中标人进行警告、处罚，情况严重的，采购人可单方面终止合同。</w:t>
            </w:r>
            <w:r>
              <w:br/>
            </w:r>
            <w:r>
              <w:rPr/>
              <w:t>（1）检测项目没有在其能力范围的；</w:t>
            </w:r>
            <w:r>
              <w:br/>
            </w:r>
            <w:r>
              <w:rPr/>
              <w:t>（2）中标人未按规定时间完成检测任务的；</w:t>
            </w:r>
            <w:r>
              <w:br/>
            </w:r>
            <w:r>
              <w:rPr/>
              <w:t>（3）经采购人数据复核（复检）确认，中标人检测准确度有较大误差，整改后无法纠正的；</w:t>
            </w:r>
            <w:r>
              <w:br/>
            </w:r>
            <w:r>
              <w:rPr/>
              <w:t>（4）多次出现漏检、误检、重检、检测结果错漏等，上报资料不符合规定的；</w:t>
            </w:r>
            <w:r>
              <w:br/>
            </w:r>
            <w:r>
              <w:rPr/>
              <w:t>（5）对采购人提出的工作任务不响应不配合的；</w:t>
            </w:r>
            <w:r>
              <w:br/>
            </w:r>
            <w:r>
              <w:rPr/>
              <w:t>（6）违反保密规定，泄露检测结果数据，或未经采购人许可擅自使用检测数据的；</w:t>
            </w:r>
            <w:r>
              <w:br/>
            </w:r>
            <w:r>
              <w:rPr/>
              <w:t>（7）数据弄虚作假，原始记录、图谱与电脑存档内容不符，没有保留原始图谱等。</w:t>
            </w:r>
            <w:r>
              <w:br/>
            </w:r>
            <w:r>
              <w:rPr/>
              <w:t>7.项目完成期要求：本采购包应在2022年11月30日前完成。</w:t>
            </w:r>
            <w:r>
              <w:br/>
            </w:r>
            <w:r>
              <w:rPr/>
              <w:t>★三、抽样检验信息系统</w:t>
            </w:r>
            <w:r>
              <w:br/>
            </w:r>
            <w:r>
              <w:rPr/>
              <w:t>中标人应能使用“国家食品安全抽样检验信息系统”抽样APP在线抽样以及出具电子版检验报告。严格按照时限要求将抽样检验信息录入“国家食品安全抽样检验信息系统”</w:t>
            </w:r>
            <w:r>
              <w:br/>
            </w:r>
            <w:r>
              <w:rPr/>
              <w:t>四、检验工作的实施</w:t>
            </w:r>
            <w:r>
              <w:br/>
            </w:r>
            <w:r>
              <w:rPr/>
              <w:t>1.食品检验由食品检验机构指定的检验人独立进行。检验人应当依照有关法律、法规的规定，并依照食品安全标准和检验规范对食品进行检验，尊重科学，恪守职业道德，保证出具的检验数据和结论客观、公正，不得出具虚假的检验报告。</w:t>
            </w:r>
            <w:r>
              <w:br/>
            </w:r>
            <w:r>
              <w:rPr/>
              <w:t>2、工作要求：一般要求从收到样品之日起20个工作日内出具检验报告，如因特殊情况需延长检验期限的，可另行约定。 应节应急抽检、执法抽检等有特殊时限要求的，根据采购人要求加快检验。投标人应具有食品检验方法研发能力，了解行业发展动态，熟悉食品生产工艺，具备食品相关的科研能力。对目前暂未有判定依据的项目应出具检测数值、检测方法介绍、结果分析和处理建议。</w:t>
            </w:r>
            <w:r>
              <w:br/>
            </w:r>
            <w:r>
              <w:rPr/>
              <w:t>五、检验结果的处理</w:t>
            </w:r>
            <w:r>
              <w:br/>
            </w:r>
            <w:r>
              <w:rPr/>
              <w:t>1.出具检验结论、提供检验报告及有关材料的送达、告知：采购人将根据《中华人民共和国食品安全法》、《食品安全抽样检验管理办法》（市场监管总局令第15号）、《食品药品监管总局办公厅关于印发食品安全监督抽检和风险监测工作规 范的通知》等政策法规制定具体要求，供中标人执行。</w:t>
            </w:r>
            <w:r>
              <w:br/>
            </w:r>
            <w:r>
              <w:rPr/>
              <w:t>2.检验结果的评估：中标人应指派专人负责整理、分类、汇总抽检数据。中标人要对不合格项目进行原因及危害性分析 评估，并出具分析评估报告，提出下一步检测意见和建议。发生食品安全突发事件时，中标人应配合做好分析评估工作，为采购人的决策提供技术依据。</w:t>
            </w:r>
            <w:r>
              <w:br/>
            </w:r>
            <w:r>
              <w:rPr/>
              <w:t>3.对被抽检单位异议的处理以及复检：</w:t>
            </w:r>
            <w:r>
              <w:br/>
            </w:r>
            <w:r>
              <w:rPr/>
              <w:t>（1）协助采购人处理被抽检单位提出的异议申请。</w:t>
            </w:r>
            <w:r>
              <w:br/>
            </w:r>
            <w:r>
              <w:rPr/>
              <w:t>（2）初检机构配合有关复检工作，复检机构依法开展复检工作。</w:t>
            </w:r>
            <w:r>
              <w:br/>
            </w:r>
            <w:r>
              <w:rPr/>
              <w:t>（3）具备复检机构资格的中标人，在接到采购人指定的复检任务时，应予以受理。特殊情况不能接受的，中标人应说明理由并与采购人协商解决。复检机构由采购人指定。</w:t>
            </w:r>
            <w:r>
              <w:br/>
            </w:r>
            <w:r>
              <w:rPr/>
              <w:t>（4）复检结论与初检结论不一致的，复检费用由初检机构承担；复检结论与初检结论一致的，复检费用由复检申请人承担。</w:t>
            </w:r>
            <w:r>
              <w:br/>
            </w:r>
            <w:r>
              <w:rPr/>
              <w:t>4.为保证检验报告及有关公文的顺利送达，邮寄必须选择EMS。邮寄所需费用由中标人支付。</w:t>
            </w:r>
            <w:r>
              <w:br/>
            </w:r>
            <w:r>
              <w:rPr/>
              <w:t>六、技术服务</w:t>
            </w:r>
            <w:r>
              <w:br/>
            </w:r>
            <w:r>
              <w:rPr/>
              <w:t>中标人根据采购人的工作需求，提供以下技术服务：</w:t>
            </w:r>
            <w:r>
              <w:br/>
            </w:r>
            <w:r>
              <w:rPr/>
              <w:t>（1）食品安全宣传活动中的咨询、检测、宣讲等服务。</w:t>
            </w:r>
            <w:r>
              <w:br/>
            </w:r>
            <w:r>
              <w:rPr/>
              <w:t>（2）新闻发布、舆</w:t>
            </w:r>
            <w:r>
              <w:rPr>
                <w:color w:val="FFFFFF"/>
              </w:rPr>
              <w:t>.</w:t>
            </w:r>
            <w:r>
              <w:rPr/>
              <w:t>情应对、应急处置等相关工作中的技术支持。</w:t>
            </w:r>
            <w:r>
              <w:br/>
            </w:r>
            <w:r>
              <w:rPr/>
              <w:t>（3）安排专家接受咨询、参加研讨、提出建议等。</w:t>
            </w:r>
            <w:r>
              <w:br/>
            </w:r>
            <w:r>
              <w:rPr/>
              <w:t>（4）其他根据工作提出的技术服务。</w:t>
            </w:r>
            <w:r>
              <w:br/>
            </w:r>
            <w:r>
              <w:rPr/>
              <w:t xml:space="preserve"> </w:t>
            </w:r>
          </w:p>
          <w:p>
            <w:pPr>
              <w:ind w:firstLine="384"/>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采购包6（食品相关产品监督抽检和风险监测）：</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服务期限：中标人应于2022年11月30日前完成所中标抽检工作，部分任务对具体完成时间另有要求的，经双方协商同意，以抽查实施方案确定的时间为准。</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1期：支付比例90%，合同签订后五个工作日内，按合同总额90%支付第一期费用；</w:t>
            </w:r>
          </w:p>
          <w:p/>
          <w:p>
            <w:r>
              <w:rPr/>
              <w:t>2期：支付比例10%，在合同项目结束后十个工作日内按合同总额10%支付合同尾款。</w:t>
            </w:r>
          </w:p>
        </w:tc>
      </w:tr>
      <w:tr>
        <w:tc>
          <w:tcPr>
            <w:tcW w:type="dxa" w:w="4153"/>
          </w:tcPr>
          <w:p>
            <w:r>
              <w:rPr/>
              <w:t>验收要求</w:t>
            </w:r>
          </w:p>
        </w:tc>
        <w:tc>
          <w:tcPr>
            <w:tcW w:type="dxa" w:w="4153"/>
          </w:tcPr>
          <w:p>
            <w:pPr>
              <w:jc w:val="left"/>
            </w:pPr>
          </w:p>
          <w:p/>
          <w:p/>
          <w:p>
            <w:r>
              <w:rPr/>
              <w:t>1期：1、</w:t>
              <w:tab/>
              <w:t>中标供应商需严格按照招标文件承诺内容提供相应服务，采购方有权对项目实施过程、售后服务情况进行检查、考核和客观评价况。 2、</w:t>
              <w:tab/>
              <w:t>中标供应商在本项目完成后，提出验收申请，由采购人对所编制文件进行审评验收。</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tc>
      </w:tr>
    </w:tbl>
    <w:p>
      <w:r>
        <w:rPr>
          <w:b/>
          <w:sz w:val="24"/>
        </w:rPr>
        <w:t>2.技术标准与要求</w:t>
      </w:r>
    </w:p>
    <w:tbl>
      <w:tblPr>
        <w:tblW w:w="0" w:type="auto"/>
        <w:tblBorders>
          <w:top w:val="single"/>
          <w:left w:val="single"/>
          <w:bottom w:val="single"/>
          <w:right w:val="single"/>
          <w:insideH w:val="single"/>
          <w:insideV w:val="single"/>
        </w:tblBorders>
      </w:tblPr>
      <w:tblGrid>
        <w:gridCol w:w="218"/>
        <w:gridCol w:w="363"/>
        <w:gridCol w:w="1816"/>
        <w:gridCol w:w="1816"/>
        <w:gridCol w:w="363"/>
        <w:gridCol w:w="660"/>
        <w:gridCol w:w="660"/>
        <w:gridCol w:w="660"/>
        <w:gridCol w:w="660"/>
        <w:gridCol w:w="726"/>
        <w:gridCol w:w="363"/>
      </w:tblGrid>
      <w:tr>
        <w:tc>
          <w:tcPr>
            <w:tcW w:type="dxa" w:w="218"/>
          </w:tcPr>
          <w:p>
            <w:r>
              <w:rPr/>
              <w:t>序号</w:t>
            </w:r>
          </w:p>
        </w:tc>
        <w:tc>
          <w:tcPr>
            <w:tcW w:type="dxa" w:w="363"/>
          </w:tcPr>
          <w:p>
            <w:r>
              <w:rPr/>
              <w:t>核心产品（“△”）</w:t>
            </w:r>
          </w:p>
        </w:tc>
        <w:tc>
          <w:tcPr>
            <w:tcW w:type="dxa" w:w="1816"/>
          </w:tcPr>
          <w:p>
            <w:r>
              <w:rPr/>
              <w:t>品目名称</w:t>
            </w:r>
          </w:p>
        </w:tc>
        <w:tc>
          <w:tcPr>
            <w:tcW w:type="dxa" w:w="1816"/>
          </w:tcPr>
          <w:p>
            <w:r>
              <w:rPr/>
              <w:t>标的名称</w:t>
            </w:r>
          </w:p>
        </w:tc>
        <w:tc>
          <w:tcPr>
            <w:tcW w:type="dxa" w:w="363"/>
          </w:tcPr>
          <w:p>
            <w:r>
              <w:rPr/>
              <w:t>单位</w:t>
            </w:r>
          </w:p>
        </w:tc>
        <w:tc>
          <w:tcPr>
            <w:tcW w:type="dxa" w:w="660"/>
          </w:tcPr>
          <w:p>
            <w:r>
              <w:rPr/>
              <w:t>数量</w:t>
            </w:r>
          </w:p>
        </w:tc>
        <w:tc>
          <w:tcPr>
            <w:tcW w:type="dxa" w:w="660"/>
          </w:tcPr>
          <w:p>
            <w:r>
              <w:rPr/>
              <w:t>分项预算单价（元）</w:t>
            </w:r>
          </w:p>
        </w:tc>
        <w:tc>
          <w:tcPr>
            <w:tcW w:type="dxa" w:w="660"/>
          </w:tcPr>
          <w:p>
            <w:r>
              <w:rPr/>
              <w:t>分项预算总价（元）</w:t>
            </w:r>
          </w:p>
        </w:tc>
        <w:tc>
          <w:tcPr>
            <w:tcW w:type="dxa" w:w="660"/>
          </w:tcPr>
          <w:p>
            <w:r>
              <w:rPr/>
              <w:t>权重%</w:t>
            </w:r>
          </w:p>
        </w:tc>
        <w:tc>
          <w:tcPr>
            <w:tcW w:type="dxa" w:w="726"/>
          </w:tcPr>
          <w:p>
            <w:r>
              <w:rPr/>
              <w:t>所属行业</w:t>
            </w:r>
          </w:p>
        </w:tc>
        <w:tc>
          <w:tcPr>
            <w:tcW w:type="dxa" w:w="363"/>
          </w:tcPr>
          <w:p>
            <w:r>
              <w:rPr/>
              <w:t>技术要求</w:t>
            </w:r>
          </w:p>
        </w:tc>
      </w:tr>
      <w:tr>
        <w:tc>
          <w:tcPr>
            <w:tcW w:type="dxa" w:w="218"/>
          </w:tcPr>
          <w:p>
            <w:r>
              <w:rPr/>
              <w:t>1</w:t>
            </w:r>
          </w:p>
        </w:tc>
        <w:tc>
          <w:tcPr>
            <w:tcW w:type="dxa" w:w="363"/>
          </w:tcPr>
          <w:p/>
        </w:tc>
        <w:tc>
          <w:tcPr>
            <w:tcW w:type="dxa" w:w="1816"/>
          </w:tcPr>
          <w:p>
            <w:r>
              <w:rPr/>
              <w:t>技术测试和分析服务</w:t>
            </w:r>
          </w:p>
        </w:tc>
        <w:tc>
          <w:tcPr>
            <w:tcW w:type="dxa" w:w="1816"/>
          </w:tcPr>
          <w:p>
            <w:r>
              <w:rPr/>
              <w:t>食品相关产品监督抽检和风险监测</w:t>
            </w:r>
          </w:p>
        </w:tc>
        <w:tc>
          <w:tcPr>
            <w:tcW w:type="dxa" w:w="363"/>
          </w:tcPr>
          <w:p>
            <w:r>
              <w:rPr/>
              <w:t>项</w:t>
            </w:r>
          </w:p>
        </w:tc>
        <w:tc>
          <w:tcPr>
            <w:tcW w:type="dxa" w:w="660"/>
          </w:tcPr>
          <w:p>
            <w:pPr>
              <w:jc w:val="right"/>
            </w:pPr>
            <w:r>
              <w:rPr/>
              <w:t>1.0000</w:t>
            </w:r>
          </w:p>
        </w:tc>
        <w:tc>
          <w:tcPr>
            <w:tcW w:type="dxa" w:w="660"/>
          </w:tcPr>
          <w:p>
            <w:pPr>
              <w:jc w:val="right"/>
            </w:pPr>
            <w:r>
              <w:rPr/>
              <w:t>1,501,000.00</w:t>
            </w:r>
          </w:p>
        </w:tc>
        <w:tc>
          <w:tcPr>
            <w:tcW w:type="dxa" w:w="660"/>
          </w:tcPr>
          <w:p>
            <w:pPr>
              <w:jc w:val="right"/>
            </w:pPr>
            <w:r>
              <w:rPr/>
              <w:t>1,501,000.00</w:t>
            </w:r>
          </w:p>
        </w:tc>
        <w:tc>
          <w:tcPr>
            <w:tcW w:type="dxa" w:w="660"/>
          </w:tcPr>
          <w:p>
            <w:r>
              <w:rPr/>
              <w:t>100.0</w:t>
            </w:r>
          </w:p>
        </w:tc>
        <w:tc>
          <w:tcPr>
            <w:tcW w:type="dxa" w:w="726"/>
          </w:tcPr>
          <w:p>
            <w:r>
              <w:rPr/>
              <w:t>其他未列明行业</w:t>
            </w:r>
          </w:p>
        </w:tc>
        <w:tc>
          <w:tcPr>
            <w:tcW w:type="dxa" w:w="363"/>
          </w:tcPr>
          <w:p>
            <w:r>
              <w:rPr/>
              <w:t>详见附表一</w:t>
            </w:r>
          </w:p>
        </w:tc>
      </w:tr>
    </w:tbl>
    <w:p>
      <w:r>
        <w:rPr/>
        <w:t>备注：最终综合总报价=（各产品报价×各项产品权重）的相加值</w:t>
      </w:r>
    </w:p>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食品相关产品监督抽检和风险监测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一、项目基本概况</w:t>
            </w:r>
            <w:r>
              <w:br/>
            </w:r>
            <w:r>
              <w:rPr/>
              <w:t>1、采购项目内容：本采购包是对食品相关产品抽检检测承担机构资格进行公开招标。</w:t>
            </w:r>
            <w:r>
              <w:br/>
            </w:r>
            <w:r>
              <w:rPr/>
              <w:t xml:space="preserve">2、拟公开招标承担机构家数：一家。 </w:t>
            </w:r>
            <w:r>
              <w:br/>
            </w:r>
            <w:r>
              <w:rPr/>
              <w:t xml:space="preserve">3、项目经费预算：150.1万元。 </w:t>
            </w:r>
            <w:r>
              <w:br/>
            </w:r>
            <w:r>
              <w:rPr/>
              <w:t>二、服务要求</w:t>
            </w:r>
            <w:r>
              <w:br/>
            </w:r>
            <w:r>
              <w:rPr/>
              <w:t>1. 供应商总体要求</w:t>
            </w:r>
            <w:r>
              <w:br/>
            </w:r>
            <w:r>
              <w:rPr/>
              <w:t>（1）供应商须具备与本项目相适应的分析和研究能力，近五年未发生过重大检验事故。</w:t>
            </w:r>
            <w:r>
              <w:br/>
            </w:r>
            <w:r>
              <w:rPr/>
              <w:t>（2）在中华人民共和国境内具有固定且能够独立运行的实验场所，满足本项目要求。</w:t>
            </w:r>
            <w:r>
              <w:br/>
            </w:r>
            <w:r>
              <w:rPr/>
              <w:t>（3）供应商须具有稳定的、高水平检验和技术管理人员，能保证本项目工作的连续性和稳定性，单独为本项目配备服务团队。</w:t>
            </w:r>
            <w:r>
              <w:br/>
            </w:r>
            <w:r>
              <w:rPr/>
              <w:t>2. 供应商人员要求</w:t>
            </w:r>
            <w:r>
              <w:br/>
            </w:r>
            <w:r>
              <w:rPr/>
              <w:t xml:space="preserve">（1）供应商人员稳定性强，能保证本项目工作的连续性和稳定性。 </w:t>
            </w:r>
            <w:r>
              <w:br/>
            </w:r>
            <w:r>
              <w:rPr/>
              <w:t>（2）供应商人员岗位职责、分工明确。应设置有独立的技术管理人员、 业务管理人员 、统计分析人员、数据报送人员信息，能按照时限要求汇总上报相关信息，人员总体数量与任务匹配。</w:t>
            </w:r>
            <w:r>
              <w:br/>
            </w:r>
            <w:r>
              <w:rPr/>
              <w:t>（3）供应商人员职称结构良好，具有稳定的、高水平和技术管理。在食品及食品相关产品质量安全、检验方法、生产工艺 、标准制定等专业方向具有专家人才。</w:t>
            </w:r>
            <w:r>
              <w:br/>
            </w:r>
            <w:r>
              <w:rPr/>
              <w:t>3.供应商沟通理解能力强，与广东省市场监管部门工作配合到位，充分理解各项任务的工作要旨。</w:t>
            </w:r>
            <w:r>
              <w:br/>
            </w:r>
            <w:r>
              <w:rPr/>
              <w:t>4.涉及各项分析任务的全部情况包括数据及结果，供应商必须对所涉及的全部信息保密，不得向除采购方外的任何单位与个人透露，如造成经济损失及不良影响的，追究其经济赔偿责任和法律责任。</w:t>
            </w:r>
            <w:r>
              <w:br/>
            </w:r>
            <w:r>
              <w:rPr/>
              <w:t>5.供应商应针对任务提供承接项目的质量保障计划、措施和结果，保证记录规范完整，并接受采购人组织的专家检查及评估。供应商组织食品相关产品安全分析会议，出席专家需由采购人指定。</w:t>
            </w:r>
            <w:r>
              <w:br/>
            </w:r>
            <w:r>
              <w:rPr/>
              <w:t>6.供应商要恪守诚信，不得弄虚作假或不配合采购方开展工作，如造成经济损失及不良影响的，还将追究供应商经济赔偿责任和法律责任。</w:t>
            </w:r>
            <w:r>
              <w:br/>
            </w:r>
            <w:r>
              <w:rPr/>
              <w:t>7.供应商在接受委托过程中，要严格按照法律法规和招标的要求开展数据分析工作。若工作过程中，出现违法违规、弄虚作假、泄密或重大失误、差错的，采购人有权取消其中标资格，拒绝支付费用并要求赔偿、追究其法律责任。</w:t>
            </w:r>
            <w:r>
              <w:br/>
            </w:r>
            <w:r>
              <w:rPr/>
              <w:t>三、项目工作内容要求</w:t>
            </w:r>
            <w:r>
              <w:br/>
            </w:r>
            <w:r>
              <w:rPr/>
              <w:t>1.采购标的：食品相关产品监督抽检和风险监测</w:t>
            </w:r>
            <w:r>
              <w:br/>
            </w:r>
            <w:r>
              <w:rPr/>
              <w:t>2.服务内容：对广东省内工业和商用电热食品加工设备、食品用纸制品、食品用竹木制品、儿童竹纤维餐具、食品用复合膜袋等食品相关产品监督抽检及风险监测，计划抽取样品不低于250批次，抽检项目费用明细按单项项目核定标准计算购样费、抽样费和检验费用小计150.1万元。</w:t>
            </w:r>
            <w:r>
              <w:br/>
            </w:r>
            <w:r>
              <w:rPr/>
              <w:t>3.食品相关产品抽检类别及数量：</w:t>
            </w:r>
          </w:p>
          <w:tbl>
            <w:tblGrid>
              <w:gridCol w:w="933"/>
              <w:gridCol w:w="933"/>
              <w:gridCol w:w="933"/>
              <w:gridCol w:w="933"/>
              <w:gridCol w:w="933"/>
              <w:gridCol w:w="933"/>
            </w:tblGrid>
            <w:tr>
              <w:tc>
                <w:tcPr>
                  <w:tcW w:type="dxa" w:w="933"/>
                  <w:vMerge w:val="restart"/>
                  <w:tcBorders>
                    <w:top w:val="single" w:color="000000" w:sz="4"/>
                    <w:left w:val="single" w:color="000000" w:sz="4"/>
                    <w:bottom w:val="single" w:color="000000" w:sz="4"/>
                    <w:right w:val="single" w:color="000000" w:sz="4"/>
                  </w:tcBorders>
                </w:tcPr>
                <w:p>
                  <w:pPr>
                    <w:jc w:val="center"/>
                  </w:pPr>
                  <w:r>
                    <w:rPr>
                      <w:sz w:val="21"/>
                    </w:rPr>
                    <w:t>食品相关产品抽检监测</w:t>
                  </w:r>
                </w:p>
              </w:tc>
              <w:tc>
                <w:tcPr>
                  <w:tcW w:type="dxa" w:w="933"/>
                  <w:tcBorders>
                    <w:top w:val="single" w:color="000000" w:sz="4"/>
                    <w:left w:val="none" w:color="000000" w:sz="4"/>
                    <w:bottom w:val="single" w:color="000000" w:sz="4"/>
                    <w:right w:val="single" w:color="000000" w:sz="4"/>
                  </w:tcBorders>
                </w:tcPr>
                <w:p>
                  <w:pPr>
                    <w:jc w:val="center"/>
                  </w:pPr>
                  <w:r>
                    <w:rPr>
                      <w:b/>
                      <w:sz w:val="21"/>
                    </w:rPr>
                    <w:t>序号</w:t>
                  </w:r>
                </w:p>
              </w:tc>
              <w:tc>
                <w:tcPr>
                  <w:tcW w:type="dxa" w:w="933"/>
                  <w:tcBorders>
                    <w:top w:val="single" w:color="000000" w:sz="4"/>
                    <w:left w:val="none" w:color="000000" w:sz="4"/>
                    <w:bottom w:val="single" w:color="000000" w:sz="4"/>
                    <w:right w:val="single" w:color="000000" w:sz="4"/>
                  </w:tcBorders>
                </w:tcPr>
                <w:p>
                  <w:pPr>
                    <w:jc w:val="center"/>
                  </w:pPr>
                  <w:r>
                    <w:rPr>
                      <w:b/>
                      <w:sz w:val="21"/>
                    </w:rPr>
                    <w:t>产品类别</w:t>
                  </w:r>
                </w:p>
              </w:tc>
              <w:tc>
                <w:tcPr>
                  <w:tcW w:type="dxa" w:w="933"/>
                  <w:tcBorders>
                    <w:top w:val="single" w:color="000000" w:sz="4"/>
                    <w:left w:val="none" w:color="000000" w:sz="4"/>
                    <w:bottom w:val="single" w:color="000000" w:sz="4"/>
                    <w:right w:val="single" w:color="000000" w:sz="4"/>
                  </w:tcBorders>
                </w:tcPr>
                <w:p>
                  <w:pPr>
                    <w:jc w:val="center"/>
                  </w:pPr>
                  <w:r>
                    <w:rPr>
                      <w:b/>
                      <w:sz w:val="21"/>
                    </w:rPr>
                    <w:t>类别</w:t>
                  </w:r>
                </w:p>
              </w:tc>
              <w:tc>
                <w:tcPr>
                  <w:tcW w:type="dxa" w:w="933"/>
                  <w:tcBorders>
                    <w:top w:val="single" w:color="000000" w:sz="4"/>
                    <w:left w:val="none" w:color="000000" w:sz="4"/>
                    <w:bottom w:val="single" w:color="000000" w:sz="4"/>
                    <w:right w:val="single" w:color="000000" w:sz="4"/>
                  </w:tcBorders>
                </w:tcPr>
                <w:p>
                  <w:pPr>
                    <w:jc w:val="center"/>
                  </w:pPr>
                  <w:r>
                    <w:rPr>
                      <w:b/>
                      <w:sz w:val="21"/>
                    </w:rPr>
                    <w:t>检验项目</w:t>
                  </w:r>
                </w:p>
              </w:tc>
              <w:tc>
                <w:tcPr>
                  <w:tcW w:type="dxa" w:w="933"/>
                  <w:tcBorders>
                    <w:top w:val="single" w:color="000000" w:sz="4"/>
                    <w:left w:val="none" w:color="000000" w:sz="4"/>
                    <w:bottom w:val="single" w:color="000000" w:sz="4"/>
                    <w:right w:val="single" w:color="000000" w:sz="4"/>
                  </w:tcBorders>
                </w:tcPr>
                <w:p>
                  <w:pPr>
                    <w:jc w:val="center"/>
                  </w:pPr>
                  <w:r>
                    <w:rPr>
                      <w:b/>
                      <w:sz w:val="21"/>
                    </w:rPr>
                    <w:t>数量</w:t>
                  </w:r>
                </w:p>
              </w:tc>
            </w:tr>
            <w:tr>
              <w:tc>
                <w:tcPr>
                  <w:tcW w:type="dxa" w:w="933"/>
                  <w:vMerge/>
                  <w:tcBorders>
                    <w:top w:val="single" w:color="000000" w:sz="4"/>
                    <w:left w:val="single" w:color="000000" w:sz="4"/>
                    <w:bottom w:val="single" w:color="000000" w:sz="4"/>
                    <w:right w:val="single" w:color="000000" w:sz="4"/>
                  </w:tcBorders>
                </w:tcPr>
                <w:p/>
              </w:tc>
              <w:tc>
                <w:tcPr>
                  <w:tcW w:type="dxa" w:w="933"/>
                  <w:vMerge w:val="restart"/>
                  <w:tcBorders>
                    <w:top w:val="none" w:color="000000" w:sz="4"/>
                    <w:left w:val="none" w:color="000000" w:sz="4"/>
                    <w:bottom w:val="single" w:color="000000" w:sz="4"/>
                    <w:right w:val="single" w:color="000000" w:sz="4"/>
                  </w:tcBorders>
                </w:tcPr>
                <w:p>
                  <w:pPr>
                    <w:jc w:val="center"/>
                  </w:pPr>
                  <w:r>
                    <w:rPr>
                      <w:sz w:val="21"/>
                    </w:rPr>
                    <w:t>1</w:t>
                  </w:r>
                </w:p>
              </w:tc>
              <w:tc>
                <w:tcPr>
                  <w:tcW w:type="dxa" w:w="933"/>
                  <w:vMerge w:val="restart"/>
                  <w:tcBorders>
                    <w:top w:val="none" w:color="000000" w:sz="4"/>
                    <w:left w:val="none" w:color="000000" w:sz="4"/>
                    <w:bottom w:val="single" w:color="000000" w:sz="4"/>
                    <w:right w:val="single" w:color="000000" w:sz="4"/>
                  </w:tcBorders>
                </w:tcPr>
                <w:p>
                  <w:pPr>
                    <w:jc w:val="center"/>
                  </w:pPr>
                  <w:r>
                    <w:rPr>
                      <w:sz w:val="21"/>
                    </w:rPr>
                    <w:t>工业和商用电热食品加工设备</w:t>
                  </w:r>
                </w:p>
              </w:tc>
              <w:tc>
                <w:tcPr>
                  <w:tcW w:type="dxa" w:w="933"/>
                  <w:vMerge w:val="restart"/>
                  <w:tcBorders>
                    <w:top w:val="none" w:color="000000" w:sz="4"/>
                    <w:left w:val="none" w:color="000000" w:sz="4"/>
                    <w:bottom w:val="single" w:color="000000" w:sz="4"/>
                    <w:right w:val="single" w:color="000000" w:sz="4"/>
                  </w:tcBorders>
                </w:tcPr>
                <w:p>
                  <w:pPr>
                    <w:jc w:val="center"/>
                  </w:pPr>
                  <w:r>
                    <w:rPr>
                      <w:sz w:val="21"/>
                    </w:rPr>
                    <w:t>监督抽查</w:t>
                  </w:r>
                </w:p>
              </w:tc>
              <w:tc>
                <w:tcPr>
                  <w:tcW w:type="dxa" w:w="933"/>
                  <w:tcBorders>
                    <w:top w:val="none" w:color="000000" w:sz="4"/>
                    <w:left w:val="none" w:color="000000" w:sz="4"/>
                    <w:bottom w:val="single" w:color="000000" w:sz="4"/>
                    <w:right w:val="single" w:color="000000" w:sz="4"/>
                  </w:tcBorders>
                </w:tcPr>
                <w:p>
                  <w:pPr>
                    <w:jc w:val="both"/>
                  </w:pPr>
                  <w:r>
                    <w:rPr>
                      <w:sz w:val="21"/>
                    </w:rPr>
                    <w:t>砷（As）迁移量</w:t>
                  </w:r>
                </w:p>
              </w:tc>
              <w:tc>
                <w:tcPr>
                  <w:tcW w:type="dxa" w:w="933"/>
                  <w:vMerge w:val="restart"/>
                  <w:tcBorders>
                    <w:top w:val="none" w:color="000000" w:sz="4"/>
                    <w:left w:val="none" w:color="000000" w:sz="4"/>
                    <w:bottom w:val="single" w:color="000000" w:sz="4"/>
                    <w:right w:val="single" w:color="000000" w:sz="4"/>
                  </w:tcBorders>
                </w:tcPr>
                <w:p>
                  <w:pPr>
                    <w:jc w:val="center"/>
                  </w:pPr>
                  <w:r>
                    <w:rPr>
                      <w:sz w:val="21"/>
                    </w:rPr>
                    <w:t>不低于250批次</w:t>
                  </w:r>
                </w:p>
              </w:tc>
            </w:tr>
            <w:tr>
              <w:tc>
                <w:tcPr>
                  <w:tcW w:type="dxa" w:w="933"/>
                  <w:vMerge/>
                  <w:tcBorders>
                    <w:top w:val="single" w:color="000000" w:sz="4"/>
                    <w:left w:val="singl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tcPr>
                <w:p>
                  <w:pPr>
                    <w:jc w:val="both"/>
                  </w:pPr>
                  <w:r>
                    <w:rPr>
                      <w:sz w:val="21"/>
                    </w:rPr>
                    <w:t>镉（Cd）迁移量</w:t>
                  </w:r>
                </w:p>
              </w:tc>
            </w:tr>
            <w:tr>
              <w:tc>
                <w:tcPr>
                  <w:tcW w:type="dxa" w:w="933"/>
                  <w:vMerge/>
                  <w:tcBorders>
                    <w:top w:val="single" w:color="000000" w:sz="4"/>
                    <w:left w:val="singl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tcPr>
                <w:p>
                  <w:pPr>
                    <w:jc w:val="both"/>
                  </w:pPr>
                  <w:r>
                    <w:rPr>
                      <w:sz w:val="21"/>
                    </w:rPr>
                    <w:t>铅（Pb）迁移量</w:t>
                  </w:r>
                </w:p>
              </w:tc>
            </w:tr>
            <w:tr>
              <w:tc>
                <w:tcPr>
                  <w:tcW w:type="dxa" w:w="933"/>
                  <w:vMerge/>
                  <w:tcBorders>
                    <w:top w:val="single" w:color="000000" w:sz="4"/>
                    <w:left w:val="singl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tcPr>
                <w:p>
                  <w:pPr>
                    <w:jc w:val="both"/>
                  </w:pPr>
                  <w:r>
                    <w:rPr>
                      <w:sz w:val="21"/>
                    </w:rPr>
                    <w:t>铬（Cr）迁移量</w:t>
                  </w:r>
                </w:p>
              </w:tc>
            </w:tr>
            <w:tr>
              <w:tc>
                <w:tcPr>
                  <w:tcW w:type="dxa" w:w="933"/>
                  <w:vMerge/>
                  <w:tcBorders>
                    <w:top w:val="single" w:color="000000" w:sz="4"/>
                    <w:left w:val="singl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tcPr>
                <w:p>
                  <w:pPr>
                    <w:jc w:val="both"/>
                  </w:pPr>
                  <w:r>
                    <w:rPr>
                      <w:sz w:val="21"/>
                    </w:rPr>
                    <w:t>镍（Ni）迁移量</w:t>
                  </w:r>
                </w:p>
              </w:tc>
            </w:tr>
            <w:tr>
              <w:tc>
                <w:tcPr>
                  <w:tcW w:type="dxa" w:w="933"/>
                  <w:vMerge/>
                  <w:tcBorders>
                    <w:top w:val="single" w:color="000000" w:sz="4"/>
                    <w:left w:val="singl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tcPr>
                <w:p>
                  <w:pPr>
                    <w:jc w:val="both"/>
                  </w:pPr>
                  <w:r>
                    <w:rPr>
                      <w:sz w:val="21"/>
                    </w:rPr>
                    <w:t>对触及带电部件的防护</w:t>
                  </w:r>
                </w:p>
              </w:tc>
            </w:tr>
            <w:tr>
              <w:tc>
                <w:tcPr>
                  <w:tcW w:type="dxa" w:w="933"/>
                  <w:vMerge/>
                  <w:tcBorders>
                    <w:top w:val="single" w:color="000000" w:sz="4"/>
                    <w:left w:val="singl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tcPr>
                <w:p>
                  <w:pPr>
                    <w:jc w:val="both"/>
                  </w:pPr>
                  <w:r>
                    <w:rPr>
                      <w:sz w:val="21"/>
                    </w:rPr>
                    <w:t>输入功率和电流</w:t>
                  </w:r>
                </w:p>
              </w:tc>
            </w:tr>
            <w:tr>
              <w:tc>
                <w:tcPr>
                  <w:tcW w:type="dxa" w:w="933"/>
                  <w:vMerge/>
                  <w:tcBorders>
                    <w:top w:val="single" w:color="000000" w:sz="4"/>
                    <w:left w:val="singl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tcPr>
                <w:p>
                  <w:pPr>
                    <w:jc w:val="both"/>
                  </w:pPr>
                  <w:r>
                    <w:rPr>
                      <w:sz w:val="21"/>
                    </w:rPr>
                    <w:t>发热</w:t>
                  </w:r>
                </w:p>
              </w:tc>
            </w:tr>
            <w:tr>
              <w:tc>
                <w:tcPr>
                  <w:tcW w:type="dxa" w:w="933"/>
                  <w:vMerge/>
                  <w:tcBorders>
                    <w:top w:val="single" w:color="000000" w:sz="4"/>
                    <w:left w:val="singl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tcPr>
                <w:p>
                  <w:pPr>
                    <w:jc w:val="both"/>
                  </w:pPr>
                  <w:r>
                    <w:rPr>
                      <w:sz w:val="21"/>
                    </w:rPr>
                    <w:t>工作温度下的泄漏电流和电气强度</w:t>
                  </w:r>
                </w:p>
              </w:tc>
            </w:tr>
            <w:tr>
              <w:tc>
                <w:tcPr>
                  <w:tcW w:type="dxa" w:w="933"/>
                  <w:vMerge/>
                  <w:tcBorders>
                    <w:top w:val="single" w:color="000000" w:sz="4"/>
                    <w:left w:val="singl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tcPr>
                <w:p>
                  <w:pPr>
                    <w:jc w:val="both"/>
                  </w:pPr>
                  <w:r>
                    <w:rPr>
                      <w:sz w:val="21"/>
                    </w:rPr>
                    <w:t>泄漏电流和电气强度</w:t>
                  </w:r>
                </w:p>
              </w:tc>
            </w:tr>
            <w:tr>
              <w:tc>
                <w:tcPr>
                  <w:tcW w:type="dxa" w:w="933"/>
                  <w:vMerge/>
                  <w:tcBorders>
                    <w:top w:val="single" w:color="000000" w:sz="4"/>
                    <w:left w:val="singl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tcPr>
                <w:p>
                  <w:pPr>
                    <w:jc w:val="both"/>
                  </w:pPr>
                  <w:r>
                    <w:rPr>
                      <w:sz w:val="21"/>
                    </w:rPr>
                    <w:t>非正常工作（不含19.11.4）</w:t>
                  </w:r>
                </w:p>
              </w:tc>
            </w:tr>
            <w:tr>
              <w:tc>
                <w:tcPr>
                  <w:tcW w:type="dxa" w:w="933"/>
                  <w:vMerge/>
                  <w:tcBorders>
                    <w:top w:val="single" w:color="000000" w:sz="4"/>
                    <w:left w:val="singl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tcPr>
                <w:p>
                  <w:pPr>
                    <w:jc w:val="both"/>
                  </w:pPr>
                  <w:r>
                    <w:rPr>
                      <w:sz w:val="21"/>
                    </w:rPr>
                    <w:t>稳定性和机械危险</w:t>
                  </w:r>
                </w:p>
              </w:tc>
            </w:tr>
            <w:tr>
              <w:tc>
                <w:tcPr>
                  <w:tcW w:type="dxa" w:w="933"/>
                  <w:vMerge/>
                  <w:tcBorders>
                    <w:top w:val="single" w:color="000000" w:sz="4"/>
                    <w:left w:val="singl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tcPr>
                <w:p>
                  <w:pPr>
                    <w:jc w:val="both"/>
                  </w:pPr>
                  <w:r>
                    <w:rPr>
                      <w:sz w:val="21"/>
                    </w:rPr>
                    <w:t>机械强度</w:t>
                  </w:r>
                </w:p>
              </w:tc>
            </w:tr>
            <w:tr>
              <w:tc>
                <w:tcPr>
                  <w:tcW w:type="dxa" w:w="933"/>
                  <w:vMerge/>
                  <w:tcBorders>
                    <w:top w:val="single" w:color="000000" w:sz="4"/>
                    <w:left w:val="singl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tcPr>
                <w:p>
                  <w:pPr>
                    <w:jc w:val="both"/>
                  </w:pPr>
                  <w:r>
                    <w:rPr>
                      <w:sz w:val="21"/>
                    </w:rPr>
                    <w:t>结构（不含22.46）</w:t>
                  </w:r>
                </w:p>
              </w:tc>
            </w:tr>
            <w:tr>
              <w:tc>
                <w:tcPr>
                  <w:tcW w:type="dxa" w:w="933"/>
                  <w:vMerge/>
                  <w:tcBorders>
                    <w:top w:val="single" w:color="000000" w:sz="4"/>
                    <w:left w:val="singl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tcPr>
                <w:p>
                  <w:pPr>
                    <w:jc w:val="both"/>
                  </w:pPr>
                  <w:r>
                    <w:rPr>
                      <w:sz w:val="21"/>
                    </w:rPr>
                    <w:t>内部布线（不含23.3）</w:t>
                  </w:r>
                </w:p>
              </w:tc>
            </w:tr>
            <w:tr>
              <w:tc>
                <w:tcPr>
                  <w:tcW w:type="dxa" w:w="933"/>
                  <w:vMerge/>
                  <w:tcBorders>
                    <w:top w:val="single" w:color="000000" w:sz="4"/>
                    <w:left w:val="singl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tcPr>
                <w:p>
                  <w:pPr>
                    <w:jc w:val="both"/>
                  </w:pPr>
                  <w:r>
                    <w:rPr>
                      <w:sz w:val="21"/>
                    </w:rPr>
                    <w:t>电源连接和外部软线</w:t>
                  </w:r>
                </w:p>
              </w:tc>
            </w:tr>
            <w:tr>
              <w:tc>
                <w:tcPr>
                  <w:tcW w:type="dxa" w:w="933"/>
                  <w:vMerge/>
                  <w:tcBorders>
                    <w:top w:val="single" w:color="000000" w:sz="4"/>
                    <w:left w:val="singl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tcPr>
                <w:p>
                  <w:pPr>
                    <w:jc w:val="both"/>
                  </w:pPr>
                  <w:r>
                    <w:rPr>
                      <w:sz w:val="21"/>
                    </w:rPr>
                    <w:t>外部导线用接线端子</w:t>
                  </w:r>
                </w:p>
              </w:tc>
            </w:tr>
            <w:tr>
              <w:tc>
                <w:tcPr>
                  <w:tcW w:type="dxa" w:w="933"/>
                  <w:vMerge/>
                  <w:tcBorders>
                    <w:top w:val="single" w:color="000000" w:sz="4"/>
                    <w:left w:val="singl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tcPr>
                <w:p>
                  <w:pPr>
                    <w:jc w:val="both"/>
                  </w:pPr>
                  <w:r>
                    <w:rPr>
                      <w:sz w:val="21"/>
                    </w:rPr>
                    <w:t>接地措施</w:t>
                  </w:r>
                </w:p>
              </w:tc>
            </w:tr>
            <w:tr>
              <w:tc>
                <w:tcPr>
                  <w:tcW w:type="dxa" w:w="933"/>
                  <w:vMerge/>
                  <w:tcBorders>
                    <w:top w:val="single" w:color="000000" w:sz="4"/>
                    <w:left w:val="singl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tcPr>
                <w:p>
                  <w:pPr>
                    <w:jc w:val="both"/>
                  </w:pPr>
                  <w:r>
                    <w:rPr>
                      <w:sz w:val="21"/>
                    </w:rPr>
                    <w:t>螺钉和连接</w:t>
                  </w:r>
                </w:p>
              </w:tc>
            </w:tr>
            <w:tr>
              <w:tc>
                <w:tcPr>
                  <w:tcW w:type="dxa" w:w="933"/>
                  <w:vMerge/>
                  <w:tcBorders>
                    <w:top w:val="single" w:color="000000" w:sz="4"/>
                    <w:left w:val="singl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tcPr>
                <w:p>
                  <w:pPr>
                    <w:jc w:val="both"/>
                  </w:pPr>
                  <w:r>
                    <w:rPr>
                      <w:sz w:val="21"/>
                    </w:rPr>
                    <w:t>电气间隙、爬电距离和固体绝缘</w:t>
                  </w:r>
                </w:p>
              </w:tc>
            </w:tr>
            <w:tr>
              <w:tc>
                <w:tcPr>
                  <w:tcW w:type="dxa" w:w="933"/>
                  <w:vMerge/>
                  <w:tcBorders>
                    <w:top w:val="single" w:color="000000" w:sz="4"/>
                    <w:left w:val="single" w:color="000000" w:sz="4"/>
                    <w:bottom w:val="single" w:color="000000" w:sz="4"/>
                    <w:right w:val="single" w:color="000000" w:sz="4"/>
                  </w:tcBorders>
                </w:tcPr>
                <w:p/>
              </w:tc>
              <w:tc>
                <w:tcPr>
                  <w:tcW w:type="dxa" w:w="933"/>
                  <w:vMerge w:val="restart"/>
                  <w:tcBorders>
                    <w:top w:val="none" w:color="000000" w:sz="4"/>
                    <w:left w:val="none" w:color="000000" w:sz="4"/>
                    <w:bottom w:val="single" w:color="000000" w:sz="4"/>
                    <w:right w:val="single" w:color="000000" w:sz="4"/>
                  </w:tcBorders>
                </w:tcPr>
                <w:p>
                  <w:pPr>
                    <w:jc w:val="center"/>
                  </w:pPr>
                  <w:r>
                    <w:rPr>
                      <w:sz w:val="21"/>
                    </w:rPr>
                    <w:t>2</w:t>
                  </w:r>
                </w:p>
              </w:tc>
              <w:tc>
                <w:tcPr>
                  <w:tcW w:type="dxa" w:w="933"/>
                  <w:vMerge w:val="restart"/>
                  <w:tcBorders>
                    <w:top w:val="none" w:color="000000" w:sz="4"/>
                    <w:left w:val="none" w:color="000000" w:sz="4"/>
                    <w:bottom w:val="single" w:color="000000" w:sz="4"/>
                    <w:right w:val="single" w:color="000000" w:sz="4"/>
                  </w:tcBorders>
                </w:tcPr>
                <w:p>
                  <w:pPr>
                    <w:jc w:val="center"/>
                  </w:pPr>
                  <w:r>
                    <w:rPr>
                      <w:sz w:val="21"/>
                    </w:rPr>
                    <w:t>食品用纸制品</w:t>
                  </w:r>
                </w:p>
              </w:tc>
              <w:tc>
                <w:tcPr>
                  <w:tcW w:type="dxa" w:w="933"/>
                  <w:vMerge w:val="restart"/>
                  <w:tcBorders>
                    <w:top w:val="none" w:color="000000" w:sz="4"/>
                    <w:left w:val="none" w:color="000000" w:sz="4"/>
                    <w:bottom w:val="single" w:color="000000" w:sz="4"/>
                    <w:right w:val="single" w:color="000000" w:sz="4"/>
                  </w:tcBorders>
                </w:tcPr>
                <w:p>
                  <w:pPr>
                    <w:jc w:val="center"/>
                  </w:pPr>
                  <w:r>
                    <w:rPr>
                      <w:sz w:val="21"/>
                    </w:rPr>
                    <w:t>风险监测</w:t>
                  </w:r>
                </w:p>
              </w:tc>
              <w:tc>
                <w:tcPr>
                  <w:tcW w:type="dxa" w:w="933"/>
                  <w:tcBorders>
                    <w:top w:val="none" w:color="000000" w:sz="4"/>
                    <w:left w:val="none" w:color="000000" w:sz="4"/>
                    <w:bottom w:val="single" w:color="000000" w:sz="4"/>
                    <w:right w:val="single" w:color="000000" w:sz="4"/>
                  </w:tcBorders>
                </w:tcPr>
                <w:p>
                  <w:pPr>
                    <w:jc w:val="both"/>
                  </w:pPr>
                  <w:r>
                    <w:rPr>
                      <w:sz w:val="21"/>
                    </w:rPr>
                    <w:t>镉</w:t>
                  </w:r>
                </w:p>
              </w:tc>
            </w:tr>
            <w:tr>
              <w:tc>
                <w:tcPr>
                  <w:tcW w:type="dxa" w:w="933"/>
                  <w:vMerge/>
                  <w:tcBorders>
                    <w:top w:val="single" w:color="000000" w:sz="4"/>
                    <w:left w:val="singl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tcPr>
                <w:p>
                  <w:pPr>
                    <w:jc w:val="both"/>
                  </w:pPr>
                  <w:r>
                    <w:rPr>
                      <w:sz w:val="21"/>
                    </w:rPr>
                    <w:t>铬</w:t>
                  </w:r>
                </w:p>
              </w:tc>
            </w:tr>
            <w:tr>
              <w:tc>
                <w:tcPr>
                  <w:tcW w:type="dxa" w:w="933"/>
                  <w:vMerge/>
                  <w:tcBorders>
                    <w:top w:val="single" w:color="000000" w:sz="4"/>
                    <w:left w:val="singl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tcPr>
                <w:p>
                  <w:pPr>
                    <w:jc w:val="both"/>
                  </w:pPr>
                  <w:r>
                    <w:rPr>
                      <w:sz w:val="21"/>
                    </w:rPr>
                    <w:t>汞</w:t>
                  </w:r>
                </w:p>
              </w:tc>
            </w:tr>
            <w:tr>
              <w:tc>
                <w:tcPr>
                  <w:tcW w:type="dxa" w:w="933"/>
                  <w:vMerge/>
                  <w:tcBorders>
                    <w:top w:val="single" w:color="000000" w:sz="4"/>
                    <w:left w:val="singl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tcPr>
                <w:p>
                  <w:pPr>
                    <w:jc w:val="both"/>
                  </w:pPr>
                  <w:r>
                    <w:rPr>
                      <w:sz w:val="21"/>
                    </w:rPr>
                    <w:t>矿物油</w:t>
                  </w:r>
                </w:p>
              </w:tc>
            </w:tr>
            <w:tr>
              <w:tc>
                <w:tcPr>
                  <w:tcW w:type="dxa" w:w="933"/>
                  <w:vMerge/>
                  <w:tcBorders>
                    <w:top w:val="single" w:color="000000" w:sz="4"/>
                    <w:left w:val="singl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tcPr>
                <w:p>
                  <w:pPr>
                    <w:jc w:val="both"/>
                  </w:pPr>
                  <w:r>
                    <w:rPr>
                      <w:sz w:val="21"/>
                    </w:rPr>
                    <w:t>全氟辛烷磺酸（ PFOS ）</w:t>
                  </w:r>
                </w:p>
              </w:tc>
            </w:tr>
            <w:tr>
              <w:tc>
                <w:tcPr>
                  <w:tcW w:type="dxa" w:w="933"/>
                  <w:vMerge/>
                  <w:tcBorders>
                    <w:top w:val="single" w:color="000000" w:sz="4"/>
                    <w:left w:val="singl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tcPr>
                <w:p>
                  <w:pPr>
                    <w:jc w:val="both"/>
                  </w:pPr>
                  <w:r>
                    <w:rPr>
                      <w:sz w:val="21"/>
                    </w:rPr>
                    <w:t>全氟辛酸（PFOA）</w:t>
                  </w:r>
                </w:p>
              </w:tc>
            </w:tr>
            <w:tr>
              <w:tc>
                <w:tcPr>
                  <w:tcW w:type="dxa" w:w="933"/>
                  <w:vMerge/>
                  <w:tcBorders>
                    <w:top w:val="single" w:color="000000" w:sz="4"/>
                    <w:left w:val="singl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tcPr>
                <w:p>
                  <w:pPr>
                    <w:jc w:val="both"/>
                  </w:pPr>
                  <w:r>
                    <w:rPr>
                      <w:sz w:val="21"/>
                    </w:rPr>
                    <w:t>氯丙醇</w:t>
                  </w:r>
                </w:p>
              </w:tc>
            </w:tr>
            <w:tr>
              <w:tc>
                <w:tcPr>
                  <w:tcW w:type="dxa" w:w="933"/>
                  <w:vMerge/>
                  <w:tcBorders>
                    <w:top w:val="single" w:color="000000" w:sz="4"/>
                    <w:left w:val="singl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tcPr>
                <w:p>
                  <w:pPr>
                    <w:jc w:val="both"/>
                  </w:pPr>
                  <w:r>
                    <w:rPr>
                      <w:sz w:val="21"/>
                    </w:rPr>
                    <w:t>标签标识</w:t>
                  </w:r>
                </w:p>
              </w:tc>
            </w:tr>
            <w:tr>
              <w:tc>
                <w:tcPr>
                  <w:tcW w:type="dxa" w:w="933"/>
                  <w:vMerge/>
                  <w:tcBorders>
                    <w:top w:val="single" w:color="000000" w:sz="4"/>
                    <w:left w:val="single" w:color="000000" w:sz="4"/>
                    <w:bottom w:val="single" w:color="000000" w:sz="4"/>
                    <w:right w:val="single" w:color="000000" w:sz="4"/>
                  </w:tcBorders>
                </w:tcPr>
                <w:p/>
              </w:tc>
              <w:tc>
                <w:tcPr>
                  <w:tcW w:type="dxa" w:w="933"/>
                  <w:vMerge w:val="restart"/>
                  <w:tcBorders>
                    <w:top w:val="none" w:color="000000" w:sz="4"/>
                    <w:left w:val="none" w:color="000000" w:sz="4"/>
                    <w:bottom w:val="single" w:color="000000" w:sz="4"/>
                    <w:right w:val="single" w:color="000000" w:sz="4"/>
                  </w:tcBorders>
                </w:tcPr>
                <w:p>
                  <w:pPr>
                    <w:jc w:val="center"/>
                  </w:pPr>
                  <w:r>
                    <w:rPr>
                      <w:sz w:val="21"/>
                    </w:rPr>
                    <w:t>3</w:t>
                  </w:r>
                </w:p>
              </w:tc>
              <w:tc>
                <w:tcPr>
                  <w:tcW w:type="dxa" w:w="933"/>
                  <w:vMerge w:val="restart"/>
                  <w:tcBorders>
                    <w:top w:val="none" w:color="000000" w:sz="4"/>
                    <w:left w:val="none" w:color="000000" w:sz="4"/>
                    <w:bottom w:val="single" w:color="000000" w:sz="4"/>
                    <w:right w:val="single" w:color="000000" w:sz="4"/>
                  </w:tcBorders>
                </w:tcPr>
                <w:p>
                  <w:pPr>
                    <w:jc w:val="center"/>
                  </w:pPr>
                  <w:r>
                    <w:rPr>
                      <w:sz w:val="21"/>
                    </w:rPr>
                    <w:t>食品用竹木制品</w:t>
                  </w:r>
                  <w:r>
                    <w:rPr>
                      <w:sz w:val="21"/>
                    </w:rPr>
                    <w:t>（</w:t>
                  </w:r>
                  <w:r>
                    <w:rPr>
                      <w:sz w:val="21"/>
                    </w:rPr>
                    <w:t>含砧板、筷子等</w:t>
                  </w:r>
                  <w:r>
                    <w:rPr>
                      <w:sz w:val="21"/>
                    </w:rPr>
                    <w:t>）</w:t>
                  </w:r>
                </w:p>
              </w:tc>
              <w:tc>
                <w:tcPr>
                  <w:tcW w:type="dxa" w:w="933"/>
                  <w:vMerge w:val="restart"/>
                  <w:tcBorders>
                    <w:top w:val="none" w:color="000000" w:sz="4"/>
                    <w:left w:val="none" w:color="000000" w:sz="4"/>
                    <w:bottom w:val="single" w:color="000000" w:sz="4"/>
                    <w:right w:val="single" w:color="000000" w:sz="4"/>
                  </w:tcBorders>
                </w:tcPr>
                <w:p>
                  <w:pPr>
                    <w:jc w:val="center"/>
                  </w:pPr>
                  <w:r>
                    <w:rPr>
                      <w:sz w:val="21"/>
                    </w:rPr>
                    <w:t>风险监测</w:t>
                  </w:r>
                </w:p>
              </w:tc>
              <w:tc>
                <w:tcPr>
                  <w:tcW w:type="dxa" w:w="933"/>
                  <w:tcBorders>
                    <w:top w:val="none" w:color="000000" w:sz="4"/>
                    <w:left w:val="none" w:color="000000" w:sz="4"/>
                    <w:bottom w:val="single" w:color="000000" w:sz="4"/>
                    <w:right w:val="single" w:color="000000" w:sz="4"/>
                  </w:tcBorders>
                </w:tcPr>
                <w:p>
                  <w:pPr>
                    <w:jc w:val="both"/>
                  </w:pPr>
                  <w:r>
                    <w:rPr>
                      <w:sz w:val="21"/>
                    </w:rPr>
                    <w:t>二氧化硫浸渍出量（SO2计）</w:t>
                  </w:r>
                </w:p>
              </w:tc>
            </w:tr>
            <w:tr>
              <w:tc>
                <w:tcPr>
                  <w:tcW w:type="dxa" w:w="933"/>
                  <w:vMerge/>
                  <w:tcBorders>
                    <w:top w:val="single" w:color="000000" w:sz="4"/>
                    <w:left w:val="singl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tcPr>
                <w:p>
                  <w:pPr>
                    <w:jc w:val="both"/>
                  </w:pPr>
                  <w:r>
                    <w:rPr>
                      <w:sz w:val="21"/>
                    </w:rPr>
                    <w:t>甲醛迁移量</w:t>
                  </w:r>
                </w:p>
              </w:tc>
            </w:tr>
            <w:tr>
              <w:tc>
                <w:tcPr>
                  <w:tcW w:type="dxa" w:w="933"/>
                  <w:vMerge/>
                  <w:tcBorders>
                    <w:top w:val="single" w:color="000000" w:sz="4"/>
                    <w:left w:val="singl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tcPr>
                <w:p>
                  <w:pPr>
                    <w:jc w:val="both"/>
                  </w:pPr>
                  <w:r>
                    <w:rPr>
                      <w:sz w:val="21"/>
                    </w:rPr>
                    <w:t>三氯苯酚</w:t>
                  </w:r>
                </w:p>
              </w:tc>
            </w:tr>
            <w:tr>
              <w:tc>
                <w:tcPr>
                  <w:tcW w:type="dxa" w:w="933"/>
                  <w:vMerge/>
                  <w:tcBorders>
                    <w:top w:val="single" w:color="000000" w:sz="4"/>
                    <w:left w:val="singl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tcPr>
                <w:p>
                  <w:pPr>
                    <w:jc w:val="both"/>
                  </w:pPr>
                  <w:r>
                    <w:rPr>
                      <w:sz w:val="21"/>
                    </w:rPr>
                    <w:t>五氯苯酚</w:t>
                  </w:r>
                </w:p>
              </w:tc>
            </w:tr>
            <w:tr>
              <w:tc>
                <w:tcPr>
                  <w:tcW w:type="dxa" w:w="933"/>
                  <w:vMerge/>
                  <w:tcBorders>
                    <w:top w:val="single" w:color="000000" w:sz="4"/>
                    <w:left w:val="singl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tcPr>
                <w:p>
                  <w:pPr>
                    <w:jc w:val="both"/>
                  </w:pPr>
                  <w:r>
                    <w:rPr>
                      <w:sz w:val="21"/>
                    </w:rPr>
                    <w:t>溴硝醇（抑菌剂）</w:t>
                  </w:r>
                </w:p>
              </w:tc>
            </w:tr>
            <w:tr>
              <w:tc>
                <w:tcPr>
                  <w:tcW w:type="dxa" w:w="933"/>
                  <w:vMerge/>
                  <w:tcBorders>
                    <w:top w:val="single" w:color="000000" w:sz="4"/>
                    <w:left w:val="singl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tcPr>
                <w:p>
                  <w:pPr>
                    <w:jc w:val="both"/>
                  </w:pPr>
                  <w:r>
                    <w:rPr>
                      <w:sz w:val="21"/>
                    </w:rPr>
                    <w:t>标签标识</w:t>
                  </w:r>
                </w:p>
              </w:tc>
            </w:tr>
            <w:tr>
              <w:tc>
                <w:tcPr>
                  <w:tcW w:type="dxa" w:w="933"/>
                  <w:vMerge/>
                  <w:tcBorders>
                    <w:top w:val="single" w:color="000000" w:sz="4"/>
                    <w:left w:val="single" w:color="000000" w:sz="4"/>
                    <w:bottom w:val="single" w:color="000000" w:sz="4"/>
                    <w:right w:val="single" w:color="000000" w:sz="4"/>
                  </w:tcBorders>
                </w:tcPr>
                <w:p/>
              </w:tc>
              <w:tc>
                <w:tcPr>
                  <w:tcW w:type="dxa" w:w="933"/>
                  <w:vMerge w:val="restart"/>
                  <w:tcBorders>
                    <w:top w:val="none" w:color="000000" w:sz="4"/>
                    <w:left w:val="none" w:color="000000" w:sz="4"/>
                    <w:bottom w:val="single" w:color="000000" w:sz="4"/>
                    <w:right w:val="single" w:color="000000" w:sz="4"/>
                  </w:tcBorders>
                </w:tcPr>
                <w:p>
                  <w:pPr>
                    <w:jc w:val="center"/>
                  </w:pPr>
                  <w:r>
                    <w:rPr>
                      <w:sz w:val="21"/>
                    </w:rPr>
                    <w:t>4</w:t>
                  </w:r>
                </w:p>
              </w:tc>
              <w:tc>
                <w:tcPr>
                  <w:tcW w:type="dxa" w:w="933"/>
                  <w:vMerge w:val="restart"/>
                  <w:tcBorders>
                    <w:top w:val="none" w:color="000000" w:sz="4"/>
                    <w:left w:val="none" w:color="000000" w:sz="4"/>
                    <w:bottom w:val="single" w:color="000000" w:sz="4"/>
                    <w:right w:val="single" w:color="000000" w:sz="4"/>
                  </w:tcBorders>
                </w:tcPr>
                <w:p>
                  <w:pPr>
                    <w:jc w:val="center"/>
                  </w:pPr>
                  <w:r>
                    <w:rPr>
                      <w:sz w:val="21"/>
                    </w:rPr>
                    <w:t>儿童竹纤维餐具</w:t>
                  </w:r>
                </w:p>
              </w:tc>
              <w:tc>
                <w:tcPr>
                  <w:tcW w:type="dxa" w:w="933"/>
                  <w:vMerge w:val="restart"/>
                  <w:tcBorders>
                    <w:top w:val="none" w:color="000000" w:sz="4"/>
                    <w:left w:val="none" w:color="000000" w:sz="4"/>
                    <w:bottom w:val="single" w:color="000000" w:sz="4"/>
                    <w:right w:val="single" w:color="000000" w:sz="4"/>
                  </w:tcBorders>
                </w:tcPr>
                <w:p>
                  <w:pPr>
                    <w:jc w:val="center"/>
                  </w:pPr>
                  <w:r>
                    <w:rPr>
                      <w:sz w:val="21"/>
                    </w:rPr>
                    <w:t>风险监测</w:t>
                  </w:r>
                </w:p>
              </w:tc>
              <w:tc>
                <w:tcPr>
                  <w:tcW w:type="dxa" w:w="933"/>
                  <w:tcBorders>
                    <w:top w:val="none" w:color="000000" w:sz="4"/>
                    <w:left w:val="none" w:color="000000" w:sz="4"/>
                    <w:bottom w:val="single" w:color="000000" w:sz="4"/>
                    <w:right w:val="single" w:color="000000" w:sz="4"/>
                  </w:tcBorders>
                </w:tcPr>
                <w:p>
                  <w:pPr>
                    <w:jc w:val="both"/>
                  </w:pPr>
                  <w:r>
                    <w:rPr>
                      <w:sz w:val="21"/>
                    </w:rPr>
                    <w:t>总迁移量</w:t>
                  </w:r>
                </w:p>
              </w:tc>
            </w:tr>
            <w:tr>
              <w:tc>
                <w:tcPr>
                  <w:tcW w:type="dxa" w:w="933"/>
                  <w:vMerge/>
                  <w:tcBorders>
                    <w:top w:val="single" w:color="000000" w:sz="4"/>
                    <w:left w:val="singl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tcPr>
                <w:p>
                  <w:pPr>
                    <w:jc w:val="both"/>
                  </w:pPr>
                  <w:r>
                    <w:rPr>
                      <w:sz w:val="21"/>
                    </w:rPr>
                    <w:t>三聚氰胺</w:t>
                  </w:r>
                </w:p>
              </w:tc>
            </w:tr>
            <w:tr>
              <w:tc>
                <w:tcPr>
                  <w:tcW w:type="dxa" w:w="933"/>
                  <w:vMerge/>
                  <w:tcBorders>
                    <w:top w:val="single" w:color="000000" w:sz="4"/>
                    <w:left w:val="singl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tcPr>
                <w:p>
                  <w:pPr>
                    <w:jc w:val="both"/>
                  </w:pPr>
                  <w:r>
                    <w:rPr>
                      <w:sz w:val="21"/>
                    </w:rPr>
                    <w:t>甲醛</w:t>
                  </w:r>
                </w:p>
              </w:tc>
            </w:tr>
            <w:tr>
              <w:tc>
                <w:tcPr>
                  <w:tcW w:type="dxa" w:w="933"/>
                  <w:vMerge/>
                  <w:tcBorders>
                    <w:top w:val="single" w:color="000000" w:sz="4"/>
                    <w:left w:val="singl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tcPr>
                <w:p>
                  <w:pPr>
                    <w:jc w:val="both"/>
                  </w:pPr>
                  <w:r>
                    <w:rPr>
                      <w:sz w:val="21"/>
                    </w:rPr>
                    <w:t>标签标识</w:t>
                  </w:r>
                </w:p>
              </w:tc>
            </w:tr>
            <w:tr>
              <w:tc>
                <w:tcPr>
                  <w:tcW w:type="dxa" w:w="933"/>
                  <w:vMerge/>
                  <w:tcBorders>
                    <w:top w:val="single" w:color="000000" w:sz="4"/>
                    <w:left w:val="single" w:color="000000" w:sz="4"/>
                    <w:bottom w:val="single" w:color="000000" w:sz="4"/>
                    <w:right w:val="single" w:color="000000" w:sz="4"/>
                  </w:tcBorders>
                </w:tcPr>
                <w:p/>
              </w:tc>
              <w:tc>
                <w:tcPr>
                  <w:tcW w:type="dxa" w:w="933"/>
                  <w:vMerge w:val="restart"/>
                  <w:tcBorders>
                    <w:top w:val="none" w:color="000000" w:sz="4"/>
                    <w:left w:val="none" w:color="000000" w:sz="4"/>
                    <w:bottom w:val="single" w:color="000000" w:sz="4"/>
                    <w:right w:val="single" w:color="000000" w:sz="4"/>
                  </w:tcBorders>
                </w:tcPr>
                <w:p>
                  <w:pPr>
                    <w:jc w:val="center"/>
                  </w:pPr>
                  <w:r>
                    <w:rPr>
                      <w:sz w:val="21"/>
                    </w:rPr>
                    <w:t>5</w:t>
                  </w:r>
                </w:p>
              </w:tc>
              <w:tc>
                <w:tcPr>
                  <w:tcW w:type="dxa" w:w="933"/>
                  <w:vMerge w:val="restart"/>
                  <w:tcBorders>
                    <w:top w:val="none" w:color="000000" w:sz="4"/>
                    <w:left w:val="none" w:color="000000" w:sz="4"/>
                    <w:bottom w:val="single" w:color="000000" w:sz="4"/>
                    <w:right w:val="single" w:color="000000" w:sz="4"/>
                  </w:tcBorders>
                </w:tcPr>
                <w:p>
                  <w:pPr>
                    <w:jc w:val="center"/>
                  </w:pPr>
                  <w:r>
                    <w:rPr>
                      <w:sz w:val="21"/>
                    </w:rPr>
                    <w:t>食品用复合膜袋</w:t>
                  </w:r>
                </w:p>
              </w:tc>
              <w:tc>
                <w:tcPr>
                  <w:tcW w:type="dxa" w:w="933"/>
                  <w:vMerge w:val="restart"/>
                  <w:tcBorders>
                    <w:top w:val="none" w:color="000000" w:sz="4"/>
                    <w:left w:val="none" w:color="000000" w:sz="4"/>
                    <w:bottom w:val="single" w:color="000000" w:sz="4"/>
                    <w:right w:val="single" w:color="000000" w:sz="4"/>
                  </w:tcBorders>
                </w:tcPr>
                <w:p>
                  <w:pPr>
                    <w:jc w:val="center"/>
                  </w:pPr>
                  <w:r>
                    <w:rPr>
                      <w:sz w:val="21"/>
                    </w:rPr>
                    <w:t>风险监测</w:t>
                  </w:r>
                </w:p>
              </w:tc>
              <w:tc>
                <w:tcPr>
                  <w:tcW w:type="dxa" w:w="933"/>
                  <w:tcBorders>
                    <w:top w:val="none" w:color="000000" w:sz="4"/>
                    <w:left w:val="none" w:color="000000" w:sz="4"/>
                    <w:bottom w:val="single" w:color="000000" w:sz="4"/>
                    <w:right w:val="single" w:color="000000" w:sz="4"/>
                  </w:tcBorders>
                </w:tcPr>
                <w:p>
                  <w:pPr>
                    <w:jc w:val="both"/>
                  </w:pPr>
                  <w:r>
                    <w:rPr>
                      <w:sz w:val="21"/>
                    </w:rPr>
                    <w:t>壬基酚迁移量</w:t>
                  </w:r>
                </w:p>
              </w:tc>
            </w:tr>
            <w:tr>
              <w:tc>
                <w:tcPr>
                  <w:tcW w:type="dxa" w:w="933"/>
                  <w:vMerge/>
                  <w:tcBorders>
                    <w:top w:val="single" w:color="000000" w:sz="4"/>
                    <w:left w:val="singl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tcPr>
                <w:p>
                  <w:pPr>
                    <w:jc w:val="both"/>
                  </w:pPr>
                  <w:r>
                    <w:rPr>
                      <w:sz w:val="21"/>
                    </w:rPr>
                    <w:t>溶剂残留（总）量</w:t>
                  </w:r>
                </w:p>
              </w:tc>
            </w:tr>
            <w:tr>
              <w:tc>
                <w:tcPr>
                  <w:tcW w:type="dxa" w:w="933"/>
                  <w:vMerge/>
                  <w:tcBorders>
                    <w:top w:val="single" w:color="000000" w:sz="4"/>
                    <w:left w:val="singl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tcPr>
                <w:p>
                  <w:pPr>
                    <w:jc w:val="both"/>
                  </w:pPr>
                  <w:r>
                    <w:rPr>
                      <w:sz w:val="21"/>
                    </w:rPr>
                    <w:t>苯类溶剂残留量</w:t>
                  </w:r>
                </w:p>
              </w:tc>
            </w:tr>
            <w:tr>
              <w:tc>
                <w:tcPr>
                  <w:tcW w:type="dxa" w:w="933"/>
                  <w:vMerge/>
                  <w:tcBorders>
                    <w:top w:val="single" w:color="000000" w:sz="4"/>
                    <w:left w:val="singl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tcPr>
                <w:p>
                  <w:pPr>
                    <w:jc w:val="both"/>
                  </w:pPr>
                  <w:r>
                    <w:rPr>
                      <w:sz w:val="21"/>
                    </w:rPr>
                    <w:t>芳香族伯胺迁移量</w:t>
                  </w:r>
                </w:p>
              </w:tc>
            </w:tr>
            <w:tr>
              <w:tc>
                <w:tcPr>
                  <w:tcW w:type="dxa" w:w="933"/>
                  <w:vMerge/>
                  <w:tcBorders>
                    <w:top w:val="single" w:color="000000" w:sz="4"/>
                    <w:left w:val="singl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tcPr>
                <w:p>
                  <w:pPr>
                    <w:jc w:val="both"/>
                  </w:pPr>
                  <w:r>
                    <w:rPr>
                      <w:sz w:val="21"/>
                    </w:rPr>
                    <w:t>标签标识</w:t>
                  </w:r>
                </w:p>
              </w:tc>
            </w:tr>
          </w:tbl>
          <w:p>
            <w:r>
              <w:rPr/>
              <w:t>4.基本要求：</w:t>
            </w:r>
            <w:r>
              <w:br/>
            </w:r>
            <w:r>
              <w:rPr/>
              <w:t>（1）采样地点：在广东省内开展抽检和监测。</w:t>
            </w:r>
            <w:r>
              <w:br/>
            </w:r>
            <w:r>
              <w:rPr/>
              <w:t>（2）抽样人员：由中标人安排2名或以上具有符合要求的抽样人员。</w:t>
            </w:r>
            <w:r>
              <w:br/>
            </w:r>
            <w:r>
              <w:rPr/>
              <w:t>（3）完成时限：中标人应于2022年11月30日前完成所中标抽检工作，部分任务对具体完成时间另有要求的，经双方协商同意，以抽查实施方案确定的时间为准。</w:t>
            </w:r>
            <w:r>
              <w:br/>
            </w:r>
            <w:r>
              <w:rPr/>
              <w:t>（4）采样办法：根据检验项目及国家标准中规定的采样方法及采样数量抽取样品。</w:t>
            </w:r>
            <w:r>
              <w:br/>
            </w:r>
            <w:r>
              <w:rPr/>
              <w:t>（5）样品运输：由中标人负责，确保样品质量不受影响。</w:t>
            </w:r>
            <w:r>
              <w:br/>
            </w:r>
            <w:r>
              <w:rPr/>
              <w:t>（6）样品检验：由中标人负责，并对样品检验结果负责。</w:t>
            </w:r>
            <w:r>
              <w:br/>
            </w:r>
            <w:r>
              <w:rPr/>
              <w:t>（7）结果送达与数据报送：由中标人负责，检验完毕后，按要求及时送达。按照国家总局、省局和采购人有关文件要求，按时报送监测结果数据，发现问题样品，应及时上报和通报有关部门。</w:t>
            </w:r>
            <w:r>
              <w:br/>
            </w:r>
            <w:r>
              <w:rPr/>
              <w:t>（8）数据汇总与分析：依据汇总数据及抽查情况进行评估分析，对不合格项目进行原因及危害性分析，并编制分析报告。</w:t>
            </w:r>
            <w:r>
              <w:br/>
            </w:r>
            <w:r>
              <w:rPr/>
              <w:t>5.工作要求</w:t>
            </w:r>
            <w:r>
              <w:br/>
            </w:r>
            <w:r>
              <w:rPr/>
              <w:t>（1）对中标人在开展抽检监测过程中弄虚作假或不配合采购人开展工作的，采购人有权单方面终止合同，并追究其经济赔偿责任和法律责任。</w:t>
            </w:r>
            <w:r>
              <w:br/>
            </w:r>
            <w:r>
              <w:rPr/>
              <w:t>（2）中标人负责提供交通工具，积极配合抽检工作。须保证抽检过程公平、公正。</w:t>
            </w:r>
            <w:r>
              <w:br/>
            </w:r>
            <w:r>
              <w:rPr/>
              <w:t>（3）中标人实验室检验设备、检验人员充裕，能满足食品相关产品检验的特殊要求，能按时按质完成抽检任务，出具合法有效的检验报告。</w:t>
            </w:r>
            <w:r>
              <w:br/>
            </w:r>
            <w:r>
              <w:rPr/>
              <w:t>（4）中标人技术服务水平高，采样操作规范，实验室质量控制严格，近3年无食品及食品相关产品检验数据严重质量问题。</w:t>
            </w:r>
            <w:r>
              <w:br/>
            </w:r>
            <w:r>
              <w:rPr/>
              <w:t>（5）沟通协调能力强，与各市市场监管部门工作配合到位。工作作风端正，态度温和。</w:t>
            </w:r>
            <w:r>
              <w:br/>
            </w:r>
            <w:r>
              <w:rPr/>
              <w:t>（6）中标人应按照专业操守尽职尽责，根据国内的相关标准进行样品的抽样、检验，并且按当次抽检方案约定日期出具检验报告；在采购人与第三方同等的条件下，中标人应优先完成对采购人的抽检和监测任务。</w:t>
            </w:r>
            <w:r>
              <w:br/>
            </w:r>
            <w:r>
              <w:rPr/>
              <w:t>（7）食品相关产品抽检监测工作遵照相关工作规范执行，并接受广东省市场监督管理局及当地监察机构的监督。</w:t>
            </w:r>
            <w:r>
              <w:br/>
            </w:r>
            <w:r>
              <w:rPr/>
              <w:t>（8）中标人对检验结果的真实性负责，由于虚假、错误检验数据和结论而给被检人造成损失的，或者给社会带来不良影响的，采购人有权单方面终止合同，并承担赔偿责任及相应法律责任。</w:t>
            </w:r>
            <w:r>
              <w:br/>
            </w:r>
            <w:r>
              <w:rPr/>
              <w:t>（9）涉及抽样的全部情况包括数据及结果，中标人必须对抽检监测的结果及数据等信息保密，不得向除采购人外的任何单位与个人透露，否则采购人有权单方面终止合同；如造成经济损失及不良影响的，追究其经济赔偿责任和法律责任。</w:t>
            </w:r>
            <w:r>
              <w:br/>
            </w:r>
            <w:r>
              <w:rPr/>
              <w:t>（10）中标人应积极配合采购人开展抽检及后续工作。应安排专人与采购人联系，并提供手机、QQ、邮箱等联系方式， 必要时应在半小时内及时响应采购人需求。</w:t>
            </w:r>
            <w:r>
              <w:br/>
            </w:r>
            <w:r>
              <w:rPr/>
              <w:t>（11）中标人对其抽取的样品负责，检验结果反映送检样品的真实状况。</w:t>
            </w:r>
            <w:r>
              <w:br/>
            </w:r>
            <w:r>
              <w:rPr/>
              <w:t>6.服务考核标准</w:t>
            </w:r>
            <w:r>
              <w:br/>
            </w:r>
            <w:r>
              <w:rPr/>
              <w:t>经采购人认定中标人违反一项或多项以下内容，采购人视情况有权对中标人进行警告、处罚，情况严重的，采购人可单方面终止合同。</w:t>
            </w:r>
            <w:r>
              <w:br/>
            </w:r>
            <w:r>
              <w:rPr/>
              <w:t>（1）检测项目没有在其能力范围的；</w:t>
            </w:r>
            <w:r>
              <w:br/>
            </w:r>
            <w:r>
              <w:rPr/>
              <w:t>（2）中标人未按规定时间完成检测任务的；</w:t>
            </w:r>
            <w:r>
              <w:br/>
            </w:r>
            <w:r>
              <w:rPr/>
              <w:t>（3）经采购人数据复核（复检）确认，中标人检测准确度有较大误差，整改后无法纠正的；</w:t>
            </w:r>
            <w:r>
              <w:br/>
            </w:r>
            <w:r>
              <w:rPr/>
              <w:t>（4）多次出现漏检、误检、重检、检测结果错漏等，上报资料不符合规定的；</w:t>
            </w:r>
            <w:r>
              <w:br/>
            </w:r>
            <w:r>
              <w:rPr/>
              <w:t>（5）对采购人提出的工作任务不响应不配合的；</w:t>
            </w:r>
            <w:r>
              <w:br/>
            </w:r>
            <w:r>
              <w:rPr/>
              <w:t>（6）违反保密规定，泄露检测结果数据，或未经采购人许可擅自使用检测数据的；</w:t>
            </w:r>
            <w:r>
              <w:br/>
            </w:r>
            <w:r>
              <w:rPr/>
              <w:t>（7）数据弄虚作假，原始记录、图谱与电脑存档内容不符，没有保留原始图谱等。</w:t>
            </w:r>
            <w:r>
              <w:br/>
            </w:r>
            <w:r>
              <w:rPr/>
              <w:t>7.项目完成期要求：本采购包应在2022年11月30日前完成。</w:t>
            </w:r>
            <w:r>
              <w:br/>
            </w: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采购包7（粤东西北地区应急抽检监测）：</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服务期限：中标人应于2022年11月30日前完成所中标抽检工作，部分任务对具体完成时间另有要求的，经双方协商同意，以抽查实施方案确定的时间为准。</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1期：支付比例90%，合同签订后五个工作日内，按合同总额90%支付第一期费用；</w:t>
            </w:r>
          </w:p>
          <w:p/>
          <w:p>
            <w:r>
              <w:rPr/>
              <w:t>2期：支付比例10%，在合同项目结束后十个工作日内按合同总额10%支付合同尾款。</w:t>
            </w:r>
          </w:p>
        </w:tc>
      </w:tr>
      <w:tr>
        <w:tc>
          <w:tcPr>
            <w:tcW w:type="dxa" w:w="4153"/>
          </w:tcPr>
          <w:p>
            <w:r>
              <w:rPr/>
              <w:t>验收要求</w:t>
            </w:r>
          </w:p>
        </w:tc>
        <w:tc>
          <w:tcPr>
            <w:tcW w:type="dxa" w:w="4153"/>
          </w:tcPr>
          <w:p>
            <w:pPr>
              <w:jc w:val="left"/>
            </w:pPr>
          </w:p>
          <w:p/>
          <w:p/>
          <w:p>
            <w:r>
              <w:rPr/>
              <w:t>1期：1、</w:t>
              <w:tab/>
              <w:t>中标供应商需严格按照招标文件承诺内容提供相应服务，采购方有权对项目实施过程、售后服务情况进行检查、考核和客观评价况。 2、</w:t>
              <w:tab/>
              <w:t>中标供应商在本项目完成后，提出验收申请，由采购人对所编制文件进行审评验收。</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tc>
      </w:tr>
    </w:tbl>
    <w:p>
      <w:r>
        <w:rPr>
          <w:b/>
          <w:sz w:val="24"/>
        </w:rPr>
        <w:t>2.技术标准与要求</w:t>
      </w:r>
    </w:p>
    <w:tbl>
      <w:tblPr>
        <w:tblW w:w="0" w:type="auto"/>
        <w:tblBorders>
          <w:top w:val="single"/>
          <w:left w:val="single"/>
          <w:bottom w:val="single"/>
          <w:right w:val="single"/>
          <w:insideH w:val="single"/>
          <w:insideV w:val="single"/>
        </w:tblBorders>
      </w:tblPr>
      <w:tblGrid>
        <w:gridCol w:w="218"/>
        <w:gridCol w:w="363"/>
        <w:gridCol w:w="1816"/>
        <w:gridCol w:w="1816"/>
        <w:gridCol w:w="363"/>
        <w:gridCol w:w="660"/>
        <w:gridCol w:w="660"/>
        <w:gridCol w:w="660"/>
        <w:gridCol w:w="660"/>
        <w:gridCol w:w="726"/>
        <w:gridCol w:w="363"/>
      </w:tblGrid>
      <w:tr>
        <w:tc>
          <w:tcPr>
            <w:tcW w:type="dxa" w:w="218"/>
          </w:tcPr>
          <w:p>
            <w:r>
              <w:rPr/>
              <w:t>序号</w:t>
            </w:r>
          </w:p>
        </w:tc>
        <w:tc>
          <w:tcPr>
            <w:tcW w:type="dxa" w:w="363"/>
          </w:tcPr>
          <w:p>
            <w:r>
              <w:rPr/>
              <w:t>核心产品（“△”）</w:t>
            </w:r>
          </w:p>
        </w:tc>
        <w:tc>
          <w:tcPr>
            <w:tcW w:type="dxa" w:w="1816"/>
          </w:tcPr>
          <w:p>
            <w:r>
              <w:rPr/>
              <w:t>品目名称</w:t>
            </w:r>
          </w:p>
        </w:tc>
        <w:tc>
          <w:tcPr>
            <w:tcW w:type="dxa" w:w="1816"/>
          </w:tcPr>
          <w:p>
            <w:r>
              <w:rPr/>
              <w:t>标的名称</w:t>
            </w:r>
          </w:p>
        </w:tc>
        <w:tc>
          <w:tcPr>
            <w:tcW w:type="dxa" w:w="363"/>
          </w:tcPr>
          <w:p>
            <w:r>
              <w:rPr/>
              <w:t>单位</w:t>
            </w:r>
          </w:p>
        </w:tc>
        <w:tc>
          <w:tcPr>
            <w:tcW w:type="dxa" w:w="660"/>
          </w:tcPr>
          <w:p>
            <w:r>
              <w:rPr/>
              <w:t>数量</w:t>
            </w:r>
          </w:p>
        </w:tc>
        <w:tc>
          <w:tcPr>
            <w:tcW w:type="dxa" w:w="660"/>
          </w:tcPr>
          <w:p>
            <w:r>
              <w:rPr/>
              <w:t>分项预算单价（元）</w:t>
            </w:r>
          </w:p>
        </w:tc>
        <w:tc>
          <w:tcPr>
            <w:tcW w:type="dxa" w:w="660"/>
          </w:tcPr>
          <w:p>
            <w:r>
              <w:rPr/>
              <w:t>分项预算总价（元）</w:t>
            </w:r>
          </w:p>
        </w:tc>
        <w:tc>
          <w:tcPr>
            <w:tcW w:type="dxa" w:w="660"/>
          </w:tcPr>
          <w:p>
            <w:r>
              <w:rPr/>
              <w:t>权重%</w:t>
            </w:r>
          </w:p>
        </w:tc>
        <w:tc>
          <w:tcPr>
            <w:tcW w:type="dxa" w:w="726"/>
          </w:tcPr>
          <w:p>
            <w:r>
              <w:rPr/>
              <w:t>所属行业</w:t>
            </w:r>
          </w:p>
        </w:tc>
        <w:tc>
          <w:tcPr>
            <w:tcW w:type="dxa" w:w="363"/>
          </w:tcPr>
          <w:p>
            <w:r>
              <w:rPr/>
              <w:t>技术要求</w:t>
            </w:r>
          </w:p>
        </w:tc>
      </w:tr>
      <w:tr>
        <w:tc>
          <w:tcPr>
            <w:tcW w:type="dxa" w:w="218"/>
          </w:tcPr>
          <w:p>
            <w:r>
              <w:rPr/>
              <w:t>1</w:t>
            </w:r>
          </w:p>
        </w:tc>
        <w:tc>
          <w:tcPr>
            <w:tcW w:type="dxa" w:w="363"/>
          </w:tcPr>
          <w:p/>
        </w:tc>
        <w:tc>
          <w:tcPr>
            <w:tcW w:type="dxa" w:w="1816"/>
          </w:tcPr>
          <w:p>
            <w:r>
              <w:rPr/>
              <w:t>技术测试和分析服务</w:t>
            </w:r>
          </w:p>
        </w:tc>
        <w:tc>
          <w:tcPr>
            <w:tcW w:type="dxa" w:w="1816"/>
          </w:tcPr>
          <w:p>
            <w:r>
              <w:rPr/>
              <w:t>粤东西北地区应急抽检监测</w:t>
            </w:r>
          </w:p>
        </w:tc>
        <w:tc>
          <w:tcPr>
            <w:tcW w:type="dxa" w:w="363"/>
          </w:tcPr>
          <w:p>
            <w:r>
              <w:rPr/>
              <w:t>项</w:t>
            </w:r>
          </w:p>
        </w:tc>
        <w:tc>
          <w:tcPr>
            <w:tcW w:type="dxa" w:w="660"/>
          </w:tcPr>
          <w:p>
            <w:pPr>
              <w:jc w:val="right"/>
            </w:pPr>
            <w:r>
              <w:rPr/>
              <w:t>1.0000</w:t>
            </w:r>
          </w:p>
        </w:tc>
        <w:tc>
          <w:tcPr>
            <w:tcW w:type="dxa" w:w="660"/>
          </w:tcPr>
          <w:p>
            <w:pPr>
              <w:jc w:val="right"/>
            </w:pPr>
            <w:r>
              <w:rPr/>
              <w:t>710,000.00</w:t>
            </w:r>
          </w:p>
        </w:tc>
        <w:tc>
          <w:tcPr>
            <w:tcW w:type="dxa" w:w="660"/>
          </w:tcPr>
          <w:p>
            <w:pPr>
              <w:jc w:val="right"/>
            </w:pPr>
            <w:r>
              <w:rPr/>
              <w:t>710,000.00</w:t>
            </w:r>
          </w:p>
        </w:tc>
        <w:tc>
          <w:tcPr>
            <w:tcW w:type="dxa" w:w="660"/>
          </w:tcPr>
          <w:p>
            <w:r>
              <w:rPr/>
              <w:t>100.0</w:t>
            </w:r>
          </w:p>
        </w:tc>
        <w:tc>
          <w:tcPr>
            <w:tcW w:type="dxa" w:w="726"/>
          </w:tcPr>
          <w:p>
            <w:r>
              <w:rPr/>
              <w:t>其他未列明行业</w:t>
            </w:r>
          </w:p>
        </w:tc>
        <w:tc>
          <w:tcPr>
            <w:tcW w:type="dxa" w:w="363"/>
          </w:tcPr>
          <w:p>
            <w:r>
              <w:rPr/>
              <w:t>详见附表一</w:t>
            </w:r>
          </w:p>
        </w:tc>
      </w:tr>
    </w:tbl>
    <w:p>
      <w:r>
        <w:rPr/>
        <w:t>备注：最终综合总报价=（各产品报价×各项产品权重）的相加值</w:t>
      </w:r>
    </w:p>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粤东西北地区应急抽检监测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一、项目基本概况</w:t>
            </w:r>
          </w:p>
          <w:p>
            <w:pPr>
              <w:ind w:firstLine="384"/>
              <w:jc w:val="both"/>
            </w:pPr>
            <w:r>
              <w:rPr>
                <w:sz w:val="21"/>
              </w:rPr>
              <w:t>本采购包选定1家食品检验承检机构。本采购包中标人应能使用“国家食品安全抽样检验信息系统”抽样APP在线抽样以及出具电子版检验报告。</w:t>
            </w:r>
          </w:p>
          <w:tbl>
            <w:tblPr>
              <w:tblBorders>
                <w:top w:val="none" w:color="000000" w:sz="4"/>
                <w:left w:val="none" w:color="000000" w:sz="4"/>
                <w:bottom w:val="none" w:color="000000" w:sz="4"/>
                <w:right w:val="none" w:color="000000" w:sz="4"/>
                <w:insideH w:val="none"/>
                <w:insideV w:val="none"/>
              </w:tblBorders>
            </w:tblPr>
            <w:tblGrid>
              <w:gridCol w:w="2192"/>
              <w:gridCol w:w="1787"/>
              <w:gridCol w:w="1619"/>
            </w:tblGrid>
            <w:tr>
              <w:tc>
                <w:tcPr>
                  <w:tcW w:type="dxa" w:w="2192"/>
                  <w:tcBorders>
                    <w:top w:val="single" w:color="000000" w:sz="4"/>
                    <w:left w:val="single" w:color="000000" w:sz="4"/>
                    <w:bottom w:val="single" w:color="000000" w:sz="4"/>
                    <w:right w:val="single" w:color="000000" w:sz="4"/>
                  </w:tcBorders>
                </w:tcPr>
                <w:p>
                  <w:pPr>
                    <w:jc w:val="center"/>
                  </w:pPr>
                  <w:r>
                    <w:rPr>
                      <w:sz w:val="21"/>
                    </w:rPr>
                    <w:t>承检类别</w:t>
                  </w:r>
                </w:p>
              </w:tc>
              <w:tc>
                <w:tcPr>
                  <w:tcW w:type="dxa" w:w="1787"/>
                  <w:tcBorders>
                    <w:top w:val="single" w:color="000000" w:sz="4"/>
                    <w:left w:val="none" w:color="000000" w:sz="4"/>
                    <w:bottom w:val="single" w:color="000000" w:sz="4"/>
                    <w:right w:val="single" w:color="000000" w:sz="4"/>
                  </w:tcBorders>
                </w:tcPr>
                <w:p>
                  <w:pPr>
                    <w:jc w:val="center"/>
                  </w:pPr>
                  <w:r>
                    <w:rPr>
                      <w:sz w:val="21"/>
                    </w:rPr>
                    <w:t>服务区域</w:t>
                  </w:r>
                </w:p>
              </w:tc>
              <w:tc>
                <w:tcPr>
                  <w:tcW w:type="dxa" w:w="1619"/>
                  <w:tcBorders>
                    <w:top w:val="single" w:color="000000" w:sz="4"/>
                    <w:left w:val="none" w:color="000000" w:sz="4"/>
                    <w:bottom w:val="single" w:color="000000" w:sz="4"/>
                    <w:right w:val="single" w:color="000000" w:sz="4"/>
                  </w:tcBorders>
                </w:tcPr>
                <w:p>
                  <w:pPr>
                    <w:jc w:val="center"/>
                  </w:pPr>
                  <w:r>
                    <w:rPr>
                      <w:sz w:val="21"/>
                    </w:rPr>
                    <w:t>拟招取承检机构数量</w:t>
                  </w:r>
                </w:p>
              </w:tc>
            </w:tr>
            <w:tr>
              <w:tc>
                <w:tcPr>
                  <w:tcW w:type="dxa" w:w="2192"/>
                  <w:tcBorders>
                    <w:top w:val="none" w:color="000000" w:sz="4"/>
                    <w:left w:val="single" w:color="000000" w:sz="4"/>
                    <w:bottom w:val="single" w:color="000000" w:sz="4"/>
                    <w:right w:val="single" w:color="000000" w:sz="4"/>
                  </w:tcBorders>
                  <w:shd w:fill="F6F6F6"/>
                </w:tcPr>
                <w:p>
                  <w:pPr>
                    <w:jc w:val="center"/>
                  </w:pPr>
                  <w:r>
                    <w:rPr>
                      <w:sz w:val="21"/>
                    </w:rPr>
                    <w:t>应急抽检</w:t>
                  </w:r>
                </w:p>
              </w:tc>
              <w:tc>
                <w:tcPr>
                  <w:tcW w:type="dxa" w:w="1787"/>
                  <w:tcBorders>
                    <w:top w:val="none" w:color="000000" w:sz="4"/>
                    <w:left w:val="none" w:color="000000" w:sz="4"/>
                    <w:bottom w:val="single" w:color="000000" w:sz="4"/>
                    <w:right w:val="single" w:color="000000" w:sz="4"/>
                  </w:tcBorders>
                  <w:shd w:fill="F6F6F6"/>
                </w:tcPr>
                <w:p>
                  <w:pPr>
                    <w:jc w:val="center"/>
                  </w:pPr>
                  <w:r>
                    <w:rPr>
                      <w:sz w:val="21"/>
                    </w:rPr>
                    <w:t>粤东、粤西、粤北</w:t>
                  </w:r>
                </w:p>
              </w:tc>
              <w:tc>
                <w:tcPr>
                  <w:tcW w:type="dxa" w:w="1619"/>
                  <w:tcBorders>
                    <w:top w:val="none" w:color="000000" w:sz="4"/>
                    <w:left w:val="none" w:color="000000" w:sz="4"/>
                    <w:bottom w:val="single" w:color="000000" w:sz="4"/>
                    <w:right w:val="single" w:color="000000" w:sz="4"/>
                  </w:tcBorders>
                  <w:shd w:fill="F6F6F6"/>
                </w:tcPr>
                <w:p>
                  <w:pPr>
                    <w:jc w:val="center"/>
                  </w:pPr>
                  <w:r>
                    <w:rPr>
                      <w:sz w:val="21"/>
                    </w:rPr>
                    <w:t>1家</w:t>
                  </w:r>
                </w:p>
              </w:tc>
            </w:tr>
          </w:tbl>
          <w:p>
            <w:pPr>
              <w:ind w:firstLine="384"/>
              <w:jc w:val="both"/>
            </w:pPr>
            <w:r>
              <w:rPr/>
              <w:t>二、服务要求</w:t>
            </w:r>
            <w:r>
              <w:br/>
            </w:r>
            <w:r>
              <w:rPr/>
              <w:t>1.采购标的：粤东西北地区应急抽检监测</w:t>
            </w:r>
            <w:r>
              <w:br/>
            </w:r>
            <w:r>
              <w:rPr/>
              <w:t>2.服务内容：为更好处理日常监管、飞行检查、投诉举报、媒体曝光等突发应急事件，拟设立食品生产环节应急抽检监测经费，用于开展应急性、机动性抽检监测，解决食品突发应急事件，服务区域为粤东、粤西及粤北，抽样费、检验费等合计71万元。</w:t>
            </w:r>
            <w:r>
              <w:br/>
            </w:r>
            <w:r>
              <w:rPr/>
              <w:t>3.食品细类及数量：根据采购人需求开展</w:t>
            </w:r>
            <w:r>
              <w:br/>
            </w:r>
            <w:r>
              <w:rPr/>
              <w:t>4.基本要求：</w:t>
            </w:r>
            <w:r>
              <w:br/>
            </w:r>
            <w:r>
              <w:rPr/>
              <w:t>（1）采样地点：在广东省内（粤东、粤西、粤北）开展抽查。</w:t>
            </w:r>
            <w:r>
              <w:br/>
            </w:r>
            <w:r>
              <w:rPr/>
              <w:t>（2）抽样人员：由中标人安排2名或以上具有符合要求的抽样人员。</w:t>
            </w:r>
            <w:r>
              <w:br/>
            </w:r>
            <w:r>
              <w:rPr/>
              <w:t>（3）完成时限：中标人应于2022年11月30日前完成所中标抽检工作，部分任务对具体完成时间另有要求的，经双方协商同意，以抽查实施方案确定的时间为准。</w:t>
            </w:r>
            <w:r>
              <w:br/>
            </w:r>
            <w:r>
              <w:rPr/>
              <w:t>（4）采样办法：根据检验项目及国家标准中规定的采样方法及采样数量抽取样品。</w:t>
            </w:r>
            <w:r>
              <w:br/>
            </w:r>
            <w:r>
              <w:rPr/>
              <w:t>（5）样品运输：由中标人负责，确保样品质量不受影响。</w:t>
            </w:r>
            <w:r>
              <w:br/>
            </w:r>
            <w:r>
              <w:rPr/>
              <w:t>（6）样品检验：由中标人负责，并对样品检验结果负责。</w:t>
            </w:r>
            <w:r>
              <w:br/>
            </w:r>
            <w:r>
              <w:rPr/>
              <w:t>（7）结果判定：本项目要求出具判定结论。</w:t>
            </w:r>
            <w:r>
              <w:br/>
            </w:r>
            <w:r>
              <w:rPr/>
              <w:t>（8）结果送达与数据报送：由中标人负责，检验完毕后，按要求及时送达。按照国家总局、省局和采购人有关文件要求，按时报送监测结果数据，发现问题样品，应及时上报和通报有关部门。</w:t>
            </w:r>
            <w:r>
              <w:br/>
            </w:r>
            <w:r>
              <w:rPr/>
              <w:t>（9）数据汇总与分析：依据汇总数据及抽查情况进行评估分析，对不合格项目进行原因及危害性分析，并编制分析报告。</w:t>
            </w:r>
            <w:r>
              <w:br/>
            </w:r>
            <w:r>
              <w:rPr/>
              <w:t>5.工作要求</w:t>
            </w:r>
            <w:r>
              <w:br/>
            </w:r>
            <w:r>
              <w:rPr/>
              <w:t>（1）对中标人在开展抽检监测过程中弄虚作假或不配合采购人开展工作的，采购人有权单方面终止合同，并追究其经济赔偿责任和法律责任。</w:t>
            </w:r>
            <w:r>
              <w:br/>
            </w:r>
            <w:r>
              <w:rPr/>
              <w:t>（2）中标人负责提供交通工具，积极配合抽检工作。须保证抽检过程公平、公正。</w:t>
            </w:r>
            <w:r>
              <w:br/>
            </w:r>
            <w:r>
              <w:rPr/>
              <w:t>（3）中标人实验室检验设备、检验人员充裕，能满足食品检验的特殊要求，能按时按质完成抽检任务，出具合法有效的检验报告。</w:t>
            </w:r>
            <w:r>
              <w:br/>
            </w:r>
            <w:r>
              <w:rPr/>
              <w:t>（4）中标人技术服务水平高，采样操作规范，实验室质量控制严格，近3年无食品检验数据严重质量问题。</w:t>
            </w:r>
            <w:r>
              <w:br/>
            </w:r>
            <w:r>
              <w:rPr/>
              <w:t>（5）沟通协调能力强，与各市市场监管部门工作配合到位。工作作风端正，态度温和。</w:t>
            </w:r>
            <w:r>
              <w:br/>
            </w:r>
            <w:r>
              <w:rPr/>
              <w:t>（6）中标人应按照专业操守尽职尽责，根据国际国内的相关标准进行样品的抽样、检验，并且按当次抽检方案约定日期出具检验报告；在采购人与第三方同等的条件下，中标人应优先完成对采购人的抽检和监测任务。</w:t>
            </w:r>
            <w:r>
              <w:br/>
            </w:r>
            <w:r>
              <w:rPr/>
              <w:t>（7）食品安全抽检监测工作遵照国家总局制定的最新工作规范执行，并接受广东省市场监督管理局及当地监察机构的监督。</w:t>
            </w:r>
            <w:r>
              <w:br/>
            </w:r>
            <w:r>
              <w:rPr/>
              <w:t>（8）中标人对检验结果的真实性负责，由于虚假、错误检验数据和结论而给被检人造成损失的，或者给社会带来不良影响的，采购人有权单方面终止合同，并承担赔偿责任及相应法律责任。</w:t>
            </w:r>
            <w:r>
              <w:br/>
            </w:r>
            <w:r>
              <w:rPr/>
              <w:t>（9）涉及抽样的全部情况包括数据及结果，中标人必须对抽检监测的结果及数据等信息保密，不得向除采购人外的任何单位与个人透露，否则采购人有权单方面终止合同；如造成经济损失及不良影响的，追究其经济赔偿责任和法律责任。</w:t>
            </w:r>
            <w:r>
              <w:br/>
            </w:r>
            <w:r>
              <w:rPr/>
              <w:t>（10）中标人应积极配合采购人开展抽检及后续工作。应安排专人与采购人联系，并提供手机、QQ、邮箱等联系方式， 必要时应在半小时内及时响应采购人需求。</w:t>
            </w:r>
            <w:r>
              <w:br/>
            </w:r>
            <w:r>
              <w:rPr/>
              <w:t>（11）中标人对其抽取的样品负责，检验结果反映送检样品的真实状况。</w:t>
            </w:r>
            <w:r>
              <w:br/>
            </w:r>
            <w:r>
              <w:rPr/>
              <w:t>6.服务考核标准</w:t>
            </w:r>
            <w:r>
              <w:br/>
            </w:r>
            <w:r>
              <w:rPr/>
              <w:t>经采购人认定中标人违反一项或多项以下内容，采购人视情况有权对中标人进行警告、处罚，情况严重的，采购人可单方面终止合同。</w:t>
            </w:r>
            <w:r>
              <w:br/>
            </w:r>
            <w:r>
              <w:rPr/>
              <w:t>（1）检测项目没有在其能力范围的；</w:t>
            </w:r>
            <w:r>
              <w:br/>
            </w:r>
            <w:r>
              <w:rPr/>
              <w:t>（2）中标人未按规定时间完成检测任务的；</w:t>
            </w:r>
            <w:r>
              <w:br/>
            </w:r>
            <w:r>
              <w:rPr/>
              <w:t>（3）经采购人数据复核（复检）确认，中标人检测准确度有较大误差，整改后无法纠正的；</w:t>
            </w:r>
            <w:r>
              <w:br/>
            </w:r>
            <w:r>
              <w:rPr/>
              <w:t>（4）多次出现漏检、误检、重检、检测结果错漏等，上报资料不符合规定的；</w:t>
            </w:r>
            <w:r>
              <w:br/>
            </w:r>
            <w:r>
              <w:rPr/>
              <w:t>（5）对采购人提出的工作任务不响应不配合的；</w:t>
            </w:r>
            <w:r>
              <w:br/>
            </w:r>
            <w:r>
              <w:rPr/>
              <w:t>（6）违反保密规定，泄露检测结果数据，或未经采购人许可擅自使用检测数据的；</w:t>
            </w:r>
            <w:r>
              <w:br/>
            </w:r>
            <w:r>
              <w:rPr/>
              <w:t>（7）数据弄虚作假，原始记录、图谱与电脑存档内容不符，没有保留原始图谱等。</w:t>
            </w:r>
            <w:r>
              <w:br/>
            </w:r>
            <w:r>
              <w:rPr/>
              <w:t>7.项目完成期要求：本采购包应在2022年11月30日前完成。</w:t>
            </w:r>
            <w:r>
              <w:br/>
            </w:r>
            <w:r>
              <w:rPr/>
              <w:t>★三、抽样检验信息系统</w:t>
            </w:r>
            <w:r>
              <w:br/>
            </w:r>
            <w:r>
              <w:rPr/>
              <w:t>中标人应能使用“国家食品安全抽样检验信息系统”抽样APP在线抽样以及出具电子版检验报告。严格按照时限要求将抽样检验信息录入“国家食品安全抽样检验信息系统”</w:t>
            </w:r>
            <w:r>
              <w:br/>
            </w:r>
            <w:r>
              <w:rPr/>
              <w:t>四、检验工作的实施</w:t>
            </w:r>
            <w:r>
              <w:br/>
            </w:r>
            <w:r>
              <w:rPr/>
              <w:t>1.食品检验由食品检验机构指定的检验人独立进行。检验人应当依照有关法律、法规的规定，并依照食品安全标准和检验规范对食品进行检验，尊重科学，恪守职业道德，保证出具的检验数据和结论客观、公正，不得出具虚假的检验报告。</w:t>
            </w:r>
            <w:r>
              <w:br/>
            </w:r>
            <w:r>
              <w:rPr/>
              <w:t>2.工作要求：一般要求从收到样品之日起20个工作日内出具检验报告，如因特殊情况需延长检验期限的，可另行约定。 应节应急抽检、执法抽检等有特殊时限要求的，根据采购人要求加快检验。投标人应具有食品检验方法研发能力，了解行业发展动态，熟悉食品生产工艺，具备食品相关的科研能力。对目前暂未有判定依据的项目应出具检测数值、检测方法介绍、结果分析和处理建议。</w:t>
            </w:r>
            <w:r>
              <w:br/>
            </w:r>
            <w:r>
              <w:rPr/>
              <w:t>五、检验结果的处理</w:t>
            </w:r>
            <w:r>
              <w:br/>
            </w:r>
            <w:r>
              <w:rPr/>
              <w:t>1.出具检验结论、提供检验报告及有关材料的送达、告知：采购人将根据《中华人民共和国食品安全法》、《食品安全抽样检验管理办法》（市场监管总局令第15号）、《食品药品监管总局办公厅关于印发食品安全监督抽检和风险监测工作规 范的通知》等政策法规制定具体要求，供中标人执行。</w:t>
            </w:r>
            <w:r>
              <w:br/>
            </w:r>
            <w:r>
              <w:rPr/>
              <w:t>2.检验结果的评估：中标人应指派专人负责整理、分类、汇总抽检数据。中标人要对不合格项目进行原因及危害性分析 评估，并出具分析评估报告，提出下一步检测意见和建议。发生食品安全突发事件时，中标人应配合做好分析评估工作，为采购人的决策提供技术依据。</w:t>
            </w:r>
            <w:r>
              <w:br/>
            </w:r>
            <w:r>
              <w:rPr/>
              <w:t>3.对被抽检单位异议的处理以及复检：</w:t>
            </w:r>
            <w:r>
              <w:br/>
            </w:r>
            <w:r>
              <w:rPr/>
              <w:t>（1）协助采购人处理被抽检单位提出的异议申请。</w:t>
            </w:r>
            <w:r>
              <w:br/>
            </w:r>
            <w:r>
              <w:rPr/>
              <w:t>（2）初检机构配合有关复检工作，复检机构依法开展复检工作。</w:t>
            </w:r>
            <w:r>
              <w:br/>
            </w:r>
            <w:r>
              <w:rPr/>
              <w:t>（3）具备复检机构资格的中标人，在接到采购人指定的复检任务时，应予以受理。特殊情况不能接受的，中标人应说明理由并与采购人协商解决。复检机构由采购人指定。</w:t>
            </w:r>
            <w:r>
              <w:br/>
            </w:r>
            <w:r>
              <w:rPr/>
              <w:t>（4）复检结论与初检结论不一致的，复检费用由初检机构承担；复检结论与初检结论一致的，复检费用由复检申请人承担。</w:t>
            </w:r>
            <w:r>
              <w:br/>
            </w:r>
            <w:r>
              <w:rPr/>
              <w:t>4.为保证检验报告及有关公文的顺利送达，邮寄必须选择EMS。邮寄所需费用由中标人支付。</w:t>
            </w:r>
            <w:r>
              <w:br/>
            </w:r>
            <w:r>
              <w:rPr/>
              <w:t>六、技术服务</w:t>
            </w:r>
            <w:r>
              <w:br/>
            </w:r>
            <w:r>
              <w:rPr/>
              <w:t>中标人根据采购人的工作需求，提供以下技术服务：</w:t>
            </w:r>
            <w:r>
              <w:br/>
            </w:r>
            <w:r>
              <w:rPr/>
              <w:t>（1）食品安全宣传活动中的咨询、检测、宣讲等服务。</w:t>
            </w:r>
            <w:r>
              <w:br/>
            </w:r>
            <w:r>
              <w:rPr/>
              <w:t>（2）新闻发布、舆</w:t>
            </w:r>
            <w:r>
              <w:rPr>
                <w:color w:val="FFFFFF"/>
              </w:rPr>
              <w:t>.</w:t>
            </w:r>
            <w:r>
              <w:rPr/>
              <w:t>情应对、应急处置等相关工作中的技术支持。</w:t>
            </w:r>
            <w:r>
              <w:br/>
            </w:r>
            <w:r>
              <w:rPr/>
              <w:t>（3）安排专家接受咨询、参加研讨、提出建议等。</w:t>
            </w:r>
            <w:r>
              <w:br/>
            </w:r>
            <w:r>
              <w:rPr/>
              <w:t>（4）其他根据工作提出的技术服务。</w:t>
            </w:r>
            <w:r>
              <w:br/>
            </w:r>
            <w:r>
              <w:rPr/>
              <w:t xml:space="preserve"> </w:t>
            </w:r>
          </w:p>
          <w:p>
            <w:pPr>
              <w:ind w:firstLine="384"/>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采购包8（珠三角地区应急抽检）：</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服务期限：中标人应于2022年11月30日前完成所中标抽检工作，部分任务对具体完成时间另有要求的，经双方协商同意，以抽查实施方案确定的时间为准。</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1期：支付比例90%，合同签订后五个工作日内，按合同总额90%支付第一期费用；</w:t>
            </w:r>
          </w:p>
          <w:p/>
          <w:p>
            <w:r>
              <w:rPr/>
              <w:t>2期：支付比例10%，在合同项目结束后十个工作日内按合同总额10%支付合同尾款。</w:t>
            </w:r>
          </w:p>
        </w:tc>
      </w:tr>
      <w:tr>
        <w:tc>
          <w:tcPr>
            <w:tcW w:type="dxa" w:w="4153"/>
          </w:tcPr>
          <w:p>
            <w:r>
              <w:rPr/>
              <w:t>验收要求</w:t>
            </w:r>
          </w:p>
        </w:tc>
        <w:tc>
          <w:tcPr>
            <w:tcW w:type="dxa" w:w="4153"/>
          </w:tcPr>
          <w:p>
            <w:pPr>
              <w:jc w:val="left"/>
            </w:pPr>
          </w:p>
          <w:p/>
          <w:p/>
          <w:p>
            <w:r>
              <w:rPr/>
              <w:t>1期：1、</w:t>
              <w:tab/>
              <w:t>中标供应商需严格按照招标文件承诺内容提供相应服务，采购方有权对项目实施过程、售后服务情况进行检查、考核和客观评价况。 2、</w:t>
              <w:tab/>
              <w:t>中标供应商在本项目完成后，提出验收申请，由采购人对所编制文件进行审评验收。</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tc>
      </w:tr>
    </w:tbl>
    <w:p>
      <w:r>
        <w:rPr>
          <w:b/>
          <w:sz w:val="24"/>
        </w:rPr>
        <w:t>2.技术标准与要求</w:t>
      </w:r>
    </w:p>
    <w:tbl>
      <w:tblPr>
        <w:tblW w:w="0" w:type="auto"/>
        <w:tblBorders>
          <w:top w:val="single"/>
          <w:left w:val="single"/>
          <w:bottom w:val="single"/>
          <w:right w:val="single"/>
          <w:insideH w:val="single"/>
          <w:insideV w:val="single"/>
        </w:tblBorders>
      </w:tblPr>
      <w:tblGrid>
        <w:gridCol w:w="218"/>
        <w:gridCol w:w="363"/>
        <w:gridCol w:w="1816"/>
        <w:gridCol w:w="1816"/>
        <w:gridCol w:w="363"/>
        <w:gridCol w:w="660"/>
        <w:gridCol w:w="660"/>
        <w:gridCol w:w="660"/>
        <w:gridCol w:w="660"/>
        <w:gridCol w:w="726"/>
        <w:gridCol w:w="363"/>
      </w:tblGrid>
      <w:tr>
        <w:tc>
          <w:tcPr>
            <w:tcW w:type="dxa" w:w="218"/>
          </w:tcPr>
          <w:p>
            <w:r>
              <w:rPr/>
              <w:t>序号</w:t>
            </w:r>
          </w:p>
        </w:tc>
        <w:tc>
          <w:tcPr>
            <w:tcW w:type="dxa" w:w="363"/>
          </w:tcPr>
          <w:p>
            <w:r>
              <w:rPr/>
              <w:t>核心产品（“△”）</w:t>
            </w:r>
          </w:p>
        </w:tc>
        <w:tc>
          <w:tcPr>
            <w:tcW w:type="dxa" w:w="1816"/>
          </w:tcPr>
          <w:p>
            <w:r>
              <w:rPr/>
              <w:t>品目名称</w:t>
            </w:r>
          </w:p>
        </w:tc>
        <w:tc>
          <w:tcPr>
            <w:tcW w:type="dxa" w:w="1816"/>
          </w:tcPr>
          <w:p>
            <w:r>
              <w:rPr/>
              <w:t>标的名称</w:t>
            </w:r>
          </w:p>
        </w:tc>
        <w:tc>
          <w:tcPr>
            <w:tcW w:type="dxa" w:w="363"/>
          </w:tcPr>
          <w:p>
            <w:r>
              <w:rPr/>
              <w:t>单位</w:t>
            </w:r>
          </w:p>
        </w:tc>
        <w:tc>
          <w:tcPr>
            <w:tcW w:type="dxa" w:w="660"/>
          </w:tcPr>
          <w:p>
            <w:r>
              <w:rPr/>
              <w:t>数量</w:t>
            </w:r>
          </w:p>
        </w:tc>
        <w:tc>
          <w:tcPr>
            <w:tcW w:type="dxa" w:w="660"/>
          </w:tcPr>
          <w:p>
            <w:r>
              <w:rPr/>
              <w:t>分项预算单价（元）</w:t>
            </w:r>
          </w:p>
        </w:tc>
        <w:tc>
          <w:tcPr>
            <w:tcW w:type="dxa" w:w="660"/>
          </w:tcPr>
          <w:p>
            <w:r>
              <w:rPr/>
              <w:t>分项预算总价（元）</w:t>
            </w:r>
          </w:p>
        </w:tc>
        <w:tc>
          <w:tcPr>
            <w:tcW w:type="dxa" w:w="660"/>
          </w:tcPr>
          <w:p>
            <w:r>
              <w:rPr/>
              <w:t>权重%</w:t>
            </w:r>
          </w:p>
        </w:tc>
        <w:tc>
          <w:tcPr>
            <w:tcW w:type="dxa" w:w="726"/>
          </w:tcPr>
          <w:p>
            <w:r>
              <w:rPr/>
              <w:t>所属行业</w:t>
            </w:r>
          </w:p>
        </w:tc>
        <w:tc>
          <w:tcPr>
            <w:tcW w:type="dxa" w:w="363"/>
          </w:tcPr>
          <w:p>
            <w:r>
              <w:rPr/>
              <w:t>技术要求</w:t>
            </w:r>
          </w:p>
        </w:tc>
      </w:tr>
      <w:tr>
        <w:tc>
          <w:tcPr>
            <w:tcW w:type="dxa" w:w="218"/>
          </w:tcPr>
          <w:p>
            <w:r>
              <w:rPr/>
              <w:t>1</w:t>
            </w:r>
          </w:p>
        </w:tc>
        <w:tc>
          <w:tcPr>
            <w:tcW w:type="dxa" w:w="363"/>
          </w:tcPr>
          <w:p/>
        </w:tc>
        <w:tc>
          <w:tcPr>
            <w:tcW w:type="dxa" w:w="1816"/>
          </w:tcPr>
          <w:p>
            <w:r>
              <w:rPr/>
              <w:t>技术测试和分析服务</w:t>
            </w:r>
          </w:p>
        </w:tc>
        <w:tc>
          <w:tcPr>
            <w:tcW w:type="dxa" w:w="1816"/>
          </w:tcPr>
          <w:p>
            <w:r>
              <w:rPr/>
              <w:t>珠三角地区应急抽检</w:t>
            </w:r>
          </w:p>
        </w:tc>
        <w:tc>
          <w:tcPr>
            <w:tcW w:type="dxa" w:w="363"/>
          </w:tcPr>
          <w:p>
            <w:r>
              <w:rPr/>
              <w:t>项</w:t>
            </w:r>
          </w:p>
        </w:tc>
        <w:tc>
          <w:tcPr>
            <w:tcW w:type="dxa" w:w="660"/>
          </w:tcPr>
          <w:p>
            <w:pPr>
              <w:jc w:val="right"/>
            </w:pPr>
            <w:r>
              <w:rPr/>
              <w:t>1.0000</w:t>
            </w:r>
          </w:p>
        </w:tc>
        <w:tc>
          <w:tcPr>
            <w:tcW w:type="dxa" w:w="660"/>
          </w:tcPr>
          <w:p>
            <w:pPr>
              <w:jc w:val="right"/>
            </w:pPr>
            <w:r>
              <w:rPr/>
              <w:t>700,000.00</w:t>
            </w:r>
          </w:p>
        </w:tc>
        <w:tc>
          <w:tcPr>
            <w:tcW w:type="dxa" w:w="660"/>
          </w:tcPr>
          <w:p>
            <w:pPr>
              <w:jc w:val="right"/>
            </w:pPr>
            <w:r>
              <w:rPr/>
              <w:t>700,000.00</w:t>
            </w:r>
          </w:p>
        </w:tc>
        <w:tc>
          <w:tcPr>
            <w:tcW w:type="dxa" w:w="660"/>
          </w:tcPr>
          <w:p>
            <w:r>
              <w:rPr/>
              <w:t>100.0</w:t>
            </w:r>
          </w:p>
        </w:tc>
        <w:tc>
          <w:tcPr>
            <w:tcW w:type="dxa" w:w="726"/>
          </w:tcPr>
          <w:p>
            <w:r>
              <w:rPr/>
              <w:t>其他未列明行业</w:t>
            </w:r>
          </w:p>
        </w:tc>
        <w:tc>
          <w:tcPr>
            <w:tcW w:type="dxa" w:w="363"/>
          </w:tcPr>
          <w:p>
            <w:r>
              <w:rPr/>
              <w:t>详见附表一</w:t>
            </w:r>
          </w:p>
        </w:tc>
      </w:tr>
    </w:tbl>
    <w:p>
      <w:r>
        <w:rPr/>
        <w:t>备注：最终综合总报价=（各产品报价×各项产品权重）的相加值</w:t>
      </w:r>
    </w:p>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珠三角地区应急抽检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一、项目基本概况</w:t>
            </w:r>
          </w:p>
          <w:p>
            <w:pPr>
              <w:ind w:firstLine="384"/>
              <w:jc w:val="both"/>
            </w:pPr>
            <w:r>
              <w:rPr>
                <w:sz w:val="21"/>
              </w:rPr>
              <w:t>本采购包选定1家食品检验承检机构。本采购包中标人应能使用“国家食品安全抽样检验信息系统”抽样APP在线抽样以及出具电子版检验报告。</w:t>
            </w:r>
          </w:p>
          <w:tbl>
            <w:tblPr>
              <w:tblBorders>
                <w:top w:val="none" w:color="000000" w:sz="4"/>
                <w:left w:val="none" w:color="000000" w:sz="4"/>
                <w:bottom w:val="none" w:color="000000" w:sz="4"/>
                <w:right w:val="none" w:color="000000" w:sz="4"/>
                <w:insideH w:val="none"/>
                <w:insideV w:val="none"/>
              </w:tblBorders>
            </w:tblPr>
            <w:tblGrid>
              <w:gridCol w:w="2197"/>
              <w:gridCol w:w="1693"/>
              <w:gridCol w:w="1707"/>
            </w:tblGrid>
            <w:tr>
              <w:tc>
                <w:tcPr>
                  <w:tcW w:type="dxa" w:w="2197"/>
                  <w:tcBorders>
                    <w:top w:val="single" w:color="000000" w:sz="4"/>
                    <w:left w:val="single" w:color="000000" w:sz="4"/>
                    <w:bottom w:val="single" w:color="000000" w:sz="4"/>
                    <w:right w:val="single" w:color="000000" w:sz="4"/>
                  </w:tcBorders>
                  <w:vAlign w:val="top"/>
                </w:tcPr>
                <w:p>
                  <w:pPr>
                    <w:jc w:val="center"/>
                  </w:pPr>
                  <w:r>
                    <w:rPr>
                      <w:color w:val="666666"/>
                      <w:sz w:val="21"/>
                    </w:rPr>
                    <w:t>承检类别</w:t>
                  </w:r>
                </w:p>
              </w:tc>
              <w:tc>
                <w:tcPr>
                  <w:tcW w:type="dxa" w:w="1693"/>
                  <w:tcBorders>
                    <w:top w:val="single" w:color="000000" w:sz="4"/>
                    <w:left w:val="none" w:color="000000" w:sz="4"/>
                    <w:bottom w:val="single" w:color="000000" w:sz="4"/>
                    <w:right w:val="single" w:color="000000" w:sz="4"/>
                  </w:tcBorders>
                  <w:vAlign w:val="top"/>
                </w:tcPr>
                <w:p>
                  <w:pPr>
                    <w:jc w:val="center"/>
                  </w:pPr>
                  <w:r>
                    <w:rPr>
                      <w:color w:val="666666"/>
                      <w:sz w:val="21"/>
                    </w:rPr>
                    <w:t>服务区域</w:t>
                  </w:r>
                </w:p>
              </w:tc>
              <w:tc>
                <w:tcPr>
                  <w:tcW w:type="dxa" w:w="1707"/>
                  <w:tcBorders>
                    <w:top w:val="single" w:color="000000" w:sz="4"/>
                    <w:left w:val="none" w:color="000000" w:sz="4"/>
                    <w:bottom w:val="single" w:color="000000" w:sz="4"/>
                    <w:right w:val="single" w:color="000000" w:sz="4"/>
                  </w:tcBorders>
                  <w:vAlign w:val="top"/>
                </w:tcPr>
                <w:p>
                  <w:pPr>
                    <w:jc w:val="center"/>
                  </w:pPr>
                  <w:r>
                    <w:rPr>
                      <w:color w:val="666666"/>
                      <w:sz w:val="21"/>
                    </w:rPr>
                    <w:t>拟招取承检机构数量</w:t>
                  </w:r>
                </w:p>
              </w:tc>
            </w:tr>
            <w:tr>
              <w:tc>
                <w:tcPr>
                  <w:tcW w:type="dxa" w:w="2197"/>
                  <w:tcBorders>
                    <w:top w:val="none" w:color="000000" w:sz="4"/>
                    <w:left w:val="single" w:color="000000" w:sz="4"/>
                    <w:bottom w:val="single" w:color="000000" w:sz="4"/>
                    <w:right w:val="single" w:color="000000" w:sz="4"/>
                  </w:tcBorders>
                  <w:shd w:fill="F6F6F6"/>
                </w:tcPr>
                <w:p>
                  <w:pPr>
                    <w:jc w:val="center"/>
                  </w:pPr>
                  <w:r>
                    <w:rPr>
                      <w:color w:val="666666"/>
                      <w:sz w:val="21"/>
                    </w:rPr>
                    <w:t>应急抽检</w:t>
                  </w:r>
                </w:p>
              </w:tc>
              <w:tc>
                <w:tcPr>
                  <w:tcW w:type="dxa" w:w="1693"/>
                  <w:tcBorders>
                    <w:top w:val="none" w:color="000000" w:sz="4"/>
                    <w:left w:val="none" w:color="000000" w:sz="4"/>
                    <w:bottom w:val="single" w:color="000000" w:sz="4"/>
                    <w:right w:val="single" w:color="000000" w:sz="4"/>
                  </w:tcBorders>
                  <w:shd w:fill="F6F6F6"/>
                </w:tcPr>
                <w:p>
                  <w:pPr>
                    <w:jc w:val="center"/>
                  </w:pPr>
                  <w:r>
                    <w:rPr>
                      <w:color w:val="666666"/>
                      <w:sz w:val="21"/>
                    </w:rPr>
                    <w:t>珠三角</w:t>
                  </w:r>
                </w:p>
              </w:tc>
              <w:tc>
                <w:tcPr>
                  <w:tcW w:type="dxa" w:w="1707"/>
                  <w:tcBorders>
                    <w:top w:val="none" w:color="000000" w:sz="4"/>
                    <w:left w:val="none" w:color="000000" w:sz="4"/>
                    <w:bottom w:val="single" w:color="000000" w:sz="4"/>
                    <w:right w:val="single" w:color="000000" w:sz="4"/>
                  </w:tcBorders>
                  <w:shd w:fill="F6F6F6"/>
                </w:tcPr>
                <w:p>
                  <w:pPr>
                    <w:jc w:val="center"/>
                  </w:pPr>
                  <w:r>
                    <w:rPr>
                      <w:color w:val="666666"/>
                      <w:sz w:val="21"/>
                    </w:rPr>
                    <w:t>1家</w:t>
                  </w:r>
                </w:p>
              </w:tc>
            </w:tr>
          </w:tbl>
          <w:p>
            <w:pPr>
              <w:ind w:firstLine="384"/>
              <w:jc w:val="both"/>
            </w:pPr>
            <w:r>
              <w:rPr/>
              <w:t>二、服务要求</w:t>
            </w:r>
            <w:r>
              <w:br/>
            </w:r>
            <w:r>
              <w:rPr/>
              <w:t>1.采购标的：珠三角地区应急抽检</w:t>
            </w:r>
            <w:r>
              <w:br/>
            </w:r>
            <w:r>
              <w:rPr/>
              <w:t>2.服务内容：为更好处理日常监管、飞行检查、投诉举报、媒体曝光等突发应急事件，拟设立食品生产环节应急抽检监测经费，用于开展应急性、机动性抽检监测，解决食品突发应急事件，服务区域为珠三角地区，抽样费、检验费等合计70万元。</w:t>
            </w:r>
            <w:r>
              <w:br/>
            </w:r>
            <w:r>
              <w:rPr/>
              <w:t>3.食品细类及数量：根据采购人需求开展。</w:t>
            </w:r>
            <w:r>
              <w:br/>
            </w:r>
            <w:r>
              <w:rPr/>
              <w:t>4.基本要求：</w:t>
            </w:r>
            <w:r>
              <w:br/>
            </w:r>
            <w:r>
              <w:rPr/>
              <w:t>（1）采样地点：在广东省内（珠三角地区）开展抽查。</w:t>
            </w:r>
            <w:r>
              <w:br/>
            </w:r>
            <w:r>
              <w:rPr/>
              <w:t>（2）抽样人员：由中标人安排2名或以上具有符合要求的抽样人员。</w:t>
            </w:r>
            <w:r>
              <w:br/>
            </w:r>
            <w:r>
              <w:rPr/>
              <w:t>（3）完成时限：中标人应于2022年11月30日前完成所中标抽检工作，部分任务对具体完成时间另有要求的，经双方协  商同意，以抽查实施方案确定的时间为准。</w:t>
            </w:r>
            <w:r>
              <w:br/>
            </w:r>
            <w:r>
              <w:rPr/>
              <w:t>（4）采样办法：根据检验项目及国家标准中规定的采样方法及采样数量抽取样品。</w:t>
            </w:r>
            <w:r>
              <w:br/>
            </w:r>
            <w:r>
              <w:rPr/>
              <w:t>（5）样品运输：由中标人负责，确保样品质量不受影响。</w:t>
            </w:r>
            <w:r>
              <w:br/>
            </w:r>
            <w:r>
              <w:rPr/>
              <w:t>（6）样品检验：由中标人负责，并对样品检验结果负责。</w:t>
            </w:r>
            <w:r>
              <w:br/>
            </w:r>
            <w:r>
              <w:rPr/>
              <w:t>（7）结果判定：本项目要求出具判定结论。</w:t>
            </w:r>
            <w:r>
              <w:br/>
            </w:r>
            <w:r>
              <w:rPr/>
              <w:t>（8）结果送达与数据报送：由中标人负责，检验完毕后，按要求及时送达。按照国家总局、省局和采购人有关文件要求，按时报送监测结果数据，发现问题样品，应及时上报和通报有关部门。</w:t>
            </w:r>
            <w:r>
              <w:br/>
            </w:r>
            <w:r>
              <w:rPr/>
              <w:t>（9）数据汇总与分析：依据汇总数据及抽查情况进行评估分析，对不合格项目进行原因及危害性分析，并编制分析报告。</w:t>
            </w:r>
            <w:r>
              <w:br/>
            </w:r>
            <w:r>
              <w:rPr/>
              <w:t>5.工作要求</w:t>
            </w:r>
            <w:r>
              <w:br/>
            </w:r>
            <w:r>
              <w:rPr/>
              <w:t>（1）对中标人在开展抽检监测过程中弄虚作假或不配合采购人开展工作的，采购人有权单方面终止合同，并追究其经济赔偿责任和法律责任。</w:t>
            </w:r>
            <w:r>
              <w:br/>
            </w:r>
            <w:r>
              <w:rPr/>
              <w:t>（2）中标人负责提供交通工具，积极配合抽检工作。须保证抽检过程公平、公正。</w:t>
            </w:r>
            <w:r>
              <w:br/>
            </w:r>
            <w:r>
              <w:rPr/>
              <w:t>（3）中标人实验室检验设备、检验人员充裕，能满足食品检验的特殊要求，能按时按质完成抽检任务，出具合法有效的检验报告。</w:t>
            </w:r>
            <w:r>
              <w:br/>
            </w:r>
            <w:r>
              <w:rPr/>
              <w:t>（4）中标人技术服务水平高，采样操作规范，实验室质量控制严格，近3年无食品检验数据严重质量问题。</w:t>
            </w:r>
            <w:r>
              <w:br/>
            </w:r>
            <w:r>
              <w:rPr/>
              <w:t>（5）沟通协调能力强，与各市市场监管部门工作配合到位。工作作风端正，态度温和。</w:t>
            </w:r>
            <w:r>
              <w:br/>
            </w:r>
            <w:r>
              <w:rPr/>
              <w:t>（6）中标人应按照专业操守尽职尽责，根据国际国内的相关标准进行样品的抽样、检验，并且按当次抽检方案约定日期出具检验报告；在采购人与第三方同等的条件下，中标人应优先完成对采购人的抽检和监测任务。</w:t>
            </w:r>
            <w:r>
              <w:br/>
            </w:r>
            <w:r>
              <w:rPr/>
              <w:t>（7）食品安全抽检监测工作遵照国家总局制定的最新工作规范执行，并接受广东省市场监督管理局及当地监察机构的监督。</w:t>
            </w:r>
            <w:r>
              <w:br/>
            </w:r>
            <w:r>
              <w:rPr/>
              <w:t>（8）中标人对检验结果的真实性负责，由于虚假、错误检验数据和结论而给被检人造成损失的，或者给社会带来不良影响的，采购人有权单方面终止合同，并承担赔偿责任及相应法律责任。</w:t>
            </w:r>
            <w:r>
              <w:br/>
            </w:r>
            <w:r>
              <w:rPr/>
              <w:t>（9）涉及抽样的全部情况包括数据及结果，中标人必须对抽检监测的结果及数据等信息保密，不得向除采购人外的任何单位与个人透露，否则采购人有权单方面终止合同；如造成经济损失及不良影响的，追究其经济赔偿责任和法律责任。</w:t>
            </w:r>
            <w:r>
              <w:br/>
            </w:r>
            <w:r>
              <w:rPr/>
              <w:t>（10）中标人应积极配合采购人开展抽检及后续工作。应安排专人与采购人联系，并提供手机、QQ、邮箱等联系方式， 必要时应在半小时内及时响应采购人需求。</w:t>
            </w:r>
            <w:r>
              <w:br/>
            </w:r>
            <w:r>
              <w:rPr/>
              <w:t>（11）中标人对其抽取的样品负责，检验结果反映送检样品的真实状况。</w:t>
            </w:r>
            <w:r>
              <w:br/>
            </w:r>
            <w:r>
              <w:rPr/>
              <w:t>6.服务考核标准</w:t>
            </w:r>
            <w:r>
              <w:br/>
            </w:r>
            <w:r>
              <w:rPr/>
              <w:t>经采购人认定中标人违反一项或多项以下内容，采购人视情况有权对中标人进行警告、处罚，情况严重的，采购人可单方面终止合同。</w:t>
            </w:r>
            <w:r>
              <w:br/>
            </w:r>
            <w:r>
              <w:rPr/>
              <w:t>（1）检测项目没有在其能力范围的；</w:t>
            </w:r>
            <w:r>
              <w:br/>
            </w:r>
            <w:r>
              <w:rPr/>
              <w:t>（2）中标人未按规定时间完成检测任务的；</w:t>
            </w:r>
            <w:r>
              <w:br/>
            </w:r>
            <w:r>
              <w:rPr/>
              <w:t>（3）经采购人数据复核（复检）确认，中标人检测准确度有较大误差，整改后无法纠正的；</w:t>
            </w:r>
            <w:r>
              <w:br/>
            </w:r>
            <w:r>
              <w:rPr/>
              <w:t>（4）多次出现漏检、误检、重检、检测结果错漏等，上报资料不符合规定的；</w:t>
            </w:r>
            <w:r>
              <w:br/>
            </w:r>
            <w:r>
              <w:rPr/>
              <w:t>（5）对采购人提出的工作任务不响应不配合的；</w:t>
            </w:r>
            <w:r>
              <w:br/>
            </w:r>
            <w:r>
              <w:rPr/>
              <w:t>（6）违反保密规定，泄露检测结果数据，或未经采购人许可擅自使用检测数据的；</w:t>
            </w:r>
            <w:r>
              <w:br/>
            </w:r>
            <w:r>
              <w:rPr/>
              <w:t>（7）数据弄虚作假，原始记录、图谱与电脑存档内容不符，没有保留原始图谱等。</w:t>
            </w:r>
            <w:r>
              <w:br/>
            </w:r>
            <w:r>
              <w:rPr/>
              <w:t>7.项目完成期要求：本采购包应在2022年11月30日前完成。</w:t>
            </w:r>
            <w:r>
              <w:br/>
            </w:r>
            <w:r>
              <w:rPr/>
              <w:t>★三、抽样检验信息系统</w:t>
            </w:r>
            <w:r>
              <w:br/>
            </w:r>
            <w:r>
              <w:rPr/>
              <w:t>中标人应能使用“国家食品安全抽样检验信息系统”抽样APP在线抽样以及出具电子版检验报告。严格按照时限要求将抽样检验信息录入“国家食品安全抽样检验信息系统”</w:t>
            </w:r>
            <w:r>
              <w:br/>
            </w:r>
            <w:r>
              <w:rPr/>
              <w:t>四、检验工作的实施</w:t>
            </w:r>
            <w:r>
              <w:br/>
            </w:r>
            <w:r>
              <w:rPr/>
              <w:t>1.食品检验由食品检验机构指定的检验人独立进行。检验人应当依照有关法律、法规的规定，并依照食品安全标准和检验规范对食品进行检验，尊重科学，恪守职业道德，保证出具的检验数据和结论客观、公正，不得出具虚假的检验报告。</w:t>
            </w:r>
            <w:r>
              <w:br/>
            </w:r>
            <w:r>
              <w:rPr/>
              <w:t>2、工作要求：一般要求从收到样品之日起20个工作日内出具检验报告，如因特殊情况需延长检验期限的，可另行约定。 应节应急抽检、执法抽检等有特殊时限要求的，根据采购人要求加快检验。投标人应具有食品检验方法研发能力，了解行业发展动态，熟悉食品生产工艺，具备食品相关的科研能力。对目前暂未有判定依据的项目应出具检测数值、检测方法介绍、结果分析和处理建议。</w:t>
            </w:r>
            <w:r>
              <w:br/>
            </w:r>
            <w:r>
              <w:rPr/>
              <w:t>五、检验结果的处理</w:t>
            </w:r>
            <w:r>
              <w:br/>
            </w:r>
            <w:r>
              <w:rPr/>
              <w:t>1.出具检验结论、提供检验报告及有关材料的送达、告知：采购人将根据《中华人民共和国食品安全法》、《食品安全抽样检验管理办法》（市场监管总局令第15号）、《食品药品监管总局办公厅关于印发食品安全监督抽检和风险监测工作规 范的通知》等政策法规制定具体要求，供中标人执行。</w:t>
            </w:r>
            <w:r>
              <w:br/>
            </w:r>
            <w:r>
              <w:rPr/>
              <w:t>2.检验结果的评估：中标人应指派专人负责整理、分类、汇总抽检数据。中标人要对不合格项目进行原因及危害性分析 评估，并出具分析评估报告，提出下一步检测意见和建议。发生食品安全突发事件时，中标人应配合做好分析评估工作，为采购人的决策提供技术依据。</w:t>
            </w:r>
            <w:r>
              <w:br/>
            </w:r>
            <w:r>
              <w:rPr/>
              <w:t>3.对被抽检单位异议的处理以及复检：</w:t>
            </w:r>
            <w:r>
              <w:br/>
            </w:r>
            <w:r>
              <w:rPr/>
              <w:t>（1）协助采购人处理被抽检单位提出的异议申请。</w:t>
            </w:r>
            <w:r>
              <w:br/>
            </w:r>
            <w:r>
              <w:rPr/>
              <w:t>（2）初检机构配合有关复检工作，复检机构依法开展复检工作。</w:t>
            </w:r>
            <w:r>
              <w:br/>
            </w:r>
            <w:r>
              <w:rPr/>
              <w:t>（3）具备复检机构资格的中标人，在接到采购人指定的复检任务时，应予以受理。特殊情况不能接受的，中标人应说明理由并与采购人协商解决。复检机构由采购人指定。</w:t>
            </w:r>
            <w:r>
              <w:br/>
            </w:r>
            <w:r>
              <w:rPr/>
              <w:t>（4）复检结论与初检结论不一致的，复检费用由初检机构承担；复检结论与初检结论一致的，复检费用由复检申请人承担。</w:t>
            </w:r>
            <w:r>
              <w:br/>
            </w:r>
            <w:r>
              <w:rPr/>
              <w:t>4.为保证检验报告及有关公文的顺利送达，邮寄必须选择EMS。邮寄所需费用由中标人支付。</w:t>
            </w:r>
            <w:r>
              <w:br/>
            </w:r>
            <w:r>
              <w:rPr/>
              <w:t>六、技术服务</w:t>
            </w:r>
            <w:r>
              <w:br/>
            </w:r>
            <w:r>
              <w:rPr/>
              <w:t>中标人根据采购人的工作需求，提供以下技术服务：</w:t>
            </w:r>
            <w:r>
              <w:br/>
            </w:r>
            <w:r>
              <w:rPr/>
              <w:t>（1）食品安全宣传活动中的咨询、检测、宣讲等服务。</w:t>
            </w:r>
            <w:r>
              <w:br/>
            </w:r>
            <w:r>
              <w:rPr/>
              <w:t>（2）新闻发布、舆</w:t>
            </w:r>
            <w:r>
              <w:rPr>
                <w:color w:val="FFFFFF"/>
              </w:rPr>
              <w:t>.</w:t>
            </w:r>
            <w:r>
              <w:rPr/>
              <w:t>情应对、应急处置等相关工作中的技术支持。</w:t>
            </w:r>
            <w:r>
              <w:br/>
            </w:r>
            <w:r>
              <w:rPr/>
              <w:t>（3）安排专家接受咨询、参加研讨、提出建议等。</w:t>
            </w:r>
            <w:r>
              <w:br/>
            </w:r>
            <w:r>
              <w:rPr/>
              <w:t>（4）其他根据工作提出的技术服务。</w:t>
            </w:r>
            <w:r>
              <w:br/>
            </w:r>
            <w:r>
              <w:rPr/>
              <w:t xml:space="preserve"> </w:t>
            </w:r>
          </w:p>
          <w:p>
            <w:pPr>
              <w:ind w:firstLine="384"/>
              <w:jc w:val="both"/>
            </w:pPr>
            <w:r>
              <w:rPr/>
              <w:t xml:space="preserve"> </w:t>
            </w:r>
          </w:p>
          <w:p>
            <w:pPr>
              <w:ind w:firstLine="384"/>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广东省市场监督管理局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8</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p>
            <w:r>
              <w:rPr/>
              <w:t>采购包4：综合评分法</w:t>
            </w:r>
          </w:p>
          <w:p>
            <w:r>
              <w:rPr/>
              <w:t>采购包5：综合评分法</w:t>
            </w:r>
          </w:p>
          <w:p>
            <w:r>
              <w:rPr/>
              <w:t>采购包6：综合评分法</w:t>
            </w:r>
          </w:p>
          <w:p>
            <w:r>
              <w:rPr/>
              <w:t>采购包7：综合评分法</w:t>
            </w:r>
          </w:p>
          <w:p>
            <w:r>
              <w:rPr/>
              <w:t>采购包8：综合评分法</w:t>
            </w:r>
          </w:p>
        </w:tc>
      </w:tr>
      <w:tr>
        <w:tc>
          <w:tcPr>
            <w:tcW w:type="dxa" w:w="1051"/>
          </w:tcPr>
          <w:p>
            <w:r>
              <w:rPr/>
              <w:t>5</w:t>
            </w:r>
          </w:p>
        </w:tc>
        <w:tc>
          <w:tcPr>
            <w:tcW w:type="dxa" w:w="2252"/>
          </w:tcPr>
          <w:p>
            <w:r>
              <w:rPr/>
              <w:t>报价形式</w:t>
            </w:r>
          </w:p>
        </w:tc>
        <w:tc>
          <w:tcPr>
            <w:tcW w:type="dxa" w:w="5004"/>
          </w:tcPr>
          <w:p/>
          <w:p>
            <w:r>
              <w:rPr/>
              <w:t>采购包1：投标综合折扣率</w:t>
            </w:r>
          </w:p>
          <w:p/>
          <w:p>
            <w:r>
              <w:rPr/>
              <w:t>采购包2：投标综合折扣率</w:t>
            </w:r>
          </w:p>
          <w:p/>
          <w:p>
            <w:r>
              <w:rPr/>
              <w:t>采购包3：投标综合折扣率</w:t>
            </w:r>
          </w:p>
          <w:p/>
          <w:p>
            <w:r>
              <w:rPr/>
              <w:t>采购包4：投标综合折扣率</w:t>
            </w:r>
          </w:p>
          <w:p/>
          <w:p>
            <w:r>
              <w:rPr/>
              <w:t>采购包5：投标综合折扣率</w:t>
            </w:r>
          </w:p>
          <w:p/>
          <w:p>
            <w:r>
              <w:rPr/>
              <w:t>采购包6：投标综合折扣率</w:t>
            </w:r>
          </w:p>
          <w:p/>
          <w:p>
            <w:r>
              <w:rPr/>
              <w:t>采购包7：投标综合折扣率</w:t>
            </w:r>
          </w:p>
          <w:p/>
          <w:p>
            <w:r>
              <w:rPr/>
              <w:t>采购包8：投标综合折扣率</w:t>
            </w:r>
          </w:p>
        </w:tc>
      </w:tr>
      <w:tr>
        <w:tc>
          <w:tcPr>
            <w:tcW w:type="dxa" w:w="1051"/>
          </w:tcPr>
          <w:p>
            <w:r>
              <w:rPr/>
              <w:t>6</w:t>
            </w:r>
          </w:p>
        </w:tc>
        <w:tc>
          <w:tcPr>
            <w:tcW w:type="dxa" w:w="2252"/>
          </w:tcPr>
          <w:p>
            <w:r>
              <w:rPr/>
              <w:t>报价要求</w:t>
            </w:r>
          </w:p>
        </w:tc>
        <w:tc>
          <w:tcPr>
            <w:tcW w:type="dxa" w:w="5004"/>
          </w:tcPr>
          <w:p/>
          <w:p>
            <w:r>
              <w:rPr/>
              <w:t>采购包1：0% - 100%</w:t>
            </w:r>
          </w:p>
          <w:p/>
          <w:p>
            <w:r>
              <w:rPr/>
              <w:t>采购包2：0% - 100%</w:t>
            </w:r>
          </w:p>
          <w:p/>
          <w:p>
            <w:r>
              <w:rPr/>
              <w:t>采购包3：0% - 100%</w:t>
            </w:r>
          </w:p>
          <w:p/>
          <w:p>
            <w:r>
              <w:rPr/>
              <w:t>采购包4：0% - 100%</w:t>
            </w:r>
          </w:p>
          <w:p/>
          <w:p>
            <w:r>
              <w:rPr/>
              <w:t>采购包5：0% - 100%</w:t>
            </w:r>
          </w:p>
          <w:p/>
          <w:p>
            <w:r>
              <w:rPr/>
              <w:t>采购包6：0% - 100%</w:t>
            </w:r>
          </w:p>
          <w:p/>
          <w:p>
            <w:r>
              <w:rPr/>
              <w:t>采购包7：0% - 100%</w:t>
            </w:r>
          </w:p>
          <w:p/>
          <w:p>
            <w:r>
              <w:rPr/>
              <w:t>采购包8：0%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r>
              <w:rPr/>
              <w:t>采购包3：保证金人民币：0.00元整。</w:t>
            </w:r>
            <w:r>
              <w:rPr/>
              <w:t>采购包4：保证金人民币：0.00元整。</w:t>
            </w:r>
            <w:r>
              <w:rPr/>
              <w:t>采购包5：保证金人民币：0.00元整。</w:t>
            </w:r>
            <w:r>
              <w:rPr/>
              <w:t>采购包6：保证金人民币：0.00元整。</w:t>
            </w:r>
            <w:r>
              <w:rPr/>
              <w:t>采购包7：保证金人民币：0.00元整。</w:t>
            </w:r>
            <w:r>
              <w:rPr/>
              <w:t>采购包8：保证金人民币：0.00元整。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2</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3</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p>
            <w:r>
              <w:rPr/>
              <w:t>采购包3：</w:t>
            </w:r>
            <w:r>
              <w:rPr/>
              <w:t>2家</w:t>
            </w:r>
          </w:p>
          <w:p>
            <w:r>
              <w:rPr/>
              <w:t>采购包4：</w:t>
            </w:r>
            <w:r>
              <w:rPr/>
              <w:t>2家</w:t>
            </w:r>
          </w:p>
          <w:p>
            <w:r>
              <w:rPr/>
              <w:t>采购包5：</w:t>
            </w:r>
            <w:r>
              <w:rPr/>
              <w:t>2家</w:t>
            </w:r>
          </w:p>
          <w:p>
            <w:r>
              <w:rPr/>
              <w:t>采购包6：</w:t>
            </w:r>
            <w:r>
              <w:rPr/>
              <w:t>2家</w:t>
            </w:r>
          </w:p>
          <w:p>
            <w:r>
              <w:rPr/>
              <w:t>采购包7：</w:t>
            </w:r>
            <w:r>
              <w:rPr/>
              <w:t>2家</w:t>
            </w:r>
          </w:p>
          <w:p>
            <w:r>
              <w:rPr/>
              <w:t>采购包8：</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r>
              <w:rPr/>
              <w:t>采购包4：</w:t>
            </w:r>
            <w:r>
              <w:rPr/>
              <w:t>1家</w:t>
            </w:r>
          </w:p>
          <w:p>
            <w:r>
              <w:rPr/>
              <w:t>采购包5：</w:t>
            </w:r>
            <w:r>
              <w:rPr/>
              <w:t>1家</w:t>
            </w:r>
          </w:p>
          <w:p>
            <w:r>
              <w:rPr/>
              <w:t>采购包6：</w:t>
            </w:r>
            <w:r>
              <w:rPr/>
              <w:t>1家</w:t>
            </w:r>
          </w:p>
          <w:p>
            <w:r>
              <w:rPr/>
              <w:t>采购包7：</w:t>
            </w:r>
            <w:r>
              <w:rPr/>
              <w:t>1家</w:t>
            </w:r>
          </w:p>
          <w:p>
            <w:r>
              <w:rPr/>
              <w:t>采购包8：</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Pr>
              <w:jc w:val="left"/>
            </w:pPr>
          </w:p>
          <w:p>
            <w:r>
              <w:rPr/>
              <w:t>采购包4：3家</w:t>
            </w:r>
          </w:p>
          <w:p>
            <w:pPr>
              <w:jc w:val="left"/>
            </w:pPr>
          </w:p>
          <w:p>
            <w:r>
              <w:rPr/>
              <w:t>采购包5：3家</w:t>
            </w:r>
          </w:p>
          <w:p>
            <w:pPr>
              <w:jc w:val="left"/>
            </w:pPr>
          </w:p>
          <w:p>
            <w:r>
              <w:rPr/>
              <w:t>采购包6：3家</w:t>
            </w:r>
          </w:p>
          <w:p>
            <w:pPr>
              <w:jc w:val="left"/>
            </w:pPr>
          </w:p>
          <w:p>
            <w:r>
              <w:rPr/>
              <w:t>采购包7：3家</w:t>
            </w:r>
          </w:p>
          <w:p>
            <w:pPr>
              <w:jc w:val="left"/>
            </w:pPr>
          </w:p>
          <w:p>
            <w:r>
              <w:rPr/>
              <w:t>采购包8：3家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无：本项目可兼投但仅允许兼中两个采购包。本项目评审按照采购包顺序（采购包一 →采购包二→采购包三→采购包四→采购包五 →采购包六→采购包七→采购包八）依次进行评审。投标人可自行选择采购包投标，但仅允许中两个采购包。 投标人已经成为两个采购包的第一中标候选人，其投标文件不参与后续采购包的详细评审。</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以下金额：  采购包一：￥27,048.00元（大写：人民币贰万柒仟零肆拾捌元整）； 采购包二：￥11,435.00元（大写：人民币壹万壹仟肆佰叁拾伍元整）； 采购包三：￥38,066.00元（大写：人民币叁万捌仟零陆拾陆元整）； 采购包四：￥15,721.00元（大写：人民币壹万伍仟柒佰贰拾壹元整）； 采购包五：￥11,757.00元（大写：人民币壹万壹仟柒佰伍拾柒元整）； 采购包六：￥19,008.00元（大写：人民币壹万玖仟零捌元整）； 采购包七：￥10,650.00元（大写：人民币壹万零陆佰伍拾元整）； 采购包八：￥10,500.00元（大写：人民币壹万零伍佰元整）；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采购包1：否</w:t>
            </w:r>
          </w:p>
          <w:p>
            <w:pPr>
              <w:jc w:val="left"/>
            </w:pPr>
            <w:r>
              <w:rPr/>
              <w:t>采购包2：否</w:t>
            </w:r>
          </w:p>
          <w:p>
            <w:pPr>
              <w:jc w:val="left"/>
            </w:pPr>
            <w:r>
              <w:rPr/>
              <w:t>采购包3：否</w:t>
            </w:r>
          </w:p>
          <w:p>
            <w:pPr>
              <w:jc w:val="left"/>
            </w:pPr>
            <w:r>
              <w:rPr/>
              <w:t>采购包4：否</w:t>
            </w:r>
          </w:p>
          <w:p>
            <w:pPr>
              <w:jc w:val="left"/>
            </w:pPr>
            <w:r>
              <w:rPr/>
              <w:t>采购包5：否</w:t>
            </w:r>
          </w:p>
          <w:p>
            <w:pPr>
              <w:jc w:val="left"/>
            </w:pPr>
            <w:r>
              <w:rPr/>
              <w:t>采购包6：否</w:t>
            </w:r>
          </w:p>
          <w:p>
            <w:pPr>
              <w:jc w:val="left"/>
            </w:pPr>
            <w:r>
              <w:rPr/>
              <w:t>采购包7：否</w:t>
            </w:r>
          </w:p>
          <w:p>
            <w:pPr>
              <w:jc w:val="left"/>
            </w:pPr>
            <w:r>
              <w:rPr/>
              <w:t>采购包8：否</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5.5联合体各方均应满足采购文件规定的资格要求。由同一资质条件的投标人组成的联合体，应当按照资质等级较低的投标人确定联合体资质等级。</w:t>
      </w:r>
    </w:p>
    <w:p>
      <w:pPr>
        <w:ind w:firstLine="480"/>
      </w:pPr>
      <w:r>
        <w:rPr/>
        <w:t>5.6联合体各方应当共同与采购人签订采购合同，就合同约定的事项对采购人承担连带责任。</w:t>
      </w:r>
    </w:p>
    <w:p>
      <w:pPr>
        <w:ind w:firstLine="480"/>
      </w:pPr>
      <w:r>
        <w:rPr/>
        <w:t>5.7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吕小姐、吴工</w:t>
      </w:r>
    </w:p>
    <w:p>
      <w:pPr>
        <w:ind w:firstLine="480"/>
      </w:pPr>
      <w:r>
        <w:rPr/>
        <w:t>电话：</w:t>
      </w:r>
      <w:r>
        <w:rPr/>
        <w:t>020-37814404、020-87684402</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广州市规定自《中标通知书》发出之日起二十日内签订合同），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采购包1(肉制品专项抽检监测)：综合评分法,是指投标文件满足招标文件全部实质性要求，且按照评审因素的量化指标评审得分最高的投标人为中标候选人的评标方法。（最低报价不是中标的唯一依据。）</w:t>
      </w:r>
    </w:p>
    <w:p/>
    <w:p>
      <w:r>
        <w:rPr/>
        <w:t>采购包2(乳制品专项抽检监测)：综合评分法,是指投标文件满足招标文件全部实质性要求，且按照评审因素的量化指标评审得分最高的投标人为中标候选人的评标方法。（最低报价不是中标的唯一依据。）</w:t>
      </w:r>
    </w:p>
    <w:p/>
    <w:p>
      <w:r>
        <w:rPr/>
        <w:t>采购包3(植物源专项抽检监测)：综合评分法,是指投标文件满足招标文件全部实质性要求，且按照评审因素的量化指标评审得分最高的投标人为中标候选人的评标方法。（最低报价不是中标的唯一依据。）</w:t>
      </w:r>
    </w:p>
    <w:p/>
    <w:p>
      <w:r>
        <w:rPr/>
        <w:t>采购包4(小作坊专项监督抽检)：综合评分法,是指投标文件满足招标文件全部实质性要求，且按照评审因素的量化指标评审得分最高的投标人为中标候选人的评标方法。（最低报价不是中标的唯一依据。）</w:t>
      </w:r>
    </w:p>
    <w:p/>
    <w:p>
      <w:r>
        <w:rPr/>
        <w:t>采购包5(小作坊专项抽检监测)：综合评分法,是指投标文件满足招标文件全部实质性要求，且按照评审因素的量化指标评审得分最高的投标人为中标候选人的评标方法。（最低报价不是中标的唯一依据。）</w:t>
      </w:r>
    </w:p>
    <w:p/>
    <w:p>
      <w:r>
        <w:rPr/>
        <w:t>采购包6(食品相关产品监督抽检和风险监测)：综合评分法,是指投标文件满足招标文件全部实质性要求，且按照评审因素的量化指标评审得分最高的投标人为中标候选人的评标方法。（最低报价不是中标的唯一依据。）</w:t>
      </w:r>
    </w:p>
    <w:p/>
    <w:p>
      <w:r>
        <w:rPr/>
        <w:t>采购包7(粤东西北地区应急抽检监测)：综合评分法,是指投标文件满足招标文件全部实质性要求，且按照评审因素的量化指标评审得分最高的投标人为中标候选人的评标方法。（最低报价不是中标的唯一依据。）</w:t>
      </w:r>
    </w:p>
    <w:p/>
    <w:p>
      <w:r>
        <w:rPr/>
        <w:t>采购包8(珠三角地区应急抽检)：综合评分法,是指投标文件满足招标文件全部实质性要求，且按照评审因素的量化指标评审得分最高的投标人为中标候选人的评标方法。（最低报价不是中标的唯一依据。）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 不同投标人的电子投标文件上传计算机的网卡MAC地址硬件信息相同的（开标现场上传电子投标文件的除外）；</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采购包1（肉制品专项抽检监测）：</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r>
        <w:rPr/>
        <w:t>采购包2（乳制品专项抽检监测）：</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r>
        <w:rPr/>
        <w:t>采购包3（植物源专项抽检监测）：</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r>
        <w:rPr/>
        <w:t>采购包4（小作坊专项监督抽检）：</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r>
        <w:rPr/>
        <w:t>采购包5（小作坊专项抽检监测）：</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r>
        <w:rPr/>
        <w:t>采购包6（食品相关产品监督抽检和风险监测）：</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r>
        <w:rPr/>
        <w:t>采购包7（粤东西北地区应急抽检监测）：</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r>
        <w:rPr/>
        <w:t>采购包8（珠三角地区应急抽检）：</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系统抓取并记录到供应商与同项目（采购包）其他投标（响应）供应商电子投标文件上传计算机的网卡MAC地址硬件信息相同（开标现场上传电子投标文件的除外）的情形，评标委员会应认定其投标（响应）无效。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采购包1（肉制品专项抽检监测）：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依据《投标函》</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采购包2（乳制品专项抽检监测）：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依据《投标函》</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采购包3（植物源专项抽检监测）：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依据《投标函》</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采购包4（小作坊专项监督抽检）：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依据《投标函》</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采购包5（小作坊专项抽检监测）：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依据《投标函》</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采购包6（食品相关产品监督抽检和风险监测）：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依据《投标函》</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采购包7（粤东西北地区应急抽检监测）：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依据《投标函》</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采购包8（珠三角地区应急抽检）：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依据《投标函》</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采购包1（肉制品专项抽检监测）：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投标综合折扣率是固定、唯一价且在0.00%-100.00%范围内取值</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采购包2（乳制品专项抽检监测）：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投标综合折扣率是固定、唯一价且在0.00%-100.00%范围内取值</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采购包3（植物源专项抽检监测）：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投标综合折扣率是固定、唯一价且在0.00%-100.00%范围内取值</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采购包4（小作坊专项监督抽检）：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投标综合折扣率是固定、唯一价且在0.00%-100.00%范围内取值</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采购包5（小作坊专项抽检监测）：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投标综合折扣率是固定、唯一价且在0.00%-100.00%范围内取值</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采购包6（食品相关产品监督抽检和风险监测）：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投标综合折扣率是固定、唯一价且在0.00%-100.00%范围内取值</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采购包7（粤东西北地区应急抽检监测）：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投标综合折扣率是固定、唯一价且在0.00%-100.00%范围内取值</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采购包8（珠三角地区应急抽检）：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投标综合折扣率是固定、唯一价且在0.00%-100.00%范围内取值</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肉制品专项抽检监测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投标人前沿检测、分析方案1 (5.0分)</w:t>
            </w:r>
          </w:p>
        </w:tc>
        <w:tc>
          <w:tcPr>
            <w:tcW w:type="dxa" w:w="5076"/>
          </w:tcPr>
          <w:p>
            <w:pPr>
              <w:jc w:val="left"/>
            </w:pPr>
            <w:r>
              <w:rPr/>
              <w:t>针对食品及食品原料、食品添加剂非标检测、放射性物质残留检测所需的前沿性检测能力、技术开发能力及经验，如何开展食品转基因等检测方案进行评审： （1）前沿检测、分析方案具体全面、针对性强、科学合理、可操作性强得5分； （2）前沿检测、分析方案较具体全面、针对性较强、可操作性一般得3分； （3）前沿检测、分析方案不全面、无针对性、可操作性差得1分； （4）不提供不得分。</w:t>
            </w:r>
          </w:p>
        </w:tc>
      </w:tr>
      <w:tr>
        <w:tc>
          <w:tcPr>
            <w:tcW w:type="dxa" w:w="922"/>
            <w:gridSpan w:val="2"/>
            <w:vMerge/>
          </w:tcPr>
          <w:p/>
        </w:tc>
        <w:tc>
          <w:tcPr>
            <w:tcW w:type="dxa" w:w="2307"/>
          </w:tcPr>
          <w:p>
            <w:pPr>
              <w:jc w:val="left"/>
            </w:pPr>
            <w:r>
              <w:rPr/>
              <w:t>投标人前沿检测、分析方案2 (5.0分)</w:t>
            </w:r>
          </w:p>
        </w:tc>
        <w:tc>
          <w:tcPr>
            <w:tcW w:type="dxa" w:w="5076"/>
          </w:tcPr>
          <w:p>
            <w:pPr>
              <w:jc w:val="left"/>
            </w:pPr>
            <w:r>
              <w:rPr/>
              <w:t>针对农药残留快速筛查及牛羊肉等食品的真假鉴别、以及进口食品原料的优劣的前沿分析技术方案进行评审： （1）前沿检测、分析方案具体全面、针对性强、科学合理、可操作性强得5分； （2）前沿检测、分析方案较具体全面、针对性较强、可操作性一般得3分； （3）前沿检测、分析方案不全面、无针对性、可操作性差得1分； （4）不提供不得分。</w:t>
            </w:r>
          </w:p>
        </w:tc>
      </w:tr>
      <w:tr>
        <w:tc>
          <w:tcPr>
            <w:tcW w:type="dxa" w:w="922"/>
            <w:gridSpan w:val="2"/>
            <w:vMerge/>
          </w:tcPr>
          <w:p/>
        </w:tc>
        <w:tc>
          <w:tcPr>
            <w:tcW w:type="dxa" w:w="2307"/>
          </w:tcPr>
          <w:p>
            <w:pPr>
              <w:jc w:val="left"/>
            </w:pPr>
            <w:r>
              <w:rPr/>
              <w:t>项目实施方案 (5.0分)</w:t>
            </w:r>
          </w:p>
        </w:tc>
        <w:tc>
          <w:tcPr>
            <w:tcW w:type="dxa" w:w="5076"/>
          </w:tcPr>
          <w:p>
            <w:pPr>
              <w:jc w:val="left"/>
            </w:pPr>
            <w:r>
              <w:rPr/>
              <w:t>能根据本项目的任务类型和要求，组织实施检测工作，并制定明确的服务质量保证体系和项目工作制度。对实施方案的完整性、可行性和详细程度、进度安排及保证措施的合理性进行评分：  （1）实施方案完整、详细、优于本项目要求得5分；  （2）实施方案完整、详细、与本项目相适应得3分；  （3）实施方案较完整、详细、与本项目较相适得2分；  （4）实施方案不够完整、详细，与本项目不太相适得1分。  （5）其他或不提供不得分。 【注：提供实施方案，包括现场采样、样品保存、样品运输、样品检测、不合格处理、异议处理等条件等内容】</w:t>
            </w:r>
          </w:p>
        </w:tc>
      </w:tr>
      <w:tr>
        <w:tc>
          <w:tcPr>
            <w:tcW w:type="dxa" w:w="922"/>
            <w:gridSpan w:val="2"/>
            <w:vMerge/>
          </w:tcPr>
          <w:p/>
        </w:tc>
        <w:tc>
          <w:tcPr>
            <w:tcW w:type="dxa" w:w="2307"/>
          </w:tcPr>
          <w:p>
            <w:pPr>
              <w:jc w:val="left"/>
            </w:pPr>
            <w:r>
              <w:rPr/>
              <w:t>投标人前沿检测、分析方案3 (4.0分)</w:t>
            </w:r>
          </w:p>
        </w:tc>
        <w:tc>
          <w:tcPr>
            <w:tcW w:type="dxa" w:w="5076"/>
          </w:tcPr>
          <w:p>
            <w:pPr>
              <w:jc w:val="left"/>
            </w:pPr>
            <w:r>
              <w:rPr/>
              <w:t>投标人自2020年1月1日具有参与制定食品安全国家标准或行业标准或地方标准或团体标准经验，且该标准已向社会公布，每提供一个得2分，本项累计最高得4分。 【注：提供相关证明材料，不提供不得分。】</w:t>
            </w:r>
          </w:p>
        </w:tc>
      </w:tr>
      <w:tr>
        <w:tc>
          <w:tcPr>
            <w:tcW w:type="dxa" w:w="922"/>
            <w:gridSpan w:val="2"/>
            <w:vMerge/>
          </w:tcPr>
          <w:p/>
        </w:tc>
        <w:tc>
          <w:tcPr>
            <w:tcW w:type="dxa" w:w="2307"/>
          </w:tcPr>
          <w:p>
            <w:pPr>
              <w:jc w:val="left"/>
            </w:pPr>
            <w:r>
              <w:rPr/>
              <w:t>投标人科研能力 (2.0分)</w:t>
            </w:r>
          </w:p>
        </w:tc>
        <w:tc>
          <w:tcPr>
            <w:tcW w:type="dxa" w:w="5076"/>
          </w:tcPr>
          <w:p>
            <w:pPr>
              <w:jc w:val="left"/>
            </w:pPr>
            <w:r>
              <w:rPr/>
              <w:t>投标人自2020年1月1日以来获得过食品（含食用农产品）相关科研课题奖项情况：每提供一个得1分；本项累计最高得2分。 【注：提供相关证明材料，不提供不得分。】</w:t>
            </w:r>
          </w:p>
        </w:tc>
      </w:tr>
      <w:tr>
        <w:tc>
          <w:tcPr>
            <w:tcW w:type="dxa" w:w="922"/>
            <w:gridSpan w:val="2"/>
            <w:vMerge/>
          </w:tcPr>
          <w:p/>
        </w:tc>
        <w:tc>
          <w:tcPr>
            <w:tcW w:type="dxa" w:w="2307"/>
          </w:tcPr>
          <w:p>
            <w:pPr>
              <w:jc w:val="left"/>
            </w:pPr>
            <w:r>
              <w:rPr/>
              <w:t>投标人拟投入项目人员 (6.0分)</w:t>
            </w:r>
          </w:p>
        </w:tc>
        <w:tc>
          <w:tcPr>
            <w:tcW w:type="dxa" w:w="5076"/>
          </w:tcPr>
          <w:p>
            <w:pPr>
              <w:jc w:val="left"/>
            </w:pPr>
            <w:r>
              <w:rPr/>
              <w:t>投标人拟投入本项目的正高级职称人员（食品、药学、化学、质量相关专业）或省级或以上食品安全专家库（如：食品生产行业“诊脉”专家库）人员，每提供一人得2分，本项最高得6分。 【注：同一人持有多项证书不重复得分。投标人需同时提供以上对应人员：①职称证书复印件或专家库人员名单截图，②投标人为其缴交的投标截止前6个月以内任意1个月的社保证明材料复印件。】</w:t>
            </w:r>
          </w:p>
        </w:tc>
      </w:tr>
      <w:tr>
        <w:tc>
          <w:tcPr>
            <w:tcW w:type="dxa" w:w="922"/>
            <w:gridSpan w:val="2"/>
            <w:vMerge/>
          </w:tcPr>
          <w:p/>
        </w:tc>
        <w:tc>
          <w:tcPr>
            <w:tcW w:type="dxa" w:w="2307"/>
          </w:tcPr>
          <w:p>
            <w:pPr>
              <w:jc w:val="left"/>
            </w:pPr>
            <w:r>
              <w:rPr/>
              <w:t>食品检验独立实验室情况1 (3.0分)</w:t>
            </w:r>
          </w:p>
        </w:tc>
        <w:tc>
          <w:tcPr>
            <w:tcW w:type="dxa" w:w="5076"/>
          </w:tcPr>
          <w:p>
            <w:pPr>
              <w:jc w:val="left"/>
            </w:pPr>
            <w:r>
              <w:rPr/>
              <w:t>投标人具有国家级食品检验中心资格得3分；省级食品质量安全重点实验室得2分；其他不得分。本项最高得3分。 【注：提供证明文件复印件及相关佐证材料，不提供不得分。其中国家认监委发放的CAL或CMA证书可证明具备国家级质检中心资质和相应的技术能力】</w:t>
            </w:r>
          </w:p>
        </w:tc>
      </w:tr>
      <w:tr>
        <w:tc>
          <w:tcPr>
            <w:tcW w:type="dxa" w:w="922"/>
            <w:gridSpan w:val="2"/>
            <w:vMerge/>
          </w:tcPr>
          <w:p/>
        </w:tc>
        <w:tc>
          <w:tcPr>
            <w:tcW w:type="dxa" w:w="2307"/>
          </w:tcPr>
          <w:p>
            <w:pPr>
              <w:jc w:val="left"/>
            </w:pPr>
            <w:r>
              <w:rPr/>
              <w:t>食品检验独立实验室情况2 (4.0分)</w:t>
            </w:r>
          </w:p>
        </w:tc>
        <w:tc>
          <w:tcPr>
            <w:tcW w:type="dxa" w:w="5076"/>
          </w:tcPr>
          <w:p>
            <w:pPr>
              <w:jc w:val="left"/>
            </w:pPr>
            <w:r>
              <w:rPr/>
              <w:t>针对投标人承担食品（含食用农产品）检验的独立实验室环境情况，内部管理进行评审：  评审标准：  （1） 独立实验室区域划分科学、合理；  （2） 独立实验室区域划分安全性强；  【注：提供能体现(1)-(2)项评审标准的实验室现场照片，不提供不得分。】 （3） 独立实验室内部管理制度完善；  （4） 独立实验室内部管理制度合理性强。 【注：(3)-(4)项,提供实验室内部管理制度复印件，不提供不得分。】 以上评审标准每满足一项得1分，最高得4分。</w:t>
            </w:r>
          </w:p>
        </w:tc>
      </w:tr>
      <w:tr>
        <w:tc>
          <w:tcPr>
            <w:tcW w:type="dxa" w:w="922"/>
            <w:gridSpan w:val="2"/>
            <w:vMerge/>
          </w:tcPr>
          <w:p/>
        </w:tc>
        <w:tc>
          <w:tcPr>
            <w:tcW w:type="dxa" w:w="2307"/>
          </w:tcPr>
          <w:p>
            <w:pPr>
              <w:jc w:val="left"/>
            </w:pPr>
            <w:r>
              <w:rPr/>
              <w:t>投标人检验领域情况 (6.0分)</w:t>
            </w:r>
          </w:p>
        </w:tc>
        <w:tc>
          <w:tcPr>
            <w:tcW w:type="dxa" w:w="5076"/>
          </w:tcPr>
          <w:p>
            <w:pPr>
              <w:jc w:val="left"/>
            </w:pPr>
            <w:r>
              <w:rPr/>
              <w:t>2019年1月1日以来参加国家市场监管总局或国家认监委（CNCA）组织的食品或食用农产品中重金属、农药残留、添加剂、兽药残留、毒素及微生物等检验能力验证活动，考核结果均为满意的，每提供一项得1分，最高得6分。 【投标人应提供能力验证结果通知复印件或证书复印件，以上材料均需加盖投标人公章，不满足不得分。】</w:t>
            </w:r>
          </w:p>
        </w:tc>
      </w:tr>
      <w:tr>
        <w:tc>
          <w:tcPr>
            <w:tcW w:type="dxa" w:w="922"/>
            <w:gridSpan w:val="2"/>
            <w:vMerge/>
          </w:tcPr>
          <w:p/>
        </w:tc>
        <w:tc>
          <w:tcPr>
            <w:tcW w:type="dxa" w:w="2307"/>
          </w:tcPr>
          <w:p>
            <w:pPr>
              <w:jc w:val="left"/>
            </w:pPr>
            <w:r>
              <w:rPr/>
              <w:t>投标人拟投入设备情况 (10.0分)</w:t>
            </w:r>
          </w:p>
        </w:tc>
        <w:tc>
          <w:tcPr>
            <w:tcW w:type="dxa" w:w="5076"/>
          </w:tcPr>
          <w:p>
            <w:pPr>
              <w:jc w:val="left"/>
            </w:pPr>
            <w:r>
              <w:rPr/>
              <w:t>对投标人具有用于食品检验的自有先进仪器设备情况进行评审： （1）超高效液相色谱高分辨质谱联用仪（LC-MS-MS）1台或以上； （2）气相色谱串联质谱仪（GC-MS-MS）1台或以上； （3）液相色谱串联质谱联用仪（LC-MS/MS）2台或以上； （4）气相色谱质谱联用仪（ GC-MS）3台或以上； （5）电感耦合等离子体质谱仪（ICP-MS）2台或以上； （6）原子荧光光度计（AFS）1台或以上； （7）自有冷藏车辆3台或以上。 （1）-（6）每满足1项的得1分，（7）满足得4分；最高得10分。 【注：投标时需提供设备清单、图片和购置发票复印件并加盖投标人公章。】</w:t>
            </w:r>
          </w:p>
        </w:tc>
      </w:tr>
      <w:tr>
        <w:tc>
          <w:tcPr>
            <w:tcW w:type="dxa" w:w="922"/>
            <w:gridSpan w:val="2"/>
            <w:vMerge w:val="restart"/>
          </w:tcPr>
          <w:p>
            <w:pPr>
              <w:jc w:val="center"/>
            </w:pPr>
            <w:r>
              <w:rPr/>
              <w:t>商务部分</w:t>
            </w:r>
          </w:p>
        </w:tc>
        <w:tc>
          <w:tcPr>
            <w:tcW w:type="dxa" w:w="2307"/>
          </w:tcPr>
          <w:p>
            <w:pPr>
              <w:jc w:val="left"/>
            </w:pPr>
            <w:r>
              <w:rPr/>
              <w:t>对商务要求的响应程度 (4.0分)</w:t>
            </w:r>
          </w:p>
        </w:tc>
        <w:tc>
          <w:tcPr>
            <w:tcW w:type="dxa" w:w="5076"/>
          </w:tcPr>
          <w:p>
            <w:pPr>
              <w:jc w:val="left"/>
            </w:pPr>
            <w:r>
              <w:rPr/>
              <w:t>根据招标文件商务要求，对所有投标人的响应程度，进行综合评审： （1） 响应程度优于招标文件要求，得4分； （2）响应程度符合招标文件要求，得2分； （3）响应程度部分符合招标文件要求，得1分， （4）其他情况，不得分。</w:t>
            </w:r>
          </w:p>
        </w:tc>
      </w:tr>
      <w:tr>
        <w:tc>
          <w:tcPr>
            <w:tcW w:type="dxa" w:w="922"/>
            <w:gridSpan w:val="2"/>
            <w:vMerge/>
          </w:tcPr>
          <w:p/>
        </w:tc>
        <w:tc>
          <w:tcPr>
            <w:tcW w:type="dxa" w:w="2307"/>
          </w:tcPr>
          <w:p>
            <w:pPr>
              <w:jc w:val="left"/>
            </w:pPr>
            <w:r>
              <w:rPr/>
              <w:t>投标人综合实力1 (6.0分)</w:t>
            </w:r>
          </w:p>
        </w:tc>
        <w:tc>
          <w:tcPr>
            <w:tcW w:type="dxa" w:w="5076"/>
          </w:tcPr>
          <w:p>
            <w:pPr>
              <w:jc w:val="left"/>
            </w:pPr>
            <w:r>
              <w:rPr/>
              <w:t>投标人具有以下资质每项得2分，最高6分： （1）具备CNAS资质； （2）具有CATL农产品质量安全检测机构； （3）具有ISO9001质量管理体系认证。 【注：提供证明文件并加盖公章。】</w:t>
            </w:r>
          </w:p>
        </w:tc>
      </w:tr>
      <w:tr>
        <w:tc>
          <w:tcPr>
            <w:tcW w:type="dxa" w:w="922"/>
            <w:gridSpan w:val="2"/>
            <w:vMerge/>
          </w:tcPr>
          <w:p/>
        </w:tc>
        <w:tc>
          <w:tcPr>
            <w:tcW w:type="dxa" w:w="2307"/>
          </w:tcPr>
          <w:p>
            <w:pPr>
              <w:jc w:val="left"/>
            </w:pPr>
            <w:r>
              <w:rPr/>
              <w:t>投标人综合实力2 (10.0分)</w:t>
            </w:r>
          </w:p>
        </w:tc>
        <w:tc>
          <w:tcPr>
            <w:tcW w:type="dxa" w:w="5076"/>
          </w:tcPr>
          <w:p>
            <w:pPr>
              <w:jc w:val="left"/>
            </w:pPr>
            <w:r>
              <w:rPr/>
              <w:t>投标人在2020、2021年食品安全抽检监测承检机构监督考核评价中，以每年综合排名进行计算，本项最终得分以每年排名得分相加进行计算。综合排名前10名的，得5分；综合排名11-15名的，得2.5分；综合排名16-20名的，得1.5分，综合排名20名之后的，得1分，其他情况不得分。  【注：以上评分按年计算，须提供相关证明材料，不提供不得分。】</w:t>
            </w:r>
          </w:p>
        </w:tc>
      </w:tr>
      <w:tr>
        <w:tc>
          <w:tcPr>
            <w:tcW w:type="dxa" w:w="922"/>
            <w:gridSpan w:val="2"/>
            <w:vMerge/>
          </w:tcPr>
          <w:p/>
        </w:tc>
        <w:tc>
          <w:tcPr>
            <w:tcW w:type="dxa" w:w="2307"/>
          </w:tcPr>
          <w:p>
            <w:pPr>
              <w:jc w:val="left"/>
            </w:pPr>
            <w:r>
              <w:rPr/>
              <w:t>投标人综合实力3 (10.0分)</w:t>
            </w:r>
          </w:p>
        </w:tc>
        <w:tc>
          <w:tcPr>
            <w:tcW w:type="dxa" w:w="5076"/>
          </w:tcPr>
          <w:p>
            <w:pPr>
              <w:jc w:val="left"/>
            </w:pPr>
            <w:r>
              <w:rPr/>
              <w:t>（1）投标人为产品测试分析公共技术服务平台的，得5分。 【注：投标文件中须提供具有实验名称的相关证书或批复文件复印件并加盖投标人公章】 （2）投标人获得食品安全管理员培训及考试资质的，得5分。  【注：投标文件中须提供具有实验名称的相关证书或批复文件复印件并加盖投标人公章。】</w:t>
            </w:r>
          </w:p>
        </w:tc>
      </w:tr>
      <w:tr>
        <w:tc>
          <w:tcPr>
            <w:tcW w:type="dxa" w:w="922"/>
            <w:gridSpan w:val="2"/>
            <w:vMerge/>
          </w:tcPr>
          <w:p/>
        </w:tc>
        <w:tc>
          <w:tcPr>
            <w:tcW w:type="dxa" w:w="2307"/>
          </w:tcPr>
          <w:p>
            <w:pPr>
              <w:jc w:val="left"/>
            </w:pPr>
            <w:r>
              <w:rPr/>
              <w:t>类似业绩 (10.0分)</w:t>
            </w:r>
          </w:p>
        </w:tc>
        <w:tc>
          <w:tcPr>
            <w:tcW w:type="dxa" w:w="5076"/>
          </w:tcPr>
          <w:p>
            <w:pPr>
              <w:jc w:val="left"/>
            </w:pPr>
            <w:r>
              <w:rPr/>
              <w:t>投标人2020年1月1日（以合同签订时间为准）以来同类业绩（食品（含食用农产品）检验）：具有独立承担食品安全抽检监测任务的，每提供一份得 2分，最高得10分”。  【注：须提供合同复印件或任务委托文件或任务委托书复印件。证明材料需体现合同签订时间或委托时间，同一个用户单位的项目可累计得分。】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满足招标文件要求且投标价格（投标综合折扣率）最低的投标报价为评标基准价。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乳制品专项抽检监测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投标人前沿检测、分析方案1 (5.0分)</w:t>
            </w:r>
          </w:p>
        </w:tc>
        <w:tc>
          <w:tcPr>
            <w:tcW w:type="dxa" w:w="5076"/>
          </w:tcPr>
          <w:p>
            <w:pPr>
              <w:jc w:val="left"/>
            </w:pPr>
            <w:r>
              <w:rPr/>
              <w:t>针对食品及食品原料、食品添加剂非标检测、放射性物质残留检测所需的前沿性检测能力、技术开发能力及经验，如何开展食品转基因等检测方案进行评审： （1）前沿检测、分析方案具体全面、针对性强、科学合理、可操作性强得5分； （2）前沿检测、分析方案较具体全面、针对性较强、可操作性一般得3分； （3）前沿检测、分析方案不全面、无针对性、可操作性差得1分； （4）不提供不得分。</w:t>
            </w:r>
          </w:p>
        </w:tc>
      </w:tr>
      <w:tr>
        <w:tc>
          <w:tcPr>
            <w:tcW w:type="dxa" w:w="922"/>
            <w:gridSpan w:val="2"/>
            <w:vMerge/>
          </w:tcPr>
          <w:p/>
        </w:tc>
        <w:tc>
          <w:tcPr>
            <w:tcW w:type="dxa" w:w="2307"/>
          </w:tcPr>
          <w:p>
            <w:pPr>
              <w:jc w:val="left"/>
            </w:pPr>
            <w:r>
              <w:rPr/>
              <w:t>投标人前沿检测、分析方案2 (5.0分)</w:t>
            </w:r>
          </w:p>
        </w:tc>
        <w:tc>
          <w:tcPr>
            <w:tcW w:type="dxa" w:w="5076"/>
          </w:tcPr>
          <w:p>
            <w:pPr>
              <w:jc w:val="left"/>
            </w:pPr>
            <w:r>
              <w:rPr/>
              <w:t>针对农药残留快速筛查及牛羊肉等食品的真假鉴别、以及进口食品原料的优劣的前沿分析技术方案进行评审： （1）前沿检测、分析方案具体全面、针对性强、科学合理、可操作性强得5分； （2）前沿检测、分析方案较具体全面、针对性较强、可操作性一般得3分； （3）前沿检测、分析方案不全面、无针对性、可操作性差得1分； （4）不提供不得分。</w:t>
            </w:r>
          </w:p>
        </w:tc>
      </w:tr>
      <w:tr>
        <w:tc>
          <w:tcPr>
            <w:tcW w:type="dxa" w:w="922"/>
            <w:gridSpan w:val="2"/>
            <w:vMerge/>
          </w:tcPr>
          <w:p/>
        </w:tc>
        <w:tc>
          <w:tcPr>
            <w:tcW w:type="dxa" w:w="2307"/>
          </w:tcPr>
          <w:p>
            <w:pPr>
              <w:jc w:val="left"/>
            </w:pPr>
            <w:r>
              <w:rPr/>
              <w:t>项目实施方案 (5.0分)</w:t>
            </w:r>
          </w:p>
        </w:tc>
        <w:tc>
          <w:tcPr>
            <w:tcW w:type="dxa" w:w="5076"/>
          </w:tcPr>
          <w:p>
            <w:pPr>
              <w:jc w:val="left"/>
            </w:pPr>
            <w:r>
              <w:rPr/>
              <w:t>能根据本项目的任务类型和要求，组织实施检测工作，并制定明确的服务质量保证体系和项目工作制度。对实施方案的完整性、可行性和详细程度、进度安排及保证措施的合理性进行评分：  （1）实施方案完整、详细、优于本项目要求得5分；  （2）实施方案完整、详细、与本项目相适应得3分；  （3）实施方案较完整、详细、与本项目较相适得2分；  （4）实施方案不够完整、详细，与本项目不太相适得1分。  （5）其他或不提供不得分。 【注：提供实施方案，包括现场采样、样品保存、样品运输、样品检测、不合格处理、异议处理等条件等内容】</w:t>
            </w:r>
          </w:p>
        </w:tc>
      </w:tr>
      <w:tr>
        <w:tc>
          <w:tcPr>
            <w:tcW w:type="dxa" w:w="922"/>
            <w:gridSpan w:val="2"/>
            <w:vMerge/>
          </w:tcPr>
          <w:p/>
        </w:tc>
        <w:tc>
          <w:tcPr>
            <w:tcW w:type="dxa" w:w="2307"/>
          </w:tcPr>
          <w:p>
            <w:pPr>
              <w:jc w:val="left"/>
            </w:pPr>
            <w:r>
              <w:rPr/>
              <w:t>投标人前沿检测、分析方案3 (4.0分)</w:t>
            </w:r>
          </w:p>
        </w:tc>
        <w:tc>
          <w:tcPr>
            <w:tcW w:type="dxa" w:w="5076"/>
          </w:tcPr>
          <w:p>
            <w:pPr>
              <w:jc w:val="left"/>
            </w:pPr>
            <w:r>
              <w:rPr/>
              <w:t>投标人自2020年1月1日具有参与制定食品安全国家标准或行业标准或地方标准或团体标准经验，且该标准已向社会公布，每提供一个得2分，本项累计最高得4分。 【注：提供相关证明材料，不提供不得分。】</w:t>
            </w:r>
          </w:p>
        </w:tc>
      </w:tr>
      <w:tr>
        <w:tc>
          <w:tcPr>
            <w:tcW w:type="dxa" w:w="922"/>
            <w:gridSpan w:val="2"/>
            <w:vMerge/>
          </w:tcPr>
          <w:p/>
        </w:tc>
        <w:tc>
          <w:tcPr>
            <w:tcW w:type="dxa" w:w="2307"/>
          </w:tcPr>
          <w:p>
            <w:pPr>
              <w:jc w:val="left"/>
            </w:pPr>
            <w:r>
              <w:rPr/>
              <w:t>投标人科研能力 (2.0分)</w:t>
            </w:r>
          </w:p>
        </w:tc>
        <w:tc>
          <w:tcPr>
            <w:tcW w:type="dxa" w:w="5076"/>
          </w:tcPr>
          <w:p>
            <w:pPr>
              <w:jc w:val="left"/>
            </w:pPr>
            <w:r>
              <w:rPr/>
              <w:t>投标人自2020年1月1日以来获得过食品（含食用农产品）相关科研课题奖项情况：每提供一个得1分；本项累计最高得2分。 【注：提供相关证明材料，不提供不得分。】</w:t>
            </w:r>
          </w:p>
        </w:tc>
      </w:tr>
      <w:tr>
        <w:tc>
          <w:tcPr>
            <w:tcW w:type="dxa" w:w="922"/>
            <w:gridSpan w:val="2"/>
            <w:vMerge/>
          </w:tcPr>
          <w:p/>
        </w:tc>
        <w:tc>
          <w:tcPr>
            <w:tcW w:type="dxa" w:w="2307"/>
          </w:tcPr>
          <w:p>
            <w:pPr>
              <w:jc w:val="left"/>
            </w:pPr>
            <w:r>
              <w:rPr/>
              <w:t>投标人拟投入项目人员 (6.0分)</w:t>
            </w:r>
          </w:p>
        </w:tc>
        <w:tc>
          <w:tcPr>
            <w:tcW w:type="dxa" w:w="5076"/>
          </w:tcPr>
          <w:p>
            <w:pPr>
              <w:jc w:val="left"/>
            </w:pPr>
            <w:r>
              <w:rPr/>
              <w:t>投标人拟投入本项目的正高级职称人员（食品、药学、化学、质量相关专业）或省级或以上食品安全专家库（如：食品生产行业“诊脉”专家库）人员，每提供一人得2分，本项最高得6分。 【注：同一人持有多项证书不重复得分。投标人需同时提供以上对应人员：①职称证书复印件或专家库人员名单截图，②投标人为其缴交的投标截止前6个月以内任意1个月的社保证明材料复印件。】</w:t>
            </w:r>
          </w:p>
        </w:tc>
      </w:tr>
      <w:tr>
        <w:tc>
          <w:tcPr>
            <w:tcW w:type="dxa" w:w="922"/>
            <w:gridSpan w:val="2"/>
            <w:vMerge/>
          </w:tcPr>
          <w:p/>
        </w:tc>
        <w:tc>
          <w:tcPr>
            <w:tcW w:type="dxa" w:w="2307"/>
          </w:tcPr>
          <w:p>
            <w:pPr>
              <w:jc w:val="left"/>
            </w:pPr>
            <w:r>
              <w:rPr/>
              <w:t>食品检验独立实验室情况1 (3.0分)</w:t>
            </w:r>
          </w:p>
        </w:tc>
        <w:tc>
          <w:tcPr>
            <w:tcW w:type="dxa" w:w="5076"/>
          </w:tcPr>
          <w:p>
            <w:pPr>
              <w:jc w:val="left"/>
            </w:pPr>
            <w:r>
              <w:rPr/>
              <w:t>投标人具有国家级食品检验中心资格得3分；省级食品质量安全重点实验室得2分；其他不得分。本项最高得3分。 【注：提供证明文件复印件及相关佐证材料，不提供不得分。其中国家认监委发放的CAL或CMA证书可证明具备国家级质检中心资质和相应的技术能力】</w:t>
            </w:r>
          </w:p>
        </w:tc>
      </w:tr>
      <w:tr>
        <w:tc>
          <w:tcPr>
            <w:tcW w:type="dxa" w:w="922"/>
            <w:gridSpan w:val="2"/>
            <w:vMerge/>
          </w:tcPr>
          <w:p/>
        </w:tc>
        <w:tc>
          <w:tcPr>
            <w:tcW w:type="dxa" w:w="2307"/>
          </w:tcPr>
          <w:p>
            <w:pPr>
              <w:jc w:val="left"/>
            </w:pPr>
            <w:r>
              <w:rPr/>
              <w:t>食品检验独立实验室情况2 (4.0分)</w:t>
            </w:r>
          </w:p>
        </w:tc>
        <w:tc>
          <w:tcPr>
            <w:tcW w:type="dxa" w:w="5076"/>
          </w:tcPr>
          <w:p>
            <w:pPr>
              <w:jc w:val="left"/>
            </w:pPr>
            <w:r>
              <w:rPr/>
              <w:t>针对投标人承担食品（含食用农产品）检验的独立实验室环境情况，内部管理进行评审：  评审标准：  （1） 独立实验室区域划分科学、合理；  （2） 独立实验室区域划分安全性强；  【注：提供能体现(1)-(2)项评审标准的实验室现场照片，不提供不得分。】 （3） 独立实验室内部管理制度完善；  （4） 独立实验室内部管理制度合理性强。 【注：(3)-(4)项,提供实验室内部管理制度复印件，不提供不得分。】 以上评审标准每满足一项得1分，最高得4分。</w:t>
            </w:r>
          </w:p>
        </w:tc>
      </w:tr>
      <w:tr>
        <w:tc>
          <w:tcPr>
            <w:tcW w:type="dxa" w:w="922"/>
            <w:gridSpan w:val="2"/>
            <w:vMerge/>
          </w:tcPr>
          <w:p/>
        </w:tc>
        <w:tc>
          <w:tcPr>
            <w:tcW w:type="dxa" w:w="2307"/>
          </w:tcPr>
          <w:p>
            <w:pPr>
              <w:jc w:val="left"/>
            </w:pPr>
            <w:r>
              <w:rPr/>
              <w:t>投标人检验领域情况 (6.0分)</w:t>
            </w:r>
          </w:p>
        </w:tc>
        <w:tc>
          <w:tcPr>
            <w:tcW w:type="dxa" w:w="5076"/>
          </w:tcPr>
          <w:p>
            <w:pPr>
              <w:jc w:val="left"/>
            </w:pPr>
            <w:r>
              <w:rPr/>
              <w:t>2019年1月1日以来参加国家市场监管总局或国家认监委（CNCA）组织的食品或食用农产品中重金属、农药残留、添加剂、兽药残留、毒素及微生物等检验能力验证活动，考核结果均为满意的，每提供一项得1分，最高得6分。 【投标人应提供能力验证结果通知复印件或证书复印件，以上材料均需加盖投标人公章，不满足不得分。】</w:t>
            </w:r>
          </w:p>
        </w:tc>
      </w:tr>
      <w:tr>
        <w:tc>
          <w:tcPr>
            <w:tcW w:type="dxa" w:w="922"/>
            <w:gridSpan w:val="2"/>
            <w:vMerge/>
          </w:tcPr>
          <w:p/>
        </w:tc>
        <w:tc>
          <w:tcPr>
            <w:tcW w:type="dxa" w:w="2307"/>
          </w:tcPr>
          <w:p>
            <w:pPr>
              <w:jc w:val="left"/>
            </w:pPr>
            <w:r>
              <w:rPr/>
              <w:t>投标人拟投入设备情况 (10.0分)</w:t>
            </w:r>
          </w:p>
        </w:tc>
        <w:tc>
          <w:tcPr>
            <w:tcW w:type="dxa" w:w="5076"/>
          </w:tcPr>
          <w:p>
            <w:pPr>
              <w:jc w:val="left"/>
            </w:pPr>
            <w:r>
              <w:rPr/>
              <w:t>对投标人具有用于食品检验的自有先进仪器设备情况进行评审： （1）超高效液相色谱高分辨质谱联用仪（LC-MS-MS）1台或以上； （2）气相色谱串联质谱仪（GC-MS-MS）1台或以上； （3）液相色谱串联质谱联用仪（LC-MS/MS）2台或以上； （4）气相色谱质谱联用仪（ GC-MS）3台或以上； （5）电感耦合等离子体质谱仪（ICP-MS）2台或以上； （6）原子荧光光度计（AFS）1台或以上； （7）自有冷藏车辆3台或以上。 （1）-（6）每满足1项的得1分，（7）满足得4分；最高得10分。 【注：投标时需提供设备清单、图片和购置发票复印件并加盖投标人公章。】</w:t>
            </w:r>
          </w:p>
        </w:tc>
      </w:tr>
      <w:tr>
        <w:tc>
          <w:tcPr>
            <w:tcW w:type="dxa" w:w="922"/>
            <w:gridSpan w:val="2"/>
            <w:vMerge w:val="restart"/>
          </w:tcPr>
          <w:p>
            <w:pPr>
              <w:jc w:val="center"/>
            </w:pPr>
            <w:r>
              <w:rPr/>
              <w:t>商务部分</w:t>
            </w:r>
          </w:p>
        </w:tc>
        <w:tc>
          <w:tcPr>
            <w:tcW w:type="dxa" w:w="2307"/>
          </w:tcPr>
          <w:p>
            <w:pPr>
              <w:jc w:val="left"/>
            </w:pPr>
            <w:r>
              <w:rPr/>
              <w:t>对商务要求的响应程度 (4.0分)</w:t>
            </w:r>
          </w:p>
        </w:tc>
        <w:tc>
          <w:tcPr>
            <w:tcW w:type="dxa" w:w="5076"/>
          </w:tcPr>
          <w:p>
            <w:pPr>
              <w:jc w:val="left"/>
            </w:pPr>
            <w:r>
              <w:rPr/>
              <w:t>根据招标文件商务要求，对所有投标人的响应程度，进行综合评审： （1） 响应程度优于招标文件要求，得4分； （2）响应程度符合招标文件要求，得2分； （3）响应程度部分符合招标文件要求，得1分， （4）其他情况，不得分。</w:t>
            </w:r>
          </w:p>
        </w:tc>
      </w:tr>
      <w:tr>
        <w:tc>
          <w:tcPr>
            <w:tcW w:type="dxa" w:w="922"/>
            <w:gridSpan w:val="2"/>
            <w:vMerge/>
          </w:tcPr>
          <w:p/>
        </w:tc>
        <w:tc>
          <w:tcPr>
            <w:tcW w:type="dxa" w:w="2307"/>
          </w:tcPr>
          <w:p>
            <w:pPr>
              <w:jc w:val="left"/>
            </w:pPr>
            <w:r>
              <w:rPr/>
              <w:t>投标人综合实力1 (6.0分)</w:t>
            </w:r>
          </w:p>
        </w:tc>
        <w:tc>
          <w:tcPr>
            <w:tcW w:type="dxa" w:w="5076"/>
          </w:tcPr>
          <w:p>
            <w:pPr>
              <w:jc w:val="left"/>
            </w:pPr>
            <w:r>
              <w:rPr/>
              <w:t>投标人具有以下资质每项得2分，最高6分： （1）具备CNAS资质； （2）具有CATL农产品质量安全检测机构； （3）具有ISO9001质量管理体系认证。 【注：提供证明文件并加盖公章。】</w:t>
            </w:r>
          </w:p>
        </w:tc>
      </w:tr>
      <w:tr>
        <w:tc>
          <w:tcPr>
            <w:tcW w:type="dxa" w:w="922"/>
            <w:gridSpan w:val="2"/>
            <w:vMerge/>
          </w:tcPr>
          <w:p/>
        </w:tc>
        <w:tc>
          <w:tcPr>
            <w:tcW w:type="dxa" w:w="2307"/>
          </w:tcPr>
          <w:p>
            <w:pPr>
              <w:jc w:val="left"/>
            </w:pPr>
            <w:r>
              <w:rPr/>
              <w:t>投标人综合实力2 (10.0分)</w:t>
            </w:r>
          </w:p>
        </w:tc>
        <w:tc>
          <w:tcPr>
            <w:tcW w:type="dxa" w:w="5076"/>
          </w:tcPr>
          <w:p>
            <w:pPr>
              <w:jc w:val="left"/>
            </w:pPr>
            <w:r>
              <w:rPr/>
              <w:t>投标人在2020、2021年食品安全抽检监测承检机构监督考核评价中，以每年综合排名进行计算，本项最终得分以每年排名得分相加进行计算。综合排名前10名的，得5分；综合排名11-15名的，得2.5分；综合排名16-20名的，得1.5分，综合排名20名之后的，得1分，其他情况不得分。  【注：以上评分按年计算，须提供相关证明材料，不提供不得分。】</w:t>
            </w:r>
          </w:p>
        </w:tc>
      </w:tr>
      <w:tr>
        <w:tc>
          <w:tcPr>
            <w:tcW w:type="dxa" w:w="922"/>
            <w:gridSpan w:val="2"/>
            <w:vMerge/>
          </w:tcPr>
          <w:p/>
        </w:tc>
        <w:tc>
          <w:tcPr>
            <w:tcW w:type="dxa" w:w="2307"/>
          </w:tcPr>
          <w:p>
            <w:pPr>
              <w:jc w:val="left"/>
            </w:pPr>
            <w:r>
              <w:rPr/>
              <w:t>投标人综合实力3 (10.0分)</w:t>
            </w:r>
          </w:p>
        </w:tc>
        <w:tc>
          <w:tcPr>
            <w:tcW w:type="dxa" w:w="5076"/>
          </w:tcPr>
          <w:p>
            <w:pPr>
              <w:jc w:val="left"/>
            </w:pPr>
            <w:r>
              <w:rPr/>
              <w:t>（1）投标人为产品测试分析公共技术服务平台的，得5分。 【注：投标文件中须提供具有实验名称的相关证书或批复文件复印件并加盖投标人公章】 （2）投标人获得食品安全管理员培训及考试资质的，得5分。  【注：投标文件中须提供具有实验名称的相关证书或批复文件复印件并加盖投标人公章。】</w:t>
            </w:r>
          </w:p>
        </w:tc>
      </w:tr>
      <w:tr>
        <w:tc>
          <w:tcPr>
            <w:tcW w:type="dxa" w:w="922"/>
            <w:gridSpan w:val="2"/>
            <w:vMerge/>
          </w:tcPr>
          <w:p/>
        </w:tc>
        <w:tc>
          <w:tcPr>
            <w:tcW w:type="dxa" w:w="2307"/>
          </w:tcPr>
          <w:p>
            <w:pPr>
              <w:jc w:val="left"/>
            </w:pPr>
            <w:r>
              <w:rPr/>
              <w:t>类似业绩 (10.0分)</w:t>
            </w:r>
          </w:p>
        </w:tc>
        <w:tc>
          <w:tcPr>
            <w:tcW w:type="dxa" w:w="5076"/>
          </w:tcPr>
          <w:p>
            <w:pPr>
              <w:jc w:val="left"/>
            </w:pPr>
            <w:r>
              <w:rPr/>
              <w:t>投标人2020年1月1日（以合同签订时间为准）以来同类业绩（食品（含食用农产品）检验）：具有独立承担食品安全抽检监测任务的，每提供一份得 2分，最高得10分。   【注：须提供合同复印件或任务委托文件或任务委托书复印件。证明材料需体现合同签订时间或委托时间，同一个用户单位的项目可累计得分。】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满足招标文件要求且投标价格（投标综合折扣率）最低的投标报价为评标基准价。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植物源专项抽检监测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投标人前沿检测、分析方案1 (5.0分)</w:t>
            </w:r>
          </w:p>
        </w:tc>
        <w:tc>
          <w:tcPr>
            <w:tcW w:type="dxa" w:w="5076"/>
          </w:tcPr>
          <w:p>
            <w:pPr>
              <w:jc w:val="left"/>
            </w:pPr>
            <w:r>
              <w:rPr/>
              <w:t>针对食品及食品原料、食品添加剂非标检测、放射性物质残留检测所需的前沿性检测能力、技术开发能力及经验，如何开展食品转基因等检测方案进行评审： （1）前沿检测、分析方案具体全面、针对性强、科学合理、可操作性强得5分； （2）前沿检测、分析方案较具体全面、针对性较强、可操作性一般得3分； （3）前沿检测、分析方案不全面、无针对性、可操作性差得1分； （4）不提供不得分。</w:t>
            </w:r>
          </w:p>
        </w:tc>
      </w:tr>
      <w:tr>
        <w:tc>
          <w:tcPr>
            <w:tcW w:type="dxa" w:w="922"/>
            <w:gridSpan w:val="2"/>
            <w:vMerge/>
          </w:tcPr>
          <w:p/>
        </w:tc>
        <w:tc>
          <w:tcPr>
            <w:tcW w:type="dxa" w:w="2307"/>
          </w:tcPr>
          <w:p>
            <w:pPr>
              <w:jc w:val="left"/>
            </w:pPr>
            <w:r>
              <w:rPr/>
              <w:t>投标人前沿检测、分析方案2 (5.0分)</w:t>
            </w:r>
          </w:p>
        </w:tc>
        <w:tc>
          <w:tcPr>
            <w:tcW w:type="dxa" w:w="5076"/>
          </w:tcPr>
          <w:p>
            <w:pPr>
              <w:jc w:val="left"/>
            </w:pPr>
            <w:r>
              <w:rPr/>
              <w:t>针对农药残留快速筛查及牛羊肉等食品的真假鉴别、以及进口食品原料的优劣的前沿分析技术方案进行评审： （1）前沿检测、分析方案具体全面、针对性强、科学合理、可操作性强得5分； （2）前沿检测、分析方案较具体全面、针对性较强、可操作性一般得3分； （3）前沿检测、分析方案不全面、无针对性、可操作性差得1分； （4）不提供不得分。</w:t>
            </w:r>
          </w:p>
        </w:tc>
      </w:tr>
      <w:tr>
        <w:tc>
          <w:tcPr>
            <w:tcW w:type="dxa" w:w="922"/>
            <w:gridSpan w:val="2"/>
            <w:vMerge/>
          </w:tcPr>
          <w:p/>
        </w:tc>
        <w:tc>
          <w:tcPr>
            <w:tcW w:type="dxa" w:w="2307"/>
          </w:tcPr>
          <w:p>
            <w:pPr>
              <w:jc w:val="left"/>
            </w:pPr>
            <w:r>
              <w:rPr/>
              <w:t>项目实施方案 (5.0分)</w:t>
            </w:r>
          </w:p>
        </w:tc>
        <w:tc>
          <w:tcPr>
            <w:tcW w:type="dxa" w:w="5076"/>
          </w:tcPr>
          <w:p>
            <w:pPr>
              <w:jc w:val="left"/>
            </w:pPr>
            <w:r>
              <w:rPr/>
              <w:t>能根据本项目的任务类型和要求，组织实施检测工作，并制定明确的服务质量保证体系和项目工作制度。对实施方案的完整性、可行性和详细程度、进度安排及保证措施的合理性进行评分：  （1）实施方案完整、详细、优于本项目要求得5分；  （2）实施方案完整、详细、与本项目相适应得3分；  （3）实施方案较完整、详细、与本项目较相适得2分；  （4）实施方案不够完整、详细，与本项目不太相适得1分。  （5）其他或不提供不得分。 【注：提供实施方案，包括现场采样、样品保存、样品运输、样品检测、不合格处理、异议处理等条件等内容】</w:t>
            </w:r>
          </w:p>
        </w:tc>
      </w:tr>
      <w:tr>
        <w:tc>
          <w:tcPr>
            <w:tcW w:type="dxa" w:w="922"/>
            <w:gridSpan w:val="2"/>
            <w:vMerge/>
          </w:tcPr>
          <w:p/>
        </w:tc>
        <w:tc>
          <w:tcPr>
            <w:tcW w:type="dxa" w:w="2307"/>
          </w:tcPr>
          <w:p>
            <w:pPr>
              <w:jc w:val="left"/>
            </w:pPr>
            <w:r>
              <w:rPr/>
              <w:t>投标人前沿检测、分析方案3 (4.0分)</w:t>
            </w:r>
          </w:p>
        </w:tc>
        <w:tc>
          <w:tcPr>
            <w:tcW w:type="dxa" w:w="5076"/>
          </w:tcPr>
          <w:p>
            <w:pPr>
              <w:jc w:val="left"/>
            </w:pPr>
            <w:r>
              <w:rPr/>
              <w:t>投标人自2020年1月1日具有参与制定食品安全国家标准或行业标准或地方标准或团体标准经验，且该标准已向社会公布，每提供一个得2分，本项累计最高得4分。 【注：提供相关证明材料，不提供不得分。】</w:t>
            </w:r>
          </w:p>
        </w:tc>
      </w:tr>
      <w:tr>
        <w:tc>
          <w:tcPr>
            <w:tcW w:type="dxa" w:w="922"/>
            <w:gridSpan w:val="2"/>
            <w:vMerge/>
          </w:tcPr>
          <w:p/>
        </w:tc>
        <w:tc>
          <w:tcPr>
            <w:tcW w:type="dxa" w:w="2307"/>
          </w:tcPr>
          <w:p>
            <w:pPr>
              <w:jc w:val="left"/>
            </w:pPr>
            <w:r>
              <w:rPr/>
              <w:t>投标人科研能力 (2.0分)</w:t>
            </w:r>
          </w:p>
        </w:tc>
        <w:tc>
          <w:tcPr>
            <w:tcW w:type="dxa" w:w="5076"/>
          </w:tcPr>
          <w:p>
            <w:pPr>
              <w:jc w:val="left"/>
            </w:pPr>
            <w:r>
              <w:rPr/>
              <w:t>投标人自2020年1月1日以来获得过食品（含食用农产品）相关科研课题奖项情况：每提供一个得1分；本项累计最高得2分。 【注：提供相关证明材料，不提供不得分。】</w:t>
            </w:r>
          </w:p>
        </w:tc>
      </w:tr>
      <w:tr>
        <w:tc>
          <w:tcPr>
            <w:tcW w:type="dxa" w:w="922"/>
            <w:gridSpan w:val="2"/>
            <w:vMerge/>
          </w:tcPr>
          <w:p/>
        </w:tc>
        <w:tc>
          <w:tcPr>
            <w:tcW w:type="dxa" w:w="2307"/>
          </w:tcPr>
          <w:p>
            <w:pPr>
              <w:jc w:val="left"/>
            </w:pPr>
            <w:r>
              <w:rPr/>
              <w:t>投标人拟投入项目人员 (6.0分)</w:t>
            </w:r>
          </w:p>
        </w:tc>
        <w:tc>
          <w:tcPr>
            <w:tcW w:type="dxa" w:w="5076"/>
          </w:tcPr>
          <w:p>
            <w:pPr>
              <w:jc w:val="left"/>
            </w:pPr>
            <w:r>
              <w:rPr/>
              <w:t>投标人拟投入本项目的正高级职称人员（食品、药学、化学、质量相关专业）或省级或以上食品安全专家库（如：食品生产行业“诊脉”专家库）人员，每提供一人得2分，本项最高得6分。 【注：同一人持有多项证书不重复得分。投标人需同时提供以上对应人员：①职称证书复印件或专家库人员名单截图，②投标人为其缴交的投标截止前6个月以内任意1个月的社保证明材料复印件。】</w:t>
            </w:r>
          </w:p>
        </w:tc>
      </w:tr>
      <w:tr>
        <w:tc>
          <w:tcPr>
            <w:tcW w:type="dxa" w:w="922"/>
            <w:gridSpan w:val="2"/>
            <w:vMerge/>
          </w:tcPr>
          <w:p/>
        </w:tc>
        <w:tc>
          <w:tcPr>
            <w:tcW w:type="dxa" w:w="2307"/>
          </w:tcPr>
          <w:p>
            <w:pPr>
              <w:jc w:val="left"/>
            </w:pPr>
            <w:r>
              <w:rPr/>
              <w:t>食品检验独立实验室情况1 (3.0分)</w:t>
            </w:r>
          </w:p>
        </w:tc>
        <w:tc>
          <w:tcPr>
            <w:tcW w:type="dxa" w:w="5076"/>
          </w:tcPr>
          <w:p>
            <w:pPr>
              <w:jc w:val="left"/>
            </w:pPr>
            <w:r>
              <w:rPr/>
              <w:t>投标人具有国家级食品检验中心资格得3分；省级食品质量安全重点实验室得2分；其他不得分。本项最高得3分。 【注：提供证明文件复印件及相关佐证材料，不提供不得分。其中国家认监委发放的CAL或CMA证书可证明具备国家级质检中心资质和相应的技术能力】</w:t>
            </w:r>
          </w:p>
        </w:tc>
      </w:tr>
      <w:tr>
        <w:tc>
          <w:tcPr>
            <w:tcW w:type="dxa" w:w="922"/>
            <w:gridSpan w:val="2"/>
            <w:vMerge/>
          </w:tcPr>
          <w:p/>
        </w:tc>
        <w:tc>
          <w:tcPr>
            <w:tcW w:type="dxa" w:w="2307"/>
          </w:tcPr>
          <w:p>
            <w:pPr>
              <w:jc w:val="left"/>
            </w:pPr>
            <w:r>
              <w:rPr/>
              <w:t>食品检验独立实验室情况2 (4.0分)</w:t>
            </w:r>
          </w:p>
        </w:tc>
        <w:tc>
          <w:tcPr>
            <w:tcW w:type="dxa" w:w="5076"/>
          </w:tcPr>
          <w:p>
            <w:pPr>
              <w:jc w:val="left"/>
            </w:pPr>
            <w:r>
              <w:rPr/>
              <w:t>针对投标人承担食品（含食用农产品）检验的独立实验室环境情况，内部管理进行评审：  评审标准：  （1） 独立实验室区域划分科学、合理；  （2） 独立实验室区域划分安全性强；  【注：提供能体现(1)-(2)项评审标准的实验室现场照片，不提供不得分。】 （3） 独立实验室内部管理制度完善；  （4） 独立实验室内部管理制度合理性强。 【注：(3)-(4)项,提供实验室内部管理制度复印件，不提供不得分。】 以上评审标准每满足一项得1分，最高得4分。</w:t>
            </w:r>
          </w:p>
        </w:tc>
      </w:tr>
      <w:tr>
        <w:tc>
          <w:tcPr>
            <w:tcW w:type="dxa" w:w="922"/>
            <w:gridSpan w:val="2"/>
            <w:vMerge/>
          </w:tcPr>
          <w:p/>
        </w:tc>
        <w:tc>
          <w:tcPr>
            <w:tcW w:type="dxa" w:w="2307"/>
          </w:tcPr>
          <w:p>
            <w:pPr>
              <w:jc w:val="left"/>
            </w:pPr>
            <w:r>
              <w:rPr/>
              <w:t>投标人检验领域情况 (6.0分)</w:t>
            </w:r>
          </w:p>
        </w:tc>
        <w:tc>
          <w:tcPr>
            <w:tcW w:type="dxa" w:w="5076"/>
          </w:tcPr>
          <w:p>
            <w:pPr>
              <w:jc w:val="left"/>
            </w:pPr>
            <w:r>
              <w:rPr/>
              <w:t>2019年1月1日以来参加国家市场监管总局或国家认监委（CNCA）组织的食品或食用农产品中重金属、农药残留、添加剂、兽药残留、毒素及微生物等检验能力验证活动，考核结果均为满意的，每提供一项得1分，最高得6分。 【投标人应提供能力验证结果通知复印件或证书复印件，以上材料均需加盖投标人公章，不满足不得分。】</w:t>
            </w:r>
          </w:p>
        </w:tc>
      </w:tr>
      <w:tr>
        <w:tc>
          <w:tcPr>
            <w:tcW w:type="dxa" w:w="922"/>
            <w:gridSpan w:val="2"/>
            <w:vMerge/>
          </w:tcPr>
          <w:p/>
        </w:tc>
        <w:tc>
          <w:tcPr>
            <w:tcW w:type="dxa" w:w="2307"/>
          </w:tcPr>
          <w:p>
            <w:pPr>
              <w:jc w:val="left"/>
            </w:pPr>
            <w:r>
              <w:rPr/>
              <w:t>投标人拟投入设备情况 (10.0分)</w:t>
            </w:r>
          </w:p>
        </w:tc>
        <w:tc>
          <w:tcPr>
            <w:tcW w:type="dxa" w:w="5076"/>
          </w:tcPr>
          <w:p>
            <w:pPr>
              <w:jc w:val="left"/>
            </w:pPr>
            <w:r>
              <w:rPr/>
              <w:t>对投标人具有用于食品检验的自有先进仪器设备情况进行评审： （1）超高效液相色谱高分辨质谱联用仪（LC-MS-MS）1台或以上； （2）气相色谱串联质谱仪（GC-MS-MS）1台或以上； （3）液相色谱串联质谱联用仪（LC-MS/MS）2台或以上； （4）气相色谱质谱联用仪（ GC-MS）3台或以上； （5）电感耦合等离子体质谱仪（ICP-MS）2台或以上； （6）原子荧光光度计（AFS）1台或以上； （7）自有冷藏车辆3台或以上。 （1）-（6）每满足1项的得1分，（7）满足得4分；最高得10分。 【注：投标时需提供设备清单、图片和购置发票复印件并加盖投标人公章。】</w:t>
            </w:r>
          </w:p>
        </w:tc>
      </w:tr>
      <w:tr>
        <w:tc>
          <w:tcPr>
            <w:tcW w:type="dxa" w:w="922"/>
            <w:gridSpan w:val="2"/>
            <w:vMerge w:val="restart"/>
          </w:tcPr>
          <w:p>
            <w:pPr>
              <w:jc w:val="center"/>
            </w:pPr>
            <w:r>
              <w:rPr/>
              <w:t>商务部分</w:t>
            </w:r>
          </w:p>
        </w:tc>
        <w:tc>
          <w:tcPr>
            <w:tcW w:type="dxa" w:w="2307"/>
          </w:tcPr>
          <w:p>
            <w:pPr>
              <w:jc w:val="left"/>
            </w:pPr>
            <w:r>
              <w:rPr/>
              <w:t>对商务要求的响应程度 (4.0分)</w:t>
            </w:r>
          </w:p>
        </w:tc>
        <w:tc>
          <w:tcPr>
            <w:tcW w:type="dxa" w:w="5076"/>
          </w:tcPr>
          <w:p>
            <w:pPr>
              <w:jc w:val="left"/>
            </w:pPr>
            <w:r>
              <w:rPr/>
              <w:t>根据招标文件商务要求，对所有投标人的响应程度，进行综合评审： （1） 响应程度优于招标文件要求，得4分； （2）响应程度符合招标文件要求，得2分； （3）响应程度部分符合招标文件要求，得1分， （4）其他情况，不得分。</w:t>
            </w:r>
          </w:p>
        </w:tc>
      </w:tr>
      <w:tr>
        <w:tc>
          <w:tcPr>
            <w:tcW w:type="dxa" w:w="922"/>
            <w:gridSpan w:val="2"/>
            <w:vMerge/>
          </w:tcPr>
          <w:p/>
        </w:tc>
        <w:tc>
          <w:tcPr>
            <w:tcW w:type="dxa" w:w="2307"/>
          </w:tcPr>
          <w:p>
            <w:pPr>
              <w:jc w:val="left"/>
            </w:pPr>
            <w:r>
              <w:rPr/>
              <w:t>投标人综合实力1 (6.0分)</w:t>
            </w:r>
          </w:p>
        </w:tc>
        <w:tc>
          <w:tcPr>
            <w:tcW w:type="dxa" w:w="5076"/>
          </w:tcPr>
          <w:p>
            <w:pPr>
              <w:jc w:val="left"/>
            </w:pPr>
            <w:r>
              <w:rPr/>
              <w:t>投标人具有以下资质每项得2分，最高6分： （1）具备CNAS资质； （2）具有CATL农产品质量安全检测机构； （3）具有ISO9001质量管理体系认证。 【注：提供证明文件并加盖公章。】</w:t>
            </w:r>
          </w:p>
        </w:tc>
      </w:tr>
      <w:tr>
        <w:tc>
          <w:tcPr>
            <w:tcW w:type="dxa" w:w="922"/>
            <w:gridSpan w:val="2"/>
            <w:vMerge/>
          </w:tcPr>
          <w:p/>
        </w:tc>
        <w:tc>
          <w:tcPr>
            <w:tcW w:type="dxa" w:w="2307"/>
          </w:tcPr>
          <w:p>
            <w:pPr>
              <w:jc w:val="left"/>
            </w:pPr>
            <w:r>
              <w:rPr/>
              <w:t>投标人综合实力2 (10.0分)</w:t>
            </w:r>
          </w:p>
        </w:tc>
        <w:tc>
          <w:tcPr>
            <w:tcW w:type="dxa" w:w="5076"/>
          </w:tcPr>
          <w:p>
            <w:pPr>
              <w:jc w:val="left"/>
            </w:pPr>
            <w:r>
              <w:rPr/>
              <w:t>投标人在2020、2021年食品安全抽检监测承检机构监督考核评价中，以每年综合排名进行计算，本项最终得分以每年排名得分相加进行计算。综合排名前10名的，得5分；综合排名11-15名的，得2.5分；综合排名16-20名的，得1.5分，综合排名20名之后的，得1分，其他情况不得分。  【注：以上评分按年计算，须提供相关证明材料，不提供不得分。】</w:t>
            </w:r>
          </w:p>
        </w:tc>
      </w:tr>
      <w:tr>
        <w:tc>
          <w:tcPr>
            <w:tcW w:type="dxa" w:w="922"/>
            <w:gridSpan w:val="2"/>
            <w:vMerge/>
          </w:tcPr>
          <w:p/>
        </w:tc>
        <w:tc>
          <w:tcPr>
            <w:tcW w:type="dxa" w:w="2307"/>
          </w:tcPr>
          <w:p>
            <w:pPr>
              <w:jc w:val="left"/>
            </w:pPr>
            <w:r>
              <w:rPr/>
              <w:t>投标人综合实力3 (10.0分)</w:t>
            </w:r>
          </w:p>
        </w:tc>
        <w:tc>
          <w:tcPr>
            <w:tcW w:type="dxa" w:w="5076"/>
          </w:tcPr>
          <w:p>
            <w:pPr>
              <w:jc w:val="left"/>
            </w:pPr>
            <w:r>
              <w:rPr/>
              <w:t>（1）投标人为产品测试分析公共技术服务平台的，得5分。 【注：投标文件中须提供具有实验名称的相关证书或批复文件复印件并加盖投标人公章】 （2）投标人获得食品安全管理员培训及考试资质的，得5分。  【注：投标文件中须提供具有实验名称的相关证书或批复文件复印件并加盖投标人公章。】</w:t>
            </w:r>
          </w:p>
        </w:tc>
      </w:tr>
      <w:tr>
        <w:tc>
          <w:tcPr>
            <w:tcW w:type="dxa" w:w="922"/>
            <w:gridSpan w:val="2"/>
            <w:vMerge/>
          </w:tcPr>
          <w:p/>
        </w:tc>
        <w:tc>
          <w:tcPr>
            <w:tcW w:type="dxa" w:w="2307"/>
          </w:tcPr>
          <w:p>
            <w:pPr>
              <w:jc w:val="left"/>
            </w:pPr>
            <w:r>
              <w:rPr/>
              <w:t>类似业绩 (10.0分)</w:t>
            </w:r>
          </w:p>
        </w:tc>
        <w:tc>
          <w:tcPr>
            <w:tcW w:type="dxa" w:w="5076"/>
          </w:tcPr>
          <w:p>
            <w:pPr>
              <w:jc w:val="left"/>
            </w:pPr>
            <w:r>
              <w:rPr/>
              <w:t>投标人2020年1月1日（以合同签订时间为准）以来同类业绩（食品（含食用农产品）检验）：具有独立承担食品安全抽检监测任务的，每提供一份得 2分，最高得10分。   【注：须提供合同复印件或任务委托文件或任务委托书复印件。证明材料需体现合同签订时间或委托时间，同一个用户单位的项目可累计得分。】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满足招标文件要求且投标价格（投标综合折扣率）最低的投标报价为评标基准价。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小作坊专项监督抽检</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投标人前沿检测、分析方案1 (5.0分)</w:t>
            </w:r>
          </w:p>
        </w:tc>
        <w:tc>
          <w:tcPr>
            <w:tcW w:type="dxa" w:w="5076"/>
          </w:tcPr>
          <w:p>
            <w:pPr>
              <w:jc w:val="left"/>
            </w:pPr>
            <w:r>
              <w:rPr/>
              <w:t>针对食品及食品原料、食品添加剂非标检测、放射性物质残留检测所需的前沿性检测能力、技术开发能力及经验，如何开展食品转基因等检测方案进行评审： （1）前沿检测、分析方案具体全面、针对性强、科学合理、可操作性强得5分； （2）前沿检测、分析方案较具体全面、针对性较强、可操作性一般得3分； （3）前沿检测、分析方案不全面、无针对性、可操作性差得1分； （4）不提供不得分。</w:t>
            </w:r>
          </w:p>
        </w:tc>
      </w:tr>
      <w:tr>
        <w:tc>
          <w:tcPr>
            <w:tcW w:type="dxa" w:w="922"/>
            <w:gridSpan w:val="2"/>
            <w:vMerge/>
          </w:tcPr>
          <w:p/>
        </w:tc>
        <w:tc>
          <w:tcPr>
            <w:tcW w:type="dxa" w:w="2307"/>
          </w:tcPr>
          <w:p>
            <w:pPr>
              <w:jc w:val="left"/>
            </w:pPr>
            <w:r>
              <w:rPr/>
              <w:t>投标人前沿检测、分析方案2 (5.0分)</w:t>
            </w:r>
          </w:p>
        </w:tc>
        <w:tc>
          <w:tcPr>
            <w:tcW w:type="dxa" w:w="5076"/>
          </w:tcPr>
          <w:p>
            <w:pPr>
              <w:jc w:val="left"/>
            </w:pPr>
            <w:r>
              <w:rPr/>
              <w:t>针对农药残留快速筛查及牛羊肉等食品的真假鉴别、以及进口食品原料的优劣的前沿分析技术方案进行评审： （1）前沿检测、分析方案具体全面、针对性强、科学合理、可操作性强得5分； （2）前沿检测、分析方案较具体全面、针对性较强、可操作性一般得3分； （3）前沿检测、分析方案不全面、无针对性、可操作性差得1分； （4）不提供不得分。</w:t>
            </w:r>
          </w:p>
        </w:tc>
      </w:tr>
      <w:tr>
        <w:tc>
          <w:tcPr>
            <w:tcW w:type="dxa" w:w="922"/>
            <w:gridSpan w:val="2"/>
            <w:vMerge/>
          </w:tcPr>
          <w:p/>
        </w:tc>
        <w:tc>
          <w:tcPr>
            <w:tcW w:type="dxa" w:w="2307"/>
          </w:tcPr>
          <w:p>
            <w:pPr>
              <w:jc w:val="left"/>
            </w:pPr>
            <w:r>
              <w:rPr/>
              <w:t>项目实施方案 (5.0分)</w:t>
            </w:r>
          </w:p>
        </w:tc>
        <w:tc>
          <w:tcPr>
            <w:tcW w:type="dxa" w:w="5076"/>
          </w:tcPr>
          <w:p>
            <w:pPr>
              <w:jc w:val="left"/>
            </w:pPr>
            <w:r>
              <w:rPr/>
              <w:t>能根据本项目的任务类型和要求，组织实施检测工作，并制定明确的服务质量保证体系和项目工作制度。对实施方案的完整性、可行性和详细程度、进度安排及保证措施的合理性进行评分：  （1）实施方案完整、详细、优于本项目要求得5分；  （2）实施方案完整、详细、与本项目相适应得3分；  （3）实施方案较完整、详细、与本项目较相适得2分；  （4）实施方案不够完整、详细，与本项目不太相适得1分。  （5）其他或不提供不得分。 【注：提供实施方案，包括现场采样、样品保存、样品运输、样品检测、不合格处理、异议处理等条件等内容】</w:t>
            </w:r>
          </w:p>
        </w:tc>
      </w:tr>
      <w:tr>
        <w:tc>
          <w:tcPr>
            <w:tcW w:type="dxa" w:w="922"/>
            <w:gridSpan w:val="2"/>
            <w:vMerge/>
          </w:tcPr>
          <w:p/>
        </w:tc>
        <w:tc>
          <w:tcPr>
            <w:tcW w:type="dxa" w:w="2307"/>
          </w:tcPr>
          <w:p>
            <w:pPr>
              <w:jc w:val="left"/>
            </w:pPr>
            <w:r>
              <w:rPr/>
              <w:t>投标人前沿检测、分析方案3 (4.0分)</w:t>
            </w:r>
          </w:p>
        </w:tc>
        <w:tc>
          <w:tcPr>
            <w:tcW w:type="dxa" w:w="5076"/>
          </w:tcPr>
          <w:p>
            <w:pPr>
              <w:jc w:val="left"/>
            </w:pPr>
            <w:r>
              <w:rPr/>
              <w:t>投标人自2020年1月1日具有参与制定食品安全国家标准或行业标准或地方标准或团体标准经验，且该标准已向社会公布，每提供一个得2分，本项累计最高得4分。 【注：提供相关证明材料，不提供不得分。】</w:t>
            </w:r>
          </w:p>
        </w:tc>
      </w:tr>
      <w:tr>
        <w:tc>
          <w:tcPr>
            <w:tcW w:type="dxa" w:w="922"/>
            <w:gridSpan w:val="2"/>
            <w:vMerge/>
          </w:tcPr>
          <w:p/>
        </w:tc>
        <w:tc>
          <w:tcPr>
            <w:tcW w:type="dxa" w:w="2307"/>
          </w:tcPr>
          <w:p>
            <w:pPr>
              <w:jc w:val="left"/>
            </w:pPr>
            <w:r>
              <w:rPr/>
              <w:t>投标人科研能力 (2.0分)</w:t>
            </w:r>
          </w:p>
        </w:tc>
        <w:tc>
          <w:tcPr>
            <w:tcW w:type="dxa" w:w="5076"/>
          </w:tcPr>
          <w:p>
            <w:pPr>
              <w:jc w:val="left"/>
            </w:pPr>
            <w:r>
              <w:rPr/>
              <w:t>投标人自2020年1月1日以来获得过食品（含食用农产品）相关科研课题奖项情况：每提供一个得1分；本项累计最高得2分。 【注：提供相关证明材料，不提供不得分。】</w:t>
            </w:r>
          </w:p>
        </w:tc>
      </w:tr>
      <w:tr>
        <w:tc>
          <w:tcPr>
            <w:tcW w:type="dxa" w:w="922"/>
            <w:gridSpan w:val="2"/>
            <w:vMerge/>
          </w:tcPr>
          <w:p/>
        </w:tc>
        <w:tc>
          <w:tcPr>
            <w:tcW w:type="dxa" w:w="2307"/>
          </w:tcPr>
          <w:p>
            <w:pPr>
              <w:jc w:val="left"/>
            </w:pPr>
            <w:r>
              <w:rPr/>
              <w:t>投标人拟投入项目人员 (6.0分)</w:t>
            </w:r>
          </w:p>
        </w:tc>
        <w:tc>
          <w:tcPr>
            <w:tcW w:type="dxa" w:w="5076"/>
          </w:tcPr>
          <w:p>
            <w:pPr>
              <w:jc w:val="left"/>
            </w:pPr>
            <w:r>
              <w:rPr/>
              <w:t>投标人拟投入本项目的正高级职称人员（食品、药学、化学、质量相关专业）或省级或以上食品安全专家库（如：食品生产行业“诊脉”专家库）人员，每提供一人得2分，本项最高得6分。 【注：同一人持有多项证书不重复得分。投标人需同时提供以上对应人员：①职称证书复印件或专家库人员名单截图，②投标人为其缴交的投标截止前6个月以内任意1个月的社保证明材料复印件。】</w:t>
            </w:r>
          </w:p>
        </w:tc>
      </w:tr>
      <w:tr>
        <w:tc>
          <w:tcPr>
            <w:tcW w:type="dxa" w:w="922"/>
            <w:gridSpan w:val="2"/>
            <w:vMerge/>
          </w:tcPr>
          <w:p/>
        </w:tc>
        <w:tc>
          <w:tcPr>
            <w:tcW w:type="dxa" w:w="2307"/>
          </w:tcPr>
          <w:p>
            <w:pPr>
              <w:jc w:val="left"/>
            </w:pPr>
            <w:r>
              <w:rPr/>
              <w:t>食品检验独立实验室情况1 (3.0分)</w:t>
            </w:r>
          </w:p>
        </w:tc>
        <w:tc>
          <w:tcPr>
            <w:tcW w:type="dxa" w:w="5076"/>
          </w:tcPr>
          <w:p>
            <w:pPr>
              <w:jc w:val="left"/>
            </w:pPr>
            <w:r>
              <w:rPr/>
              <w:t>投标人具有国家级食品检验中心资格得3分；省级食品质量安全重点实验室得2分；其他不得分。本项最高得3分。 【注：提供证明文件复印件及相关佐证材料，不提供不得分。其中国家认监委发放的CAL或CMA证书可证明具备国家级质检中心资质和相应的技术能力】</w:t>
            </w:r>
          </w:p>
        </w:tc>
      </w:tr>
      <w:tr>
        <w:tc>
          <w:tcPr>
            <w:tcW w:type="dxa" w:w="922"/>
            <w:gridSpan w:val="2"/>
            <w:vMerge/>
          </w:tcPr>
          <w:p/>
        </w:tc>
        <w:tc>
          <w:tcPr>
            <w:tcW w:type="dxa" w:w="2307"/>
          </w:tcPr>
          <w:p>
            <w:pPr>
              <w:jc w:val="left"/>
            </w:pPr>
            <w:r>
              <w:rPr/>
              <w:t>食品检验独立实验室情况2 (4.0分)</w:t>
            </w:r>
          </w:p>
        </w:tc>
        <w:tc>
          <w:tcPr>
            <w:tcW w:type="dxa" w:w="5076"/>
          </w:tcPr>
          <w:p>
            <w:pPr>
              <w:jc w:val="left"/>
            </w:pPr>
            <w:r>
              <w:rPr/>
              <w:t>针对投标人承担食品（含食用农产品）检验的独立实验室环境情况，内部管理进行评审：  评审标准：  （1） 独立实验室区域划分科学、合理；  （2） 独立实验室区域划分安全性强；  【注：提供能体现(1)-(2)项评审标准的实验室现场照片，不提供不得分。】 （3） 独立实验室内部管理制度完善；  （4） 独立实验室内部管理制度合理性强。 【注：(3)-(4)项,提供实验室内部管理制度复印件，不提供不得分。】 以上评审标准每满足一项得1分，最高得4分。</w:t>
            </w:r>
          </w:p>
        </w:tc>
      </w:tr>
      <w:tr>
        <w:tc>
          <w:tcPr>
            <w:tcW w:type="dxa" w:w="922"/>
            <w:gridSpan w:val="2"/>
            <w:vMerge/>
          </w:tcPr>
          <w:p/>
        </w:tc>
        <w:tc>
          <w:tcPr>
            <w:tcW w:type="dxa" w:w="2307"/>
          </w:tcPr>
          <w:p>
            <w:pPr>
              <w:jc w:val="left"/>
            </w:pPr>
            <w:r>
              <w:rPr/>
              <w:t>投标人检验领域情况 (6.0分)</w:t>
            </w:r>
          </w:p>
        </w:tc>
        <w:tc>
          <w:tcPr>
            <w:tcW w:type="dxa" w:w="5076"/>
          </w:tcPr>
          <w:p>
            <w:pPr>
              <w:jc w:val="left"/>
            </w:pPr>
            <w:r>
              <w:rPr/>
              <w:t>2019年1月1日以来参加国家市场监管总局或国家认监委（CNCA）组织的食品或食用农产品中重金属、农药残留、添加剂、兽药残留、毒素及微生物等检验能力验证活动，考核结果均为满意的，每提供一项得1分，最高得6分。 【投标人应提供能力验证结果通知复印件或证书复印件，以上材料均需加盖投标人公章，不满足不得分。】</w:t>
            </w:r>
          </w:p>
        </w:tc>
      </w:tr>
      <w:tr>
        <w:tc>
          <w:tcPr>
            <w:tcW w:type="dxa" w:w="922"/>
            <w:gridSpan w:val="2"/>
            <w:vMerge/>
          </w:tcPr>
          <w:p/>
        </w:tc>
        <w:tc>
          <w:tcPr>
            <w:tcW w:type="dxa" w:w="2307"/>
          </w:tcPr>
          <w:p>
            <w:pPr>
              <w:jc w:val="left"/>
            </w:pPr>
            <w:r>
              <w:rPr/>
              <w:t>投标人拟投入设备情况 (10.0分)</w:t>
            </w:r>
          </w:p>
        </w:tc>
        <w:tc>
          <w:tcPr>
            <w:tcW w:type="dxa" w:w="5076"/>
          </w:tcPr>
          <w:p>
            <w:pPr>
              <w:jc w:val="left"/>
            </w:pPr>
            <w:r>
              <w:rPr/>
              <w:t>对投标人具有用于食品检验的自有先进仪器设备情况进行评审： （1）超高效液相色谱高分辨质谱联用仪（LC-MS-MS）1台或以上； （2）气相色谱串联质谱仪（GC-MS-MS）1台或以上； （3）液相色谱串联质谱联用仪（LC-MS/MS）2台或以上； （4）气相色谱质谱联用仪（ GC-MS）3台或以上； （5）电感耦合等离子体质谱仪（ICP-MS）2台或以上； （6）原子荧光光度计（AFS）1台或以上； （7）自有冷藏车辆3台或以上。 （1）-（6）每满足1项的得1分，（7）满足得4分；最高得10分。 【注：投标时需提供设备清单、图片和购置发票复印件并加盖投标人公章。】</w:t>
            </w:r>
          </w:p>
        </w:tc>
      </w:tr>
      <w:tr>
        <w:tc>
          <w:tcPr>
            <w:tcW w:type="dxa" w:w="922"/>
            <w:gridSpan w:val="2"/>
            <w:vMerge w:val="restart"/>
          </w:tcPr>
          <w:p>
            <w:pPr>
              <w:jc w:val="center"/>
            </w:pPr>
            <w:r>
              <w:rPr/>
              <w:t>商务部分</w:t>
            </w:r>
          </w:p>
        </w:tc>
        <w:tc>
          <w:tcPr>
            <w:tcW w:type="dxa" w:w="2307"/>
          </w:tcPr>
          <w:p>
            <w:pPr>
              <w:jc w:val="left"/>
            </w:pPr>
            <w:r>
              <w:rPr/>
              <w:t>对商务要求的响应程度 (4.0分)</w:t>
            </w:r>
          </w:p>
        </w:tc>
        <w:tc>
          <w:tcPr>
            <w:tcW w:type="dxa" w:w="5076"/>
          </w:tcPr>
          <w:p>
            <w:pPr>
              <w:jc w:val="left"/>
            </w:pPr>
            <w:r>
              <w:rPr/>
              <w:t>根据招标文件商务要求，对所有投标人的响应程度，进行综合评审： （1） 响应程度优于招标文件要求，得4分； （2）响应程度符合招标文件要求，得2分； （3）响应程度部分符合招标文件要求，得1分， （4）其他情况，不得分。</w:t>
            </w:r>
          </w:p>
        </w:tc>
      </w:tr>
      <w:tr>
        <w:tc>
          <w:tcPr>
            <w:tcW w:type="dxa" w:w="922"/>
            <w:gridSpan w:val="2"/>
            <w:vMerge/>
          </w:tcPr>
          <w:p/>
        </w:tc>
        <w:tc>
          <w:tcPr>
            <w:tcW w:type="dxa" w:w="2307"/>
          </w:tcPr>
          <w:p>
            <w:pPr>
              <w:jc w:val="left"/>
            </w:pPr>
            <w:r>
              <w:rPr/>
              <w:t>投标人综合实力1 (6.0分)</w:t>
            </w:r>
          </w:p>
        </w:tc>
        <w:tc>
          <w:tcPr>
            <w:tcW w:type="dxa" w:w="5076"/>
          </w:tcPr>
          <w:p>
            <w:pPr>
              <w:jc w:val="left"/>
            </w:pPr>
            <w:r>
              <w:rPr/>
              <w:t>投标人具有以下资质每项得2分，最高6分： （1）具备CNAS资质； （2）具有CATL农产品质量安全检测机构； （3）具有ISO9001质量管理体系认证。 【注：提供证明文件并加盖公章。】</w:t>
            </w:r>
          </w:p>
        </w:tc>
      </w:tr>
      <w:tr>
        <w:tc>
          <w:tcPr>
            <w:tcW w:type="dxa" w:w="922"/>
            <w:gridSpan w:val="2"/>
            <w:vMerge/>
          </w:tcPr>
          <w:p/>
        </w:tc>
        <w:tc>
          <w:tcPr>
            <w:tcW w:type="dxa" w:w="2307"/>
          </w:tcPr>
          <w:p>
            <w:pPr>
              <w:jc w:val="left"/>
            </w:pPr>
            <w:r>
              <w:rPr/>
              <w:t>投标人综合实力2 (10.0分)</w:t>
            </w:r>
          </w:p>
        </w:tc>
        <w:tc>
          <w:tcPr>
            <w:tcW w:type="dxa" w:w="5076"/>
          </w:tcPr>
          <w:p>
            <w:pPr>
              <w:jc w:val="left"/>
            </w:pPr>
            <w:r>
              <w:rPr/>
              <w:t>投标人在2020、2021年食品安全抽检监测承检机构监督考核评价中，以每年综合排名进行计算，本项最终得分以每年排名得分相加进行计算。综合排名前10名的，得5分；综合排名11-15名的，得2.5分；综合排名16-20名的，得1.5分，综合排名20名之后的，得1分，其他情况不得分。  【注：以上评分按年计算，须提供相关证明材料，不提供不得分。】</w:t>
            </w:r>
          </w:p>
        </w:tc>
      </w:tr>
      <w:tr>
        <w:tc>
          <w:tcPr>
            <w:tcW w:type="dxa" w:w="922"/>
            <w:gridSpan w:val="2"/>
            <w:vMerge/>
          </w:tcPr>
          <w:p/>
        </w:tc>
        <w:tc>
          <w:tcPr>
            <w:tcW w:type="dxa" w:w="2307"/>
          </w:tcPr>
          <w:p>
            <w:pPr>
              <w:jc w:val="left"/>
            </w:pPr>
            <w:r>
              <w:rPr/>
              <w:t>投标人综合实力3 (10.0分)</w:t>
            </w:r>
          </w:p>
        </w:tc>
        <w:tc>
          <w:tcPr>
            <w:tcW w:type="dxa" w:w="5076"/>
          </w:tcPr>
          <w:p>
            <w:pPr>
              <w:jc w:val="left"/>
            </w:pPr>
            <w:r>
              <w:rPr/>
              <w:t>（1）投标人为产品测试分析公共技术服务平台的，得5分。 【注：投标文件中须提供具有实验名称的相关证书或批复文件复印件并加盖投标人公章】 （2）投标人获得食品安全管理员培训及考试资质的，得5分。  【注：投标文件中须提供具有实验名称的相关证书或批复文件复印件并加盖投标人公章。】</w:t>
            </w:r>
          </w:p>
        </w:tc>
      </w:tr>
      <w:tr>
        <w:tc>
          <w:tcPr>
            <w:tcW w:type="dxa" w:w="922"/>
            <w:gridSpan w:val="2"/>
            <w:vMerge/>
          </w:tcPr>
          <w:p/>
        </w:tc>
        <w:tc>
          <w:tcPr>
            <w:tcW w:type="dxa" w:w="2307"/>
          </w:tcPr>
          <w:p>
            <w:pPr>
              <w:jc w:val="left"/>
            </w:pPr>
            <w:r>
              <w:rPr/>
              <w:t>类似业绩 (10.0分)</w:t>
            </w:r>
          </w:p>
        </w:tc>
        <w:tc>
          <w:tcPr>
            <w:tcW w:type="dxa" w:w="5076"/>
          </w:tcPr>
          <w:p>
            <w:pPr>
              <w:jc w:val="left"/>
            </w:pPr>
            <w:r>
              <w:rPr/>
              <w:t>投标人2020年1月1日（以合同签订时间为准）以来同类业绩（食品（含食用农产品）检验）：具有独立承担食品安全抽检监测任务的，每提供一份得 2分，最高得10分。   【注：须提供合同复印件或任务委托文件或任务委托书复印件。证明材料需体现合同签订时间或委托时间，同一个用户单位的项目可累计得分。】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满足招标文件要求且投标价格（投标综合折扣率）最低的投标报价为评标基准价。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小作坊专项抽检监测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投标人前沿检测、分析方案1 (5.0分)</w:t>
            </w:r>
          </w:p>
        </w:tc>
        <w:tc>
          <w:tcPr>
            <w:tcW w:type="dxa" w:w="5076"/>
          </w:tcPr>
          <w:p>
            <w:pPr>
              <w:jc w:val="left"/>
            </w:pPr>
            <w:r>
              <w:rPr/>
              <w:t>针对食品及食品原料、食品添加剂非标检测、放射性物质残留检测所需的前沿性检测能力、技术开发能力及经验，如何开展食品转基因等检测方案进行评审： （1）前沿检测、分析方案具体全面、针对性强、科学合理、可操作性强得5分； （2）前沿检测、分析方案较具体全面、针对性较强、可操作性一般得3分； （3）前沿检测、分析方案不全面、无针对性、可操作性差得1分； （4）不提供不得分。</w:t>
            </w:r>
          </w:p>
        </w:tc>
      </w:tr>
      <w:tr>
        <w:tc>
          <w:tcPr>
            <w:tcW w:type="dxa" w:w="922"/>
            <w:gridSpan w:val="2"/>
            <w:vMerge/>
          </w:tcPr>
          <w:p/>
        </w:tc>
        <w:tc>
          <w:tcPr>
            <w:tcW w:type="dxa" w:w="2307"/>
          </w:tcPr>
          <w:p>
            <w:pPr>
              <w:jc w:val="left"/>
            </w:pPr>
            <w:r>
              <w:rPr/>
              <w:t>投标人前沿检测、分析方案2 (5.0分)</w:t>
            </w:r>
          </w:p>
        </w:tc>
        <w:tc>
          <w:tcPr>
            <w:tcW w:type="dxa" w:w="5076"/>
          </w:tcPr>
          <w:p>
            <w:pPr>
              <w:jc w:val="left"/>
            </w:pPr>
            <w:r>
              <w:rPr/>
              <w:t>针对农药残留快速筛查及牛羊肉等食品的真假鉴别、以及进口食品原料的优劣的前沿分析技术方案进行评审： （1）前沿检测、分析方案具体全面、针对性强、科学合理、可操作性强得5分； （2）前沿检测、分析方案较具体全面、针对性较强、可操作性一般得3分； （3）前沿检测、分析方案不全面、无针对性、可操作性差得1分； （4）不提供不得分。</w:t>
            </w:r>
          </w:p>
        </w:tc>
      </w:tr>
      <w:tr>
        <w:tc>
          <w:tcPr>
            <w:tcW w:type="dxa" w:w="922"/>
            <w:gridSpan w:val="2"/>
            <w:vMerge/>
          </w:tcPr>
          <w:p/>
        </w:tc>
        <w:tc>
          <w:tcPr>
            <w:tcW w:type="dxa" w:w="2307"/>
          </w:tcPr>
          <w:p>
            <w:pPr>
              <w:jc w:val="left"/>
            </w:pPr>
            <w:r>
              <w:rPr/>
              <w:t>项目实施方案 (5.0分)</w:t>
            </w:r>
          </w:p>
        </w:tc>
        <w:tc>
          <w:tcPr>
            <w:tcW w:type="dxa" w:w="5076"/>
          </w:tcPr>
          <w:p>
            <w:pPr>
              <w:jc w:val="left"/>
            </w:pPr>
            <w:r>
              <w:rPr/>
              <w:t>能根据本项目的任务类型和要求，组织实施检测工作，并制定明确的服务质量保证体系和项目工作制度。对实施方案的完整性、可行性和详细程度、进度安排及保证措施的合理性进行评分：  （1）实施方案完整、详细、优于本项目要求得5分；  （2）实施方案完整、详细、与本项目相适应得3分；  （3）实施方案较完整、详细、与本项目较相适得2分；  （4）实施方案不够完整、详细，与本项目不太相适得1分。  （5）其他或不提供不得分。 【注：提供实施方案，包括现场采样、样品保存、样品运输、样品检测、不合格处理、异议处理等条件等内容】</w:t>
            </w:r>
          </w:p>
        </w:tc>
      </w:tr>
      <w:tr>
        <w:tc>
          <w:tcPr>
            <w:tcW w:type="dxa" w:w="922"/>
            <w:gridSpan w:val="2"/>
            <w:vMerge/>
          </w:tcPr>
          <w:p/>
        </w:tc>
        <w:tc>
          <w:tcPr>
            <w:tcW w:type="dxa" w:w="2307"/>
          </w:tcPr>
          <w:p>
            <w:pPr>
              <w:jc w:val="left"/>
            </w:pPr>
            <w:r>
              <w:rPr/>
              <w:t>投标人前沿检测、分析方案3 (4.0分)</w:t>
            </w:r>
          </w:p>
        </w:tc>
        <w:tc>
          <w:tcPr>
            <w:tcW w:type="dxa" w:w="5076"/>
          </w:tcPr>
          <w:p>
            <w:pPr>
              <w:jc w:val="left"/>
            </w:pPr>
            <w:r>
              <w:rPr/>
              <w:t>投标人自2020年1月1日具有参与制定食品安全国家标准或行业标准或地方标准或团体标准经验，且该标准已向社会公布，每提供一个得2分，本项累计最高得4分。 【注：提供相关证明材料，不提供不得分。】</w:t>
            </w:r>
          </w:p>
        </w:tc>
      </w:tr>
      <w:tr>
        <w:tc>
          <w:tcPr>
            <w:tcW w:type="dxa" w:w="922"/>
            <w:gridSpan w:val="2"/>
            <w:vMerge/>
          </w:tcPr>
          <w:p/>
        </w:tc>
        <w:tc>
          <w:tcPr>
            <w:tcW w:type="dxa" w:w="2307"/>
          </w:tcPr>
          <w:p>
            <w:pPr>
              <w:jc w:val="left"/>
            </w:pPr>
            <w:r>
              <w:rPr/>
              <w:t>投标人科研能力 (2.0分)</w:t>
            </w:r>
          </w:p>
        </w:tc>
        <w:tc>
          <w:tcPr>
            <w:tcW w:type="dxa" w:w="5076"/>
          </w:tcPr>
          <w:p>
            <w:pPr>
              <w:jc w:val="left"/>
            </w:pPr>
            <w:r>
              <w:rPr/>
              <w:t>投标人自2020年1月1日以来获得过食品（含食用农产品）相关科研课题奖项情况：每提供一个得1分；本项累计最高得2分。 【注：提供相关证明材料，不提供不得分。】</w:t>
            </w:r>
          </w:p>
        </w:tc>
      </w:tr>
      <w:tr>
        <w:tc>
          <w:tcPr>
            <w:tcW w:type="dxa" w:w="922"/>
            <w:gridSpan w:val="2"/>
            <w:vMerge/>
          </w:tcPr>
          <w:p/>
        </w:tc>
        <w:tc>
          <w:tcPr>
            <w:tcW w:type="dxa" w:w="2307"/>
          </w:tcPr>
          <w:p>
            <w:pPr>
              <w:jc w:val="left"/>
            </w:pPr>
            <w:r>
              <w:rPr/>
              <w:t>投标人拟投入项目人员 (6.0分)</w:t>
            </w:r>
          </w:p>
        </w:tc>
        <w:tc>
          <w:tcPr>
            <w:tcW w:type="dxa" w:w="5076"/>
          </w:tcPr>
          <w:p>
            <w:pPr>
              <w:jc w:val="left"/>
            </w:pPr>
            <w:r>
              <w:rPr/>
              <w:t>投标人拟投入本项目的正高级职称人员（食品、药学、化学、质量相关专业）或省级或以上食品安全专家库（如：食品生产行业“诊脉”专家库）人员，每提供一人得2分，本项最高得6分。 【注：同一人持有多项证书不重复得分。投标人需同时提供以上对应人员：①职称证书复印件或专家库人员名单截图，②投标人为其缴交的投标截止前6个月以内任意1个月的社保证明材料复印件。】</w:t>
            </w:r>
          </w:p>
        </w:tc>
      </w:tr>
      <w:tr>
        <w:tc>
          <w:tcPr>
            <w:tcW w:type="dxa" w:w="922"/>
            <w:gridSpan w:val="2"/>
            <w:vMerge/>
          </w:tcPr>
          <w:p/>
        </w:tc>
        <w:tc>
          <w:tcPr>
            <w:tcW w:type="dxa" w:w="2307"/>
          </w:tcPr>
          <w:p>
            <w:pPr>
              <w:jc w:val="left"/>
            </w:pPr>
            <w:r>
              <w:rPr/>
              <w:t>食品检验独立实验室情况1 (3.0分)</w:t>
            </w:r>
          </w:p>
        </w:tc>
        <w:tc>
          <w:tcPr>
            <w:tcW w:type="dxa" w:w="5076"/>
          </w:tcPr>
          <w:p>
            <w:pPr>
              <w:jc w:val="left"/>
            </w:pPr>
            <w:r>
              <w:rPr/>
              <w:t>投标人具有国家级食品检验中心资格得3分；省级食品质量安全重点实验室得2分；其他不得分。本项最高得3分。 【注：提供证明文件复印件及相关佐证材料，不提供不得分。其中国家认监委发放的CAL或CMA证书可证明具备国家级质检中心资质和相应的技术能力】</w:t>
            </w:r>
          </w:p>
        </w:tc>
      </w:tr>
      <w:tr>
        <w:tc>
          <w:tcPr>
            <w:tcW w:type="dxa" w:w="922"/>
            <w:gridSpan w:val="2"/>
            <w:vMerge/>
          </w:tcPr>
          <w:p/>
        </w:tc>
        <w:tc>
          <w:tcPr>
            <w:tcW w:type="dxa" w:w="2307"/>
          </w:tcPr>
          <w:p>
            <w:pPr>
              <w:jc w:val="left"/>
            </w:pPr>
            <w:r>
              <w:rPr/>
              <w:t>食品检验独立实验室情况2 (4.0分)</w:t>
            </w:r>
          </w:p>
        </w:tc>
        <w:tc>
          <w:tcPr>
            <w:tcW w:type="dxa" w:w="5076"/>
          </w:tcPr>
          <w:p>
            <w:pPr>
              <w:jc w:val="left"/>
            </w:pPr>
            <w:r>
              <w:rPr/>
              <w:t>针对投标人承担食品（含食用农产品）检验的独立实验室环境情况，内部管理进行评审：  评审标准：  （1） 独立实验室区域划分科学、合理；  （2） 独立实验室区域划分安全性强；  【注：提供能体现(1)-(2)项评审标准的实验室现场照片，不提供不得分。】 （3） 独立实验室内部管理制度完善；  （4） 独立实验室内部管理制度合理性强。 【注：(3)-(4)项,提供实验室内部管理制度复印件，不提供不得分。】 以上评审标准每满足一项得1分，最高得4分。</w:t>
            </w:r>
          </w:p>
        </w:tc>
      </w:tr>
      <w:tr>
        <w:tc>
          <w:tcPr>
            <w:tcW w:type="dxa" w:w="922"/>
            <w:gridSpan w:val="2"/>
            <w:vMerge/>
          </w:tcPr>
          <w:p/>
        </w:tc>
        <w:tc>
          <w:tcPr>
            <w:tcW w:type="dxa" w:w="2307"/>
          </w:tcPr>
          <w:p>
            <w:pPr>
              <w:jc w:val="left"/>
            </w:pPr>
            <w:r>
              <w:rPr/>
              <w:t>投标人检验领域情况 (6.0分)</w:t>
            </w:r>
          </w:p>
        </w:tc>
        <w:tc>
          <w:tcPr>
            <w:tcW w:type="dxa" w:w="5076"/>
          </w:tcPr>
          <w:p>
            <w:pPr>
              <w:jc w:val="left"/>
            </w:pPr>
            <w:r>
              <w:rPr/>
              <w:t>2019年1月1日以来参加国家市场监管总局或国家认监委（CNCA）组织的食品或食用农产品中重金属、农药残留、添加剂、兽药残留、毒素及微生物等检验能力验证活动，考核结果均为满意的，每提供一项得1分，最高得6分。 【投标人应提供能力验证结果通知复印件或证书复印件，以上材料均需加盖投标人公章，不满足不得分。】</w:t>
            </w:r>
          </w:p>
        </w:tc>
      </w:tr>
      <w:tr>
        <w:tc>
          <w:tcPr>
            <w:tcW w:type="dxa" w:w="922"/>
            <w:gridSpan w:val="2"/>
            <w:vMerge/>
          </w:tcPr>
          <w:p/>
        </w:tc>
        <w:tc>
          <w:tcPr>
            <w:tcW w:type="dxa" w:w="2307"/>
          </w:tcPr>
          <w:p>
            <w:pPr>
              <w:jc w:val="left"/>
            </w:pPr>
            <w:r>
              <w:rPr/>
              <w:t>投标人拟投入设备情况 (10.0分)</w:t>
            </w:r>
          </w:p>
        </w:tc>
        <w:tc>
          <w:tcPr>
            <w:tcW w:type="dxa" w:w="5076"/>
          </w:tcPr>
          <w:p>
            <w:pPr>
              <w:jc w:val="left"/>
            </w:pPr>
            <w:r>
              <w:rPr/>
              <w:t>对投标人具有用于食品检验的自有先进仪器设备情况进行评审： （1）超高效液相色谱高分辨质谱联用仪（LC-MS-MS）1台或以上； （2）气相色谱串联质谱仪（GC-MS-MS）1台或以上； （3）液相色谱串联质谱联用仪（LC-MS/MS）2台或以上； （4）气相色谱质谱联用仪（ GC-MS）3台或以上； （5）电感耦合等离子体质谱仪（ICP-MS）2台或以上； （6）原子荧光光度计（AFS）1台或以上； （7）自有冷藏车辆3台或以上。 （1）-（6）每满足1项的得1分，（7）满足得4分；最高得10分。 【注：投标时需提供设备清单、图片和购置发票复印件并加盖投标人公章。】</w:t>
            </w:r>
          </w:p>
        </w:tc>
      </w:tr>
      <w:tr>
        <w:tc>
          <w:tcPr>
            <w:tcW w:type="dxa" w:w="922"/>
            <w:gridSpan w:val="2"/>
            <w:vMerge w:val="restart"/>
          </w:tcPr>
          <w:p>
            <w:pPr>
              <w:jc w:val="center"/>
            </w:pPr>
            <w:r>
              <w:rPr/>
              <w:t>商务部分</w:t>
            </w:r>
          </w:p>
        </w:tc>
        <w:tc>
          <w:tcPr>
            <w:tcW w:type="dxa" w:w="2307"/>
          </w:tcPr>
          <w:p>
            <w:pPr>
              <w:jc w:val="left"/>
            </w:pPr>
            <w:r>
              <w:rPr/>
              <w:t>对商务要求的响应程度 (4.0分)</w:t>
            </w:r>
          </w:p>
        </w:tc>
        <w:tc>
          <w:tcPr>
            <w:tcW w:type="dxa" w:w="5076"/>
          </w:tcPr>
          <w:p>
            <w:pPr>
              <w:jc w:val="left"/>
            </w:pPr>
            <w:r>
              <w:rPr/>
              <w:t>根据招标文件商务要求，对所有投标人的响应程度，进行综合评审： （1） 响应程度优于招标文件要求，得4分； （2）响应程度符合招标文件要求，得2分； （3）响应程度部分符合招标文件要求，得1分， （4）其他情况，不得分。</w:t>
            </w:r>
          </w:p>
        </w:tc>
      </w:tr>
      <w:tr>
        <w:tc>
          <w:tcPr>
            <w:tcW w:type="dxa" w:w="922"/>
            <w:gridSpan w:val="2"/>
            <w:vMerge/>
          </w:tcPr>
          <w:p/>
        </w:tc>
        <w:tc>
          <w:tcPr>
            <w:tcW w:type="dxa" w:w="2307"/>
          </w:tcPr>
          <w:p>
            <w:pPr>
              <w:jc w:val="left"/>
            </w:pPr>
            <w:r>
              <w:rPr/>
              <w:t>投标人综合实力1 (6.0分)</w:t>
            </w:r>
          </w:p>
        </w:tc>
        <w:tc>
          <w:tcPr>
            <w:tcW w:type="dxa" w:w="5076"/>
          </w:tcPr>
          <w:p>
            <w:pPr>
              <w:jc w:val="left"/>
            </w:pPr>
            <w:r>
              <w:rPr/>
              <w:t>投标人具有以下资质每项得2分，最高6分： （1）具备CNAS资质； （2）具有CATL农产品质量安全检测机构； （3）具有ISO9001质量管理体系认证。 【注：提供证明文件并加盖公章。】</w:t>
            </w:r>
          </w:p>
        </w:tc>
      </w:tr>
      <w:tr>
        <w:tc>
          <w:tcPr>
            <w:tcW w:type="dxa" w:w="922"/>
            <w:gridSpan w:val="2"/>
            <w:vMerge/>
          </w:tcPr>
          <w:p/>
        </w:tc>
        <w:tc>
          <w:tcPr>
            <w:tcW w:type="dxa" w:w="2307"/>
          </w:tcPr>
          <w:p>
            <w:pPr>
              <w:jc w:val="left"/>
            </w:pPr>
            <w:r>
              <w:rPr/>
              <w:t>投标人综合实力2 (10.0分)</w:t>
            </w:r>
          </w:p>
        </w:tc>
        <w:tc>
          <w:tcPr>
            <w:tcW w:type="dxa" w:w="5076"/>
          </w:tcPr>
          <w:p>
            <w:pPr>
              <w:jc w:val="left"/>
            </w:pPr>
            <w:r>
              <w:rPr/>
              <w:t>投标人在2020、2021年食品安全抽检监测承检机构监督考核评价中，以每年综合排名进行计算，本项最终得分以每年排名得分相加进行计算。综合排名前10名的，得5分；综合排名11-15名的，得2.5分；综合排名16-20名的，得1.5分，综合排名20名之后的，得1分，其他情况不得分。  【注：以上评分按年计算，须提供相关证明材料，不提供不得分。】</w:t>
            </w:r>
          </w:p>
        </w:tc>
      </w:tr>
      <w:tr>
        <w:tc>
          <w:tcPr>
            <w:tcW w:type="dxa" w:w="922"/>
            <w:gridSpan w:val="2"/>
            <w:vMerge/>
          </w:tcPr>
          <w:p/>
        </w:tc>
        <w:tc>
          <w:tcPr>
            <w:tcW w:type="dxa" w:w="2307"/>
          </w:tcPr>
          <w:p>
            <w:pPr>
              <w:jc w:val="left"/>
            </w:pPr>
            <w:r>
              <w:rPr/>
              <w:t>投标人综合实力3 (10.0分)</w:t>
            </w:r>
          </w:p>
        </w:tc>
        <w:tc>
          <w:tcPr>
            <w:tcW w:type="dxa" w:w="5076"/>
          </w:tcPr>
          <w:p>
            <w:pPr>
              <w:jc w:val="left"/>
            </w:pPr>
            <w:r>
              <w:rPr/>
              <w:t>（1）投标人为产品测试分析公共技术服务平台的，得5分。 【注：投标文件中须提供具有实验名称的相关证书或批复文件复印件并加盖投标人公章】 （2）投标人获得食品安全管理员培训及考试资质的，得5分。  【注：投标文件中须提供具有实验名称的相关证书或批复文件复印件并加盖投标人公章。】</w:t>
            </w:r>
          </w:p>
        </w:tc>
      </w:tr>
      <w:tr>
        <w:tc>
          <w:tcPr>
            <w:tcW w:type="dxa" w:w="922"/>
            <w:gridSpan w:val="2"/>
            <w:vMerge/>
          </w:tcPr>
          <w:p/>
        </w:tc>
        <w:tc>
          <w:tcPr>
            <w:tcW w:type="dxa" w:w="2307"/>
          </w:tcPr>
          <w:p>
            <w:pPr>
              <w:jc w:val="left"/>
            </w:pPr>
            <w:r>
              <w:rPr/>
              <w:t>类似业绩 (10.0分)</w:t>
            </w:r>
          </w:p>
        </w:tc>
        <w:tc>
          <w:tcPr>
            <w:tcW w:type="dxa" w:w="5076"/>
          </w:tcPr>
          <w:p>
            <w:pPr>
              <w:jc w:val="left"/>
            </w:pPr>
            <w:r>
              <w:rPr/>
              <w:t>投标人2020年1月1日（以合同签订时间为准）以来同类业绩（食品（含食用农产品）检验）：具有独立承担食品安全抽检监测任务的，每提供一份得 2分，最高得10分。   【注：须提供合同复印件或任务委托文件或任务委托书复印件。证明材料需体现合同签订时间或委托时间，同一个用户单位的项目可累计得分。】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满足招标文件要求且投标价格（投标综合折扣率）最低的投标报价为评标基准价。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食品相关产品监督抽检和风险监测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项目实施方案 (15.0分)</w:t>
            </w:r>
          </w:p>
        </w:tc>
        <w:tc>
          <w:tcPr>
            <w:tcW w:type="dxa" w:w="5076"/>
          </w:tcPr>
          <w:p>
            <w:pPr>
              <w:jc w:val="left"/>
            </w:pPr>
            <w:r>
              <w:rPr/>
              <w:t>能根据本项目的任务类型和要求，组织实施检测工作，并制定明确的服务质量保证体系和项目工作制度。对实施方案的完整性、可行性和详细程度、进度安排及保证措施的合理性进行评分：  （1）实施方案完整、详细、优于本项目要求得15分；  （2）实施方案完整、详细、与本项目相适应得10分；  （3）实施方案较完整、详细、与本项目较相适得5分；  （4）实施方案不够完整、详细，与本项目不太相适得1分。  （5）其他或不提供不得分。 【注：提供实施方案，包括现场采样、样品保存、样品运输、样品检测、不合格处理、异议处理、数据上报，检测仪器设备、人员、实验室条件等内容】</w:t>
            </w:r>
          </w:p>
        </w:tc>
      </w:tr>
      <w:tr>
        <w:tc>
          <w:tcPr>
            <w:tcW w:type="dxa" w:w="922"/>
            <w:gridSpan w:val="2"/>
            <w:vMerge/>
          </w:tcPr>
          <w:p/>
        </w:tc>
        <w:tc>
          <w:tcPr>
            <w:tcW w:type="dxa" w:w="2307"/>
          </w:tcPr>
          <w:p>
            <w:pPr>
              <w:jc w:val="left"/>
            </w:pPr>
            <w:r>
              <w:rPr/>
              <w:t>科研能力 (16.0分)</w:t>
            </w:r>
          </w:p>
        </w:tc>
        <w:tc>
          <w:tcPr>
            <w:tcW w:type="dxa" w:w="5076"/>
          </w:tcPr>
          <w:p>
            <w:pPr>
              <w:jc w:val="left"/>
            </w:pPr>
            <w:r>
              <w:rPr/>
              <w:t>1、投标人自2017年1月1日以来，具有食品相关产品技术规范修订工作业绩情况，每一年有同类业绩得2分，最高得分8分。 2、投标人自2017年1月1日以来，参加食品相关产品监督抽查综合汇总工作，每一年有参加同类汇总工作情况得2分，最高得分8分。 【注：须提供相关证明材料复印件加盖公章。】</w:t>
            </w:r>
          </w:p>
        </w:tc>
      </w:tr>
      <w:tr>
        <w:tc>
          <w:tcPr>
            <w:tcW w:type="dxa" w:w="922"/>
            <w:gridSpan w:val="2"/>
            <w:vMerge/>
          </w:tcPr>
          <w:p/>
        </w:tc>
        <w:tc>
          <w:tcPr>
            <w:tcW w:type="dxa" w:w="2307"/>
          </w:tcPr>
          <w:p>
            <w:pPr>
              <w:jc w:val="left"/>
            </w:pPr>
            <w:r>
              <w:rPr/>
              <w:t>投标人综合实力 (10.0分)</w:t>
            </w:r>
          </w:p>
        </w:tc>
        <w:tc>
          <w:tcPr>
            <w:tcW w:type="dxa" w:w="5076"/>
          </w:tcPr>
          <w:p>
            <w:pPr>
              <w:jc w:val="left"/>
            </w:pPr>
            <w:r>
              <w:rPr/>
              <w:t>1、具备完善的食品或食品相关产品毒理检验室，具备使用实验动物进行试验的能力，同时具有食品或食品相关产品中致病菌毒性试验检测CMA能力，得4分。  【注：须提供相关证明材料复印件加盖公章。】 2、具备食品或食品相关产品中新冠病毒核酸检测能力，并取得病原微生物实验室备案资质，得4分。  【注：须提供相关证明材料复印件加盖公章。】  3、投标人拟投入的食品或食品相关产品检验独立实验室中，具备百级实验区域（符合《GB50591-2010 洁净室施工及验收规范》的要求），每提供1个得1分，2个或以上得2分，本项最高得2分。  【注：须提供由具备计量认可资质的第三方实验室出具的符合洁净度要求的检测报告复印件。】</w:t>
            </w:r>
          </w:p>
        </w:tc>
      </w:tr>
      <w:tr>
        <w:tc>
          <w:tcPr>
            <w:tcW w:type="dxa" w:w="922"/>
            <w:gridSpan w:val="2"/>
            <w:vMerge/>
          </w:tcPr>
          <w:p/>
        </w:tc>
        <w:tc>
          <w:tcPr>
            <w:tcW w:type="dxa" w:w="2307"/>
          </w:tcPr>
          <w:p>
            <w:pPr>
              <w:jc w:val="left"/>
            </w:pPr>
            <w:r>
              <w:rPr/>
              <w:t>拟投入本项目的检查车辆配备情况 (5.0分)</w:t>
            </w:r>
          </w:p>
        </w:tc>
        <w:tc>
          <w:tcPr>
            <w:tcW w:type="dxa" w:w="5076"/>
          </w:tcPr>
          <w:p>
            <w:pPr>
              <w:jc w:val="left"/>
            </w:pPr>
            <w:r>
              <w:rPr/>
              <w:t>（1）自有或租赁检查车辆大于10辆（含10辆），得5分。  （2）自有或租赁检查车辆5～9辆（含5辆），得3分；  （3）自有或租赁检查车辆小于5辆，得 1分。  【注：自有车辆以提供车辆行驶证、机动车登记证书等相关证明文件复印件并加盖公章为准。租赁车辆以提供租赁合同、车辆行驶证、机动车登记证书等相关证明文件复印件并加盖公章为准。】</w:t>
            </w:r>
          </w:p>
        </w:tc>
      </w:tr>
      <w:tr>
        <w:tc>
          <w:tcPr>
            <w:tcW w:type="dxa" w:w="922"/>
            <w:gridSpan w:val="2"/>
            <w:vMerge/>
          </w:tcPr>
          <w:p/>
        </w:tc>
        <w:tc>
          <w:tcPr>
            <w:tcW w:type="dxa" w:w="2307"/>
          </w:tcPr>
          <w:p>
            <w:pPr>
              <w:jc w:val="left"/>
            </w:pPr>
            <w:r>
              <w:rPr/>
              <w:t>拟投入本项目的团队人员情况 (8.0分)</w:t>
            </w:r>
          </w:p>
        </w:tc>
        <w:tc>
          <w:tcPr>
            <w:tcW w:type="dxa" w:w="5076"/>
          </w:tcPr>
          <w:p>
            <w:pPr>
              <w:jc w:val="left"/>
            </w:pPr>
            <w:r>
              <w:rPr/>
              <w:t>1、抽样人员（提供具有抽样员证书的人员）：20人或以上的，得 4 分；15-19人（含 15 人）的，得 3分；10-14人（含 10人）的，得2分；10人以下（不含 10人）得1分，本小项最高得 4分。  2、检验人员（提供具有检验员证书的人员）：50人或以上的，得 4 分；40-49人（含 40 人）的，得3分；30-39人（含 30 人）的，得 2分；30人以下（不含 30人）得1分，本小项最高得4分。  【注：须同时提供上述对应人员的证书复印件及在投标截止前6个月以内任意1个月投标人为其购买社会保险或缴纳个人所得税的证明。同一人持有多个证书不重复得分。】</w:t>
            </w:r>
          </w:p>
        </w:tc>
      </w:tr>
      <w:tr>
        <w:tc>
          <w:tcPr>
            <w:tcW w:type="dxa" w:w="922"/>
            <w:gridSpan w:val="2"/>
            <w:vMerge/>
          </w:tcPr>
          <w:p/>
        </w:tc>
        <w:tc>
          <w:tcPr>
            <w:tcW w:type="dxa" w:w="2307"/>
          </w:tcPr>
          <w:p>
            <w:pPr>
              <w:jc w:val="left"/>
            </w:pPr>
            <w:r>
              <w:rPr/>
              <w:t>实验室设备仪器情况 (6.0分)</w:t>
            </w:r>
          </w:p>
        </w:tc>
        <w:tc>
          <w:tcPr>
            <w:tcW w:type="dxa" w:w="5076"/>
          </w:tcPr>
          <w:p>
            <w:pPr>
              <w:jc w:val="left"/>
            </w:pPr>
            <w:r>
              <w:rPr/>
              <w:t>投标人具有能满足食品相关产品抽检监测要求的大型检验设备包括：  气相色谱仪、气相色谱-质谱联用仪（GC-MS）各两台及以上，且其中1台或以上气相色谱仪带顶空进样器的，得1分；  气相色谱－高分辨磁质谱联用仪，1台及以上，得2分；  电感耦合等离子体质谱仪（ICP-MS），1台及以上，得1分； 高效液相色谱仪及超高效液相-三重四级杆串联质谱仪，两台及以上，得1分；  液相色谱串联飞行时间质谱仪，1台及以上，得1分。  【注：仪器设备须为属于投标人所有，提交设备购置发票作为证明文件，所有证明文件需真实有效，否则追究其法律责任。同时投标人需提供设备照片并说明用途。】</w:t>
            </w:r>
          </w:p>
        </w:tc>
      </w:tr>
      <w:tr>
        <w:tc>
          <w:tcPr>
            <w:tcW w:type="dxa" w:w="922"/>
            <w:gridSpan w:val="2"/>
            <w:vMerge w:val="restart"/>
          </w:tcPr>
          <w:p>
            <w:pPr>
              <w:jc w:val="center"/>
            </w:pPr>
            <w:r>
              <w:rPr/>
              <w:t>商务部分</w:t>
            </w:r>
          </w:p>
        </w:tc>
        <w:tc>
          <w:tcPr>
            <w:tcW w:type="dxa" w:w="2307"/>
          </w:tcPr>
          <w:p>
            <w:pPr>
              <w:jc w:val="left"/>
            </w:pPr>
            <w:r>
              <w:rPr/>
              <w:t>对商务要求的响应程度 (2.0分)</w:t>
            </w:r>
          </w:p>
        </w:tc>
        <w:tc>
          <w:tcPr>
            <w:tcW w:type="dxa" w:w="5076"/>
          </w:tcPr>
          <w:p>
            <w:pPr>
              <w:jc w:val="left"/>
            </w:pPr>
            <w:r>
              <w:rPr/>
              <w:t>根据招标文件商务要求，对所有投标人的响应程度，进行综合评审：  （1）响应程度符合或优于招标文件要求，得2分；  （2）响应程度部分不符合招标文件要求，得1分；  （3）其他情况，不得分。</w:t>
            </w:r>
          </w:p>
        </w:tc>
      </w:tr>
      <w:tr>
        <w:tc>
          <w:tcPr>
            <w:tcW w:type="dxa" w:w="922"/>
            <w:gridSpan w:val="2"/>
            <w:vMerge/>
          </w:tcPr>
          <w:p/>
        </w:tc>
        <w:tc>
          <w:tcPr>
            <w:tcW w:type="dxa" w:w="2307"/>
          </w:tcPr>
          <w:p>
            <w:pPr>
              <w:jc w:val="left"/>
            </w:pPr>
            <w:r>
              <w:rPr/>
              <w:t>同类项目业绩 (8.0分)</w:t>
            </w:r>
          </w:p>
        </w:tc>
        <w:tc>
          <w:tcPr>
            <w:tcW w:type="dxa" w:w="5076"/>
          </w:tcPr>
          <w:p>
            <w:pPr>
              <w:jc w:val="left"/>
            </w:pPr>
            <w:r>
              <w:rPr/>
              <w:t>2020 年 1 月 1 日至今，投标人独立承担食品及食品相关产品安全监督抽检或评价性抽检任务的：  （1）抽检批次累计＞30000，得8分； （2）20000＜抽检批次累计≤30000，得4分；  （3）10000＜抽检批次累计≤20000，得2分；  （4）抽检批次累计≤10000，得1分； （5）其余情况不得分。  【注：须提供合同复印件或任务委托文件或任务委托书复印件。（证明材料需体现合同签订时间或委托时间以及抽检批次，同一个用户单位的项目可累计得分。】</w:t>
            </w:r>
          </w:p>
        </w:tc>
      </w:tr>
      <w:tr>
        <w:tc>
          <w:tcPr>
            <w:tcW w:type="dxa" w:w="922"/>
            <w:gridSpan w:val="2"/>
            <w:vMerge/>
          </w:tcPr>
          <w:p/>
        </w:tc>
        <w:tc>
          <w:tcPr>
            <w:tcW w:type="dxa" w:w="2307"/>
          </w:tcPr>
          <w:p>
            <w:pPr>
              <w:jc w:val="left"/>
            </w:pPr>
            <w:r>
              <w:rPr/>
              <w:t>产品质量检验机构工作质量分类监管评价 (8.0分)</w:t>
            </w:r>
          </w:p>
        </w:tc>
        <w:tc>
          <w:tcPr>
            <w:tcW w:type="dxa" w:w="5076"/>
          </w:tcPr>
          <w:p>
            <w:pPr>
              <w:jc w:val="left"/>
            </w:pPr>
            <w:r>
              <w:rPr/>
              <w:t>投标人在2021年食品或食品相关产品安全抽检监测承检机构监督考核评价中： 综合得分前三名的，得8分； 综合得分4-6名的，得4分； 综合得分7-10名的，得2分； 综合得分10名之后的，得1分； 其他情况不得分。  【注：投标文件须提供有关监管部门发布的通报文件复印件加盖公章。】</w:t>
            </w:r>
          </w:p>
        </w:tc>
      </w:tr>
      <w:tr>
        <w:tc>
          <w:tcPr>
            <w:tcW w:type="dxa" w:w="922"/>
            <w:gridSpan w:val="2"/>
            <w:vMerge/>
          </w:tcPr>
          <w:p/>
        </w:tc>
        <w:tc>
          <w:tcPr>
            <w:tcW w:type="dxa" w:w="2307"/>
          </w:tcPr>
          <w:p>
            <w:pPr>
              <w:jc w:val="left"/>
            </w:pPr>
            <w:r>
              <w:rPr/>
              <w:t>资质与认证 (8.0分)</w:t>
            </w:r>
          </w:p>
        </w:tc>
        <w:tc>
          <w:tcPr>
            <w:tcW w:type="dxa" w:w="5076"/>
          </w:tcPr>
          <w:p>
            <w:pPr>
              <w:jc w:val="left"/>
            </w:pPr>
            <w:r>
              <w:rPr/>
              <w:t>1、投标人进入国家市场监管总局、国家卫生健康委和农业农村部共同公布的食品复检机构名录的，得2分。  2、投标人具有有效的CNAS资质,得2分。  3、投标人具有食品相关产品安全风险评估中心的，得4分。  【注：须提供相关证明材料复印件。】</w:t>
            </w:r>
          </w:p>
        </w:tc>
      </w:tr>
      <w:tr>
        <w:tc>
          <w:tcPr>
            <w:tcW w:type="dxa" w:w="922"/>
            <w:gridSpan w:val="2"/>
            <w:vMerge/>
          </w:tcPr>
          <w:p/>
        </w:tc>
        <w:tc>
          <w:tcPr>
            <w:tcW w:type="dxa" w:w="2307"/>
          </w:tcPr>
          <w:p>
            <w:pPr>
              <w:jc w:val="left"/>
            </w:pPr>
            <w:r>
              <w:rPr/>
              <w:t>投标人服务响应情况 (4.0分)</w:t>
            </w:r>
          </w:p>
        </w:tc>
        <w:tc>
          <w:tcPr>
            <w:tcW w:type="dxa" w:w="5076"/>
          </w:tcPr>
          <w:p>
            <w:pPr>
              <w:jc w:val="left"/>
            </w:pPr>
            <w:r>
              <w:rPr/>
              <w:t>投标人提供服务响应方案，方案需要体现出包括但不限于接到采购人承检任务通知后的到场服务响应速度，处理及解决问题方案：  （1）接到采购人承检任务通知后，到场服务响应速度快，处理及解决问题方案，完全满足用户需求，得4分；  （2）接到采购人承检任务通知后，到场服务响应速度较快，处理及解决问题方案，基本满足用户需求，得2分；  （3）接到采购人承检任务通知后，到场服务响应速度慢，处理及解决问题方案，不太满足用户需求，得1分。  （4）不提供服务响应方案不得分。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满足招标文件要求且投标价格（投标综合折扣率）最低的投标报价为评标基准价。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粤东西北地区应急抽检监测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投标人前沿检测、分析方案1 (5.0分)</w:t>
            </w:r>
          </w:p>
        </w:tc>
        <w:tc>
          <w:tcPr>
            <w:tcW w:type="dxa" w:w="5076"/>
          </w:tcPr>
          <w:p>
            <w:pPr>
              <w:jc w:val="left"/>
            </w:pPr>
            <w:r>
              <w:rPr/>
              <w:t>针对食品及食品原料、食品添加剂非标检测、放射性物质残留检测所需的前沿性检测能力、技术开发能力及经验，如何开展食品转基因等检测方案进行评审： （1）前沿检测、分析方案具体全面、针对性强、科学合理、可操作性强得5分； （2）前沿检测、分析方案较具体全面、针对性较强、可操作性一般得3分； （3）前沿检测、分析方案不全面、无针对性、可操作性差得1分； （4）不提供不得分。</w:t>
            </w:r>
          </w:p>
        </w:tc>
      </w:tr>
      <w:tr>
        <w:tc>
          <w:tcPr>
            <w:tcW w:type="dxa" w:w="922"/>
            <w:gridSpan w:val="2"/>
            <w:vMerge/>
          </w:tcPr>
          <w:p/>
        </w:tc>
        <w:tc>
          <w:tcPr>
            <w:tcW w:type="dxa" w:w="2307"/>
          </w:tcPr>
          <w:p>
            <w:pPr>
              <w:jc w:val="left"/>
            </w:pPr>
            <w:r>
              <w:rPr/>
              <w:t>投标人前沿检测、分析方案2 (5.0分)</w:t>
            </w:r>
          </w:p>
        </w:tc>
        <w:tc>
          <w:tcPr>
            <w:tcW w:type="dxa" w:w="5076"/>
          </w:tcPr>
          <w:p>
            <w:pPr>
              <w:jc w:val="left"/>
            </w:pPr>
            <w:r>
              <w:rPr/>
              <w:t>针对农药残留快速筛查及牛羊肉等食品的真假鉴别、以及进口食品原料的优劣的前沿分析技术方案进行评审： （1）前沿检测、分析方案具体全面、针对性强、科学合理、可操作性强得5分； （2）前沿检测、分析方案较具体全面、针对性较强、可操作性一般得3分； （3）前沿检测、分析方案不全面、无针对性、可操作性差得1分； （4）不提供不得分。</w:t>
            </w:r>
          </w:p>
        </w:tc>
      </w:tr>
      <w:tr>
        <w:tc>
          <w:tcPr>
            <w:tcW w:type="dxa" w:w="922"/>
            <w:gridSpan w:val="2"/>
            <w:vMerge/>
          </w:tcPr>
          <w:p/>
        </w:tc>
        <w:tc>
          <w:tcPr>
            <w:tcW w:type="dxa" w:w="2307"/>
          </w:tcPr>
          <w:p>
            <w:pPr>
              <w:jc w:val="left"/>
            </w:pPr>
            <w:r>
              <w:rPr/>
              <w:t>项目实施方案 (5.0分)</w:t>
            </w:r>
          </w:p>
        </w:tc>
        <w:tc>
          <w:tcPr>
            <w:tcW w:type="dxa" w:w="5076"/>
          </w:tcPr>
          <w:p>
            <w:pPr>
              <w:jc w:val="left"/>
            </w:pPr>
            <w:r>
              <w:rPr/>
              <w:t>能根据本项目的任务类型和要求，组织实施检测工作，并制定明确的服务质量保证体系和项目工作制度。对实施方案的完整性、可行性和详细程度、进度安排及保证措施的合理性进行评分：  （1）实施方案完整、详细、优于本项目要求得5分；  （2）实施方案完整、详细、与本项目相适应得3分；  （3）实施方案较完整、详细、与本项目较相适得2分；  （4）实施方案不够完整、详细，与本项目不太相适得1分。  （5）其他或不提供不得分。 【注：提供实施方案，包括现场采样、样品保存、样品运输、样品检测、不合格处理、异议处理等条件等内容】</w:t>
            </w:r>
          </w:p>
        </w:tc>
      </w:tr>
      <w:tr>
        <w:tc>
          <w:tcPr>
            <w:tcW w:type="dxa" w:w="922"/>
            <w:gridSpan w:val="2"/>
            <w:vMerge/>
          </w:tcPr>
          <w:p/>
        </w:tc>
        <w:tc>
          <w:tcPr>
            <w:tcW w:type="dxa" w:w="2307"/>
          </w:tcPr>
          <w:p>
            <w:pPr>
              <w:jc w:val="left"/>
            </w:pPr>
            <w:r>
              <w:rPr/>
              <w:t>投标人前沿检测、分析方案3 (4.0分)</w:t>
            </w:r>
          </w:p>
        </w:tc>
        <w:tc>
          <w:tcPr>
            <w:tcW w:type="dxa" w:w="5076"/>
          </w:tcPr>
          <w:p>
            <w:pPr>
              <w:jc w:val="left"/>
            </w:pPr>
            <w:r>
              <w:rPr/>
              <w:t>投标人自2020年1月1日具有参与制定食品安全国家标准或行业标准或地方标准或团体标准经验，且该标准已向社会公布，每提供一个得2分，本项累计最高得4分。 【注：提供相关证明材料，不提供不得分。】</w:t>
            </w:r>
          </w:p>
        </w:tc>
      </w:tr>
      <w:tr>
        <w:tc>
          <w:tcPr>
            <w:tcW w:type="dxa" w:w="922"/>
            <w:gridSpan w:val="2"/>
            <w:vMerge/>
          </w:tcPr>
          <w:p/>
        </w:tc>
        <w:tc>
          <w:tcPr>
            <w:tcW w:type="dxa" w:w="2307"/>
          </w:tcPr>
          <w:p>
            <w:pPr>
              <w:jc w:val="left"/>
            </w:pPr>
            <w:r>
              <w:rPr/>
              <w:t>投标人科研能力 (2.0分)</w:t>
            </w:r>
          </w:p>
        </w:tc>
        <w:tc>
          <w:tcPr>
            <w:tcW w:type="dxa" w:w="5076"/>
          </w:tcPr>
          <w:p>
            <w:pPr>
              <w:jc w:val="left"/>
            </w:pPr>
            <w:r>
              <w:rPr/>
              <w:t>投标人自2020年1月1日以来获得过食品（含食用农产品）相关科研课题奖项情况：每提供一个得1分；本项累计最高得2分。 【注：提供相关证明材料，不提供不得分。】</w:t>
            </w:r>
          </w:p>
        </w:tc>
      </w:tr>
      <w:tr>
        <w:tc>
          <w:tcPr>
            <w:tcW w:type="dxa" w:w="922"/>
            <w:gridSpan w:val="2"/>
            <w:vMerge/>
          </w:tcPr>
          <w:p/>
        </w:tc>
        <w:tc>
          <w:tcPr>
            <w:tcW w:type="dxa" w:w="2307"/>
          </w:tcPr>
          <w:p>
            <w:pPr>
              <w:jc w:val="left"/>
            </w:pPr>
            <w:r>
              <w:rPr/>
              <w:t>投标人拟投入项目人员 (6.0分)</w:t>
            </w:r>
          </w:p>
        </w:tc>
        <w:tc>
          <w:tcPr>
            <w:tcW w:type="dxa" w:w="5076"/>
          </w:tcPr>
          <w:p>
            <w:pPr>
              <w:jc w:val="left"/>
            </w:pPr>
            <w:r>
              <w:rPr/>
              <w:t>投标人拟投入本项目的正高级职称人员（食品、药学、化学、质量相关专业）或省级或以上食品安全专家库（如：食品生产行业“诊脉”专家库）人员，每提供一人得2分，本项最高得6分。 【注：同一人持有多项证书不重复得分。投标人需同时提供以上对应人员：①职称证书复印件或专家库人员名单截图，②投标人为其缴交的投标截止前6个月以内任意1个月的社保证明材料复印件。】</w:t>
            </w:r>
          </w:p>
        </w:tc>
      </w:tr>
      <w:tr>
        <w:tc>
          <w:tcPr>
            <w:tcW w:type="dxa" w:w="922"/>
            <w:gridSpan w:val="2"/>
            <w:vMerge/>
          </w:tcPr>
          <w:p/>
        </w:tc>
        <w:tc>
          <w:tcPr>
            <w:tcW w:type="dxa" w:w="2307"/>
          </w:tcPr>
          <w:p>
            <w:pPr>
              <w:jc w:val="left"/>
            </w:pPr>
            <w:r>
              <w:rPr/>
              <w:t>食品检验独立实验室情况1 (3.0分)</w:t>
            </w:r>
          </w:p>
        </w:tc>
        <w:tc>
          <w:tcPr>
            <w:tcW w:type="dxa" w:w="5076"/>
          </w:tcPr>
          <w:p>
            <w:pPr>
              <w:jc w:val="left"/>
            </w:pPr>
            <w:r>
              <w:rPr/>
              <w:t>投标人具有国家级食品检验中心资格得3分；省级食品质量安全重点实验室得2分；其他不得分。本项最高得3分。 【注：提供证明文件复印件及相关佐证材料，不提供不得分。其中国家认监委发放的CAL或CMA证书可证明具备国家级质检中心资质和相应的技术能力】</w:t>
            </w:r>
          </w:p>
        </w:tc>
      </w:tr>
      <w:tr>
        <w:tc>
          <w:tcPr>
            <w:tcW w:type="dxa" w:w="922"/>
            <w:gridSpan w:val="2"/>
            <w:vMerge/>
          </w:tcPr>
          <w:p/>
        </w:tc>
        <w:tc>
          <w:tcPr>
            <w:tcW w:type="dxa" w:w="2307"/>
          </w:tcPr>
          <w:p>
            <w:pPr>
              <w:jc w:val="left"/>
            </w:pPr>
            <w:r>
              <w:rPr/>
              <w:t>食品检验独立实验室情况2 (4.0分)</w:t>
            </w:r>
          </w:p>
        </w:tc>
        <w:tc>
          <w:tcPr>
            <w:tcW w:type="dxa" w:w="5076"/>
          </w:tcPr>
          <w:p>
            <w:pPr>
              <w:jc w:val="left"/>
            </w:pPr>
            <w:r>
              <w:rPr/>
              <w:t>针对投标人承担食品（含食用农产品）检验的独立实验室环境情况，内部管理进行评审：  评审标准：  （1） 独立实验室区域划分科学、合理；  （2） 独立实验室区域划分安全性强；  【注：提供能体现(1)-(2)项评审标准的实验室现场照片，不提供不得分。】 （3） 独立实验室内部管理制度完善；  （4） 独立实验室内部管理制度合理性强。 【注：(3)-(4)项,提供实验室内部管理制度复印件，不提供不得分。】 以上评审标准每满足一项得1分，最高得4分。</w:t>
            </w:r>
          </w:p>
        </w:tc>
      </w:tr>
      <w:tr>
        <w:tc>
          <w:tcPr>
            <w:tcW w:type="dxa" w:w="922"/>
            <w:gridSpan w:val="2"/>
            <w:vMerge/>
          </w:tcPr>
          <w:p/>
        </w:tc>
        <w:tc>
          <w:tcPr>
            <w:tcW w:type="dxa" w:w="2307"/>
          </w:tcPr>
          <w:p>
            <w:pPr>
              <w:jc w:val="left"/>
            </w:pPr>
            <w:r>
              <w:rPr/>
              <w:t>投标人检验领域情况 (6.0分)</w:t>
            </w:r>
          </w:p>
        </w:tc>
        <w:tc>
          <w:tcPr>
            <w:tcW w:type="dxa" w:w="5076"/>
          </w:tcPr>
          <w:p>
            <w:pPr>
              <w:jc w:val="left"/>
            </w:pPr>
            <w:r>
              <w:rPr/>
              <w:t>2019年1月1日以来参加国家市场监管总局或国家认监委（CNCA）组织的食品或食用农产品中重金属、农药残留、添加剂、兽药残留、毒素及微生物等检验能力验证活动，考核结果均为满意的，每提供一项得1分，最高得6分。 【投标人应提供能力验证结果通知复印件或证书复印件，以上材料均需加盖投标人公章，不满足不得分。】</w:t>
            </w:r>
          </w:p>
        </w:tc>
      </w:tr>
      <w:tr>
        <w:tc>
          <w:tcPr>
            <w:tcW w:type="dxa" w:w="922"/>
            <w:gridSpan w:val="2"/>
            <w:vMerge/>
          </w:tcPr>
          <w:p/>
        </w:tc>
        <w:tc>
          <w:tcPr>
            <w:tcW w:type="dxa" w:w="2307"/>
          </w:tcPr>
          <w:p>
            <w:pPr>
              <w:jc w:val="left"/>
            </w:pPr>
            <w:r>
              <w:rPr/>
              <w:t>投标人拟投入设备情况 (10.0分)</w:t>
            </w:r>
          </w:p>
        </w:tc>
        <w:tc>
          <w:tcPr>
            <w:tcW w:type="dxa" w:w="5076"/>
          </w:tcPr>
          <w:p>
            <w:pPr>
              <w:jc w:val="left"/>
            </w:pPr>
            <w:r>
              <w:rPr/>
              <w:t>对投标人具有用于食品检验的自有先进仪器设备情况进行评审： （1）超高效液相色谱高分辨质谱联用仪（LC-MS-MS）1台或以上； （2）气相色谱串联质谱仪（GC-MS-MS）1台或以上； （3）液相色谱串联质谱联用仪（LC-MS/MS）2台或以上； （4）气相色谱质谱联用仪（ GC-MS）3台或以上； （5）电感耦合等离子体质谱仪（ICP-MS）2台或以上； （6）原子荧光光度计（AFS）1台或以上； （7）自有冷藏车辆3台或以上。 （1）-（6）每满足1项的得1分，（7）满足得4分；最高得10分。 【注：投标时需提供设备清单、图片和购置发票复印件并加盖投标人公章。】</w:t>
            </w:r>
          </w:p>
        </w:tc>
      </w:tr>
      <w:tr>
        <w:tc>
          <w:tcPr>
            <w:tcW w:type="dxa" w:w="922"/>
            <w:gridSpan w:val="2"/>
            <w:vMerge w:val="restart"/>
          </w:tcPr>
          <w:p>
            <w:pPr>
              <w:jc w:val="center"/>
            </w:pPr>
            <w:r>
              <w:rPr/>
              <w:t>商务部分</w:t>
            </w:r>
          </w:p>
        </w:tc>
        <w:tc>
          <w:tcPr>
            <w:tcW w:type="dxa" w:w="2307"/>
          </w:tcPr>
          <w:p>
            <w:pPr>
              <w:jc w:val="left"/>
            </w:pPr>
            <w:r>
              <w:rPr/>
              <w:t>对商务要求的响应程度 (4.0分)</w:t>
            </w:r>
          </w:p>
        </w:tc>
        <w:tc>
          <w:tcPr>
            <w:tcW w:type="dxa" w:w="5076"/>
          </w:tcPr>
          <w:p>
            <w:pPr>
              <w:jc w:val="left"/>
            </w:pPr>
            <w:r>
              <w:rPr/>
              <w:t>根据招标文件商务要求，对所有投标人的响应程度，进行综合评审： （1） 响应程度优于招标文件要求，得4分； （2）响应程度符合招标文件要求，得2分； （3）响应程度部分符合招标文件要求，得1分， （4）其他情况，不得分。</w:t>
            </w:r>
          </w:p>
        </w:tc>
      </w:tr>
      <w:tr>
        <w:tc>
          <w:tcPr>
            <w:tcW w:type="dxa" w:w="922"/>
            <w:gridSpan w:val="2"/>
            <w:vMerge/>
          </w:tcPr>
          <w:p/>
        </w:tc>
        <w:tc>
          <w:tcPr>
            <w:tcW w:type="dxa" w:w="2307"/>
          </w:tcPr>
          <w:p>
            <w:pPr>
              <w:jc w:val="left"/>
            </w:pPr>
            <w:r>
              <w:rPr/>
              <w:t>投标人综合实力1 (6.0分)</w:t>
            </w:r>
          </w:p>
        </w:tc>
        <w:tc>
          <w:tcPr>
            <w:tcW w:type="dxa" w:w="5076"/>
          </w:tcPr>
          <w:p>
            <w:pPr>
              <w:jc w:val="left"/>
            </w:pPr>
            <w:r>
              <w:rPr/>
              <w:t>投标人具有以下资质每项得2分，最高6分： （1）具备CNAS资质； （2）具有CATL农产品质量安全检测机构； （3）具有ISO9001质量管理体系认证。 【注：提供证明文件并加盖公章。】</w:t>
            </w:r>
          </w:p>
        </w:tc>
      </w:tr>
      <w:tr>
        <w:tc>
          <w:tcPr>
            <w:tcW w:type="dxa" w:w="922"/>
            <w:gridSpan w:val="2"/>
            <w:vMerge/>
          </w:tcPr>
          <w:p/>
        </w:tc>
        <w:tc>
          <w:tcPr>
            <w:tcW w:type="dxa" w:w="2307"/>
          </w:tcPr>
          <w:p>
            <w:pPr>
              <w:jc w:val="left"/>
            </w:pPr>
            <w:r>
              <w:rPr/>
              <w:t>投标人综合实力2 (10.0分)</w:t>
            </w:r>
          </w:p>
        </w:tc>
        <w:tc>
          <w:tcPr>
            <w:tcW w:type="dxa" w:w="5076"/>
          </w:tcPr>
          <w:p>
            <w:pPr>
              <w:jc w:val="left"/>
            </w:pPr>
            <w:r>
              <w:rPr/>
              <w:t>投标人在2020、2021年食品安全抽检监测承检机构监督考核评价中，以每年综合排名进行计算，本项最终得分以每年排名得分相加进行计算。综合排名前10名的，得5分；综合排名11-15名的，得2.5分；综合排名16-20名的，得1.5分，综合排名20名之后的，得1分，其他情况不得分。  【注：以上评分按年计算，须提供相关证明材料，不提供不得分。】</w:t>
            </w:r>
          </w:p>
        </w:tc>
      </w:tr>
      <w:tr>
        <w:tc>
          <w:tcPr>
            <w:tcW w:type="dxa" w:w="922"/>
            <w:gridSpan w:val="2"/>
            <w:vMerge/>
          </w:tcPr>
          <w:p/>
        </w:tc>
        <w:tc>
          <w:tcPr>
            <w:tcW w:type="dxa" w:w="2307"/>
          </w:tcPr>
          <w:p>
            <w:pPr>
              <w:jc w:val="left"/>
            </w:pPr>
            <w:r>
              <w:rPr/>
              <w:t>投标人综合实力3 (10.0分)</w:t>
            </w:r>
          </w:p>
        </w:tc>
        <w:tc>
          <w:tcPr>
            <w:tcW w:type="dxa" w:w="5076"/>
          </w:tcPr>
          <w:p>
            <w:pPr>
              <w:jc w:val="left"/>
            </w:pPr>
            <w:r>
              <w:rPr/>
              <w:t>（1）投标人为产品测试分析公共技术服务平台的，得5分。 【注：投标文件中须提供具有实验名称的相关证书或批复文件复印件并加盖投标人公章】 （2）投标人获得食品安全管理员培训及考试资质的，得5分。  【注：投标文件中须提供具有实验名称的相关证书或批复文件复印件并加盖投标人公章。】</w:t>
            </w:r>
          </w:p>
        </w:tc>
      </w:tr>
      <w:tr>
        <w:tc>
          <w:tcPr>
            <w:tcW w:type="dxa" w:w="922"/>
            <w:gridSpan w:val="2"/>
            <w:vMerge/>
          </w:tcPr>
          <w:p/>
        </w:tc>
        <w:tc>
          <w:tcPr>
            <w:tcW w:type="dxa" w:w="2307"/>
          </w:tcPr>
          <w:p>
            <w:pPr>
              <w:jc w:val="left"/>
            </w:pPr>
            <w:r>
              <w:rPr/>
              <w:t>类似业绩 (10.0分)</w:t>
            </w:r>
          </w:p>
        </w:tc>
        <w:tc>
          <w:tcPr>
            <w:tcW w:type="dxa" w:w="5076"/>
          </w:tcPr>
          <w:p>
            <w:pPr>
              <w:jc w:val="left"/>
            </w:pPr>
            <w:r>
              <w:rPr/>
              <w:t>投标人2020年1月1日（以合同签订时间为准）以来同类业绩（食品（含食用农产品）检验）：具有独立承担食品安全抽检监测任务的，每提供一份得 2分，最高得10分。   【注：须提供合同复印件或任务委托文件或任务委托书复印件。证明材料需体现合同签订时间或委托时间，同一个用户单位的项目可累计得分。】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满足招标文件要求且投标价格（投标综合折扣率）最低的投标报价为评标基准价。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珠三角地区应急抽检</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投标人前沿检测、分析方案1 (5.0分)</w:t>
            </w:r>
          </w:p>
        </w:tc>
        <w:tc>
          <w:tcPr>
            <w:tcW w:type="dxa" w:w="5076"/>
          </w:tcPr>
          <w:p>
            <w:pPr>
              <w:jc w:val="left"/>
            </w:pPr>
            <w:r>
              <w:rPr/>
              <w:t>针对食品及食品原料、食品添加剂非标检测、放射性物质残留检测所需的前沿性检测能力、技术开发能力及经验，如何开展食品转基因等检测方案进行评审： （1）前沿检测、分析方案具体全面、针对性强、科学合理、可操作性强得5分； （2）前沿检测、分析方案较具体全面、针对性较强、可操作性一般得3分； （3）前沿检测、分析方案不全面、无针对性、可操作性差得1分； （4）不提供不得分。</w:t>
            </w:r>
          </w:p>
        </w:tc>
      </w:tr>
      <w:tr>
        <w:tc>
          <w:tcPr>
            <w:tcW w:type="dxa" w:w="922"/>
            <w:gridSpan w:val="2"/>
            <w:vMerge/>
          </w:tcPr>
          <w:p/>
        </w:tc>
        <w:tc>
          <w:tcPr>
            <w:tcW w:type="dxa" w:w="2307"/>
          </w:tcPr>
          <w:p>
            <w:pPr>
              <w:jc w:val="left"/>
            </w:pPr>
            <w:r>
              <w:rPr/>
              <w:t>投标人前沿检测、分析方案2 (5.0分)</w:t>
            </w:r>
          </w:p>
        </w:tc>
        <w:tc>
          <w:tcPr>
            <w:tcW w:type="dxa" w:w="5076"/>
          </w:tcPr>
          <w:p>
            <w:pPr>
              <w:jc w:val="left"/>
            </w:pPr>
            <w:r>
              <w:rPr/>
              <w:t>针对农药残留快速筛查及牛羊肉等食品的真假鉴别、以及进口食品原料的优劣的前沿分析技术方案进行评审： （1）前沿检测、分析方案具体全面、针对性强、科学合理、可操作性强得5分； （2）前沿检测、分析方案较具体全面、针对性较强、可操作性一般得3分； （3）前沿检测、分析方案不全面、无针对性、可操作性差得1分； （4）不提供不得分。</w:t>
            </w:r>
          </w:p>
        </w:tc>
      </w:tr>
      <w:tr>
        <w:tc>
          <w:tcPr>
            <w:tcW w:type="dxa" w:w="922"/>
            <w:gridSpan w:val="2"/>
            <w:vMerge/>
          </w:tcPr>
          <w:p/>
        </w:tc>
        <w:tc>
          <w:tcPr>
            <w:tcW w:type="dxa" w:w="2307"/>
          </w:tcPr>
          <w:p>
            <w:pPr>
              <w:jc w:val="left"/>
            </w:pPr>
            <w:r>
              <w:rPr/>
              <w:t>项目实施方案 (5.0分)</w:t>
            </w:r>
          </w:p>
        </w:tc>
        <w:tc>
          <w:tcPr>
            <w:tcW w:type="dxa" w:w="5076"/>
          </w:tcPr>
          <w:p>
            <w:pPr>
              <w:jc w:val="left"/>
            </w:pPr>
            <w:r>
              <w:rPr/>
              <w:t>能根据本项目的任务类型和要求，组织实施检测工作，并制定明确的服务质量保证体系和项目工作制度。对实施方案的完整性、可行性和详细程度、进度安排及保证措施的合理性进行评分：  （1）实施方案完整、详细、优于本项目要求得5分；  （2）实施方案完整、详细、与本项目相适应得3分；  （3）实施方案较完整、详细、与本项目较相适得2分；  （4）实施方案不够完整、详细，与本项目不太相适得1分。  （5）其他或不提供不得分。 【注：提供实施方案，包括现场采样、样品保存、样品运输、样品检测、不合格处理、异议处理等条件等内容】</w:t>
            </w:r>
          </w:p>
        </w:tc>
      </w:tr>
      <w:tr>
        <w:tc>
          <w:tcPr>
            <w:tcW w:type="dxa" w:w="922"/>
            <w:gridSpan w:val="2"/>
            <w:vMerge/>
          </w:tcPr>
          <w:p/>
        </w:tc>
        <w:tc>
          <w:tcPr>
            <w:tcW w:type="dxa" w:w="2307"/>
          </w:tcPr>
          <w:p>
            <w:pPr>
              <w:jc w:val="left"/>
            </w:pPr>
            <w:r>
              <w:rPr/>
              <w:t>投标人前沿检测、分析方案3 (4.0分)</w:t>
            </w:r>
          </w:p>
        </w:tc>
        <w:tc>
          <w:tcPr>
            <w:tcW w:type="dxa" w:w="5076"/>
          </w:tcPr>
          <w:p>
            <w:pPr>
              <w:jc w:val="left"/>
            </w:pPr>
            <w:r>
              <w:rPr/>
              <w:t>投标人自2020年1月1日具有参与制定食品安全国家标准或行业标准或地方标准或团体标准经验，且该标准已向社会公布，每提供一个得2分，本项累计最高得4分。 【注：提供相关证明材料，不提供不得分。】</w:t>
            </w:r>
          </w:p>
        </w:tc>
      </w:tr>
      <w:tr>
        <w:tc>
          <w:tcPr>
            <w:tcW w:type="dxa" w:w="922"/>
            <w:gridSpan w:val="2"/>
            <w:vMerge/>
          </w:tcPr>
          <w:p/>
        </w:tc>
        <w:tc>
          <w:tcPr>
            <w:tcW w:type="dxa" w:w="2307"/>
          </w:tcPr>
          <w:p>
            <w:pPr>
              <w:jc w:val="left"/>
            </w:pPr>
            <w:r>
              <w:rPr/>
              <w:t>投标人科研能力 (2.0分)</w:t>
            </w:r>
          </w:p>
        </w:tc>
        <w:tc>
          <w:tcPr>
            <w:tcW w:type="dxa" w:w="5076"/>
          </w:tcPr>
          <w:p>
            <w:pPr>
              <w:jc w:val="left"/>
            </w:pPr>
            <w:r>
              <w:rPr/>
              <w:t>投标人自2020年1月1日以来获得过食品（含食用农产品）相关科研课题奖项情况：每提供一个得1分；本项累计最高得2分。 【注：提供相关证明材料，不提供不得分。】</w:t>
            </w:r>
          </w:p>
        </w:tc>
      </w:tr>
      <w:tr>
        <w:tc>
          <w:tcPr>
            <w:tcW w:type="dxa" w:w="922"/>
            <w:gridSpan w:val="2"/>
            <w:vMerge/>
          </w:tcPr>
          <w:p/>
        </w:tc>
        <w:tc>
          <w:tcPr>
            <w:tcW w:type="dxa" w:w="2307"/>
          </w:tcPr>
          <w:p>
            <w:pPr>
              <w:jc w:val="left"/>
            </w:pPr>
            <w:r>
              <w:rPr/>
              <w:t>投标人拟投入项目人员 (6.0分)</w:t>
            </w:r>
          </w:p>
        </w:tc>
        <w:tc>
          <w:tcPr>
            <w:tcW w:type="dxa" w:w="5076"/>
          </w:tcPr>
          <w:p>
            <w:pPr>
              <w:jc w:val="left"/>
            </w:pPr>
            <w:r>
              <w:rPr/>
              <w:t>投标人拟投入本项目的正高级职称人员（食品、药学、化学、质量相关专业）或省级或以上食品安全专家库（如：食品生产行业“诊脉”专家库）人员，每提供一人得2分，本项最高得6分。 【注：同一人持有多项证书不重复得分。投标人需同时提供以上对应人员：①职称证书复印件或专家库人员名单截图，②投标人为其缴交的投标截止前6个月以内任意1个月的社保证明材料复印件。】</w:t>
            </w:r>
          </w:p>
        </w:tc>
      </w:tr>
      <w:tr>
        <w:tc>
          <w:tcPr>
            <w:tcW w:type="dxa" w:w="922"/>
            <w:gridSpan w:val="2"/>
            <w:vMerge/>
          </w:tcPr>
          <w:p/>
        </w:tc>
        <w:tc>
          <w:tcPr>
            <w:tcW w:type="dxa" w:w="2307"/>
          </w:tcPr>
          <w:p>
            <w:pPr>
              <w:jc w:val="left"/>
            </w:pPr>
            <w:r>
              <w:rPr/>
              <w:t>食品检验独立实验室情况1 (3.0分)</w:t>
            </w:r>
          </w:p>
        </w:tc>
        <w:tc>
          <w:tcPr>
            <w:tcW w:type="dxa" w:w="5076"/>
          </w:tcPr>
          <w:p>
            <w:pPr>
              <w:jc w:val="left"/>
            </w:pPr>
            <w:r>
              <w:rPr/>
              <w:t>投标人具有国家级食品检验中心资格得3分；省级食品质量安全重点实验室得2分；其他不得分。本项最高得3分。 【注：提供证明文件复印件及相关佐证材料，不提供不得分。其中国家认监委发放的CAL或CMA证书可证明具备国家级质检中心资质和相应的技术能力】</w:t>
            </w:r>
          </w:p>
        </w:tc>
      </w:tr>
      <w:tr>
        <w:tc>
          <w:tcPr>
            <w:tcW w:type="dxa" w:w="922"/>
            <w:gridSpan w:val="2"/>
            <w:vMerge/>
          </w:tcPr>
          <w:p/>
        </w:tc>
        <w:tc>
          <w:tcPr>
            <w:tcW w:type="dxa" w:w="2307"/>
          </w:tcPr>
          <w:p>
            <w:pPr>
              <w:jc w:val="left"/>
            </w:pPr>
            <w:r>
              <w:rPr/>
              <w:t>食品检验独立实验室情况2 (4.0分)</w:t>
            </w:r>
          </w:p>
        </w:tc>
        <w:tc>
          <w:tcPr>
            <w:tcW w:type="dxa" w:w="5076"/>
          </w:tcPr>
          <w:p>
            <w:pPr>
              <w:jc w:val="left"/>
            </w:pPr>
            <w:r>
              <w:rPr/>
              <w:t>针对投标人承担食品（含食用农产品）检验的独立实验室环境情况，内部管理进行评审：  评审标准：  （1） 独立实验室区域划分科学、合理；  （2） 独立实验室区域划分安全性强；  【注：提供能体现(1)-(2)项评审标准的实验室现场照片，不提供不得分。】 （3） 独立实验室内部管理制度完善；  （4） 独立实验室内部管理制度合理性强。 【注：(3)-(4)项,提供实验室内部管理制度复印件，不提供不得分。】 以上评审标准每满足一项得1分，最高得4分。</w:t>
            </w:r>
          </w:p>
        </w:tc>
      </w:tr>
      <w:tr>
        <w:tc>
          <w:tcPr>
            <w:tcW w:type="dxa" w:w="922"/>
            <w:gridSpan w:val="2"/>
            <w:vMerge/>
          </w:tcPr>
          <w:p/>
        </w:tc>
        <w:tc>
          <w:tcPr>
            <w:tcW w:type="dxa" w:w="2307"/>
          </w:tcPr>
          <w:p>
            <w:pPr>
              <w:jc w:val="left"/>
            </w:pPr>
            <w:r>
              <w:rPr/>
              <w:t>投标人检验领域情况 (6.0分)</w:t>
            </w:r>
          </w:p>
        </w:tc>
        <w:tc>
          <w:tcPr>
            <w:tcW w:type="dxa" w:w="5076"/>
          </w:tcPr>
          <w:p>
            <w:pPr>
              <w:jc w:val="left"/>
            </w:pPr>
            <w:r>
              <w:rPr/>
              <w:t>2019年1月1日以来参加国家市场监管总局或国家认监委（CNCA）组织的食品或食用农产品中重金属、农药残留、添加剂、兽药残留、毒素及微生物等检验能力验证活动，考核结果均为满意的，每提供一项得1分，最高得6分。 【投标人应提供能力验证结果通知复印件或证书复印件，以上材料均需加盖投标人公章，不满足不得分。】</w:t>
            </w:r>
          </w:p>
        </w:tc>
      </w:tr>
      <w:tr>
        <w:tc>
          <w:tcPr>
            <w:tcW w:type="dxa" w:w="922"/>
            <w:gridSpan w:val="2"/>
            <w:vMerge/>
          </w:tcPr>
          <w:p/>
        </w:tc>
        <w:tc>
          <w:tcPr>
            <w:tcW w:type="dxa" w:w="2307"/>
          </w:tcPr>
          <w:p>
            <w:pPr>
              <w:jc w:val="left"/>
            </w:pPr>
            <w:r>
              <w:rPr/>
              <w:t>投标人拟投入设备情况 (10.0分)</w:t>
            </w:r>
          </w:p>
        </w:tc>
        <w:tc>
          <w:tcPr>
            <w:tcW w:type="dxa" w:w="5076"/>
          </w:tcPr>
          <w:p>
            <w:pPr>
              <w:jc w:val="left"/>
            </w:pPr>
            <w:r>
              <w:rPr/>
              <w:t>对投标人具有用于食品检验的自有先进仪器设备情况进行评审： （1）超高效液相色谱高分辨质谱联用仪（LC-MS-MS）1台或以上； （2）气相色谱串联质谱仪（GC-MS-MS）1台或以上； （3）液相色谱串联质谱联用仪（LC-MS/MS）2台或以上； （4）气相色谱质谱联用仪（ GC-MS）3台或以上； （5）电感耦合等离子体质谱仪（ICP-MS）2台或以上； （6）原子荧光光度计（AFS）1台或以上； （7）自有冷藏车辆3台或以上。 （1）-（6）每满足1项的得1分，（7）满足得4分；最高得10分。 【注：投标时需提供设备清单、图片和购置发票复印件并加盖投标人公章。】</w:t>
            </w:r>
          </w:p>
        </w:tc>
      </w:tr>
      <w:tr>
        <w:tc>
          <w:tcPr>
            <w:tcW w:type="dxa" w:w="922"/>
            <w:gridSpan w:val="2"/>
            <w:vMerge w:val="restart"/>
          </w:tcPr>
          <w:p>
            <w:pPr>
              <w:jc w:val="center"/>
            </w:pPr>
            <w:r>
              <w:rPr/>
              <w:t>商务部分</w:t>
            </w:r>
          </w:p>
        </w:tc>
        <w:tc>
          <w:tcPr>
            <w:tcW w:type="dxa" w:w="2307"/>
          </w:tcPr>
          <w:p>
            <w:pPr>
              <w:jc w:val="left"/>
            </w:pPr>
            <w:r>
              <w:rPr/>
              <w:t>对商务要求的响应程度 (4.0分)</w:t>
            </w:r>
          </w:p>
        </w:tc>
        <w:tc>
          <w:tcPr>
            <w:tcW w:type="dxa" w:w="5076"/>
          </w:tcPr>
          <w:p>
            <w:pPr>
              <w:jc w:val="left"/>
            </w:pPr>
            <w:r>
              <w:rPr/>
              <w:t>根据招标文件商务要求，对所有投标人的响应程度，进行综合评审： （1） 响应程度优于招标文件要求，得4分； （2）响应程度符合招标文件要求，得2分； （3）响应程度部分符合招标文件要求，得1分， （4）其他情况，不得分。</w:t>
            </w:r>
          </w:p>
        </w:tc>
      </w:tr>
      <w:tr>
        <w:tc>
          <w:tcPr>
            <w:tcW w:type="dxa" w:w="922"/>
            <w:gridSpan w:val="2"/>
            <w:vMerge/>
          </w:tcPr>
          <w:p/>
        </w:tc>
        <w:tc>
          <w:tcPr>
            <w:tcW w:type="dxa" w:w="2307"/>
          </w:tcPr>
          <w:p>
            <w:pPr>
              <w:jc w:val="left"/>
            </w:pPr>
            <w:r>
              <w:rPr/>
              <w:t>投标人综合实力1 (6.0分)</w:t>
            </w:r>
          </w:p>
        </w:tc>
        <w:tc>
          <w:tcPr>
            <w:tcW w:type="dxa" w:w="5076"/>
          </w:tcPr>
          <w:p>
            <w:pPr>
              <w:jc w:val="left"/>
            </w:pPr>
            <w:r>
              <w:rPr/>
              <w:t>投标人具有以下资质每项得2分，最高6分： （1）具备CNAS资质； （2）具有CATL农产品质量安全检测机构； （3）具有ISO9001质量管理体系认证。 【注：提供证明文件并加盖公章。】</w:t>
            </w:r>
          </w:p>
        </w:tc>
      </w:tr>
      <w:tr>
        <w:tc>
          <w:tcPr>
            <w:tcW w:type="dxa" w:w="922"/>
            <w:gridSpan w:val="2"/>
            <w:vMerge/>
          </w:tcPr>
          <w:p/>
        </w:tc>
        <w:tc>
          <w:tcPr>
            <w:tcW w:type="dxa" w:w="2307"/>
          </w:tcPr>
          <w:p>
            <w:pPr>
              <w:jc w:val="left"/>
            </w:pPr>
            <w:r>
              <w:rPr/>
              <w:t>投标人综合实力2 (10.0分)</w:t>
            </w:r>
          </w:p>
        </w:tc>
        <w:tc>
          <w:tcPr>
            <w:tcW w:type="dxa" w:w="5076"/>
          </w:tcPr>
          <w:p>
            <w:pPr>
              <w:jc w:val="left"/>
            </w:pPr>
            <w:r>
              <w:rPr/>
              <w:t>投标人在2020、2021年食品安全抽检监测承检机构监督考核评价中，以每年综合排名进行计算，本项最终得分以每年排名得分相加进行计算。综合排名前10名的，得5分；综合排名11-15名的，得2.5分；综合排名16-20名的，得1.5分，综合排名20名之后的，得1分，其他情况不得分。  【注：以上评分按年计算，须提供相关证明材料，不提供不得分。】</w:t>
            </w:r>
          </w:p>
        </w:tc>
      </w:tr>
      <w:tr>
        <w:tc>
          <w:tcPr>
            <w:tcW w:type="dxa" w:w="922"/>
            <w:gridSpan w:val="2"/>
            <w:vMerge/>
          </w:tcPr>
          <w:p/>
        </w:tc>
        <w:tc>
          <w:tcPr>
            <w:tcW w:type="dxa" w:w="2307"/>
          </w:tcPr>
          <w:p>
            <w:pPr>
              <w:jc w:val="left"/>
            </w:pPr>
            <w:r>
              <w:rPr/>
              <w:t>投标人综合实力3 (10.0分)</w:t>
            </w:r>
          </w:p>
        </w:tc>
        <w:tc>
          <w:tcPr>
            <w:tcW w:type="dxa" w:w="5076"/>
          </w:tcPr>
          <w:p>
            <w:pPr>
              <w:jc w:val="left"/>
            </w:pPr>
            <w:r>
              <w:rPr/>
              <w:t>（1）投标人为产品测试分析公共技术服务平台的，得5分。 【注：投标文件中须提供具有实验名称的相关证书或批复文件复印件并加盖投标人公章】 （2）投标人获得食品安全管理员培训及考试资质的，得5分。  【注：投标文件中须提供具有实验名称的相关证书或批复文件复印件并加盖投标人公章。】</w:t>
            </w:r>
          </w:p>
        </w:tc>
      </w:tr>
      <w:tr>
        <w:tc>
          <w:tcPr>
            <w:tcW w:type="dxa" w:w="922"/>
            <w:gridSpan w:val="2"/>
            <w:vMerge/>
          </w:tcPr>
          <w:p/>
        </w:tc>
        <w:tc>
          <w:tcPr>
            <w:tcW w:type="dxa" w:w="2307"/>
          </w:tcPr>
          <w:p>
            <w:pPr>
              <w:jc w:val="left"/>
            </w:pPr>
            <w:r>
              <w:rPr/>
              <w:t>类似业绩 (10.0分)</w:t>
            </w:r>
          </w:p>
        </w:tc>
        <w:tc>
          <w:tcPr>
            <w:tcW w:type="dxa" w:w="5076"/>
          </w:tcPr>
          <w:p>
            <w:pPr>
              <w:jc w:val="left"/>
            </w:pPr>
            <w:r>
              <w:rPr/>
              <w:t>投标人2020年1月1日（以合同签订时间为准）以来同类业绩（食品（含食用农产品）检验）：具有独立承担食品安全抽检监测任务的，每提供一份得 2分，最高得10分。   【注：须提供合同复印件或任务委托文件或任务委托书复印件。证明材料需体现合同签订时间或委托时间，同一个用户单位的项目可累计得分。】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满足招标文件要求且投标价格（投标综合折扣率）最低的投标报价为评标基准价。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采购包3：</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采购包4：</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采购包5：</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采购包6：</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评审后得分最高的同品牌投标人获得中标人推荐资格；评审得分相同的，由采购人或者采购人委托评标委员会采取随机抽取方式确定，其他同品牌投标人不作为中标候选人）。</w:t>
      </w:r>
    </w:p>
    <w:p/>
    <w:p>
      <w:r>
        <w:rPr/>
        <w:t>采购包7：</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采购包8：</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 合同具体事项须根据采购文件的约定及乙方投标文件的承诺执行；</w:t>
      </w:r>
    </w:p>
    <w:p>
      <w:pPr>
        <w:ind w:firstLine="211"/>
        <w:jc w:val="left"/>
      </w:pPr>
    </w:p>
    <w:p>
      <w:pPr>
        <w:jc w:val="center"/>
      </w:pPr>
      <w:r>
        <w:rPr>
          <w:b/>
          <w:sz w:val="28"/>
        </w:rPr>
        <w:t>政府采购合同</w:t>
      </w:r>
    </w:p>
    <w:p>
      <w:pPr>
        <w:jc w:val="center"/>
      </w:pP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合同类别：服务</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 20XX年XX月XX日星期至20XX年XX月XX日</w:t>
      </w:r>
    </w:p>
    <w:p>
      <w:pPr>
        <w:jc w:val="both"/>
      </w:pPr>
      <w:r>
        <w:rPr>
          <w:sz w:val="21"/>
        </w:rPr>
        <w:t>是否包含涉密条款：否</w:t>
      </w:r>
    </w:p>
    <w:p>
      <w:pPr>
        <w:jc w:val="both"/>
      </w:pPr>
      <w:r>
        <w:rPr>
          <w:sz w:val="21"/>
        </w:rPr>
        <w:t>备注：</w:t>
      </w:r>
    </w:p>
    <w:p>
      <w:pPr>
        <w:jc w:val="both"/>
      </w:pPr>
    </w:p>
    <w:p>
      <w:pPr>
        <w:jc w:val="both"/>
      </w:pPr>
      <w:r>
        <w:rPr>
          <w:sz w:val="21"/>
        </w:rPr>
        <w:t xml:space="preserve">甲方（采购人）：                               </w:t>
      </w:r>
    </w:p>
    <w:p>
      <w:pPr>
        <w:jc w:val="both"/>
      </w:pPr>
      <w:r>
        <w:rPr>
          <w:sz w:val="21"/>
        </w:rPr>
        <w:t xml:space="preserve">乙方（中标供应商）：                               </w:t>
      </w:r>
    </w:p>
    <w:p>
      <w:pPr>
        <w:jc w:val="both"/>
      </w:pPr>
      <w:r>
        <w:rPr>
          <w:sz w:val="21"/>
        </w:rPr>
        <w:t xml:space="preserve">   </w:t>
      </w:r>
      <w:r>
        <w:rPr>
          <w:sz w:val="21"/>
        </w:rPr>
        <w:t>根据《中华人民共和国政府采购法》、《中华人民共和国民法典》等相关法律法规及</w:t>
      </w:r>
      <w:r>
        <w:rPr>
          <w:sz w:val="21"/>
          <w:u w:val="single"/>
        </w:rPr>
        <w:t>2022年食品生产环节抽检监测和风险监测项目</w:t>
      </w:r>
      <w:r>
        <w:rPr>
          <w:sz w:val="21"/>
        </w:rPr>
        <w:t>招标文件（项目编号：GZGK22P092C0323Z，采购包</w:t>
      </w:r>
      <w:r>
        <w:rPr>
          <w:sz w:val="21"/>
          <w:u w:val="single"/>
        </w:rPr>
        <w:t xml:space="preserve">    </w:t>
      </w:r>
      <w:r>
        <w:rPr>
          <w:sz w:val="21"/>
        </w:rPr>
        <w:t>）的要求，经双方协商，本着平等互利和诚实信用的原则，一致同意签订本合同。</w:t>
      </w:r>
    </w:p>
    <w:p>
      <w:pPr>
        <w:jc w:val="both"/>
      </w:pPr>
      <w:r>
        <w:rPr>
          <w:b/>
          <w:sz w:val="21"/>
        </w:rPr>
        <w:t>一、合同采购内容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87"/>
        <w:gridCol w:w="962"/>
        <w:gridCol w:w="1137"/>
        <w:gridCol w:w="1137"/>
        <w:gridCol w:w="962"/>
        <w:gridCol w:w="962"/>
        <w:gridCol w:w="787"/>
        <w:gridCol w:w="787"/>
        <w:gridCol w:w="787"/>
      </w:tblGrid>
      <w:tr>
        <w:tc>
          <w:tcPr>
            <w:tcW w:type="dxa" w:w="787"/>
            <w:tcBorders>
              <w:top w:val="single" w:color="000000" w:sz="4"/>
              <w:left w:val="single" w:color="000000" w:sz="4"/>
              <w:bottom w:val="single" w:color="000000" w:sz="4"/>
              <w:right w:val="single" w:color="000000" w:sz="4"/>
            </w:tcBorders>
          </w:tcPr>
          <w:p>
            <w:pPr>
              <w:jc w:val="center"/>
            </w:pPr>
            <w:r>
              <w:rPr>
                <w:sz w:val="21"/>
              </w:rPr>
              <w:t>序号</w:t>
            </w:r>
          </w:p>
        </w:tc>
        <w:tc>
          <w:tcPr>
            <w:tcW w:type="dxa" w:w="962"/>
            <w:tcBorders>
              <w:top w:val="single" w:color="000000" w:sz="4"/>
              <w:left w:val="none" w:color="000000" w:sz="4"/>
              <w:bottom w:val="single" w:color="000000" w:sz="4"/>
              <w:right w:val="single" w:color="000000" w:sz="4"/>
            </w:tcBorders>
          </w:tcPr>
          <w:p>
            <w:pPr>
              <w:jc w:val="center"/>
            </w:pPr>
            <w:r>
              <w:rPr>
                <w:sz w:val="21"/>
              </w:rPr>
              <w:t>品目编码</w:t>
            </w:r>
          </w:p>
        </w:tc>
        <w:tc>
          <w:tcPr>
            <w:tcW w:type="dxa" w:w="1137"/>
            <w:tcBorders>
              <w:top w:val="single" w:color="000000" w:sz="4"/>
              <w:left w:val="none" w:color="000000" w:sz="4"/>
              <w:bottom w:val="single" w:color="000000" w:sz="4"/>
              <w:right w:val="single" w:color="000000" w:sz="4"/>
            </w:tcBorders>
          </w:tcPr>
          <w:p>
            <w:pPr>
              <w:jc w:val="center"/>
            </w:pPr>
            <w:r>
              <w:rPr>
                <w:sz w:val="21"/>
              </w:rPr>
              <w:t>品目名称</w:t>
            </w:r>
          </w:p>
        </w:tc>
        <w:tc>
          <w:tcPr>
            <w:tcW w:type="dxa" w:w="1137"/>
            <w:tcBorders>
              <w:top w:val="single" w:color="000000" w:sz="4"/>
              <w:left w:val="none" w:color="000000" w:sz="4"/>
              <w:bottom w:val="single" w:color="000000" w:sz="4"/>
              <w:right w:val="single" w:color="000000" w:sz="4"/>
            </w:tcBorders>
          </w:tcPr>
          <w:p>
            <w:pPr>
              <w:jc w:val="center"/>
            </w:pPr>
            <w:r>
              <w:rPr>
                <w:sz w:val="21"/>
              </w:rPr>
              <w:t>采购标的</w:t>
            </w:r>
          </w:p>
        </w:tc>
        <w:tc>
          <w:tcPr>
            <w:tcW w:type="dxa" w:w="962"/>
            <w:tcBorders>
              <w:top w:val="single" w:color="000000" w:sz="4"/>
              <w:left w:val="none" w:color="000000" w:sz="4"/>
              <w:bottom w:val="single" w:color="000000" w:sz="4"/>
              <w:right w:val="single" w:color="000000" w:sz="4"/>
            </w:tcBorders>
          </w:tcPr>
          <w:p>
            <w:pPr>
              <w:jc w:val="center"/>
            </w:pPr>
            <w:r>
              <w:rPr>
                <w:sz w:val="21"/>
              </w:rPr>
              <w:t>采购数量</w:t>
            </w:r>
          </w:p>
        </w:tc>
        <w:tc>
          <w:tcPr>
            <w:tcW w:type="dxa" w:w="962"/>
            <w:tcBorders>
              <w:top w:val="single" w:color="000000" w:sz="4"/>
              <w:left w:val="none" w:color="000000" w:sz="4"/>
              <w:bottom w:val="single" w:color="000000" w:sz="4"/>
              <w:right w:val="single" w:color="000000" w:sz="4"/>
            </w:tcBorders>
          </w:tcPr>
          <w:p>
            <w:pPr>
              <w:jc w:val="center"/>
            </w:pPr>
            <w:r>
              <w:rPr>
                <w:sz w:val="21"/>
              </w:rPr>
              <w:t>计量单位</w:t>
            </w:r>
          </w:p>
        </w:tc>
        <w:tc>
          <w:tcPr>
            <w:tcW w:type="dxa" w:w="787"/>
            <w:tcBorders>
              <w:top w:val="single" w:color="000000" w:sz="4"/>
              <w:left w:val="none" w:color="000000" w:sz="4"/>
              <w:bottom w:val="single" w:color="000000" w:sz="4"/>
              <w:right w:val="single" w:color="000000" w:sz="4"/>
            </w:tcBorders>
            <w:vAlign w:val="top"/>
          </w:tcPr>
          <w:p>
            <w:pPr>
              <w:jc w:val="center"/>
            </w:pPr>
            <w:r>
              <w:rPr>
                <w:sz w:val="21"/>
              </w:rPr>
              <w:t>服务范围</w:t>
            </w:r>
          </w:p>
        </w:tc>
        <w:tc>
          <w:tcPr>
            <w:tcW w:type="dxa" w:w="787"/>
            <w:tcBorders>
              <w:top w:val="single" w:color="000000" w:sz="4"/>
              <w:left w:val="none" w:color="000000" w:sz="4"/>
              <w:bottom w:val="single" w:color="000000" w:sz="4"/>
              <w:right w:val="single" w:color="000000" w:sz="4"/>
            </w:tcBorders>
          </w:tcPr>
          <w:p>
            <w:pPr>
              <w:jc w:val="center"/>
            </w:pPr>
            <w:r>
              <w:rPr>
                <w:sz w:val="21"/>
              </w:rPr>
              <w:t>单价（元）</w:t>
            </w:r>
          </w:p>
        </w:tc>
        <w:tc>
          <w:tcPr>
            <w:tcW w:type="dxa" w:w="787"/>
            <w:tcBorders>
              <w:top w:val="single" w:color="000000" w:sz="4"/>
              <w:left w:val="none" w:color="000000" w:sz="4"/>
              <w:bottom w:val="single" w:color="000000" w:sz="4"/>
              <w:right w:val="single" w:color="000000" w:sz="4"/>
            </w:tcBorders>
          </w:tcPr>
          <w:p>
            <w:pPr>
              <w:jc w:val="center"/>
            </w:pPr>
            <w:r>
              <w:rPr>
                <w:sz w:val="21"/>
              </w:rPr>
              <w:t>金额（元）</w:t>
            </w:r>
          </w:p>
        </w:tc>
      </w:tr>
      <w:tr>
        <w:tc>
          <w:tcPr>
            <w:tcW w:type="dxa" w:w="787"/>
            <w:tcBorders>
              <w:top w:val="none" w:color="000000" w:sz="4"/>
              <w:left w:val="single" w:color="000000" w:sz="4"/>
              <w:bottom w:val="single" w:color="000000" w:sz="4"/>
              <w:right w:val="single" w:color="000000" w:sz="4"/>
            </w:tcBorders>
          </w:tcPr>
          <w:p>
            <w:pPr>
              <w:jc w:val="center"/>
            </w:pPr>
            <w:r>
              <w:rPr>
                <w:sz w:val="21"/>
              </w:rPr>
              <w:t>1</w:t>
            </w:r>
          </w:p>
        </w:tc>
        <w:tc>
          <w:tcPr>
            <w:tcW w:type="dxa" w:w="962"/>
            <w:tcBorders>
              <w:top w:val="none" w:color="000000" w:sz="4"/>
              <w:left w:val="none" w:color="000000" w:sz="4"/>
              <w:bottom w:val="single" w:color="000000" w:sz="4"/>
              <w:right w:val="single" w:color="000000" w:sz="4"/>
            </w:tcBorders>
          </w:tcPr>
          <w:p>
            <w:pPr>
              <w:jc w:val="both"/>
            </w:pPr>
          </w:p>
        </w:tc>
        <w:tc>
          <w:tcPr>
            <w:tcW w:type="dxa" w:w="1137"/>
            <w:tcBorders>
              <w:top w:val="none" w:color="000000" w:sz="4"/>
              <w:left w:val="none" w:color="000000" w:sz="4"/>
              <w:bottom w:val="single" w:color="000000" w:sz="4"/>
              <w:right w:val="single" w:color="000000" w:sz="4"/>
            </w:tcBorders>
          </w:tcPr>
          <w:p>
            <w:pPr>
              <w:jc w:val="both"/>
            </w:pPr>
          </w:p>
        </w:tc>
        <w:tc>
          <w:tcPr>
            <w:tcW w:type="dxa" w:w="1137"/>
            <w:tcBorders>
              <w:top w:val="none" w:color="000000" w:sz="4"/>
              <w:left w:val="none" w:color="000000" w:sz="4"/>
              <w:bottom w:val="single" w:color="000000" w:sz="4"/>
              <w:right w:val="single" w:color="000000" w:sz="4"/>
            </w:tcBorders>
          </w:tcPr>
          <w:p>
            <w:pPr>
              <w:jc w:val="both"/>
            </w:pPr>
          </w:p>
        </w:tc>
        <w:tc>
          <w:tcPr>
            <w:tcW w:type="dxa" w:w="962"/>
            <w:tcBorders>
              <w:top w:val="none" w:color="000000" w:sz="4"/>
              <w:left w:val="none" w:color="000000" w:sz="4"/>
              <w:bottom w:val="single" w:color="000000" w:sz="4"/>
              <w:right w:val="single" w:color="000000" w:sz="4"/>
            </w:tcBorders>
          </w:tcPr>
          <w:p>
            <w:pPr>
              <w:jc w:val="both"/>
            </w:pPr>
          </w:p>
        </w:tc>
        <w:tc>
          <w:tcPr>
            <w:tcW w:type="dxa" w:w="962"/>
            <w:tcBorders>
              <w:top w:val="none" w:color="000000" w:sz="4"/>
              <w:left w:val="none" w:color="000000" w:sz="4"/>
              <w:bottom w:val="single" w:color="000000" w:sz="4"/>
              <w:right w:val="single" w:color="000000" w:sz="4"/>
            </w:tcBorders>
          </w:tcPr>
          <w:p>
            <w:pPr>
              <w:jc w:val="both"/>
            </w:pPr>
          </w:p>
        </w:tc>
        <w:tc>
          <w:tcPr>
            <w:tcW w:type="dxa" w:w="787"/>
            <w:tcBorders>
              <w:top w:val="none" w:color="000000" w:sz="4"/>
              <w:left w:val="none" w:color="000000" w:sz="4"/>
              <w:bottom w:val="single" w:color="000000" w:sz="4"/>
              <w:right w:val="single" w:color="000000" w:sz="4"/>
            </w:tcBorders>
            <w:vAlign w:val="top"/>
          </w:tcPr>
          <w:p>
            <w:pPr>
              <w:jc w:val="both"/>
            </w:pPr>
          </w:p>
        </w:tc>
        <w:tc>
          <w:tcPr>
            <w:tcW w:type="dxa" w:w="787"/>
            <w:tcBorders>
              <w:top w:val="none" w:color="000000" w:sz="4"/>
              <w:left w:val="none" w:color="000000" w:sz="4"/>
              <w:bottom w:val="single" w:color="000000" w:sz="4"/>
              <w:right w:val="single" w:color="000000" w:sz="4"/>
            </w:tcBorders>
            <w:vAlign w:val="top"/>
          </w:tcPr>
          <w:p>
            <w:pPr>
              <w:jc w:val="both"/>
            </w:pPr>
          </w:p>
        </w:tc>
        <w:tc>
          <w:tcPr>
            <w:tcW w:type="dxa" w:w="787"/>
            <w:tcBorders>
              <w:top w:val="none" w:color="000000" w:sz="4"/>
              <w:left w:val="none" w:color="000000" w:sz="4"/>
              <w:bottom w:val="single" w:color="000000" w:sz="4"/>
              <w:right w:val="single" w:color="000000" w:sz="4"/>
            </w:tcBorders>
          </w:tcPr>
          <w:p>
            <w:pPr>
              <w:jc w:val="both"/>
            </w:pPr>
          </w:p>
        </w:tc>
      </w:tr>
      <w:tr>
        <w:tc>
          <w:tcPr>
            <w:tcW w:type="dxa" w:w="787"/>
            <w:tcBorders>
              <w:top w:val="none" w:color="000000" w:sz="4"/>
              <w:left w:val="single" w:color="000000" w:sz="4"/>
              <w:bottom w:val="single" w:color="000000" w:sz="4"/>
              <w:right w:val="single" w:color="000000" w:sz="4"/>
            </w:tcBorders>
          </w:tcPr>
          <w:p>
            <w:pPr>
              <w:jc w:val="center"/>
            </w:pPr>
            <w:r>
              <w:rPr>
                <w:sz w:val="21"/>
              </w:rPr>
              <w:t>2</w:t>
            </w:r>
          </w:p>
        </w:tc>
        <w:tc>
          <w:tcPr>
            <w:tcW w:type="dxa" w:w="962"/>
            <w:tcBorders>
              <w:top w:val="none" w:color="000000" w:sz="4"/>
              <w:left w:val="none" w:color="000000" w:sz="4"/>
              <w:bottom w:val="single" w:color="000000" w:sz="4"/>
              <w:right w:val="single" w:color="000000" w:sz="4"/>
            </w:tcBorders>
          </w:tcPr>
          <w:p>
            <w:pPr>
              <w:jc w:val="both"/>
            </w:pPr>
          </w:p>
        </w:tc>
        <w:tc>
          <w:tcPr>
            <w:tcW w:type="dxa" w:w="1137"/>
            <w:tcBorders>
              <w:top w:val="none" w:color="000000" w:sz="4"/>
              <w:left w:val="none" w:color="000000" w:sz="4"/>
              <w:bottom w:val="single" w:color="000000" w:sz="4"/>
              <w:right w:val="single" w:color="000000" w:sz="4"/>
            </w:tcBorders>
          </w:tcPr>
          <w:p>
            <w:pPr>
              <w:jc w:val="both"/>
            </w:pPr>
          </w:p>
        </w:tc>
        <w:tc>
          <w:tcPr>
            <w:tcW w:type="dxa" w:w="1137"/>
            <w:tcBorders>
              <w:top w:val="none" w:color="000000" w:sz="4"/>
              <w:left w:val="none" w:color="000000" w:sz="4"/>
              <w:bottom w:val="single" w:color="000000" w:sz="4"/>
              <w:right w:val="single" w:color="000000" w:sz="4"/>
            </w:tcBorders>
          </w:tcPr>
          <w:p>
            <w:pPr>
              <w:jc w:val="both"/>
            </w:pPr>
          </w:p>
        </w:tc>
        <w:tc>
          <w:tcPr>
            <w:tcW w:type="dxa" w:w="962"/>
            <w:tcBorders>
              <w:top w:val="none" w:color="000000" w:sz="4"/>
              <w:left w:val="none" w:color="000000" w:sz="4"/>
              <w:bottom w:val="single" w:color="000000" w:sz="4"/>
              <w:right w:val="single" w:color="000000" w:sz="4"/>
            </w:tcBorders>
          </w:tcPr>
          <w:p>
            <w:pPr>
              <w:jc w:val="both"/>
            </w:pPr>
          </w:p>
        </w:tc>
        <w:tc>
          <w:tcPr>
            <w:tcW w:type="dxa" w:w="962"/>
            <w:tcBorders>
              <w:top w:val="none" w:color="000000" w:sz="4"/>
              <w:left w:val="none" w:color="000000" w:sz="4"/>
              <w:bottom w:val="single" w:color="000000" w:sz="4"/>
              <w:right w:val="single" w:color="000000" w:sz="4"/>
            </w:tcBorders>
          </w:tcPr>
          <w:p>
            <w:pPr>
              <w:jc w:val="both"/>
            </w:pPr>
          </w:p>
        </w:tc>
        <w:tc>
          <w:tcPr>
            <w:tcW w:type="dxa" w:w="787"/>
            <w:tcBorders>
              <w:top w:val="none" w:color="000000" w:sz="4"/>
              <w:left w:val="none" w:color="000000" w:sz="4"/>
              <w:bottom w:val="single" w:color="000000" w:sz="4"/>
              <w:right w:val="single" w:color="000000" w:sz="4"/>
            </w:tcBorders>
            <w:vAlign w:val="top"/>
          </w:tcPr>
          <w:p>
            <w:pPr>
              <w:jc w:val="both"/>
            </w:pPr>
          </w:p>
        </w:tc>
        <w:tc>
          <w:tcPr>
            <w:tcW w:type="dxa" w:w="787"/>
            <w:tcBorders>
              <w:top w:val="none" w:color="000000" w:sz="4"/>
              <w:left w:val="none" w:color="000000" w:sz="4"/>
              <w:bottom w:val="single" w:color="000000" w:sz="4"/>
              <w:right w:val="single" w:color="000000" w:sz="4"/>
            </w:tcBorders>
            <w:vAlign w:val="top"/>
          </w:tcPr>
          <w:p>
            <w:pPr>
              <w:jc w:val="both"/>
            </w:pPr>
          </w:p>
        </w:tc>
        <w:tc>
          <w:tcPr>
            <w:tcW w:type="dxa" w:w="787"/>
            <w:tcBorders>
              <w:top w:val="none" w:color="000000" w:sz="4"/>
              <w:left w:val="none" w:color="000000" w:sz="4"/>
              <w:bottom w:val="single" w:color="000000" w:sz="4"/>
              <w:right w:val="single" w:color="000000" w:sz="4"/>
            </w:tcBorders>
          </w:tcPr>
          <w:p>
            <w:pPr>
              <w:jc w:val="both"/>
            </w:pPr>
          </w:p>
        </w:tc>
      </w:tr>
      <w:tr>
        <w:tc>
          <w:tcPr>
            <w:tcW w:type="dxa" w:w="787"/>
            <w:tcBorders>
              <w:top w:val="none" w:color="000000" w:sz="4"/>
              <w:left w:val="single" w:color="000000" w:sz="4"/>
              <w:bottom w:val="single" w:color="000000" w:sz="4"/>
              <w:right w:val="single" w:color="000000" w:sz="4"/>
            </w:tcBorders>
          </w:tcPr>
          <w:p>
            <w:pPr>
              <w:jc w:val="center"/>
            </w:pPr>
            <w:r>
              <w:rPr>
                <w:sz w:val="21"/>
              </w:rPr>
              <w:t>……</w:t>
            </w:r>
          </w:p>
        </w:tc>
        <w:tc>
          <w:tcPr>
            <w:tcW w:type="dxa" w:w="962"/>
            <w:tcBorders>
              <w:top w:val="none" w:color="000000" w:sz="4"/>
              <w:left w:val="none" w:color="000000" w:sz="4"/>
              <w:bottom w:val="single" w:color="000000" w:sz="4"/>
              <w:right w:val="single" w:color="000000" w:sz="4"/>
            </w:tcBorders>
          </w:tcPr>
          <w:p>
            <w:pPr>
              <w:jc w:val="both"/>
            </w:pPr>
          </w:p>
        </w:tc>
        <w:tc>
          <w:tcPr>
            <w:tcW w:type="dxa" w:w="1137"/>
            <w:tcBorders>
              <w:top w:val="none" w:color="000000" w:sz="4"/>
              <w:left w:val="none" w:color="000000" w:sz="4"/>
              <w:bottom w:val="single" w:color="000000" w:sz="4"/>
              <w:right w:val="single" w:color="000000" w:sz="4"/>
            </w:tcBorders>
          </w:tcPr>
          <w:p>
            <w:pPr>
              <w:jc w:val="both"/>
            </w:pPr>
          </w:p>
        </w:tc>
        <w:tc>
          <w:tcPr>
            <w:tcW w:type="dxa" w:w="1137"/>
            <w:tcBorders>
              <w:top w:val="none" w:color="000000" w:sz="4"/>
              <w:left w:val="none" w:color="000000" w:sz="4"/>
              <w:bottom w:val="single" w:color="000000" w:sz="4"/>
              <w:right w:val="single" w:color="000000" w:sz="4"/>
            </w:tcBorders>
          </w:tcPr>
          <w:p>
            <w:pPr>
              <w:jc w:val="both"/>
            </w:pPr>
          </w:p>
        </w:tc>
        <w:tc>
          <w:tcPr>
            <w:tcW w:type="dxa" w:w="962"/>
            <w:tcBorders>
              <w:top w:val="none" w:color="000000" w:sz="4"/>
              <w:left w:val="none" w:color="000000" w:sz="4"/>
              <w:bottom w:val="single" w:color="000000" w:sz="4"/>
              <w:right w:val="single" w:color="000000" w:sz="4"/>
            </w:tcBorders>
          </w:tcPr>
          <w:p>
            <w:pPr>
              <w:jc w:val="both"/>
            </w:pPr>
          </w:p>
        </w:tc>
        <w:tc>
          <w:tcPr>
            <w:tcW w:type="dxa" w:w="962"/>
            <w:tcBorders>
              <w:top w:val="none" w:color="000000" w:sz="4"/>
              <w:left w:val="none" w:color="000000" w:sz="4"/>
              <w:bottom w:val="single" w:color="000000" w:sz="4"/>
              <w:right w:val="single" w:color="000000" w:sz="4"/>
            </w:tcBorders>
          </w:tcPr>
          <w:p>
            <w:pPr>
              <w:jc w:val="both"/>
            </w:pPr>
          </w:p>
        </w:tc>
        <w:tc>
          <w:tcPr>
            <w:tcW w:type="dxa" w:w="787"/>
            <w:tcBorders>
              <w:top w:val="none" w:color="000000" w:sz="4"/>
              <w:left w:val="none" w:color="000000" w:sz="4"/>
              <w:bottom w:val="single" w:color="000000" w:sz="4"/>
              <w:right w:val="single" w:color="000000" w:sz="4"/>
            </w:tcBorders>
            <w:vAlign w:val="top"/>
          </w:tcPr>
          <w:p>
            <w:pPr>
              <w:jc w:val="both"/>
            </w:pPr>
          </w:p>
        </w:tc>
        <w:tc>
          <w:tcPr>
            <w:tcW w:type="dxa" w:w="787"/>
            <w:tcBorders>
              <w:top w:val="none" w:color="000000" w:sz="4"/>
              <w:left w:val="none" w:color="000000" w:sz="4"/>
              <w:bottom w:val="single" w:color="000000" w:sz="4"/>
              <w:right w:val="single" w:color="000000" w:sz="4"/>
            </w:tcBorders>
            <w:vAlign w:val="top"/>
          </w:tcPr>
          <w:p>
            <w:pPr>
              <w:jc w:val="both"/>
            </w:pPr>
          </w:p>
        </w:tc>
        <w:tc>
          <w:tcPr>
            <w:tcW w:type="dxa" w:w="787"/>
            <w:tcBorders>
              <w:top w:val="none" w:color="000000" w:sz="4"/>
              <w:left w:val="none" w:color="000000" w:sz="4"/>
              <w:bottom w:val="single" w:color="000000" w:sz="4"/>
              <w:right w:val="single" w:color="000000" w:sz="4"/>
            </w:tcBorders>
          </w:tcPr>
          <w:p>
            <w:pPr>
              <w:jc w:val="both"/>
            </w:pPr>
          </w:p>
        </w:tc>
      </w:tr>
    </w:tbl>
    <w:p>
      <w:pPr>
        <w:jc w:val="both"/>
      </w:pPr>
      <w:r>
        <w:rPr>
          <w:b/>
          <w:sz w:val="21"/>
        </w:rPr>
        <w:t>二、合同金额</w:t>
      </w:r>
    </w:p>
    <w:p>
      <w:pPr>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jc w:val="both"/>
      </w:pPr>
      <w:r>
        <w:rPr>
          <w:b/>
          <w:sz w:val="21"/>
        </w:rPr>
        <w:t>三、服务范围</w:t>
      </w:r>
    </w:p>
    <w:p>
      <w:pPr>
        <w:jc w:val="both"/>
      </w:pPr>
      <w:r>
        <w:rPr>
          <w:sz w:val="21"/>
        </w:rPr>
        <w:t>甲方聘请乙方提供以下服务：</w:t>
      </w:r>
    </w:p>
    <w:p>
      <w:pPr>
        <w:jc w:val="both"/>
      </w:pPr>
      <w:r>
        <w:rPr>
          <w:sz w:val="21"/>
        </w:rPr>
        <w:t>1、本合同项下的服务指</w:t>
      </w:r>
      <w:r>
        <w:rPr>
          <w:sz w:val="21"/>
          <w:u w:val="single"/>
        </w:rPr>
        <w:t xml:space="preserve">                           </w:t>
      </w:r>
      <w:r>
        <w:rPr>
          <w:sz w:val="21"/>
        </w:rPr>
        <w:t>。</w:t>
      </w:r>
    </w:p>
    <w:p>
      <w:pPr>
        <w:jc w:val="both"/>
      </w:pPr>
      <w:r>
        <w:rPr>
          <w:sz w:val="21"/>
        </w:rPr>
        <w:t>2、......</w:t>
      </w:r>
    </w:p>
    <w:p>
      <w:pPr>
        <w:jc w:val="both"/>
      </w:pPr>
      <w:r>
        <w:rPr>
          <w:b/>
          <w:sz w:val="21"/>
        </w:rPr>
        <w:t>四、服务要求（质量保证及售后服务）</w:t>
      </w:r>
    </w:p>
    <w:p>
      <w:pPr>
        <w:jc w:val="both"/>
      </w:pPr>
      <w:r>
        <w:rPr>
          <w:sz w:val="21"/>
        </w:rPr>
        <w:t>（按采购需求要求）</w:t>
      </w:r>
    </w:p>
    <w:p>
      <w:pPr>
        <w:jc w:val="both"/>
      </w:pPr>
      <w:r>
        <w:rPr>
          <w:b/>
          <w:sz w:val="21"/>
        </w:rPr>
        <w:t>五、交付时间、地点、方式</w:t>
      </w:r>
    </w:p>
    <w:p>
      <w:pPr>
        <w:jc w:val="both"/>
      </w:pPr>
      <w:r>
        <w:rPr>
          <w:sz w:val="21"/>
        </w:rPr>
        <w:t>1、交付时间（服务期限）：</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jc w:val="both"/>
      </w:pPr>
      <w:r>
        <w:rPr>
          <w:sz w:val="21"/>
        </w:rPr>
        <w:t>2、交付地点（服务地点）：</w:t>
      </w:r>
      <w:r>
        <w:rPr>
          <w:sz w:val="21"/>
          <w:u w:val="single"/>
        </w:rPr>
        <w:t xml:space="preserve">                       </w:t>
      </w:r>
    </w:p>
    <w:p>
      <w:pPr>
        <w:jc w:val="both"/>
      </w:pPr>
      <w:r>
        <w:rPr>
          <w:sz w:val="21"/>
        </w:rPr>
        <w:t>3、交付条件：项目验收通过</w:t>
      </w:r>
    </w:p>
    <w:p>
      <w:pPr>
        <w:jc w:val="both"/>
      </w:pPr>
      <w:r>
        <w:rPr>
          <w:sz w:val="21"/>
        </w:rPr>
        <w:t>4、甲方联系人及联系电话：</w:t>
      </w:r>
    </w:p>
    <w:p>
      <w:pPr>
        <w:jc w:val="both"/>
      </w:pPr>
      <w:r>
        <w:rPr>
          <w:sz w:val="21"/>
        </w:rPr>
        <w:t>5、乙方联系人及联系电话：</w:t>
      </w:r>
    </w:p>
    <w:p>
      <w:pPr>
        <w:jc w:val="both"/>
      </w:pPr>
      <w:r>
        <w:rPr>
          <w:b/>
          <w:sz w:val="21"/>
        </w:rPr>
        <w:t>六、甲方乙方的权利和义务</w:t>
      </w:r>
    </w:p>
    <w:p>
      <w:pPr>
        <w:jc w:val="both"/>
      </w:pPr>
      <w:r>
        <w:rPr>
          <w:sz w:val="21"/>
        </w:rPr>
        <w:t>（一） 甲方的权利和义务：</w:t>
      </w:r>
    </w:p>
    <w:p>
      <w:pPr>
        <w:jc w:val="both"/>
      </w:pPr>
      <w:r>
        <w:rPr>
          <w:sz w:val="21"/>
        </w:rPr>
        <w:t>（二） 乙方的权利和义务：</w:t>
      </w:r>
    </w:p>
    <w:p>
      <w:pPr>
        <w:jc w:val="both"/>
      </w:pPr>
      <w:r>
        <w:rPr>
          <w:b/>
          <w:sz w:val="21"/>
        </w:rPr>
        <w:t>七、付款方式</w:t>
      </w:r>
      <w:r>
        <w:rPr>
          <w:b/>
          <w:sz w:val="21"/>
        </w:rPr>
        <w:t>、时间及付款条件</w:t>
      </w:r>
    </w:p>
    <w:p>
      <w:pPr>
        <w:jc w:val="both"/>
      </w:pPr>
      <w:r>
        <w:rPr>
          <w:sz w:val="21"/>
        </w:rPr>
        <w:t>付款时间及条件：（按采购需求要求）</w:t>
      </w:r>
    </w:p>
    <w:p>
      <w:pPr>
        <w:jc w:val="both"/>
      </w:pPr>
      <w:r>
        <w:rPr>
          <w:sz w:val="21"/>
        </w:rPr>
        <w:t>付款方式：</w:t>
      </w:r>
    </w:p>
    <w:p>
      <w:pPr>
        <w:jc w:val="both"/>
      </w:pPr>
      <w:r>
        <w:rPr>
          <w:b/>
          <w:sz w:val="21"/>
        </w:rPr>
        <w:t>八、项目验收评估</w:t>
      </w:r>
    </w:p>
    <w:p>
      <w:pPr>
        <w:jc w:val="both"/>
      </w:pPr>
      <w:r>
        <w:rPr>
          <w:sz w:val="21"/>
        </w:rPr>
        <w:t>1、具体要求以招标文件以及乙方的投标文件承诺为准，如招标文件与投标文件不一致时，以更有利于甲方的条款执行。</w:t>
      </w:r>
    </w:p>
    <w:p>
      <w:pPr>
        <w:jc w:val="both"/>
      </w:pPr>
      <w:r>
        <w:rPr>
          <w:sz w:val="21"/>
        </w:rPr>
        <w:t>2、验收期限：全部服务完成后</w:t>
      </w:r>
      <w:r>
        <w:rPr>
          <w:sz w:val="21"/>
          <w:u w:val="single"/>
        </w:rPr>
        <w:t xml:space="preserve">  </w:t>
      </w:r>
      <w:r>
        <w:rPr>
          <w:sz w:val="21"/>
        </w:rPr>
        <w:t>天内完成项目验收。</w:t>
      </w:r>
    </w:p>
    <w:p>
      <w:pPr>
        <w:jc w:val="both"/>
      </w:pPr>
      <w:r>
        <w:rPr>
          <w:b/>
          <w:sz w:val="21"/>
        </w:rPr>
        <w:t>九、知识产权归属</w:t>
      </w:r>
    </w:p>
    <w:p>
      <w:pPr>
        <w:jc w:val="both"/>
      </w:pPr>
      <w:r>
        <w:rPr>
          <w:sz w:val="21"/>
        </w:rPr>
        <w:t>乙方必须保证甲方在中华人民共和国境内使用投标资料、服务或其任何一部分时，享有不受限制的无偿使用权，不会产生因第三方提出侵犯其专利权、商标权或其它知识产权而引起的法律或经济纠纷。</w:t>
      </w:r>
    </w:p>
    <w:p>
      <w:pPr>
        <w:jc w:val="both"/>
      </w:pPr>
      <w:r>
        <w:rPr>
          <w:b/>
          <w:sz w:val="21"/>
        </w:rPr>
        <w:t>十、保密</w:t>
      </w:r>
    </w:p>
    <w:p>
      <w:pPr>
        <w:jc w:val="both"/>
      </w:pPr>
      <w:r>
        <w:rPr>
          <w:sz w:val="21"/>
        </w:rPr>
        <w:t>1、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2、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b/>
          <w:sz w:val="21"/>
        </w:rPr>
        <w:t>十一、违约责任与赔偿损失</w:t>
      </w:r>
    </w:p>
    <w:p>
      <w:pPr>
        <w:jc w:val="both"/>
      </w:pPr>
      <w:r>
        <w:rPr>
          <w:sz w:val="21"/>
        </w:rPr>
        <w:t>1、乙方提供的服务不符合招标文件、投标文件或本合同规定的，甲方有权拒收，并且乙方须向甲方支付本合同总价5%的违约金。</w:t>
      </w:r>
    </w:p>
    <w:p>
      <w:pPr>
        <w:jc w:val="both"/>
      </w:pPr>
      <w:r>
        <w:rPr>
          <w:sz w:val="21"/>
        </w:rPr>
        <w:t xml:space="preserve">2、 </w:t>
      </w:r>
      <w:r>
        <w:rPr>
          <w:sz w:val="21"/>
        </w:rPr>
        <w:t>乙方未能按本合同规定的交货时间提供服务，从逾期之日起每日按本合同总价3‰的数额向甲方支付违约金；逾期半个月以上的，甲方有权终止合同，由此造成的甲方经济损失由乙方承担。</w:t>
      </w:r>
    </w:p>
    <w:p>
      <w:pPr>
        <w:jc w:val="both"/>
      </w:pPr>
      <w:r>
        <w:rPr>
          <w:sz w:val="21"/>
        </w:rPr>
        <w:t>3、甲方无正当理由拒绝接受服务，到期拒付服务款项的，甲方向乙方偿付本合同总价的5%的违约金。甲方逾期付款，则每日按本合同总价的3‰向乙方偿付违约金。</w:t>
      </w:r>
    </w:p>
    <w:p>
      <w:pPr>
        <w:jc w:val="both"/>
      </w:pPr>
      <w:r>
        <w:rPr>
          <w:sz w:val="21"/>
        </w:rPr>
        <w:t>4、因甲方原因导致变更、中止或者终止政府采购合同的，甲方对乙方受到的损失予以赔偿或者补偿，赔偿或者补偿金额为：</w:t>
      </w:r>
      <w:r>
        <w:rPr>
          <w:sz w:val="21"/>
          <w:u w:val="single"/>
        </w:rPr>
        <w:t>按本合同总价的0.1 %</w:t>
      </w:r>
    </w:p>
    <w:p>
      <w:pPr>
        <w:jc w:val="both"/>
      </w:pPr>
      <w:r>
        <w:rPr>
          <w:sz w:val="21"/>
        </w:rPr>
        <w:t>5、其它违约责任按《中华人民共和国民法典》处理。</w:t>
      </w:r>
    </w:p>
    <w:p>
      <w:pPr>
        <w:jc w:val="both"/>
      </w:pPr>
      <w:r>
        <w:rPr>
          <w:b/>
          <w:sz w:val="21"/>
        </w:rPr>
        <w:t>十二、争端的解决</w:t>
      </w:r>
    </w:p>
    <w:p>
      <w:pPr>
        <w:jc w:val="both"/>
      </w:pPr>
      <w:r>
        <w:rPr>
          <w:sz w:val="21"/>
        </w:rPr>
        <w:t>合同执行过程中发生的任何争议，如双方不能通过友好协商解决，按相关法律法规处理。</w:t>
      </w:r>
    </w:p>
    <w:p>
      <w:pPr>
        <w:jc w:val="both"/>
      </w:pPr>
      <w:r>
        <w:rPr>
          <w:b/>
          <w:sz w:val="21"/>
        </w:rPr>
        <w:t>十三、不可抗力</w:t>
      </w:r>
    </w:p>
    <w:p>
      <w:pPr>
        <w:jc w:val="both"/>
      </w:pPr>
      <w:r>
        <w:rPr>
          <w:sz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十四、税费</w:t>
      </w:r>
    </w:p>
    <w:p>
      <w:pPr>
        <w:jc w:val="both"/>
      </w:pPr>
      <w:r>
        <w:rPr>
          <w:sz w:val="21"/>
        </w:rPr>
        <w:t>在中国境内、外发生的与本合同执行有关的一切税费均由乙方负担。</w:t>
      </w:r>
    </w:p>
    <w:p>
      <w:pPr>
        <w:jc w:val="both"/>
      </w:pPr>
      <w:r>
        <w:rPr>
          <w:b/>
          <w:sz w:val="21"/>
        </w:rPr>
        <w:t>十五、其它</w:t>
      </w:r>
    </w:p>
    <w:p>
      <w:pPr>
        <w:jc w:val="both"/>
      </w:pPr>
      <w:r>
        <w:rPr>
          <w:sz w:val="21"/>
        </w:rPr>
        <w:t>1、本合同所有附件、招标文件、投标文件、中标通知书均为合同的有效组成部分，与本合同具有同等法律效力。</w:t>
      </w:r>
    </w:p>
    <w:p>
      <w:pPr>
        <w:jc w:val="both"/>
      </w:pPr>
      <w:r>
        <w:rPr>
          <w:sz w:val="21"/>
        </w:rPr>
        <w:t>2、在执行本合同的过程中，所有经双方签署确认的文件（包括会议纪要、补充协议）即成为本合同的有效组成部分。</w:t>
      </w:r>
    </w:p>
    <w:p>
      <w:pPr>
        <w:jc w:val="both"/>
      </w:pPr>
      <w:r>
        <w:rPr>
          <w:sz w:val="21"/>
        </w:rPr>
        <w:t>3、如一方地址、电话、传真号码有变更，应在变更当日内书面通知对方，否则，应承担相应责任。</w:t>
      </w:r>
    </w:p>
    <w:p>
      <w:pPr>
        <w:jc w:val="both"/>
      </w:pPr>
      <w:r>
        <w:rPr>
          <w:sz w:val="21"/>
        </w:rPr>
        <w:t>4、除甲方事先书面同意外，乙方不得部分或全部转让其应履行的合同项下的义务。</w:t>
      </w:r>
    </w:p>
    <w:p>
      <w:pPr>
        <w:jc w:val="both"/>
      </w:pPr>
      <w:r>
        <w:rPr>
          <w:sz w:val="21"/>
        </w:rPr>
        <w:t>5、本合同正本一式</w:t>
      </w:r>
      <w:r>
        <w:rPr>
          <w:sz w:val="21"/>
          <w:u w:val="single"/>
        </w:rPr>
        <w:t xml:space="preserve">   </w:t>
      </w:r>
      <w:r>
        <w:rPr>
          <w:sz w:val="21"/>
        </w:rPr>
        <w:t>份，具有同等法律效力，甲、乙双方各执</w:t>
      </w:r>
      <w:r>
        <w:rPr>
          <w:sz w:val="21"/>
          <w:u w:val="single"/>
        </w:rPr>
        <w:t xml:space="preserve">   </w:t>
      </w:r>
      <w:r>
        <w:rPr>
          <w:sz w:val="21"/>
        </w:rPr>
        <w:t>份，采购代理机构壹份。合同自签字之日起即时生效。</w:t>
      </w:r>
    </w:p>
    <w:p>
      <w:pPr>
        <w:jc w:val="both"/>
      </w:pPr>
      <w:r>
        <w:rPr>
          <w:sz w:val="21"/>
        </w:rPr>
        <w:t>6、本合同未尽事宜，由双方协商处理。</w:t>
      </w:r>
    </w:p>
    <w:p>
      <w:pPr>
        <w:jc w:val="both"/>
      </w:pPr>
      <w:r>
        <w:rPr>
          <w:sz w:val="21"/>
        </w:rPr>
        <w:t>（以下无正文）</w:t>
      </w:r>
    </w:p>
    <w:p>
      <w:pPr>
        <w:jc w:val="both"/>
      </w:pPr>
      <w:r>
        <w:rPr/>
        <w:t xml:space="preserve"> </w:t>
      </w:r>
    </w:p>
    <w:p>
      <w:pPr>
        <w:jc w:val="both"/>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3658"/>
        <w:gridCol w:w="4648"/>
      </w:tblGrid>
      <w:tr>
        <w:tc>
          <w:tcPr>
            <w:tcW w:type="dxa" w:w="3658"/>
            <w:vAlign w:val="top"/>
          </w:tcPr>
          <w:p>
            <w:pPr>
              <w:jc w:val="both"/>
            </w:pPr>
            <w:r>
              <w:rPr>
                <w:sz w:val="21"/>
              </w:rPr>
              <w:t>甲方（公章）：</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8"/>
            <w:vAlign w:val="top"/>
          </w:tcPr>
          <w:p>
            <w:pPr>
              <w:jc w:val="both"/>
            </w:pPr>
            <w:r>
              <w:rPr>
                <w:sz w:val="21"/>
              </w:rPr>
              <w:t>乙方（公章）：</w:t>
            </w:r>
          </w:p>
          <w:p>
            <w:pPr>
              <w:jc w:val="both"/>
            </w:pPr>
            <w:r>
              <w:rPr>
                <w:sz w:val="21"/>
              </w:rPr>
              <w:t>联系人：</w:t>
            </w:r>
          </w:p>
          <w:p>
            <w:pPr>
              <w:jc w:val="both"/>
            </w:pPr>
            <w:r>
              <w:rPr>
                <w:sz w:val="21"/>
              </w:rPr>
              <w:t>供应商规模：（大型企业/中型企业/小微型企业/其他）</w:t>
            </w:r>
          </w:p>
          <w:p>
            <w:pPr>
              <w:jc w:val="both"/>
            </w:pPr>
            <w:r>
              <w:rPr>
                <w:sz w:val="21"/>
              </w:rPr>
              <w:t>供应商特殊性质：（监狱企业/残疾人福利性单位/其他）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440001-2022-24157</w:t>
      </w:r>
    </w:p>
    <w:p>
      <w:pPr>
        <w:jc w:val="center"/>
      </w:pPr>
      <w:r>
        <w:rPr>
          <w:b/>
          <w:sz w:val="24"/>
        </w:rPr>
        <w:t>采购项目编号：</w:t>
      </w:r>
      <w:r>
        <w:rPr>
          <w:b/>
          <w:sz w:val="24"/>
        </w:rPr>
        <w:t>GZGK22P092C0323Z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二十一、询问函、质疑函、投诉书格式</w:t>
      </w:r>
    </w:p>
    <w:p>
      <w:pPr>
        <w:ind w:firstLine="480"/>
      </w:pPr>
      <w:r>
        <w:rPr/>
        <w:t>二十二、项目实施方案、质量保证及售后服务承诺等</w:t>
      </w:r>
    </w:p>
    <w:p>
      <w:pPr>
        <w:ind w:firstLine="480"/>
      </w:pPr>
      <w:r>
        <w:rPr/>
        <w:t>二十三、附件</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2022年食品生产环节抽检监测和风险监测项目</w:t>
      </w:r>
      <w:r>
        <w:rPr/>
        <w:t>项目的招标[采购项目编号为：</w:t>
      </w:r>
      <w:r>
        <w:rPr>
          <w:u w:val="single"/>
        </w:rPr>
        <w:t>GZGK22P092C0323Z</w:t>
      </w:r>
      <w:r>
        <w:rPr/>
        <w:t>]，我方愿参与投标。</w:t>
      </w:r>
    </w:p>
    <w:p>
      <w:pPr>
        <w:ind w:firstLine="480"/>
      </w:pPr>
      <w:r>
        <w:rPr/>
        <w:t>我方确认收到贵方提供的</w:t>
      </w:r>
      <w:r>
        <w:rPr>
          <w:u w:val="single"/>
        </w:rPr>
        <w:t>2022年食品生产环节抽检监测和风险监测项目</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2022年食品生产环节抽检监测和风险监测项目</w:t>
      </w:r>
      <w:r>
        <w:rPr/>
        <w:t>项目采购[采购项目编号为</w:t>
      </w:r>
      <w:r>
        <w:rPr/>
        <w:t>GZGK22P092C0323Z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设备及专业技术能力情况表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设备名称或专业技术人员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2022年食品生产环节抽检监测和风险监测项目</w:t>
      </w:r>
      <w:r>
        <w:rPr/>
        <w:t>招标中获中标（采购项目编号：</w:t>
      </w:r>
      <w:r>
        <w:rPr/>
        <w:t>GZGK22P092C0323Z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2022年食品生产环节抽检监测和风险监测项目</w:t>
      </w:r>
      <w:r>
        <w:rPr/>
        <w:t>项目（采购项目编号：</w:t>
      </w:r>
      <w:r>
        <w:rPr/>
        <w:t>GZGK22P092C0323Z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格式二十二：</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格式二十三：</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