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440001-2023-21738</w:t>
      </w:r>
    </w:p>
    <w:p>
      <w:pPr>
        <w:jc w:val="center"/>
      </w:pPr>
      <w:r>
        <w:rPr>
          <w:b/>
          <w:sz w:val="24"/>
        </w:rPr>
        <w:t>采购项目编号：</w:t>
      </w:r>
      <w:r>
        <w:rPr>
          <w:b/>
          <w:sz w:val="24"/>
        </w:rPr>
        <w:t>GZGK23P100A0341Z</w:t>
      </w:r>
    </w:p>
    <w:p>
      <w:pPr>
        <w:jc w:val="center"/>
      </w:pPr>
      <w:r>
        <w:rPr>
          <w:b/>
          <w:sz w:val="24"/>
        </w:rPr>
        <w:t>项目名称：</w:t>
      </w:r>
      <w:r>
        <w:rPr>
          <w:b/>
          <w:sz w:val="24"/>
        </w:rPr>
        <w:t>广东省科学院新材料研究所海洋环境多功能力学试验机采购项目</w:t>
      </w:r>
    </w:p>
    <w:p>
      <w:pPr>
        <w:jc w:val="center"/>
      </w:pPr>
      <w:r>
        <w:rPr>
          <w:b/>
          <w:sz w:val="24"/>
        </w:rPr>
        <w:t>采购人：</w:t>
      </w:r>
      <w:r>
        <w:rPr>
          <w:b/>
          <w:sz w:val="24"/>
        </w:rPr>
        <w:t>广东省科学院新材料研究所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广东省科学院新材料研究所</w:t>
      </w:r>
      <w:r>
        <w:rPr/>
        <w:t>的委托，采用</w:t>
      </w:r>
      <w:r>
        <w:rPr/>
        <w:t>公开招标</w:t>
      </w:r>
      <w:r>
        <w:rPr/>
        <w:t>方式组织采购</w:t>
      </w:r>
      <w:r>
        <w:rPr/>
        <w:t>广东省科学院新材料研究所海洋环境多功能力学试验机采购项目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广东省科学院新材料研究所海洋环境多功能力学试验机采购项目</w:t>
      </w:r>
    </w:p>
    <w:p>
      <w:pPr>
        <w:ind w:firstLine="480"/>
      </w:pPr>
      <w:r>
        <w:rPr/>
        <w:t>采购计划编号：</w:t>
      </w:r>
      <w:r>
        <w:rPr/>
        <w:t>440001-2023-21738</w:t>
      </w:r>
    </w:p>
    <w:p>
      <w:pPr>
        <w:ind w:firstLine="480"/>
      </w:pPr>
      <w:r>
        <w:rPr/>
        <w:t>采购项目编号：</w:t>
      </w:r>
      <w:r>
        <w:rPr/>
        <w:t>GZGK23P100A0341Z</w:t>
      </w:r>
    </w:p>
    <w:p>
      <w:pPr>
        <w:ind w:firstLine="480"/>
      </w:pPr>
      <w:r>
        <w:rPr/>
        <w:t>采购方式：</w:t>
      </w:r>
      <w:r>
        <w:rPr/>
        <w:t>公开招标</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采购包1(海洋环境多功能力学试验机):</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力学性能测试仪器</w:t>
            </w:r>
          </w:p>
        </w:tc>
        <w:tc>
          <w:tcPr>
            <w:tcW w:type="dxa" w:w="2136"/>
          </w:tcPr>
          <w:p>
            <w:r>
              <w:rPr/>
              <w:t>海洋环境多功能力学试验机</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响应）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采购包1（海洋环境多功能力学试验机）：</w:t>
      </w:r>
      <w:r>
        <w:rPr/>
        <w:t>本采购包不属于专门面向中小企业采购的项目。</w:t>
      </w:r>
    </w:p>
    <w:p/>
    <w:p>
      <w:r>
        <w:rPr>
          <w:b/>
          <w:sz w:val="24"/>
        </w:rPr>
        <w:t>3.本项目特定的资格要求：</w:t>
      </w:r>
    </w:p>
    <w:p>
      <w:pPr>
        <w:ind w:firstLine="480"/>
      </w:pPr>
    </w:p>
    <w:p/>
    <w:p>
      <w:r>
        <w:rPr/>
        <w:t>采购包1（海洋环境多功能力学试验机）：</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广东省科学院新材料研究所</w:t>
      </w:r>
    </w:p>
    <w:p>
      <w:pPr>
        <w:ind w:firstLine="480"/>
      </w:pPr>
      <w:r>
        <w:rPr/>
        <w:t>地址：</w:t>
      </w:r>
      <w:r>
        <w:rPr/>
        <w:t>广州市天河区长兴路363号</w:t>
      </w:r>
    </w:p>
    <w:p>
      <w:pPr>
        <w:ind w:firstLine="480"/>
      </w:pPr>
      <w:r>
        <w:rPr/>
        <w:t>联系方式：</w:t>
      </w:r>
      <w:r>
        <w:rPr/>
        <w:t>020-37238186</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GZGK23P100A0341Z</w:t>
      </w:r>
    </w:p>
    <w:p>
      <w:pPr>
        <w:jc w:val="both"/>
      </w:pPr>
      <w:r>
        <w:rPr>
          <w:b/>
          <w:sz w:val="21"/>
        </w:rPr>
        <w:t>（二）</w:t>
      </w:r>
      <w:r>
        <w:rPr>
          <w:b/>
          <w:sz w:val="21"/>
        </w:rPr>
        <w:t>项目名称：</w:t>
      </w:r>
      <w:r>
        <w:rPr>
          <w:sz w:val="21"/>
        </w:rPr>
        <w:t>广东省科学院新材料研究所海洋环境多功能力学试验机采购项目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转包、分包项目（中标采购包的）内容</w:t>
      </w:r>
      <w:r>
        <w:rPr>
          <w:sz w:val="21"/>
        </w:rPr>
        <w:t>。</w:t>
      </w:r>
    </w:p>
    <w:p>
      <w:pPr>
        <w:jc w:val="both"/>
      </w:pPr>
      <w:r>
        <w:rPr>
          <w:sz w:val="21"/>
        </w:rPr>
        <w:t>13、</w:t>
      </w:r>
      <w:r>
        <w:rPr>
          <w:sz w:val="21"/>
        </w:rPr>
        <w:t>小型和微型企业、监狱企业和残疾人福利性单位必须按照招标文件第三章内容提供相应的资料。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“新供应商开标大厅”进行签到及投标（响应）文件的解密，签到需在开标时间前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、存储有非加密投标（响应）文件的</w:t>
      </w:r>
      <w:r>
        <w:rPr>
          <w:sz w:val="21"/>
        </w:rPr>
        <w:t>U</w:t>
      </w:r>
      <w:r>
        <w:rPr>
          <w:sz w:val="21"/>
        </w:rPr>
        <w:t>盘及纸质投标（响应）文件前往开标现场进行签到、解密。</w:t>
      </w:r>
    </w:p>
    <w:p>
      <w:pPr>
        <w:jc w:val="both"/>
      </w:pPr>
      <w:r>
        <w:rPr>
          <w:sz w:val="21"/>
        </w:rPr>
        <w:t>2、</w:t>
      </w:r>
      <w:r>
        <w:rPr>
          <w:sz w:val="21"/>
        </w:rPr>
        <w:t>纸质投标（响应）文件邮寄地址（邮寄地址：广州市先烈中路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响应）文件于提交投标（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请各投标人在编制投标（响应）文件时注意，涉及到签字或签章的地方，请按要求签字或签章后再上传系统。投标（响应）文件加密前请注意所有需要签字、签章、盖章的地方是否齐全无缺漏。请保管好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投标报价包括：货款、设计、安装、随机零配件、易损件、标配工具、运输保险、调试、培训、质量保证期服务、初步验收及最终验收费用、各项税费及合同实施过程中不可预见费用等。</w:t>
      </w:r>
    </w:p>
    <w:p>
      <w:pPr>
        <w:jc w:val="both"/>
      </w:pPr>
      <w:r>
        <w:rPr>
          <w:b/>
          <w:sz w:val="21"/>
        </w:rPr>
        <w:t>（六）</w:t>
      </w:r>
      <w:r>
        <w:rPr>
          <w:b/>
          <w:sz w:val="21"/>
        </w:rPr>
        <w:t>实现的功能</w:t>
      </w:r>
    </w:p>
    <w:p>
      <w:pPr>
        <w:ind w:firstLine="420"/>
        <w:jc w:val="both"/>
      </w:pPr>
      <w:r>
        <w:rPr>
          <w:sz w:val="21"/>
        </w:rPr>
        <w:t>舰船用燃气轮机热障涂层在海洋环境中使役条件苛刻，包括高温、高湿、高盐雾等，以及多因素耦合作用。传统热障涂层评价方法如静态氧化、静态涂盐热腐蚀以及热震法等，得到的数据难以用来准确地反映涂层在实际海洋环境下的性能衰退规律和失效机制，不能准确判断热障涂层的服役性能和寿命，因此需要搭建能模拟海洋使役环境的热障涂层评价平台，该平台包括高温、高湿以及高载荷、强腐蚀等耦合作用环境，具备高温及盐雾持续流通条件下涂层样品力学性能测试能力，实现近服役环境下涂层海洋高温环境的力学性能评价。</w:t>
      </w:r>
    </w:p>
    <w:p>
      <w:pPr>
        <w:jc w:val="both"/>
      </w:pPr>
      <w:r>
        <w:rPr>
          <w:b/>
          <w:sz w:val="21"/>
        </w:rPr>
        <w:t>（七）</w:t>
      </w:r>
      <w:r>
        <w:rPr>
          <w:b/>
          <w:sz w:val="21"/>
        </w:rPr>
        <w:t>需执行国家相关标准、行业标准、地方标准或者其他标准、规范</w:t>
      </w:r>
    </w:p>
    <w:p/>
    <w:p>
      <w:pPr>
        <w:ind w:firstLine="480"/>
      </w:pPr>
    </w:p>
    <w:p/>
    <w:p>
      <w:r>
        <w:rPr/>
        <w:t>采购包1（海洋环境多功能力学试验机）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合同签订之日起5个月内完成设备交货、安装调试并验收合格交付使用。</w:t>
            </w:r>
          </w:p>
        </w:tc>
      </w:tr>
      <w:tr>
        <w:tc>
          <w:tcPr>
            <w:tcW w:type="dxa" w:w="4153"/>
          </w:tcPr>
          <w:p>
            <w:r>
              <w:rPr/>
              <w:t>标的提供的地点</w:t>
            </w:r>
          </w:p>
        </w:tc>
        <w:tc>
          <w:tcPr>
            <w:tcW w:type="dxa" w:w="4153"/>
          </w:tcPr>
          <w:p/>
          <w:p>
            <w:r>
              <w:rPr/>
              <w:t>广东省科学院新材料研究所内（广州市天河区长兴路363号）。</w:t>
            </w:r>
          </w:p>
        </w:tc>
      </w:tr>
      <w:tr>
        <w:tc>
          <w:tcPr>
            <w:tcW w:type="dxa" w:w="4153"/>
          </w:tcPr>
          <w:p>
            <w:r>
              <w:rPr/>
              <w:t>付款方式</w:t>
            </w:r>
          </w:p>
        </w:tc>
        <w:tc>
          <w:tcPr>
            <w:tcW w:type="dxa" w:w="4153"/>
          </w:tcPr>
          <w:p/>
          <w:p/>
          <w:p>
            <w:r>
              <w:rPr/>
              <w:t>1期：支付比例60%,合同签订后5个工作日内采购人向中标人电汇支付合同总价的60%。</w:t>
            </w:r>
          </w:p>
          <w:p/>
          <w:p>
            <w:r>
              <w:rPr/>
              <w:t>2期：支付比例30%,货到采购人场地检查经双方检查确认后，在30个工作日内采购人向中标人电汇支付合同总价的30%。</w:t>
            </w:r>
          </w:p>
          <w:p/>
          <w:p>
            <w:r>
              <w:rPr/>
              <w:t>3期：支付比例10%,最终验收合格并交付使用后，中标人向采购人提供正式发票，采购人在收到正式发票30个日历日内向中标人电汇支付合同总价的10%。</w:t>
            </w:r>
          </w:p>
        </w:tc>
      </w:tr>
      <w:tr>
        <w:tc>
          <w:tcPr>
            <w:tcW w:type="dxa" w:w="4153"/>
          </w:tcPr>
          <w:p>
            <w:r>
              <w:rPr/>
              <w:t>验收要求</w:t>
            </w:r>
          </w:p>
        </w:tc>
        <w:tc>
          <w:tcPr>
            <w:tcW w:type="dxa" w:w="4153"/>
          </w:tcPr>
          <w:p/>
          <w:p/>
          <w:p/>
          <w:p>
            <w:r>
              <w:rPr/>
              <w:t>1期：1、采购人按照采购合同规定的技术、服务、安全标准组织对中标供应商履约情况进行初步及最终验收，并出具验收书。其中安排采购人人员至少2人到中标人设备现场参加初步验收，时间不少于1个工作日。如因不可抗拒因素无法进行初步验收，则将这部分费用折合成后续易损件费用， 初步验收在中标人工厂进行，初步验收应当包括每一项技术、服务、安全标准的履约情况，验收合格后经双方代表签字方可发货。初步验收将重点涉及以下条款： （1)外观：所有管路接缝要求严密、平整，表面油漆色彩均匀、无气泡、麻点等缺陷，密封处无漏点。 （2)设备功能、性能验收，按合同逐个检查设备功能、性能； （3)检查设备正常运行时，是否有异常发热、振动和响声。 （4)清点附件及合同规定的供货范围、技术文件等。 2、设备最终验收在买方的安装地点进行, 最终验收应当包括每一项技术、服务、安全标准的履约情况,在验收合格后，经双方代表签字有效。最终验收重点涉及以下条款： （1)采购人有权对中标人投标书所提供的技术参数进行检查。 （2)各项性能指标应满足本部分的要求。 （3)采用模拟试验件现场进行高温盐雾力学试验，必须符合以下指标： 1)设备最高工作温度不低于1100℃，在不低于1000℃条件下连续工作12小时无异常； 2)炉腔工作恒温区不小于300mm，以标定检测报告为准； 3)炉膛工作区直径&gt;100mm，以现场测量为准； 4)最高施加载荷不低于10000N，拉伸速度0.2-1.0 mm/min； 5)连续12小时盐雾实验，炉腔工作恒温区加热元件表面无结晶。 3、交付验收标准依次序对照适用标准为：①符合中华人民共和国国家安全质量标准、环保标准或行业标准；②符合项目采购文件和投标承诺中采购人认可的合理最佳配置、参数及各项要求；③货物来源国官方标准。 4、货物为原厂商未启封全新包装，具有出厂合格证，序列号、包装箱号与出厂批号一致，并可追索查阅。所有随设备的附件必须齐全。 5、中标供应商将货物的用户手册、保修手册、有关单证资料及备品备件、随机工具等交付给采购人，使用操作及安全须知等重要资料应附有中文说明。 6、货物验收所发生的检验费用由中标供应商负担。 7、设备到货并经中标供应商技术人员安装后，采购人有权委托中国有资格的单位对上述设备进行校准或检验，设备校准或检定所需的费用由中标供应商负担。 8、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9、当出现不合格产品时，中标供应商要无条件更换合格产品。除采购人认可，否则不接受任何形式的降格处理。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（一）包装与运输，陆运运输，包装箱应用坚固的材料制造，适用长途运输、防潮、防锈、防震、防粗暴装卸，适于空运和整体吊装，并注明起吊位置，起吊重量及重心位置。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（四）技术文件，1、中标人须提供设备平面布置图、基础图和水、电、气以及相关设施的安装准备要求。 2、中标人须提供设备使用说明书（包括设备操作、维修手册）、设备总图、装配图、完整设备电路图。 3、中标人须提供设备定检周期的检定项目和检查方法。 4、中标人须提供易损件和易耗件（如加热元件、工装夹具、密封圈、管道、探测器等）维护清单，包含配件作用、安装位置、更换周期、品牌和型号等。</w:t>
            </w:r>
          </w:p>
          <w:p/>
          <w:p>
            <w:r>
              <w:rPr/>
              <w:t>（五）技术培训，1、中标人需要对采购人现场人员进行必要的操作培训，参加培训人数3-5人，时间不少于1个工作日，内容包括工作原理、实际操作和日常维护、保养等，使操作人员能达到熟练掌握设备的操作应用，并能进行日常维护与保养。 2、中标供应商每台设备提供现场安装调试和培训。 3、培训所需全部费用均由中标供应商负责。</w:t>
            </w:r>
          </w:p>
          <w:p/>
          <w:p>
            <w:r>
              <w:rPr/>
              <w:t>（六）质量保证期，1、保修承诺：质保期从设备验收报告单签署之日起大于等于1年。在质保期内，如设备发生故障，24小时内中标人须派遣工程技术人员赴现场排查故障。设备安装及验收后两年须提供软件技术服务，包括安全更新，用户界面更新，以及远程管理及维护。在质保期内，须提供并维修品质不符或出现缺陷的零部件和设备，同时须提供技术咨询服务。对设备须实行终身维护服务，质保期满后，须继续提供全面的技术服务，软件技术支持及优惠及时的备品备件，保修期后设备维修配件更换只收取成本费用。质量保证期内，如设备或零部件因非人为因素出现故障而造成短期停用时，则质量保证期相应顺延。如停用时间累计超过60天则质量保证期重新计算。 2、在质量保证期内，如货品非因采购人的人为原因而出现的问题由中标供应商负责保修、包换或包退，并承担修理、调换或退货的实际费用。 3、质量保证期内，中标供应商负责对其提供的货物整机进行维修和系统维护，不再收取任何费用，但非中标供应商责任的人为因素、自然因素（如火灾、雷击等）造成的故障除外。</w:t>
            </w:r>
          </w:p>
          <w:p/>
          <w:p>
            <w:r>
              <w:rPr/>
              <w:t>（七）售后服务，1、对采购人的服务通知，中标人接到采购人故障信息后在24小时内予以响应，如故障无法排除，中标人工程师应在72小时内到达采购人现场，排除故障，更换损坏零件和服务（易损件除外），更换损坏零件和服务需要包含在本项目报价中（易损件除外）。 2、设备制造商的售后技术服务机构（如有）须具备售后服务和校验资质，并可提供相关授权材料。</w:t>
            </w:r>
          </w:p>
          <w:p/>
          <w:p>
            <w:r>
              <w:rPr/>
              <w:t>（八）其他，中标人须负责制定整套设备安装的规划设计方案；中标人须提出对设备安装运行所需的电、气、水和占地空间等配套条件要求。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力学性能测试仪器</w:t>
            </w:r>
          </w:p>
        </w:tc>
        <w:tc>
          <w:tcPr>
            <w:tcW w:type="dxa" w:w="831"/>
          </w:tcPr>
          <w:p>
            <w:pPr>
              <w:jc w:val="left"/>
            </w:pPr>
            <w:r>
              <w:rPr/>
              <w:t>海洋环境多功能力学试验机</w:t>
            </w:r>
          </w:p>
        </w:tc>
        <w:tc>
          <w:tcPr>
            <w:tcW w:type="dxa" w:w="831"/>
          </w:tcPr>
          <w:p>
            <w:pPr>
              <w:jc w:val="left"/>
            </w:pPr>
            <w:r>
              <w:rPr/>
              <w:t>套</w:t>
            </w:r>
          </w:p>
        </w:tc>
        <w:tc>
          <w:tcPr>
            <w:tcW w:type="dxa" w:w="831"/>
          </w:tcPr>
          <w:p>
            <w:pPr>
              <w:jc w:val="right"/>
            </w:pPr>
            <w:r>
              <w:rPr/>
              <w:t>1.00</w:t>
            </w:r>
          </w:p>
        </w:tc>
        <w:tc>
          <w:tcPr>
            <w:tcW w:type="dxa" w:w="831"/>
          </w:tcPr>
          <w:p>
            <w:pPr>
              <w:jc w:val="right"/>
            </w:pPr>
            <w:r>
              <w:rPr/>
              <w:t>1,500,000.00</w:t>
            </w:r>
          </w:p>
        </w:tc>
        <w:tc>
          <w:tcPr>
            <w:tcW w:type="dxa" w:w="831"/>
          </w:tcPr>
          <w:p>
            <w:pPr>
              <w:jc w:val="right"/>
            </w:pPr>
            <w:r>
              <w:rPr/>
              <w:t>1,500,000.00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海洋环境多功能力学试验机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1、高温拉伸控制系统</w:t>
            </w:r>
          </w:p>
          <w:p>
            <w:pPr>
              <w:jc w:val="left"/>
            </w:pPr>
            <w:r>
              <w:rPr>
                <w:sz w:val="21"/>
              </w:rPr>
              <w:t>1.1力加载模块</w:t>
            </w:r>
          </w:p>
          <w:p>
            <w:pPr>
              <w:jc w:val="left"/>
            </w:pPr>
            <w:r>
              <w:rPr>
                <w:sz w:val="21"/>
              </w:rPr>
              <w:t>★1.1.1力加载模块最高施加载荷大于或等于10000N，拉伸速度调节范围应包含0.2-1.0 mm/min区间。</w:t>
            </w:r>
          </w:p>
          <w:p>
            <w:pPr>
              <w:jc w:val="left"/>
            </w:pPr>
            <w:r>
              <w:rPr>
                <w:sz w:val="21"/>
              </w:rPr>
              <w:t>1.1.2</w:t>
            </w:r>
            <w:r>
              <w:rPr>
                <w:sz w:val="21"/>
              </w:rPr>
              <w:t>至少具备蠕变、低周疲劳</w:t>
            </w:r>
            <w:r>
              <w:rPr>
                <w:b/>
                <w:sz w:val="21"/>
              </w:rPr>
              <w:t>、</w:t>
            </w:r>
            <w:r>
              <w:rPr>
                <w:sz w:val="21"/>
              </w:rPr>
              <w:t>慢拉伸</w:t>
            </w:r>
            <w:r>
              <w:rPr>
                <w:b/>
                <w:sz w:val="21"/>
              </w:rPr>
              <w:t>三</w:t>
            </w:r>
            <w:r>
              <w:rPr>
                <w:sz w:val="21"/>
              </w:rPr>
              <w:t>种加载方式，可以实现拉、压、弯、剪多种力学实验</w:t>
            </w:r>
            <w:r>
              <w:rPr>
                <w:sz w:val="21"/>
              </w:rPr>
              <w:t>。</w:t>
            </w:r>
          </w:p>
          <w:p>
            <w:pPr>
              <w:jc w:val="left"/>
            </w:pPr>
            <w:r>
              <w:rPr>
                <w:sz w:val="21"/>
              </w:rPr>
              <w:t>1.1.3最大拉伸量程不小于80mm，位移分辨率大于或等于0.001mm，以保证加载精度。</w:t>
            </w:r>
          </w:p>
          <w:p>
            <w:pPr>
              <w:jc w:val="left"/>
            </w:pPr>
            <w:r>
              <w:rPr>
                <w:sz w:val="21"/>
              </w:rPr>
              <w:t>1.1.4变形测量分辨率大于或等于0.001mm，以保证变形测量精度。</w:t>
            </w:r>
          </w:p>
          <w:p>
            <w:pPr>
              <w:jc w:val="left"/>
            </w:pPr>
            <w:r>
              <w:rPr>
                <w:sz w:val="21"/>
              </w:rPr>
              <w:t>1.1.5 试验力分辨力大于或等于1/±300000F.S，以保证力加载精度。</w:t>
            </w:r>
          </w:p>
          <w:p>
            <w:pPr>
              <w:jc w:val="left"/>
            </w:pPr>
            <w:r>
              <w:rPr>
                <w:sz w:val="21"/>
              </w:rPr>
              <w:t>1.2高温模块</w:t>
            </w:r>
          </w:p>
          <w:p>
            <w:pPr>
              <w:jc w:val="left"/>
            </w:pPr>
            <w:r>
              <w:rPr>
                <w:sz w:val="21"/>
              </w:rPr>
              <w:t>★1.2.1长时稳定最高工作温度大于或等于1000℃，短时最高工作温度大于或等于1100℃。</w:t>
            </w:r>
          </w:p>
          <w:p>
            <w:pPr>
              <w:jc w:val="left"/>
            </w:pPr>
            <w:r>
              <w:rPr>
                <w:sz w:val="21"/>
              </w:rPr>
              <w:t>★1.2.2炉腔工作恒温区大于或等于300mm。</w:t>
            </w:r>
          </w:p>
          <w:p>
            <w:pPr>
              <w:jc w:val="left"/>
            </w:pPr>
            <w:r>
              <w:rPr>
                <w:sz w:val="21"/>
              </w:rPr>
              <w:t>★1.2.3炉膛工作区直径大于100mm。</w:t>
            </w:r>
          </w:p>
          <w:p>
            <w:pPr>
              <w:jc w:val="left"/>
            </w:pPr>
            <w:r>
              <w:rPr>
                <w:sz w:val="21"/>
              </w:rPr>
              <w:t>1.2.4炉膛温度波动小于或等于10℃。</w:t>
            </w:r>
          </w:p>
          <w:p>
            <w:pPr>
              <w:jc w:val="left"/>
            </w:pPr>
            <w:r>
              <w:rPr>
                <w:sz w:val="21"/>
              </w:rPr>
              <w:t>1.2.5 炉体表面温度小于或等于80℃。</w:t>
            </w:r>
          </w:p>
          <w:p>
            <w:pPr>
              <w:jc w:val="left"/>
            </w:pPr>
            <w:r>
              <w:rPr>
                <w:sz w:val="21"/>
              </w:rPr>
              <w:t>1.3控制模块</w:t>
            </w:r>
          </w:p>
          <w:p>
            <w:pPr>
              <w:jc w:val="left"/>
            </w:pPr>
            <w:r>
              <w:rPr>
                <w:sz w:val="21"/>
              </w:rPr>
              <w:t>1.3.1 力加载模块系统独立，可与温控器进行通讯并对其进行控制，应能根据试验条件进行自动升温/降温、加载/卸载，数据采集等，试验开始后可无人值守。</w:t>
            </w:r>
          </w:p>
          <w:p>
            <w:pPr>
              <w:jc w:val="left"/>
            </w:pPr>
            <w:r>
              <w:rPr>
                <w:sz w:val="21"/>
              </w:rPr>
              <w:t>1.3.2 力加载模块应采用触摸屏作为人机交互终端。为保证使用时限，触摸屏应选用优质品牌。</w:t>
            </w:r>
          </w:p>
          <w:p>
            <w:pPr>
              <w:jc w:val="left"/>
            </w:pPr>
            <w:r>
              <w:rPr>
                <w:sz w:val="21"/>
              </w:rPr>
              <w:t>1.3.3 控制模块具备试验恢复功能，若试验暂时中断，可通过相应的操作恢复被中断的试验。</w:t>
            </w:r>
          </w:p>
          <w:p>
            <w:pPr>
              <w:jc w:val="left"/>
            </w:pPr>
            <w:r>
              <w:rPr>
                <w:sz w:val="21"/>
              </w:rPr>
              <w:t>1.3.4 配备紧急停止按钮。</w:t>
            </w:r>
          </w:p>
          <w:p>
            <w:pPr>
              <w:jc w:val="left"/>
            </w:pPr>
            <w:r>
              <w:rPr>
                <w:sz w:val="21"/>
              </w:rPr>
              <w:t>1.3.5 配备热电偶温度采集装置及控制软件用于材料试样温度，温度采集单元采集口大于或等于3个；采集数据可传输到系统控制系统，并具有实时显示和记录数据功能。</w:t>
            </w:r>
          </w:p>
          <w:p>
            <w:pPr>
              <w:jc w:val="left"/>
            </w:pPr>
            <w:r>
              <w:rPr>
                <w:sz w:val="21"/>
              </w:rPr>
              <w:t>1.3.6软件应包括用户试验及数据处理所必须的功能，并在试验机使用说明书中有详细的介绍说明。</w:t>
            </w:r>
          </w:p>
          <w:p>
            <w:pPr>
              <w:jc w:val="left"/>
            </w:pPr>
            <w:r>
              <w:rPr>
                <w:sz w:val="21"/>
              </w:rPr>
              <w:t>1.3.7 具有曲线无级放大、曲线遍历，曲线坐标移动，相关曲线叠加，曲线添加标注及打印处理。</w:t>
            </w:r>
          </w:p>
          <w:p>
            <w:pPr>
              <w:jc w:val="left"/>
            </w:pPr>
            <w:r>
              <w:rPr>
                <w:sz w:val="21"/>
              </w:rPr>
              <w:t>1.3.8 具有负荷、温度等多种控制方式，可实时控制记录负荷、温度数据。测量和记录周期可自由设试验参数。</w:t>
            </w:r>
          </w:p>
          <w:p>
            <w:pPr>
              <w:jc w:val="left"/>
            </w:pPr>
            <w:r>
              <w:rPr>
                <w:sz w:val="21"/>
              </w:rPr>
              <w:t>1.3.9 具有断点恢复、曲线自动刷新、故障自诊断功能。</w:t>
            </w:r>
          </w:p>
          <w:p>
            <w:pPr>
              <w:jc w:val="left"/>
            </w:pPr>
            <w:r>
              <w:rPr>
                <w:sz w:val="21"/>
              </w:rPr>
              <w:t>1.3.10 具有超限报警、超量程报警、故障报警等安全保护功能，具有试样断裂报警拨号、停电报警拨号和故障报警拨号功能。</w:t>
            </w:r>
          </w:p>
          <w:p>
            <w:pPr>
              <w:jc w:val="left"/>
            </w:pPr>
            <w:r>
              <w:rPr>
                <w:sz w:val="21"/>
              </w:rPr>
              <w:t>1.3.11 具有各项试验数据存储、整理、回归处理、外推计算、试验结果曲线绘制功能。</w:t>
            </w:r>
          </w:p>
          <w:p>
            <w:pPr>
              <w:jc w:val="both"/>
            </w:pPr>
            <w:r>
              <w:rPr>
                <w:sz w:val="21"/>
              </w:rPr>
              <w:t>1.3.12 具有实验过程原位观测或试样状态自动拍照记录功能。</w:t>
            </w:r>
          </w:p>
          <w:p>
            <w:pPr>
              <w:jc w:val="both"/>
            </w:pPr>
            <w:r>
              <w:rPr/>
              <w:t xml:space="preserve"> </w:t>
            </w:r>
          </w:p>
          <w:p>
            <w:pPr>
              <w:jc w:val="both"/>
            </w:pPr>
            <w:r>
              <w:rPr/>
              <w:t xml:space="preserve"> </w:t>
            </w:r>
          </w:p>
        </w:tc>
      </w:tr>
      <w:tr>
        <w:tc>
          <w:tcPr>
            <w:tcW w:type="dxa" w:w="2076"/>
          </w:tcPr>
          <w:p/>
        </w:tc>
        <w:tc>
          <w:tcPr>
            <w:tcW w:type="dxa" w:w="415"/>
          </w:tcPr>
          <w:p>
            <w:r>
              <w:rPr/>
              <w:t>2</w:t>
            </w:r>
          </w:p>
        </w:tc>
        <w:tc>
          <w:tcPr>
            <w:tcW w:type="dxa" w:w="5814"/>
          </w:tcPr>
          <w:p>
            <w:pPr>
              <w:jc w:val="left"/>
            </w:pPr>
            <w:r>
              <w:rPr>
                <w:sz w:val="21"/>
              </w:rPr>
              <w:t>2、高温盐雾制备和传输系统</w:t>
            </w:r>
          </w:p>
          <w:p>
            <w:pPr>
              <w:jc w:val="left"/>
            </w:pPr>
            <w:r>
              <w:rPr>
                <w:sz w:val="21"/>
              </w:rPr>
              <w:t>2.1盐雾制备模块</w:t>
            </w:r>
          </w:p>
          <w:p>
            <w:pPr>
              <w:jc w:val="left"/>
            </w:pPr>
            <w:r>
              <w:rPr>
                <w:sz w:val="21"/>
              </w:rPr>
              <w:t>★2.1.1可以实现模拟海洋环境的盐雾条件生成和控制。</w:t>
            </w:r>
          </w:p>
          <w:p>
            <w:pPr>
              <w:jc w:val="left"/>
            </w:pPr>
            <w:r>
              <w:rPr>
                <w:sz w:val="21"/>
              </w:rPr>
              <w:t>2.1.2配备盐雾防结晶装置，避免堵塞管路。</w:t>
            </w:r>
          </w:p>
          <w:p>
            <w:pPr>
              <w:jc w:val="left"/>
            </w:pPr>
            <w:r>
              <w:rPr>
                <w:sz w:val="21"/>
              </w:rPr>
              <w:t>2.1.3配备温度调控装置，可在一定范围内控制盐雾温度。</w:t>
            </w:r>
          </w:p>
          <w:p>
            <w:pPr>
              <w:jc w:val="left"/>
            </w:pPr>
            <w:r>
              <w:rPr>
                <w:sz w:val="21"/>
              </w:rPr>
              <w:t>2.2盐雾传输模块</w:t>
            </w:r>
          </w:p>
          <w:p>
            <w:pPr>
              <w:jc w:val="left"/>
            </w:pPr>
            <w:r>
              <w:rPr>
                <w:sz w:val="21"/>
              </w:rPr>
              <w:t>★2.2.1可以实现模拟海洋环境的盐雾持续流通。</w:t>
            </w:r>
          </w:p>
          <w:p>
            <w:pPr>
              <w:jc w:val="left"/>
            </w:pPr>
            <w:r>
              <w:rPr>
                <w:sz w:val="21"/>
              </w:rPr>
              <w:t>2.2.2配备流量调控装置，可按要求控制盐雾流量。</w:t>
            </w:r>
          </w:p>
          <w:p>
            <w:pPr>
              <w:jc w:val="left"/>
            </w:pPr>
            <w:r>
              <w:rPr>
                <w:sz w:val="21"/>
              </w:rPr>
              <w:t>2.2.3配备盐雾排出装置，避免多余盐雾在系统内沉积。</w:t>
            </w:r>
          </w:p>
          <w:p>
            <w:pPr>
              <w:jc w:val="both"/>
            </w:pPr>
            <w:r>
              <w:rPr>
                <w:sz w:val="21"/>
              </w:rPr>
              <w:t>2.2.4 采用耐腐蚀管路，避免盐雾影响其他部件安全稳定运行。</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广东省科学院新材料研究所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￥20500.00元（大写：人民币贰万零伍佰元整）。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李泽、苏启立</w:t>
      </w:r>
    </w:p>
    <w:p>
      <w:pPr>
        <w:ind w:firstLine="480"/>
      </w:pPr>
      <w:r>
        <w:rPr/>
        <w:t>电话：</w:t>
      </w:r>
      <w:r>
        <w:rPr/>
        <w:t>020-87687142、87687651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采购包1(海洋环境多功能力学试验机)：综合评分法,是指投标文件满足招标文件全部实质性要求，且按照评审因素的量化指标评审得分最高的投标人为中标候选人的评标方法。（最低报价不是中标的唯一依据。）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采购包1（海洋环境多功能力学试验机）：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采购包1（海洋环境多功能力学试验机）：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采购包1（海洋环境多功能力学试验机）：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采购包1(海洋环境多功能力学试验机):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技术响应程度（参数条款按照最小一级序号进行计算） (23.0分)</w:t>
            </w:r>
          </w:p>
        </w:tc>
        <w:tc>
          <w:tcPr>
            <w:tcW w:type="dxa" w:w="5076"/>
          </w:tcPr>
          <w:p>
            <w:pPr>
              <w:jc w:val="left"/>
            </w:pPr>
            <w:r>
              <w:rPr/>
              <w:t>一般参数条款（共23项）响应情况：完全响应或完全响应并有正偏离的，得23分；每有一项负偏离扣1分，总分23分扣完为止。 注：所有加注“★”的指标项为供应商必须响应条款，否则按无效投标处理。</w:t>
            </w:r>
          </w:p>
        </w:tc>
      </w:tr>
      <w:tr>
        <w:tc>
          <w:tcPr>
            <w:tcW w:type="dxa" w:w="922"/>
            <w:gridSpan w:val="2"/>
            <w:vMerge/>
          </w:tcPr>
          <w:p/>
        </w:tc>
        <w:tc>
          <w:tcPr>
            <w:tcW w:type="dxa" w:w="2307"/>
          </w:tcPr>
          <w:p>
            <w:pPr>
              <w:jc w:val="left"/>
            </w:pPr>
            <w:r>
              <w:rPr/>
              <w:t>产品的性能结构、技术可靠性 (12.0分)</w:t>
            </w:r>
          </w:p>
        </w:tc>
        <w:tc>
          <w:tcPr>
            <w:tcW w:type="dxa" w:w="5076"/>
          </w:tcPr>
          <w:p>
            <w:pPr>
              <w:jc w:val="left"/>
            </w:pPr>
            <w:r>
              <w:rPr/>
              <w:t>根据各投标人提供的产品的性能结构、技术可靠性方案进行评审： （1）所投产品的技术可靠性高，货物制造技术、制造设备、生产工艺达到行业内高水平、使用材料与部件等方面达到行业高质量，得12分； （2）所投产品的技术可靠性较高，货物制造技术、制造设备、生产工艺为行业内较高水平，使用材料与部件等方面达到行业较高质量，得8分； （3）所投产品的技术可靠性程度低一般，货物制造技术、制造设备、生产工艺为业内中等水平、使用材料与部件等方面质量适中，得4分； （4）所投产品的技术不具备可靠性，货物制造技术、制造设备、生产工艺为业内较低水平、使用材料与部件等方面质量较差的，得1分； （5）未提供相关说明不得分。 注：需提供能证明投标设备相关技术参数或相关证明技术先进程度的证明材料。</w:t>
            </w:r>
          </w:p>
        </w:tc>
      </w:tr>
      <w:tr>
        <w:tc>
          <w:tcPr>
            <w:tcW w:type="dxa" w:w="922"/>
            <w:gridSpan w:val="2"/>
            <w:vMerge/>
          </w:tcPr>
          <w:p/>
        </w:tc>
        <w:tc>
          <w:tcPr>
            <w:tcW w:type="dxa" w:w="2307"/>
          </w:tcPr>
          <w:p>
            <w:pPr>
              <w:jc w:val="left"/>
            </w:pPr>
            <w:r>
              <w:rPr/>
              <w:t>项目实施方案 (10.0分)</w:t>
            </w:r>
          </w:p>
        </w:tc>
        <w:tc>
          <w:tcPr>
            <w:tcW w:type="dxa" w:w="5076"/>
          </w:tcPr>
          <w:p>
            <w:pPr>
              <w:jc w:val="left"/>
            </w:pPr>
            <w:r>
              <w:rPr/>
              <w:t>评标委员会根据投标人提供的项目实施方案进行评价，方案应包括（投标文件中方案标题应以下列方案名称命名）：①供货方案；②项目重点、难点分析及应对方案；③实施能力方案。 （1）项目实施方案全面具体、针对性强、科学合理、可操作性强的，得10分； （2）项目实施方案较全面具体、针对性较强、较科学合理、可操作性较强的，得7分； （3）项目实施方案全面具体性一般、针对性一般、科学合理性一般、可操作性一般的，得3分； （4）没提供得0分。 注：需提供项目实施方案相关材料。</w:t>
            </w:r>
          </w:p>
        </w:tc>
      </w:tr>
      <w:tr>
        <w:tc>
          <w:tcPr>
            <w:tcW w:type="dxa" w:w="922"/>
            <w:gridSpan w:val="2"/>
            <w:vMerge/>
          </w:tcPr>
          <w:p/>
        </w:tc>
        <w:tc>
          <w:tcPr>
            <w:tcW w:type="dxa" w:w="2307"/>
          </w:tcPr>
          <w:p>
            <w:pPr>
              <w:jc w:val="left"/>
            </w:pPr>
            <w:r>
              <w:rPr/>
              <w:t>验收标准和实施方法 (5.0分)</w:t>
            </w:r>
          </w:p>
        </w:tc>
        <w:tc>
          <w:tcPr>
            <w:tcW w:type="dxa" w:w="5076"/>
          </w:tcPr>
          <w:p>
            <w:pPr>
              <w:jc w:val="left"/>
            </w:pPr>
            <w:r>
              <w:rPr/>
              <w:t>根据各投标人提供的验收标准和实施方法进行评审： （1）针对本项目验收要求，验收方案详细具体，可操作性高的，得5分；  （2）针对本项目验收要求，验收方案较详细具体，可操作性一般的，得3分；  （3）针对本项目验收要求，验收方案不够详细具体，可操作性不强的，得1分；  （4）未提供相关资料的不得分。  注：需提供验收标准和实施方案相关材料。</w:t>
            </w:r>
          </w:p>
        </w:tc>
      </w:tr>
      <w:tr>
        <w:tc>
          <w:tcPr>
            <w:tcW w:type="dxa" w:w="922"/>
            <w:gridSpan w:val="2"/>
            <w:vMerge/>
          </w:tcPr>
          <w:p/>
        </w:tc>
        <w:tc>
          <w:tcPr>
            <w:tcW w:type="dxa" w:w="2307"/>
          </w:tcPr>
          <w:p>
            <w:pPr>
              <w:jc w:val="left"/>
            </w:pPr>
            <w:r>
              <w:rPr/>
              <w:t>售后服务 (10.0分)</w:t>
            </w:r>
          </w:p>
        </w:tc>
        <w:tc>
          <w:tcPr>
            <w:tcW w:type="dxa" w:w="5076"/>
          </w:tcPr>
          <w:p>
            <w:pPr>
              <w:jc w:val="left"/>
            </w:pPr>
            <w:r>
              <w:rPr/>
              <w:t>根据各投标人提供的售后服务方案进行评审： （1）针对本项目的售后服务方案（包括但不限于售后服务承诺、保障措施、生产企业的技术支持、保修期、备品备件价格、维护保养及应急维修时间安排等）最详细具体，可行性、可操作性最强，得10分；  （2）针对本项目的售后服务方案（包括但不限于售后服务承诺、保障措施、生产企业的技术支持、保修期、备品备件价格、维护保养及应急维修时间安排等）较为详细具体，可行性、可操作性较强，得5分；  （3）针对本项目的售后服务方案（包括但不限于售后服务承诺、保障措施、生产企业的技术支持、保修期、备品备件价格、维护保养及应急维修时间安排等）不够详细具体，可行性、可操作性一般，得1分；  （4）未提供相关方案不得分。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提供投标人或制造商自2020年1月1日至今承接同类项目业绩，每提供一项合同得1分，最高得3分。 注：提供合同关键页复印件并加盖投标人公章，提供项目联系人和联系方式，以合同签订时间为准，不提供不得分。</w:t>
            </w:r>
          </w:p>
        </w:tc>
      </w:tr>
      <w:tr>
        <w:tc>
          <w:tcPr>
            <w:tcW w:type="dxa" w:w="922"/>
            <w:gridSpan w:val="2"/>
            <w:vMerge/>
          </w:tcPr>
          <w:p/>
        </w:tc>
        <w:tc>
          <w:tcPr>
            <w:tcW w:type="dxa" w:w="2307"/>
          </w:tcPr>
          <w:p>
            <w:pPr>
              <w:jc w:val="left"/>
            </w:pPr>
            <w:r>
              <w:rPr/>
              <w:t>技术人员情况 (1.0分)</w:t>
            </w:r>
          </w:p>
        </w:tc>
        <w:tc>
          <w:tcPr>
            <w:tcW w:type="dxa" w:w="5076"/>
          </w:tcPr>
          <w:p>
            <w:pPr>
              <w:jc w:val="left"/>
            </w:pPr>
            <w:r>
              <w:rPr/>
              <w:t>提供投入本项目的技术支持人员名单，具有正高级工程师职称，每提供1人得1分；具有副高级工程师职称，每提供1人的0.5分。本项最高得1分。 注：同一人提供不同证书的不重复得分，需提供项目技术人员的相关证书扫描件及上述人员在本单位服务的外部证明，如投标截止日之前六个月以内任意一个月的代缴个税税单或参加社会保险的《投保单》、《社会保险参保人员证明》等。</w:t>
            </w:r>
          </w:p>
        </w:tc>
      </w:tr>
      <w:tr>
        <w:tc>
          <w:tcPr>
            <w:tcW w:type="dxa" w:w="922"/>
            <w:gridSpan w:val="2"/>
            <w:vMerge/>
          </w:tcPr>
          <w:p/>
        </w:tc>
        <w:tc>
          <w:tcPr>
            <w:tcW w:type="dxa" w:w="2307"/>
          </w:tcPr>
          <w:p>
            <w:pPr>
              <w:jc w:val="left"/>
            </w:pPr>
            <w:r>
              <w:rPr/>
              <w:t>交货、安装方案 (4.0分)</w:t>
            </w:r>
          </w:p>
        </w:tc>
        <w:tc>
          <w:tcPr>
            <w:tcW w:type="dxa" w:w="5076"/>
          </w:tcPr>
          <w:p>
            <w:pPr>
              <w:jc w:val="left"/>
            </w:pPr>
            <w:r>
              <w:rPr/>
              <w:t>根据各投标人提供的交货、安装方案进行评审： （1）针对本项目交货、安装与调试（包括但不限于交货方案、安装方案、调试方法等）方案详细具体、可行性、针对性强，得4分； （2）针对本项目交货、安装与调试（包括但不限于交货方案、安装方案、调试方法等）方案较详细具体，可行性、针对性较强，得2分；  （3）针对本项目交货、安装与调试（包括但不限于交货方案、安装方案、调试方法等）方案不够详细具体，可行性、针对性一般，得1分。 注：未提供方案的不得分。</w:t>
            </w:r>
          </w:p>
        </w:tc>
      </w:tr>
      <w:tr>
        <w:tc>
          <w:tcPr>
            <w:tcW w:type="dxa" w:w="922"/>
            <w:gridSpan w:val="2"/>
            <w:vMerge/>
          </w:tcPr>
          <w:p/>
        </w:tc>
        <w:tc>
          <w:tcPr>
            <w:tcW w:type="dxa" w:w="2307"/>
          </w:tcPr>
          <w:p>
            <w:pPr>
              <w:jc w:val="left"/>
            </w:pPr>
            <w:r>
              <w:rPr/>
              <w:t>交货期 (2.0分)</w:t>
            </w:r>
          </w:p>
        </w:tc>
        <w:tc>
          <w:tcPr>
            <w:tcW w:type="dxa" w:w="5076"/>
          </w:tcPr>
          <w:p>
            <w:pPr>
              <w:jc w:val="left"/>
            </w:pPr>
            <w:r>
              <w:rPr/>
              <w:t>（1）完全满足且有优于采购需求的，得2分； （2）完全满足采购需求的，得1分； （3）完全负偏离或部分负偏离的不得分。 注：本项目交货期的基本要求为合同签订之日起6个月内完成设备交货、安装调试并验收合格交付使用。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211"/>
        <w:jc w:val="left"/>
      </w:pPr>
    </w:p>
    <w:p>
      <w:pPr>
        <w:jc w:val="center"/>
      </w:pPr>
      <w:r>
        <w:rPr/>
        <w:t xml:space="preserve"> </w:t>
      </w:r>
    </w:p>
    <w:p>
      <w:pPr>
        <w:jc w:val="center"/>
      </w:pPr>
      <w:r>
        <w:rPr>
          <w:b/>
          <w:sz w:val="28"/>
        </w:rPr>
        <w:t>政府采购合同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广东省科学院新材料研究所海洋环境多功能力学试验机采购项目</w:t>
      </w:r>
      <w:r>
        <w:rPr>
          <w:sz w:val="21"/>
        </w:rPr>
        <w:t>招标文件（项目编号：</w:t>
      </w:r>
      <w:r>
        <w:rPr>
          <w:sz w:val="21"/>
        </w:rPr>
        <w:t>GZGK23P100A0341Z，采购包</w:t>
      </w:r>
      <w:r>
        <w:rPr>
          <w:sz w:val="21"/>
          <w:u w:val="single"/>
        </w:rPr>
        <w:t xml:space="preserve">     </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进口产品的必须具备原产地证明和商检局的检验证明及合法进货渠道证明。</w:t>
      </w:r>
    </w:p>
    <w:p>
      <w:pPr>
        <w:jc w:val="both"/>
      </w:pPr>
      <w:r>
        <w:rPr>
          <w:sz w:val="21"/>
        </w:rPr>
        <w:t>4、</w:t>
      </w:r>
      <w:r>
        <w:rPr>
          <w:sz w:val="21"/>
        </w:rPr>
        <w:t>国内货物必须具备出厂合格证及原厂保修卡。</w:t>
      </w:r>
    </w:p>
    <w:p>
      <w:pPr>
        <w:jc w:val="both"/>
      </w:pPr>
      <w:r>
        <w:rPr>
          <w:sz w:val="21"/>
        </w:rPr>
        <w:t>5、</w:t>
      </w:r>
      <w:r>
        <w:rPr>
          <w:sz w:val="21"/>
        </w:rPr>
        <w:t>货物为原厂商未启封全新包装，具出厂合格证，序列号、包装箱号与出厂批号一致，并可追索查阅。所有随设备的附件必须齐全。</w:t>
      </w:r>
    </w:p>
    <w:p>
      <w:pPr>
        <w:jc w:val="both"/>
      </w:pPr>
      <w:r>
        <w:rPr>
          <w:sz w:val="21"/>
        </w:rPr>
        <w:t>6、</w:t>
      </w:r>
      <w:r>
        <w:rPr>
          <w:sz w:val="21"/>
        </w:rPr>
        <w:t>乙方将货物的用户手册、保修手册、有关单证资料及备品备件、随机工具等交付给甲方，使用操作及安全须知等重要资料应附有中文说明。</w:t>
      </w:r>
    </w:p>
    <w:p>
      <w:pPr>
        <w:jc w:val="both"/>
      </w:pPr>
      <w:r>
        <w:rPr>
          <w:sz w:val="21"/>
        </w:rPr>
        <w:t>7、</w:t>
      </w:r>
      <w:r>
        <w:rPr>
          <w:sz w:val="21"/>
        </w:rPr>
        <w:t>货物验收所发生的检验费用由乙方负担。</w:t>
      </w:r>
    </w:p>
    <w:p>
      <w:pPr>
        <w:jc w:val="both"/>
      </w:pPr>
      <w:r>
        <w:rPr>
          <w:sz w:val="21"/>
        </w:rPr>
        <w:t>8、</w:t>
      </w:r>
      <w:r>
        <w:rPr>
          <w:sz w:val="21"/>
        </w:rPr>
        <w:t>设备到货并经乙方技术人员安装后，甲方有权委托中国有资格的单位对上述设备进行校准或检验。</w:t>
      </w:r>
    </w:p>
    <w:p>
      <w:pPr>
        <w:jc w:val="both"/>
      </w:pPr>
      <w:r>
        <w:rPr>
          <w:sz w:val="21"/>
        </w:rPr>
        <w:t>9、</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10、</w:t>
      </w:r>
      <w:r>
        <w:rPr>
          <w:sz w:val="21"/>
        </w:rPr>
        <w:t>当出现不合格产品时，乙方要无条件更换合格产品。除甲方认可，否则不接受任何形式的降格处理。</w:t>
      </w:r>
    </w:p>
    <w:p>
      <w:pPr>
        <w:jc w:val="both"/>
      </w:pPr>
      <w:r>
        <w:rPr>
          <w:sz w:val="21"/>
        </w:rPr>
        <w:t>11、</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1 %</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t xml:space="preserve"> </w:t>
      </w:r>
    </w:p>
    <w:p>
      <w:pPr>
        <w:jc w:val="both"/>
      </w:pPr>
      <w:r>
        <w:rPr>
          <w:sz w:val="21"/>
        </w:rPr>
        <w:t>（以下无正文）</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440001-2023-21738</w:t>
      </w:r>
    </w:p>
    <w:p>
      <w:pPr>
        <w:jc w:val="center"/>
      </w:pPr>
      <w:r>
        <w:rPr>
          <w:b/>
          <w:sz w:val="24"/>
        </w:rPr>
        <w:t>采购项目编号：</w:t>
      </w:r>
      <w:r>
        <w:rPr>
          <w:b/>
          <w:sz w:val="24"/>
        </w:rPr>
        <w:t>GZGK23P100A0341Z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广东省科学院新材料研究所海洋环境多功能力学试验机采购项目</w:t>
      </w:r>
      <w:r>
        <w:rPr>
          <w:u w:val="single"/>
        </w:rPr>
        <w:t>”</w:t>
      </w:r>
      <w:r>
        <w:rPr/>
        <w:t>项目的招标[采购项目编号为：</w:t>
      </w:r>
      <w:r>
        <w:rPr>
          <w:u w:val="single"/>
        </w:rPr>
        <w:t>GZGK23P100A0341Z</w:t>
      </w:r>
      <w:r>
        <w:rPr/>
        <w:t>]，我方愿参与投标。</w:t>
      </w:r>
    </w:p>
    <w:p>
      <w:pPr>
        <w:ind w:firstLine="480"/>
      </w:pPr>
      <w:r>
        <w:rPr/>
        <w:t>我方确认收到贵方提供的</w:t>
      </w:r>
      <w:r>
        <w:rPr>
          <w:u w:val="single"/>
        </w:rPr>
        <w:t>“</w:t>
      </w:r>
      <w:r>
        <w:rPr>
          <w:u w:val="single"/>
        </w:rPr>
        <w:t>广东省科学院新材料研究所海洋环境多功能力学试验机采购项目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广东省科学院新材料研究所海洋环境多功能力学试验机采购项目</w:t>
      </w:r>
      <w:r>
        <w:rPr/>
        <w:t>”项目采购[采购项目编号为</w:t>
      </w:r>
      <w:r>
        <w:rPr/>
        <w:t>GZGK23P100A0341Z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广东省科学院新材料研究所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广东省科学院新材料研究所海洋环境多功能力学试验机采购项目</w:t>
      </w:r>
      <w:r>
        <w:rPr/>
        <w:t>招标中获中标（采购项目编号：</w:t>
      </w:r>
      <w:r>
        <w:rPr/>
        <w:t>GZGK23P100A0341Z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广东省科学院新材料研究所海洋环境多功能力学试验机采购项目</w:t>
      </w:r>
      <w:r>
        <w:rPr/>
        <w:t>”项目（采购项目编号：</w:t>
      </w:r>
      <w:r>
        <w:rPr/>
        <w:t>GZGK23P100A0341Z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