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440001-2023-44824</w:t>
      </w:r>
    </w:p>
    <w:p>
      <w:pPr>
        <w:jc w:val="center"/>
      </w:pPr>
      <w:r>
        <w:rPr>
          <w:b/>
          <w:sz w:val="24"/>
        </w:rPr>
        <w:t>采购项目编号：</w:t>
      </w:r>
      <w:r>
        <w:rPr>
          <w:b/>
          <w:sz w:val="24"/>
        </w:rPr>
        <w:t>GZGK23P200A0675Z</w:t>
      </w:r>
    </w:p>
    <w:p>
      <w:pPr>
        <w:jc w:val="center"/>
      </w:pPr>
      <w:r>
        <w:rPr>
          <w:b/>
          <w:sz w:val="24"/>
        </w:rPr>
        <w:t>项目名称：</w:t>
      </w:r>
      <w:r>
        <w:rPr>
          <w:b/>
          <w:sz w:val="24"/>
        </w:rPr>
        <w:t>中山大学附属第六医院放射性药品采购项目</w:t>
      </w:r>
    </w:p>
    <w:p>
      <w:pPr>
        <w:jc w:val="center"/>
      </w:pPr>
      <w:r>
        <w:rPr>
          <w:b/>
          <w:sz w:val="24"/>
        </w:rPr>
        <w:t>采购人：</w:t>
      </w:r>
      <w:r>
        <w:rPr>
          <w:b/>
          <w:sz w:val="24"/>
        </w:rPr>
        <w:t>中山大学附属第六医院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中山大学附属第六医院</w:t>
      </w:r>
      <w:r>
        <w:rPr/>
        <w:t>的委托，采用</w:t>
      </w:r>
      <w:r>
        <w:rPr/>
        <w:t>公开招标</w:t>
      </w:r>
      <w:r>
        <w:rPr/>
        <w:t>方式组织采购</w:t>
      </w:r>
      <w:r>
        <w:rPr/>
        <w:t>中山大学附属第六医院放射性药品采购项目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中山大学附属第六医院放射性药品采购项目</w:t>
      </w:r>
    </w:p>
    <w:p>
      <w:pPr>
        <w:ind w:firstLine="480"/>
      </w:pPr>
      <w:r>
        <w:rPr/>
        <w:t>采购计划编号：</w:t>
      </w:r>
      <w:r>
        <w:rPr/>
        <w:t>440001-2023-44824</w:t>
      </w:r>
    </w:p>
    <w:p>
      <w:pPr>
        <w:ind w:firstLine="480"/>
      </w:pPr>
      <w:r>
        <w:rPr/>
        <w:t>采购项目编号：</w:t>
      </w:r>
      <w:r>
        <w:rPr/>
        <w:t>GZGK23P200A0675Z</w:t>
      </w:r>
    </w:p>
    <w:p>
      <w:pPr>
        <w:ind w:firstLine="480"/>
      </w:pPr>
      <w:r>
        <w:rPr/>
        <w:t>采购方式：</w:t>
      </w:r>
      <w:r>
        <w:rPr/>
        <w:t>公开招标</w:t>
      </w:r>
    </w:p>
    <w:p>
      <w:pPr>
        <w:ind w:firstLine="480"/>
      </w:pPr>
      <w:r>
        <w:rPr/>
        <w:t>预算金额：</w:t>
      </w:r>
      <w:r>
        <w:rPr/>
        <w:t>30,855,000.00</w:t>
      </w:r>
      <w:r>
        <w:rPr/>
        <w:t>元</w:t>
      </w:r>
    </w:p>
    <w:p>
      <w:r>
        <w:rPr>
          <w:b/>
          <w:sz w:val="24"/>
        </w:rPr>
        <w:t>2.项目内容及需求情况（采购项目技术规格、参数及要求）</w:t>
      </w:r>
    </w:p>
    <w:p>
      <w:pPr>
        <w:ind w:firstLine="480"/>
      </w:pPr>
    </w:p>
    <w:p/>
    <w:p>
      <w:r>
        <w:rPr/>
        <w:t>采购包1(放射性药品1):</w:t>
      </w:r>
    </w:p>
    <w:p>
      <w:r>
        <w:rPr/>
        <w:t>采购包预算金额：17,805,000.00元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放射性同位素药</w:t>
            </w:r>
          </w:p>
        </w:tc>
        <w:tc>
          <w:tcPr>
            <w:tcW w:type="dxa" w:w="2052"/>
          </w:tcPr>
          <w:p>
            <w:r>
              <w:rPr/>
              <w:t>放射性药品1</w:t>
            </w:r>
          </w:p>
        </w:tc>
        <w:tc>
          <w:tcPr>
            <w:tcW w:type="dxa" w:w="977"/>
          </w:tcPr>
          <w:p>
            <w:r>
              <w:rPr/>
              <w:t>1.00(项)</w:t>
            </w:r>
          </w:p>
        </w:tc>
        <w:tc>
          <w:tcPr>
            <w:tcW w:type="dxa" w:w="977"/>
          </w:tcPr>
          <w:p>
            <w:r>
              <w:rPr/>
              <w:t>详见第二章</w:t>
            </w:r>
          </w:p>
        </w:tc>
        <w:tc>
          <w:tcPr>
            <w:tcW w:type="dxa" w:w="977"/>
          </w:tcPr>
          <w:p>
            <w:r>
              <w:rPr/>
              <w:t>17,805,000.00</w:t>
            </w:r>
          </w:p>
        </w:tc>
        <w:tc>
          <w:tcPr>
            <w:tcW w:type="dxa" w:w="977"/>
          </w:tcPr>
          <w:p>
            <w:r>
              <w:rPr/>
              <w:t>否</w:t>
            </w:r>
          </w:p>
        </w:tc>
      </w:tr>
    </w:tbl>
    <w:p/>
    <w:p>
      <w:r>
        <w:rPr/>
        <w:t>本采购包不接受联合体投标</w:t>
      </w:r>
    </w:p>
    <w:p/>
    <w:p>
      <w:r>
        <w:rPr/>
        <w:t>合同履行期限：见“标的提供时间”要求</w:t>
      </w:r>
    </w:p>
    <w:p/>
    <w:p>
      <w:r>
        <w:rPr/>
        <w:t>采购包2(放射性药品2):</w:t>
      </w:r>
    </w:p>
    <w:p>
      <w:r>
        <w:rPr/>
        <w:t>采购包预算金额：13,050,000.00元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放射性同位素药</w:t>
            </w:r>
          </w:p>
        </w:tc>
        <w:tc>
          <w:tcPr>
            <w:tcW w:type="dxa" w:w="2052"/>
          </w:tcPr>
          <w:p>
            <w:r>
              <w:rPr/>
              <w:t>放射性药品2</w:t>
            </w:r>
          </w:p>
        </w:tc>
        <w:tc>
          <w:tcPr>
            <w:tcW w:type="dxa" w:w="977"/>
          </w:tcPr>
          <w:p>
            <w:r>
              <w:rPr/>
              <w:t>1.00(项)</w:t>
            </w:r>
          </w:p>
        </w:tc>
        <w:tc>
          <w:tcPr>
            <w:tcW w:type="dxa" w:w="977"/>
          </w:tcPr>
          <w:p>
            <w:r>
              <w:rPr/>
              <w:t>详见第二章</w:t>
            </w:r>
          </w:p>
        </w:tc>
        <w:tc>
          <w:tcPr>
            <w:tcW w:type="dxa" w:w="977"/>
          </w:tcPr>
          <w:p>
            <w:r>
              <w:rPr/>
              <w:t>13,050,000.00</w:t>
            </w:r>
          </w:p>
        </w:tc>
        <w:tc>
          <w:tcPr>
            <w:tcW w:type="dxa" w:w="97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3）具有良好的商业信誉和健全的财务会计制度：供应商必须具有良好的商业信誉和健全的财务会计制度（提供2022年度或2023年度财务状况报告或基本开户行出具的资信证明）。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提供书面承诺声明函（格式自拟）。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采购包1（放射性药品1）：</w:t>
      </w:r>
      <w:r>
        <w:rPr/>
        <w:t>本采购包不属于专门面向中小企业采购的项目。</w:t>
      </w:r>
    </w:p>
    <w:p>
      <w:pPr>
        <w:jc w:val="left"/>
      </w:pPr>
    </w:p>
    <w:p>
      <w:r>
        <w:rPr/>
        <w:t>采购包2（放射性药品2）：</w:t>
      </w:r>
      <w:r>
        <w:rPr/>
        <w:t>本采购包不属于专门面向中小企业采购的项目。</w:t>
      </w:r>
    </w:p>
    <w:p/>
    <w:p>
      <w:r>
        <w:rPr>
          <w:b/>
          <w:sz w:val="24"/>
        </w:rPr>
        <w:t>3.本项目特定的资格要求：</w:t>
      </w:r>
    </w:p>
    <w:p>
      <w:pPr>
        <w:ind w:firstLine="480"/>
      </w:pPr>
    </w:p>
    <w:p/>
    <w:p>
      <w:r>
        <w:rPr/>
        <w:t>采购包1（放射性药品1）：</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3)投标人具有有效的《放射性药品经营许可证》或《放射性药品生产许可证》。</w:t>
      </w:r>
    </w:p>
    <w:p/>
    <w:p>
      <w:r>
        <w:rPr/>
        <w:t>4)投标人具有有效的《辐射安全许可证》。</w:t>
      </w:r>
    </w:p>
    <w:p/>
    <w:p>
      <w:r>
        <w:rPr/>
        <w:t>采购包2（放射性药品2）：</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p/>
    <w:p>
      <w:r>
        <w:rPr/>
        <w:t>3)投标人具有有效的《放射性药品经营许可证》或《放射性药品生产许可证》。</w:t>
      </w:r>
    </w:p>
    <w:p/>
    <w:p>
      <w:r>
        <w:rPr/>
        <w:t>4)投标人具有有效的《辐射安全许可证》。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中山大学附属第六医院</w:t>
      </w:r>
    </w:p>
    <w:p>
      <w:pPr>
        <w:ind w:firstLine="480"/>
      </w:pPr>
      <w:r>
        <w:rPr/>
        <w:t>地址：</w:t>
      </w:r>
      <w:r>
        <w:rPr/>
        <w:t>广州天河区员村二横路26号</w:t>
      </w:r>
    </w:p>
    <w:p>
      <w:pPr>
        <w:ind w:firstLine="480"/>
      </w:pPr>
      <w:r>
        <w:rPr/>
        <w:t>联系方式：</w:t>
      </w:r>
      <w:r>
        <w:rPr/>
        <w:t>020-38254482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020-31603842、020-87688049</w:t>
      </w:r>
    </w:p>
    <w:p>
      <w:r>
        <w:rPr>
          <w:b/>
          <w:sz w:val="24"/>
        </w:rPr>
        <w:t>3.项目联系方式</w:t>
      </w:r>
    </w:p>
    <w:p>
      <w:pPr>
        <w:ind w:firstLine="480"/>
      </w:pPr>
      <w:r>
        <w:rPr/>
        <w:t>项目联系人：</w:t>
      </w:r>
      <w:r>
        <w:rPr/>
        <w:t>李国晨、陈蔚</w:t>
      </w:r>
    </w:p>
    <w:p>
      <w:pPr>
        <w:ind w:firstLine="480"/>
      </w:pPr>
      <w:r>
        <w:rPr/>
        <w:t>电话：</w:t>
      </w:r>
      <w:r>
        <w:rPr/>
        <w:t>020-31603842、020-87688049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rPr>
        <w:t>（一）项目编号：</w:t>
      </w:r>
      <w:r>
        <w:rPr/>
        <w:t>GZGK23P200A0675Z</w:t>
      </w:r>
      <w:r>
        <w:br/>
      </w:r>
      <w:r>
        <w:rPr>
          <w:b/>
        </w:rPr>
        <w:t>（二）项目名称：</w:t>
      </w:r>
      <w:r>
        <w:rPr/>
        <w:t>中山大学附属第六医院放射性药品采购项目</w:t>
      </w:r>
      <w:r>
        <w:br/>
      </w:r>
      <w:r>
        <w:rPr>
          <w:b/>
        </w:rPr>
        <w:t>（三）总体要求说明：</w:t>
      </w:r>
      <w:r>
        <w:br/>
      </w:r>
      <w:r>
        <w:rPr/>
        <w:t>1、标有“★”的条款为必须完全满足的实质性要求，投标人如有一项带“★”的条款未响应或不满足，将按无效投标处理。</w:t>
      </w:r>
      <w:r>
        <w:br/>
      </w:r>
      <w:r>
        <w:rPr/>
        <w:t>2、标有“▲”的条款为重要性要求，投标人如有“▲”的条款未响应或负偏离的将被严重扣分。</w:t>
      </w:r>
      <w:r>
        <w:br/>
      </w:r>
      <w:r>
        <w:rPr/>
        <w:t>3、投标人必须承诺提供厂商全新的、符合国家及用户提出的有关质量标准的产品。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9、投标人没有在投标文件中注明偏离（文字说明或在响应表注明）的参数、配置、条款视为被投标人完全接受。</w:t>
      </w:r>
      <w:r>
        <w:br/>
      </w:r>
      <w:r>
        <w:rPr/>
        <w:t>11、投标人应保证，采购人在中华人民共和国使用该货物和服务或货物和服务的任何一部分时，免受第三方提出的侵犯其专利权、商标权、著作权或其它知识产权的起诉。</w:t>
      </w:r>
      <w:r>
        <w:br/>
      </w:r>
      <w:r>
        <w:rPr/>
        <w:t>12、不允许中标供应商转包中标采购包的内容。</w:t>
      </w:r>
      <w:r>
        <w:br/>
      </w:r>
      <w:r>
        <w:rPr/>
        <w:t>13、本项目药品运输环节部分允许分包。如需分包的，投标时须提供分包意向协议书，明确分包内容及责任，并提供相应的资质证明文件。</w:t>
      </w:r>
      <w:r>
        <w:br/>
      </w:r>
      <w:r>
        <w:rPr/>
        <w:t>14、小型和微型企业、监狱企业和残疾人福利性单位必须按照招标文件第三章内容提供相应的资料。</w:t>
      </w:r>
      <w:r>
        <w:br/>
      </w:r>
      <w:r>
        <w:rPr/>
        <w:t>15、需落实政府采购政策为：促进中小企业发展政策、支持监狱企业发展政策、支持残疾人福利性单位发展政策、优先采购节能产品、环境标志产品相关政策等。</w:t>
      </w:r>
      <w:r>
        <w:br/>
      </w:r>
      <w:r>
        <w:rPr/>
        <w:t>16、本项目采购包1及采购包2符合《政府采购促进中小企业发展管理办法》第六条第（三）项的情形，故本项目不专门面向中小企业。</w:t>
      </w:r>
      <w:r>
        <w:br/>
      </w:r>
      <w:r>
        <w:rPr>
          <w:b/>
        </w:rPr>
        <w:t>（四）其他说明：</w:t>
      </w:r>
      <w:r>
        <w:br/>
      </w:r>
      <w:r>
        <w:rPr/>
        <w:t>1、 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投标人亦可委派代表携带CA-key、存储有非加密投标文件的U盘及纸质投标文件前往开标现场进行签到、解密。</w:t>
      </w:r>
      <w:r>
        <w:br/>
      </w:r>
      <w:r>
        <w:rPr/>
        <w:t>2、 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 供应商电脑需提前安装CA签章客户端，并运行CA证书。</w:t>
      </w:r>
      <w:r>
        <w:br/>
      </w:r>
      <w:r>
        <w:rPr/>
        <w:t>4、 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1、报价应包含货物费、运输费、售后服务、全额含税发票、雇员费用、合同实施过程中应预见和不可预见费用等。</w:t>
      </w:r>
      <w:r>
        <w:br/>
      </w:r>
      <w:r>
        <w:rPr/>
        <w:t>2、报价方式：本项目采用折扣率报价（0＜投标折扣率≤100%，若折扣率超出此范围则投标无效。投标折扣率必须为固定报价，不接受区间报价），投标折扣率＝（结算价格÷单价最高限价）×100.00％。</w:t>
      </w:r>
      <w:r>
        <w:br/>
      </w:r>
      <w:r>
        <w:rPr/>
        <w:t>例如：某货物的单价最高限价为100.00元，投标拟优惠20.00元，结算价格为80.00元，则投标折扣率为：（80.00/100.00）*100%=80.00%。</w:t>
      </w:r>
      <w:r>
        <w:br/>
      </w:r>
      <w:r>
        <w:rPr/>
        <w:t>3、结算方式：实际结算费用=∑[实际采购量×（货物的单价最高限价×中标折扣率）]。实际执行的结束时间以“实际结算费用累计达到采购预算”或“供货期3年期限”先到者供货结束。</w:t>
      </w:r>
      <w:r>
        <w:br/>
      </w:r>
      <w:r>
        <w:rPr/>
        <w:t>★4、本项目的投标报价以折扣率的形式报出，所有货物适用于同一个折扣率。本次采购实施时间较长及分批次供货，采购数量将按医院的实际需求数量分期分批次购买，采购金额按实结算，投标人应无条件配合。</w:t>
      </w:r>
      <w:r>
        <w:br/>
      </w:r>
      <w:r>
        <w:rPr>
          <w:b/>
        </w:rPr>
        <w:t>（六）实现的功能</w:t>
      </w:r>
      <w:r>
        <w:br/>
      </w:r>
      <w:r>
        <w:rPr/>
        <w:t>用于实现临床诊断或者治疗的放射性药品。</w:t>
      </w:r>
      <w:r>
        <w:br/>
      </w:r>
      <w:r>
        <w:rPr>
          <w:b/>
        </w:rPr>
        <w:t>（七）需执行国家相关标准、行业标准、地方标准或者其他标准、规范。</w:t>
      </w:r>
      <w:r>
        <w:br/>
      </w:r>
      <w:r>
        <w:rPr/>
        <w:t xml:space="preserve"> </w:t>
      </w:r>
    </w:p>
    <w:p/>
    <w:p>
      <w:pPr>
        <w:ind w:firstLine="480"/>
      </w:pPr>
    </w:p>
    <w:p/>
    <w:p>
      <w:r>
        <w:rPr/>
        <w:t>采购包1（放射性药品1）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供货期：自合同执行之日起3年，合同一年一签，实际执行的结束时间以“实际结算费用累计达到采购预算”或“供货期3年期限”先到者供货结束。在供货期限内因国家政策或不可抗力的因素导致采购人不能执行所采购货物时，本项目合同终止，采购人及采购代理机构不承担任何责任。</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1期：支付比例100%,1、如中标供应商为中小微企业或监狱企业或残疾人福利性单位，则按以下方式付款： （1）每月按实结算，中标供应商在每个月10日前开具上个月据实结算价款的国家正式发票给采购人。 （2）实际结算费用=∑[实际采购量×（货物的单价最高限价×中标折扣率）]。 （3）采购人收到正式发票及付款申请后15日内支付上个月结算价款，若中标供应商迟延履行提供发票义务，采购人也可顺延履行支付义务。 （4）支付方式：采用支票、银行汇付（含电汇）等形式。 2、如中标供应商非中小微企业或监狱企业或残疾人福利性单位，则按以下方式付款： （1）每月按实结算，中标供应商在每个月10日前开具上个月据实结算价款的国家正式发票给采购人。 （2）实际结算费用=∑[实际采购量×（货物的单价最高限价×中标折扣率）]。 （3）采购人收到正式发票及付款申请后30日内支付上个月结算价款， 若中标供应商迟延履行提供发票义务，采购人也可顺延履行支付义务。 （4）支付方式：采用支票、银行汇付（含电汇）等形式。</w:t>
            </w:r>
          </w:p>
        </w:tc>
      </w:tr>
      <w:tr>
        <w:tc>
          <w:tcPr>
            <w:tcW w:type="dxa" w:w="4153"/>
          </w:tcPr>
          <w:p>
            <w:r>
              <w:rPr/>
              <w:t>验收要求</w:t>
            </w:r>
          </w:p>
        </w:tc>
        <w:tc>
          <w:tcPr>
            <w:tcW w:type="dxa" w:w="4153"/>
          </w:tcPr>
          <w:p/>
          <w:p/>
          <w:p/>
          <w:p>
            <w:r>
              <w:rPr/>
              <w:t>1期：1、采购人收到中标供应商送达的货物后及时对放射性药品进行验收，验收项目包括：品名、规格、放射性活度、外观质量、货物包装是否完好；中标供应商保证送货文件的真实、完整。采购人验收合格后视为确认收货。 2、中标供应商应当保证按约定时间、地点将货物送至交货地点。无正当理由不得延迟交货。若中标供应商遇到突发情况或受不可抗因素影响不能按时送达时，中标供应商应与采购人及时沟通并采取相应措施将影响降到最少。 3、当出现不合格产品时，中标供应商要无条件更换合格产品。除采购人认可，否则不接受任何形式的降格处理。 4、批量进货无法逐一开箱验货时，待开箱时如发现中标供应商提供的货品与规格不符或者有质量问题的，采购人有权要求退换整批货品，采购人在临床使用过程中如发现货物质量问题，有权要求中标供应商退换该批次所有货物，如由此造成的一切损失(包括经济损失、消除影响等)均由中标供应商无条件承担。 5、验收期限：全部货物到货后7日内完成项目验收。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（一）包装与运输</w:t>
            </w:r>
          </w:p>
        </w:tc>
        <w:tc>
          <w:tcPr>
            <w:tcW w:type="dxa" w:w="2076"/>
          </w:tcPr>
          <w:p>
            <w:pPr>
              <w:jc w:val="left"/>
            </w:pPr>
            <w:r>
              <w:rPr/>
              <w:t>1、产品的包装均应有良好的防湿、防锈、防潮、防雨、防腐及防碰撞的措施。凡由于包装不良造成的损失和由此产生的费用均由中标供应商承担。 2、包装应有药物标签，标签要注明药品的具体名称、生产时间、剂量、放化纯度等主要质控参数。</w:t>
            </w:r>
          </w:p>
        </w:tc>
      </w:tr>
      <w:tr>
        <w:tc>
          <w:tcPr>
            <w:tcW w:type="dxa" w:w="2076"/>
          </w:tcPr>
          <w:p>
            <w:pPr>
              <w:jc w:val="center"/>
            </w:pPr>
          </w:p>
        </w:tc>
        <w:tc>
          <w:tcPr>
            <w:tcW w:type="dxa" w:w="2076"/>
          </w:tcPr>
          <w:p>
            <w:pPr>
              <w:jc w:val="center"/>
            </w:pPr>
            <w:r>
              <w:rPr/>
              <w:t>2</w:t>
            </w:r>
          </w:p>
        </w:tc>
        <w:tc>
          <w:tcPr>
            <w:tcW w:type="dxa" w:w="2076"/>
          </w:tcPr>
          <w:p>
            <w:pPr>
              <w:jc w:val="left"/>
            </w:pPr>
            <w:r>
              <w:rPr/>
              <w:t>（二）质量保证期（有效期）</w:t>
            </w:r>
          </w:p>
        </w:tc>
        <w:tc>
          <w:tcPr>
            <w:tcW w:type="dxa" w:w="2076"/>
          </w:tcPr>
          <w:p>
            <w:pPr>
              <w:jc w:val="left"/>
            </w:pPr>
            <w:r>
              <w:rPr/>
              <w:t>1、中标供应商提供的货物必须符合中华人民共和国“国家安全环保标准”。 2、中标供应商提供的产品必须能提供产品质量证明，保证为原厂全新正品，包装完好，保存得当，其技术规格、标准必须符合放射性药品质量控制标准。 3、产品为原厂商未启封全新包装，具出厂合格证，序列号、包装箱号与出厂批号一致，并可追溯查阅。 4、如果发现货物的质量和规格与合同规定不符，或货物在质量保证期内被证明有缺陷，包括内在缺陷或使用不适当原材料，采购人将有权要求有关部门进行检验，并依据检验证书向中标供应商索赔，中标供应商负责退货工作。 5、保证所供应放射性药品的放化纯度大于95%，符合放射性药品的质量控制标准。 6、质量保证期（有效期）内非因采购人的人为原因而出现产品质量问题，由中标供应商全部负责包换或包退，并承担因此而产生的一切费用。 7、因质量问题而发生争议，由广东省或广州市质检部门进行质量鉴定。符合质量标准的，鉴定费用由采购人承担；不符合质量标准的，鉴定费用由中标供应商承担。</w:t>
            </w:r>
          </w:p>
        </w:tc>
      </w:tr>
      <w:tr>
        <w:tc>
          <w:tcPr>
            <w:tcW w:type="dxa" w:w="2076"/>
          </w:tcPr>
          <w:p>
            <w:pPr>
              <w:jc w:val="center"/>
            </w:pPr>
          </w:p>
        </w:tc>
        <w:tc>
          <w:tcPr>
            <w:tcW w:type="dxa" w:w="2076"/>
          </w:tcPr>
          <w:p>
            <w:pPr>
              <w:jc w:val="center"/>
            </w:pPr>
            <w:r>
              <w:rPr/>
              <w:t>3</w:t>
            </w:r>
          </w:p>
        </w:tc>
        <w:tc>
          <w:tcPr>
            <w:tcW w:type="dxa" w:w="2076"/>
          </w:tcPr>
          <w:p>
            <w:pPr>
              <w:jc w:val="left"/>
            </w:pPr>
            <w:r>
              <w:rPr/>
              <w:t>（三）售后服务</w:t>
            </w:r>
          </w:p>
        </w:tc>
        <w:tc>
          <w:tcPr>
            <w:tcW w:type="dxa" w:w="2076"/>
          </w:tcPr>
          <w:p>
            <w:pPr>
              <w:jc w:val="left"/>
            </w:pPr>
            <w:r>
              <w:rPr/>
              <w:t>1、中标供应商有义务在采购人指定地点为所供放射性药品的临床应用进行现场讲解或培训，已包含在投标报价中。 2、如果中标供应商对可能发生的伴随服务需要收取费用，应予以注明，否则均应视为已包含在投标报价中。 3、采购人发现非人为因素损坏或缺陷，中标供应商应接受无条件退、换货，由此产生的费用均由中标供应商承担。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放射性同位素药</w:t>
            </w:r>
          </w:p>
        </w:tc>
        <w:tc>
          <w:tcPr>
            <w:tcW w:type="dxa" w:w="748"/>
          </w:tcPr>
          <w:p>
            <w:pPr>
              <w:jc w:val="left"/>
            </w:pPr>
            <w:r>
              <w:rPr/>
              <w:t>放射性药品1</w:t>
            </w:r>
          </w:p>
        </w:tc>
        <w:tc>
          <w:tcPr>
            <w:tcW w:type="dxa" w:w="748"/>
          </w:tcPr>
          <w:p>
            <w:pPr>
              <w:jc w:val="left"/>
            </w:pPr>
            <w:r>
              <w:rPr/>
              <w:t>项</w:t>
            </w:r>
          </w:p>
        </w:tc>
        <w:tc>
          <w:tcPr>
            <w:tcW w:type="dxa" w:w="748"/>
          </w:tcPr>
          <w:p>
            <w:pPr>
              <w:jc w:val="right"/>
            </w:pPr>
            <w:r>
              <w:rPr/>
              <w:t>1.00</w:t>
            </w:r>
          </w:p>
        </w:tc>
        <w:tc>
          <w:tcPr>
            <w:tcW w:type="dxa" w:w="748"/>
          </w:tcPr>
          <w:p>
            <w:pPr>
              <w:jc w:val="right"/>
            </w:pPr>
            <w:r>
              <w:rPr/>
              <w:t>17,805,000.00</w:t>
            </w:r>
          </w:p>
        </w:tc>
        <w:tc>
          <w:tcPr>
            <w:tcW w:type="dxa" w:w="748"/>
          </w:tcPr>
          <w:p>
            <w:pPr>
              <w:jc w:val="right"/>
            </w:pPr>
            <w:r>
              <w:rPr/>
              <w:t>17,805,000.00</w:t>
            </w:r>
          </w:p>
        </w:tc>
        <w:tc>
          <w:tcPr>
            <w:tcW w:type="dxa" w:w="748"/>
          </w:tcPr>
          <w:p>
            <w:r>
              <w:rPr/>
              <w:t>100.0</w:t>
            </w:r>
          </w:p>
        </w:tc>
        <w:tc>
          <w:tcPr>
            <w:tcW w:type="dxa" w:w="823"/>
          </w:tcPr>
          <w:p>
            <w:r>
              <w:rPr/>
              <w:t>批发业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放射性药品1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一、采购清单</w:t>
            </w:r>
          </w:p>
          <w:tbl>
            <w:tblPr>
              <w:tblBorders>
                <w:top w:val="none" w:color="000000" w:sz="4"/>
                <w:left w:val="none" w:color="000000" w:sz="4"/>
                <w:bottom w:val="none" w:color="000000" w:sz="4"/>
                <w:right w:val="none" w:color="000000" w:sz="4"/>
                <w:insideH w:val="none"/>
                <w:insideV w:val="none"/>
              </w:tblBorders>
            </w:tblPr>
            <w:tblGrid>
              <w:gridCol w:w="295"/>
              <w:gridCol w:w="295"/>
              <w:gridCol w:w="2180"/>
              <w:gridCol w:w="1414"/>
              <w:gridCol w:w="707"/>
              <w:gridCol w:w="707"/>
            </w:tblGrid>
            <w:tr>
              <w:tc>
                <w:tcPr>
                  <w:tcW w:type="dxa" w:w="295"/>
                  <w:tcBorders>
                    <w:top w:val="single" w:color="000000" w:sz="4"/>
                    <w:left w:val="single" w:color="000000" w:sz="4"/>
                    <w:bottom w:val="single" w:color="000000" w:sz="4"/>
                    <w:right w:val="single" w:color="000000" w:sz="4"/>
                  </w:tcBorders>
                </w:tcPr>
                <w:p>
                  <w:pPr>
                    <w:jc w:val="center"/>
                  </w:pPr>
                  <w:r>
                    <w:rPr>
                      <w:sz w:val="21"/>
                    </w:rPr>
                    <w:t>采购包</w:t>
                  </w:r>
                </w:p>
              </w:tc>
              <w:tc>
                <w:tcPr>
                  <w:tcW w:type="dxa" w:w="295"/>
                  <w:tcBorders>
                    <w:top w:val="single" w:color="000000" w:sz="4"/>
                    <w:left w:val="none" w:color="000000" w:sz="4"/>
                    <w:bottom w:val="single" w:color="000000" w:sz="4"/>
                    <w:right w:val="single" w:color="000000" w:sz="4"/>
                  </w:tcBorders>
                </w:tcPr>
                <w:p>
                  <w:pPr>
                    <w:jc w:val="center"/>
                  </w:pPr>
                  <w:r>
                    <w:rPr>
                      <w:sz w:val="21"/>
                    </w:rPr>
                    <w:t>序号</w:t>
                  </w:r>
                </w:p>
              </w:tc>
              <w:tc>
                <w:tcPr>
                  <w:tcW w:type="dxa" w:w="2180"/>
                  <w:tcBorders>
                    <w:top w:val="single" w:color="000000" w:sz="4"/>
                    <w:left w:val="none" w:color="000000" w:sz="4"/>
                    <w:bottom w:val="single" w:color="000000" w:sz="4"/>
                    <w:right w:val="single" w:color="000000" w:sz="4"/>
                  </w:tcBorders>
                </w:tcPr>
                <w:p>
                  <w:pPr>
                    <w:jc w:val="center"/>
                  </w:pPr>
                  <w:r>
                    <w:rPr>
                      <w:sz w:val="21"/>
                    </w:rPr>
                    <w:t>放射性药品名称</w:t>
                  </w:r>
                </w:p>
              </w:tc>
              <w:tc>
                <w:tcPr>
                  <w:tcW w:type="dxa" w:w="1414"/>
                  <w:tcBorders>
                    <w:top w:val="single" w:color="000000" w:sz="4"/>
                    <w:left w:val="none" w:color="000000" w:sz="4"/>
                    <w:bottom w:val="single" w:color="000000" w:sz="4"/>
                    <w:right w:val="single" w:color="000000" w:sz="4"/>
                  </w:tcBorders>
                </w:tcPr>
                <w:p>
                  <w:pPr>
                    <w:jc w:val="center"/>
                  </w:pPr>
                  <w:r>
                    <w:rPr>
                      <w:sz w:val="21"/>
                    </w:rPr>
                    <w:t>规格</w:t>
                  </w:r>
                </w:p>
              </w:tc>
              <w:tc>
                <w:tcPr>
                  <w:tcW w:type="dxa" w:w="707"/>
                  <w:tcBorders>
                    <w:top w:val="single" w:color="000000" w:sz="4"/>
                    <w:left w:val="none" w:color="000000" w:sz="4"/>
                    <w:bottom w:val="single" w:color="000000" w:sz="4"/>
                    <w:right w:val="single" w:color="000000" w:sz="4"/>
                  </w:tcBorders>
                </w:tcPr>
                <w:p>
                  <w:pPr>
                    <w:jc w:val="center"/>
                  </w:pPr>
                  <w:r>
                    <w:rPr>
                      <w:sz w:val="21"/>
                    </w:rPr>
                    <w:t>单价最高限价（元）</w:t>
                  </w:r>
                </w:p>
              </w:tc>
              <w:tc>
                <w:tcPr>
                  <w:tcW w:type="dxa" w:w="707"/>
                  <w:tcBorders>
                    <w:top w:val="single" w:color="000000" w:sz="4"/>
                    <w:left w:val="none" w:color="000000" w:sz="4"/>
                    <w:bottom w:val="single" w:color="000000" w:sz="4"/>
                    <w:right w:val="single" w:color="000000" w:sz="4"/>
                  </w:tcBorders>
                </w:tcPr>
                <w:p>
                  <w:pPr>
                    <w:jc w:val="center"/>
                  </w:pPr>
                  <w:r>
                    <w:rPr>
                      <w:sz w:val="21"/>
                    </w:rPr>
                    <w:t>预计3年使用总量（支）</w:t>
                  </w:r>
                </w:p>
              </w:tc>
            </w:tr>
            <w:tr>
              <w:tc>
                <w:tcPr>
                  <w:tcW w:type="dxa" w:w="295"/>
                  <w:vMerge w:val="restart"/>
                  <w:tcBorders>
                    <w:top w:val="none" w:color="000000" w:sz="4"/>
                    <w:left w:val="single" w:color="000000" w:sz="4"/>
                    <w:bottom w:val="single" w:color="000000" w:sz="4"/>
                    <w:right w:val="single" w:color="000000" w:sz="4"/>
                  </w:tcBorders>
                </w:tcPr>
                <w:p>
                  <w:pPr>
                    <w:jc w:val="center"/>
                  </w:pPr>
                  <w:r>
                    <w:rPr>
                      <w:sz w:val="21"/>
                    </w:rPr>
                    <w:t>1</w:t>
                  </w:r>
                </w:p>
              </w:tc>
              <w:tc>
                <w:tcPr>
                  <w:tcW w:type="dxa" w:w="295"/>
                  <w:tcBorders>
                    <w:top w:val="none" w:color="000000" w:sz="4"/>
                    <w:left w:val="none" w:color="000000" w:sz="4"/>
                    <w:bottom w:val="single" w:color="000000" w:sz="4"/>
                    <w:right w:val="single" w:color="000000" w:sz="4"/>
                  </w:tcBorders>
                </w:tcPr>
                <w:p>
                  <w:pPr>
                    <w:jc w:val="center"/>
                  </w:pPr>
                  <w:r>
                    <w:rPr>
                      <w:sz w:val="21"/>
                    </w:rPr>
                    <w:t>1</w:t>
                  </w:r>
                </w:p>
              </w:tc>
              <w:tc>
                <w:tcPr>
                  <w:tcW w:type="dxa" w:w="2180"/>
                  <w:tcBorders>
                    <w:top w:val="none" w:color="000000" w:sz="4"/>
                    <w:left w:val="none" w:color="000000" w:sz="4"/>
                    <w:bottom w:val="single" w:color="000000" w:sz="4"/>
                    <w:right w:val="single" w:color="000000" w:sz="4"/>
                  </w:tcBorders>
                </w:tcPr>
                <w:p>
                  <w:pPr>
                    <w:jc w:val="center"/>
                  </w:pPr>
                  <w:r>
                    <w:rPr>
                      <w:sz w:val="21"/>
                    </w:rPr>
                    <w:t>碘</w:t>
                  </w:r>
                  <w:r>
                    <w:rPr>
                      <w:sz w:val="21"/>
                    </w:rPr>
                    <w:t>[</w:t>
                  </w:r>
                  <w:r>
                    <w:rPr>
                      <w:sz w:val="21"/>
                      <w:vertAlign w:val="superscript"/>
                    </w:rPr>
                    <w:t>131</w:t>
                  </w:r>
                  <w:r>
                    <w:rPr>
                      <w:sz w:val="21"/>
                    </w:rPr>
                    <w:t>I]</w:t>
                  </w:r>
                  <w:r>
                    <w:rPr>
                      <w:sz w:val="21"/>
                    </w:rPr>
                    <w:t>化钠口服溶液</w:t>
                  </w:r>
                </w:p>
              </w:tc>
              <w:tc>
                <w:tcPr>
                  <w:tcW w:type="dxa" w:w="1414"/>
                  <w:tcBorders>
                    <w:top w:val="none" w:color="000000" w:sz="4"/>
                    <w:left w:val="none" w:color="000000" w:sz="4"/>
                    <w:bottom w:val="single" w:color="000000" w:sz="4"/>
                    <w:right w:val="single" w:color="000000" w:sz="4"/>
                  </w:tcBorders>
                </w:tcPr>
                <w:p>
                  <w:pPr>
                    <w:jc w:val="center"/>
                  </w:pPr>
                  <w:r>
                    <w:rPr>
                      <w:sz w:val="21"/>
                    </w:rPr>
                    <w:t>1mCi</w:t>
                  </w:r>
                </w:p>
              </w:tc>
              <w:tc>
                <w:tcPr>
                  <w:tcW w:type="dxa" w:w="707"/>
                  <w:tcBorders>
                    <w:top w:val="none" w:color="000000" w:sz="4"/>
                    <w:left w:val="none" w:color="000000" w:sz="4"/>
                    <w:bottom w:val="single" w:color="000000" w:sz="4"/>
                    <w:right w:val="single" w:color="000000" w:sz="4"/>
                  </w:tcBorders>
                </w:tcPr>
                <w:p>
                  <w:pPr>
                    <w:jc w:val="center"/>
                  </w:pPr>
                  <w:r>
                    <w:rPr>
                      <w:sz w:val="21"/>
                    </w:rPr>
                    <w:t>55</w:t>
                  </w:r>
                </w:p>
              </w:tc>
              <w:tc>
                <w:tcPr>
                  <w:tcW w:type="dxa" w:w="707"/>
                  <w:tcBorders>
                    <w:top w:val="none" w:color="000000" w:sz="4"/>
                    <w:left w:val="none" w:color="000000" w:sz="4"/>
                    <w:bottom w:val="single" w:color="000000" w:sz="4"/>
                    <w:right w:val="single" w:color="000000" w:sz="4"/>
                  </w:tcBorders>
                </w:tcPr>
                <w:p>
                  <w:pPr>
                    <w:jc w:val="center"/>
                  </w:pPr>
                  <w:r>
                    <w:rPr>
                      <w:sz w:val="21"/>
                    </w:rPr>
                    <w:t>240000</w:t>
                  </w:r>
                </w:p>
              </w:tc>
            </w:tr>
            <w:tr>
              <w:tc>
                <w:tcPr>
                  <w:tcW w:type="dxa" w:w="295"/>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Pr>
                <w:p>
                  <w:pPr>
                    <w:jc w:val="center"/>
                  </w:pPr>
                  <w:r>
                    <w:rPr>
                      <w:sz w:val="21"/>
                    </w:rPr>
                    <w:t>2</w:t>
                  </w:r>
                </w:p>
              </w:tc>
              <w:tc>
                <w:tcPr>
                  <w:tcW w:type="dxa" w:w="2180"/>
                  <w:tcBorders>
                    <w:top w:val="none" w:color="000000" w:sz="4"/>
                    <w:left w:val="none" w:color="000000" w:sz="4"/>
                    <w:bottom w:val="single" w:color="000000" w:sz="4"/>
                    <w:right w:val="single" w:color="000000" w:sz="4"/>
                  </w:tcBorders>
                </w:tcPr>
                <w:p>
                  <w:pPr>
                    <w:jc w:val="center"/>
                  </w:pPr>
                  <w:r>
                    <w:rPr>
                      <w:sz w:val="21"/>
                    </w:rPr>
                    <w:t>高锝</w:t>
                  </w:r>
                  <w:r>
                    <w:rPr>
                      <w:sz w:val="21"/>
                    </w:rPr>
                    <w:t>[</w:t>
                  </w:r>
                  <w:r>
                    <w:rPr>
                      <w:sz w:val="21"/>
                      <w:vertAlign w:val="superscript"/>
                    </w:rPr>
                    <w:t>99m</w:t>
                  </w:r>
                  <w:r>
                    <w:rPr>
                      <w:sz w:val="21"/>
                    </w:rPr>
                    <w:t>Tc]</w:t>
                  </w:r>
                  <w:r>
                    <w:rPr>
                      <w:sz w:val="21"/>
                    </w:rPr>
                    <w:t>酸钠注射液</w:t>
                  </w:r>
                  <w:r>
                    <w:rPr>
                      <w:sz w:val="21"/>
                    </w:rPr>
                    <w:t>(</w:t>
                  </w:r>
                  <w:r>
                    <w:rPr>
                      <w:sz w:val="21"/>
                      <w:vertAlign w:val="superscript"/>
                    </w:rPr>
                    <w:t>99m</w:t>
                  </w:r>
                  <w:r>
                    <w:rPr>
                      <w:sz w:val="21"/>
                    </w:rPr>
                    <w:t>TcO</w:t>
                  </w:r>
                  <w:r>
                    <w:rPr>
                      <w:sz w:val="21"/>
                      <w:vertAlign w:val="subscript"/>
                    </w:rPr>
                    <w:t>4</w:t>
                  </w:r>
                  <w:r>
                    <w:rPr>
                      <w:sz w:val="21"/>
                      <w:vertAlign w:val="superscript"/>
                    </w:rPr>
                    <w:t>-</w:t>
                  </w:r>
                  <w:r>
                    <w:rPr>
                      <w:sz w:val="21"/>
                    </w:rPr>
                    <w:t>)</w:t>
                  </w:r>
                </w:p>
              </w:tc>
              <w:tc>
                <w:tcPr>
                  <w:tcW w:type="dxa" w:w="1414"/>
                  <w:tcBorders>
                    <w:top w:val="none" w:color="000000" w:sz="4"/>
                    <w:left w:val="none" w:color="000000" w:sz="4"/>
                    <w:bottom w:val="single" w:color="000000" w:sz="4"/>
                    <w:right w:val="single" w:color="000000" w:sz="4"/>
                  </w:tcBorders>
                </w:tcPr>
                <w:p>
                  <w:pPr>
                    <w:jc w:val="center"/>
                  </w:pPr>
                  <w:r>
                    <w:rPr>
                      <w:sz w:val="21"/>
                    </w:rPr>
                    <w:t>1mCi</w:t>
                  </w:r>
                </w:p>
              </w:tc>
              <w:tc>
                <w:tcPr>
                  <w:tcW w:type="dxa" w:w="707"/>
                  <w:tcBorders>
                    <w:top w:val="none" w:color="000000" w:sz="4"/>
                    <w:left w:val="none" w:color="000000" w:sz="4"/>
                    <w:bottom w:val="single" w:color="000000" w:sz="4"/>
                    <w:right w:val="single" w:color="000000" w:sz="4"/>
                  </w:tcBorders>
                </w:tcPr>
                <w:p>
                  <w:pPr>
                    <w:jc w:val="center"/>
                  </w:pPr>
                  <w:r>
                    <w:rPr>
                      <w:sz w:val="21"/>
                    </w:rPr>
                    <w:t>18</w:t>
                  </w:r>
                </w:p>
              </w:tc>
              <w:tc>
                <w:tcPr>
                  <w:tcW w:type="dxa" w:w="707"/>
                  <w:tcBorders>
                    <w:top w:val="none" w:color="000000" w:sz="4"/>
                    <w:left w:val="none" w:color="000000" w:sz="4"/>
                    <w:bottom w:val="single" w:color="000000" w:sz="4"/>
                    <w:right w:val="single" w:color="000000" w:sz="4"/>
                  </w:tcBorders>
                </w:tcPr>
                <w:p>
                  <w:pPr>
                    <w:jc w:val="center"/>
                  </w:pPr>
                  <w:r>
                    <w:rPr>
                      <w:sz w:val="21"/>
                    </w:rPr>
                    <w:t>27000</w:t>
                  </w:r>
                </w:p>
              </w:tc>
            </w:tr>
            <w:tr>
              <w:tc>
                <w:tcPr>
                  <w:tcW w:type="dxa" w:w="295"/>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Pr>
                <w:p>
                  <w:pPr>
                    <w:jc w:val="center"/>
                  </w:pPr>
                  <w:r>
                    <w:rPr>
                      <w:sz w:val="21"/>
                    </w:rPr>
                    <w:t>3</w:t>
                  </w:r>
                </w:p>
              </w:tc>
              <w:tc>
                <w:tcPr>
                  <w:tcW w:type="dxa" w:w="2180"/>
                  <w:tcBorders>
                    <w:top w:val="none" w:color="000000" w:sz="4"/>
                    <w:left w:val="none" w:color="000000" w:sz="4"/>
                    <w:bottom w:val="single" w:color="000000" w:sz="4"/>
                    <w:right w:val="single" w:color="000000" w:sz="4"/>
                  </w:tcBorders>
                </w:tcPr>
                <w:p>
                  <w:pPr>
                    <w:jc w:val="center"/>
                  </w:pPr>
                  <w:r>
                    <w:rPr>
                      <w:sz w:val="21"/>
                    </w:rPr>
                    <w:t>锝</w:t>
                  </w:r>
                  <w:r>
                    <w:rPr>
                      <w:sz w:val="21"/>
                    </w:rPr>
                    <w:t>[</w:t>
                  </w:r>
                  <w:r>
                    <w:rPr>
                      <w:sz w:val="21"/>
                      <w:vertAlign w:val="superscript"/>
                    </w:rPr>
                    <w:t>99m</w:t>
                  </w:r>
                  <w:r>
                    <w:rPr>
                      <w:sz w:val="21"/>
                    </w:rPr>
                    <w:t>Tc]</w:t>
                  </w:r>
                  <w:r>
                    <w:rPr>
                      <w:sz w:val="21"/>
                    </w:rPr>
                    <w:t>亚甲基二膦酸盐注射液</w:t>
                  </w:r>
                  <w:r>
                    <w:rPr>
                      <w:sz w:val="21"/>
                    </w:rPr>
                    <w:t>(</w:t>
                  </w:r>
                  <w:r>
                    <w:rPr>
                      <w:sz w:val="21"/>
                      <w:vertAlign w:val="superscript"/>
                    </w:rPr>
                    <w:t>99m</w:t>
                  </w:r>
                  <w:r>
                    <w:rPr>
                      <w:sz w:val="21"/>
                    </w:rPr>
                    <w:t>Tc-MDP)</w:t>
                  </w:r>
                </w:p>
              </w:tc>
              <w:tc>
                <w:tcPr>
                  <w:tcW w:type="dxa" w:w="1414"/>
                  <w:tcBorders>
                    <w:top w:val="none" w:color="000000" w:sz="4"/>
                    <w:left w:val="none" w:color="000000" w:sz="4"/>
                    <w:bottom w:val="single" w:color="000000" w:sz="4"/>
                    <w:right w:val="single" w:color="000000" w:sz="4"/>
                  </w:tcBorders>
                </w:tcPr>
                <w:p>
                  <w:pPr>
                    <w:jc w:val="center"/>
                  </w:pPr>
                  <w:r>
                    <w:rPr>
                      <w:sz w:val="21"/>
                    </w:rPr>
                    <w:t>5-30mCi*1</w:t>
                  </w:r>
                  <w:r>
                    <w:rPr>
                      <w:sz w:val="21"/>
                    </w:rPr>
                    <w:t>支</w:t>
                  </w:r>
                  <w:r>
                    <w:rPr>
                      <w:sz w:val="21"/>
                    </w:rPr>
                    <w:t>/</w:t>
                  </w:r>
                  <w:r>
                    <w:rPr>
                      <w:sz w:val="21"/>
                    </w:rPr>
                    <w:t>支</w:t>
                  </w:r>
                </w:p>
              </w:tc>
              <w:tc>
                <w:tcPr>
                  <w:tcW w:type="dxa" w:w="707"/>
                  <w:tcBorders>
                    <w:top w:val="none" w:color="000000" w:sz="4"/>
                    <w:left w:val="none" w:color="000000" w:sz="4"/>
                    <w:bottom w:val="single" w:color="000000" w:sz="4"/>
                    <w:right w:val="single" w:color="000000" w:sz="4"/>
                  </w:tcBorders>
                </w:tcPr>
                <w:p>
                  <w:pPr>
                    <w:jc w:val="center"/>
                  </w:pPr>
                  <w:r>
                    <w:rPr>
                      <w:sz w:val="21"/>
                    </w:rPr>
                    <w:t>480</w:t>
                  </w:r>
                </w:p>
              </w:tc>
              <w:tc>
                <w:tcPr>
                  <w:tcW w:type="dxa" w:w="707"/>
                  <w:tcBorders>
                    <w:top w:val="none" w:color="000000" w:sz="4"/>
                    <w:left w:val="none" w:color="000000" w:sz="4"/>
                    <w:bottom w:val="single" w:color="000000" w:sz="4"/>
                    <w:right w:val="single" w:color="000000" w:sz="4"/>
                  </w:tcBorders>
                </w:tcPr>
                <w:p>
                  <w:pPr>
                    <w:jc w:val="center"/>
                  </w:pPr>
                  <w:r>
                    <w:rPr>
                      <w:sz w:val="21"/>
                    </w:rPr>
                    <w:t>6000</w:t>
                  </w:r>
                </w:p>
              </w:tc>
            </w:tr>
            <w:tr>
              <w:tc>
                <w:tcPr>
                  <w:tcW w:type="dxa" w:w="295"/>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Pr>
                <w:p>
                  <w:pPr>
                    <w:jc w:val="center"/>
                  </w:pPr>
                  <w:r>
                    <w:rPr>
                      <w:sz w:val="21"/>
                    </w:rPr>
                    <w:t>4</w:t>
                  </w:r>
                </w:p>
              </w:tc>
              <w:tc>
                <w:tcPr>
                  <w:tcW w:type="dxa" w:w="2180"/>
                  <w:tcBorders>
                    <w:top w:val="none" w:color="000000" w:sz="4"/>
                    <w:left w:val="none" w:color="000000" w:sz="4"/>
                    <w:bottom w:val="single" w:color="000000" w:sz="4"/>
                    <w:right w:val="single" w:color="000000" w:sz="4"/>
                  </w:tcBorders>
                </w:tcPr>
                <w:p>
                  <w:pPr>
                    <w:jc w:val="center"/>
                  </w:pPr>
                  <w:r>
                    <w:rPr>
                      <w:sz w:val="21"/>
                    </w:rPr>
                    <w:t>锝</w:t>
                  </w:r>
                  <w:r>
                    <w:rPr>
                      <w:sz w:val="21"/>
                    </w:rPr>
                    <w:t>[</w:t>
                  </w:r>
                  <w:r>
                    <w:rPr>
                      <w:sz w:val="21"/>
                      <w:vertAlign w:val="superscript"/>
                    </w:rPr>
                    <w:t>99m</w:t>
                  </w:r>
                  <w:r>
                    <w:rPr>
                      <w:sz w:val="21"/>
                    </w:rPr>
                    <w:t>Tc]</w:t>
                  </w:r>
                  <w:r>
                    <w:rPr>
                      <w:sz w:val="21"/>
                    </w:rPr>
                    <w:t>甲氧异腈注射液</w:t>
                  </w:r>
                  <w:r>
                    <w:rPr>
                      <w:sz w:val="21"/>
                    </w:rPr>
                    <w:t>(</w:t>
                  </w:r>
                  <w:r>
                    <w:rPr>
                      <w:sz w:val="21"/>
                      <w:vertAlign w:val="superscript"/>
                    </w:rPr>
                    <w:t>99m</w:t>
                  </w:r>
                  <w:r>
                    <w:rPr>
                      <w:sz w:val="21"/>
                    </w:rPr>
                    <w:t>Tc-MIBI)</w:t>
                  </w:r>
                </w:p>
              </w:tc>
              <w:tc>
                <w:tcPr>
                  <w:tcW w:type="dxa" w:w="1414"/>
                  <w:tcBorders>
                    <w:top w:val="none" w:color="000000" w:sz="4"/>
                    <w:left w:val="none" w:color="000000" w:sz="4"/>
                    <w:bottom w:val="single" w:color="000000" w:sz="4"/>
                    <w:right w:val="single" w:color="000000" w:sz="4"/>
                  </w:tcBorders>
                </w:tcPr>
                <w:p>
                  <w:pPr>
                    <w:jc w:val="center"/>
                  </w:pPr>
                  <w:r>
                    <w:rPr>
                      <w:sz w:val="21"/>
                    </w:rPr>
                    <w:t>5-30mCi*1</w:t>
                  </w:r>
                  <w:r>
                    <w:rPr>
                      <w:sz w:val="21"/>
                    </w:rPr>
                    <w:t>支</w:t>
                  </w:r>
                  <w:r>
                    <w:rPr>
                      <w:sz w:val="21"/>
                    </w:rPr>
                    <w:t>/</w:t>
                  </w:r>
                  <w:r>
                    <w:rPr>
                      <w:sz w:val="21"/>
                    </w:rPr>
                    <w:t>支</w:t>
                  </w:r>
                </w:p>
              </w:tc>
              <w:tc>
                <w:tcPr>
                  <w:tcW w:type="dxa" w:w="707"/>
                  <w:tcBorders>
                    <w:top w:val="none" w:color="000000" w:sz="4"/>
                    <w:left w:val="none" w:color="000000" w:sz="4"/>
                    <w:bottom w:val="single" w:color="000000" w:sz="4"/>
                    <w:right w:val="single" w:color="000000" w:sz="4"/>
                  </w:tcBorders>
                </w:tcPr>
                <w:p>
                  <w:pPr>
                    <w:jc w:val="center"/>
                  </w:pPr>
                  <w:r>
                    <w:rPr>
                      <w:sz w:val="21"/>
                    </w:rPr>
                    <w:t>480</w:t>
                  </w:r>
                </w:p>
              </w:tc>
              <w:tc>
                <w:tcPr>
                  <w:tcW w:type="dxa" w:w="707"/>
                  <w:tcBorders>
                    <w:top w:val="none" w:color="000000" w:sz="4"/>
                    <w:left w:val="none" w:color="000000" w:sz="4"/>
                    <w:bottom w:val="single" w:color="000000" w:sz="4"/>
                    <w:right w:val="single" w:color="000000" w:sz="4"/>
                  </w:tcBorders>
                </w:tcPr>
                <w:p>
                  <w:pPr>
                    <w:jc w:val="center"/>
                  </w:pPr>
                  <w:r>
                    <w:rPr>
                      <w:sz w:val="21"/>
                    </w:rPr>
                    <w:t>300</w:t>
                  </w:r>
                </w:p>
              </w:tc>
            </w:tr>
            <w:tr>
              <w:tc>
                <w:tcPr>
                  <w:tcW w:type="dxa" w:w="295"/>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Pr>
                <w:p>
                  <w:pPr>
                    <w:jc w:val="center"/>
                  </w:pPr>
                  <w:r>
                    <w:rPr>
                      <w:sz w:val="21"/>
                    </w:rPr>
                    <w:t>5</w:t>
                  </w:r>
                </w:p>
              </w:tc>
              <w:tc>
                <w:tcPr>
                  <w:tcW w:type="dxa" w:w="2180"/>
                  <w:tcBorders>
                    <w:top w:val="none" w:color="000000" w:sz="4"/>
                    <w:left w:val="none" w:color="000000" w:sz="4"/>
                    <w:bottom w:val="single" w:color="000000" w:sz="4"/>
                    <w:right w:val="single" w:color="000000" w:sz="4"/>
                  </w:tcBorders>
                </w:tcPr>
                <w:p>
                  <w:pPr>
                    <w:jc w:val="center"/>
                  </w:pPr>
                  <w:r>
                    <w:rPr>
                      <w:sz w:val="21"/>
                    </w:rPr>
                    <w:t>锝</w:t>
                  </w:r>
                  <w:r>
                    <w:rPr>
                      <w:sz w:val="21"/>
                    </w:rPr>
                    <w:t>[</w:t>
                  </w:r>
                  <w:r>
                    <w:rPr>
                      <w:sz w:val="21"/>
                      <w:vertAlign w:val="superscript"/>
                    </w:rPr>
                    <w:t>99m</w:t>
                  </w:r>
                  <w:r>
                    <w:rPr>
                      <w:sz w:val="21"/>
                    </w:rPr>
                    <w:t>Tc]</w:t>
                  </w:r>
                  <w:r>
                    <w:rPr>
                      <w:sz w:val="21"/>
                    </w:rPr>
                    <w:t>双半胱乙脂注射液</w:t>
                  </w:r>
                  <w:r>
                    <w:rPr>
                      <w:sz w:val="21"/>
                    </w:rPr>
                    <w:t>(</w:t>
                  </w:r>
                  <w:r>
                    <w:rPr>
                      <w:sz w:val="21"/>
                      <w:vertAlign w:val="superscript"/>
                    </w:rPr>
                    <w:t>99m</w:t>
                  </w:r>
                  <w:r>
                    <w:rPr>
                      <w:sz w:val="21"/>
                    </w:rPr>
                    <w:t>Tc-ECD)</w:t>
                  </w:r>
                </w:p>
              </w:tc>
              <w:tc>
                <w:tcPr>
                  <w:tcW w:type="dxa" w:w="1414"/>
                  <w:tcBorders>
                    <w:top w:val="none" w:color="000000" w:sz="4"/>
                    <w:left w:val="none" w:color="000000" w:sz="4"/>
                    <w:bottom w:val="single" w:color="000000" w:sz="4"/>
                    <w:right w:val="single" w:color="000000" w:sz="4"/>
                  </w:tcBorders>
                </w:tcPr>
                <w:p>
                  <w:pPr>
                    <w:jc w:val="center"/>
                  </w:pPr>
                  <w:r>
                    <w:rPr>
                      <w:sz w:val="21"/>
                    </w:rPr>
                    <w:t>5-30mCi*1</w:t>
                  </w:r>
                  <w:r>
                    <w:rPr>
                      <w:sz w:val="21"/>
                    </w:rPr>
                    <w:t>支</w:t>
                  </w:r>
                  <w:r>
                    <w:rPr>
                      <w:sz w:val="21"/>
                    </w:rPr>
                    <w:t>/</w:t>
                  </w:r>
                  <w:r>
                    <w:rPr>
                      <w:sz w:val="21"/>
                    </w:rPr>
                    <w:t>支</w:t>
                  </w:r>
                </w:p>
              </w:tc>
              <w:tc>
                <w:tcPr>
                  <w:tcW w:type="dxa" w:w="707"/>
                  <w:tcBorders>
                    <w:top w:val="none" w:color="000000" w:sz="4"/>
                    <w:left w:val="none" w:color="000000" w:sz="4"/>
                    <w:bottom w:val="single" w:color="000000" w:sz="4"/>
                    <w:right w:val="single" w:color="000000" w:sz="4"/>
                  </w:tcBorders>
                </w:tcPr>
                <w:p>
                  <w:pPr>
                    <w:jc w:val="center"/>
                  </w:pPr>
                  <w:r>
                    <w:rPr>
                      <w:sz w:val="21"/>
                    </w:rPr>
                    <w:t>480</w:t>
                  </w:r>
                </w:p>
              </w:tc>
              <w:tc>
                <w:tcPr>
                  <w:tcW w:type="dxa" w:w="707"/>
                  <w:tcBorders>
                    <w:top w:val="none" w:color="000000" w:sz="4"/>
                    <w:left w:val="none" w:color="000000" w:sz="4"/>
                    <w:bottom w:val="single" w:color="000000" w:sz="4"/>
                    <w:right w:val="single" w:color="000000" w:sz="4"/>
                  </w:tcBorders>
                </w:tcPr>
                <w:p>
                  <w:pPr>
                    <w:jc w:val="center"/>
                  </w:pPr>
                  <w:r>
                    <w:rPr>
                      <w:sz w:val="21"/>
                    </w:rPr>
                    <w:t>30</w:t>
                  </w:r>
                </w:p>
              </w:tc>
            </w:tr>
            <w:tr>
              <w:tc>
                <w:tcPr>
                  <w:tcW w:type="dxa" w:w="295"/>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Pr>
                <w:p>
                  <w:pPr>
                    <w:jc w:val="center"/>
                  </w:pPr>
                  <w:r>
                    <w:rPr>
                      <w:sz w:val="21"/>
                    </w:rPr>
                    <w:t>6</w:t>
                  </w:r>
                </w:p>
              </w:tc>
              <w:tc>
                <w:tcPr>
                  <w:tcW w:type="dxa" w:w="2180"/>
                  <w:tcBorders>
                    <w:top w:val="none" w:color="000000" w:sz="4"/>
                    <w:left w:val="none" w:color="000000" w:sz="4"/>
                    <w:bottom w:val="single" w:color="000000" w:sz="4"/>
                    <w:right w:val="single" w:color="000000" w:sz="4"/>
                  </w:tcBorders>
                </w:tcPr>
                <w:p>
                  <w:pPr>
                    <w:jc w:val="center"/>
                  </w:pPr>
                  <w:r>
                    <w:rPr>
                      <w:sz w:val="21"/>
                    </w:rPr>
                    <w:t>锝</w:t>
                  </w:r>
                  <w:r>
                    <w:rPr>
                      <w:sz w:val="21"/>
                    </w:rPr>
                    <w:t>[</w:t>
                  </w:r>
                  <w:r>
                    <w:rPr>
                      <w:sz w:val="21"/>
                      <w:vertAlign w:val="superscript"/>
                    </w:rPr>
                    <w:t>99m</w:t>
                  </w:r>
                  <w:r>
                    <w:rPr>
                      <w:sz w:val="21"/>
                    </w:rPr>
                    <w:t>Tc]</w:t>
                  </w:r>
                  <w:r>
                    <w:rPr>
                      <w:sz w:val="21"/>
                    </w:rPr>
                    <w:t>双半胱氨酸注射液</w:t>
                  </w:r>
                  <w:r>
                    <w:rPr>
                      <w:sz w:val="21"/>
                    </w:rPr>
                    <w:t>(</w:t>
                  </w:r>
                  <w:r>
                    <w:rPr>
                      <w:sz w:val="21"/>
                      <w:vertAlign w:val="superscript"/>
                    </w:rPr>
                    <w:t>99m</w:t>
                  </w:r>
                  <w:r>
                    <w:rPr>
                      <w:sz w:val="21"/>
                    </w:rPr>
                    <w:t>Tc-EC)</w:t>
                  </w:r>
                </w:p>
              </w:tc>
              <w:tc>
                <w:tcPr>
                  <w:tcW w:type="dxa" w:w="1414"/>
                  <w:tcBorders>
                    <w:top w:val="none" w:color="000000" w:sz="4"/>
                    <w:left w:val="none" w:color="000000" w:sz="4"/>
                    <w:bottom w:val="single" w:color="000000" w:sz="4"/>
                    <w:right w:val="single" w:color="000000" w:sz="4"/>
                  </w:tcBorders>
                </w:tcPr>
                <w:p>
                  <w:pPr>
                    <w:jc w:val="center"/>
                  </w:pPr>
                  <w:r>
                    <w:rPr>
                      <w:sz w:val="21"/>
                    </w:rPr>
                    <w:t>5-30mCi*1</w:t>
                  </w:r>
                  <w:r>
                    <w:rPr>
                      <w:sz w:val="21"/>
                    </w:rPr>
                    <w:t>支</w:t>
                  </w:r>
                  <w:r>
                    <w:rPr>
                      <w:sz w:val="21"/>
                    </w:rPr>
                    <w:t>/</w:t>
                  </w:r>
                  <w:r>
                    <w:rPr>
                      <w:sz w:val="21"/>
                    </w:rPr>
                    <w:t>支</w:t>
                  </w:r>
                </w:p>
              </w:tc>
              <w:tc>
                <w:tcPr>
                  <w:tcW w:type="dxa" w:w="707"/>
                  <w:tcBorders>
                    <w:top w:val="none" w:color="000000" w:sz="4"/>
                    <w:left w:val="none" w:color="000000" w:sz="4"/>
                    <w:bottom w:val="single" w:color="000000" w:sz="4"/>
                    <w:right w:val="single" w:color="000000" w:sz="4"/>
                  </w:tcBorders>
                </w:tcPr>
                <w:p>
                  <w:pPr>
                    <w:jc w:val="center"/>
                  </w:pPr>
                  <w:r>
                    <w:rPr>
                      <w:sz w:val="21"/>
                    </w:rPr>
                    <w:t>450</w:t>
                  </w:r>
                </w:p>
              </w:tc>
              <w:tc>
                <w:tcPr>
                  <w:tcW w:type="dxa" w:w="707"/>
                  <w:tcBorders>
                    <w:top w:val="none" w:color="000000" w:sz="4"/>
                    <w:left w:val="none" w:color="000000" w:sz="4"/>
                    <w:bottom w:val="single" w:color="000000" w:sz="4"/>
                    <w:right w:val="single" w:color="000000" w:sz="4"/>
                  </w:tcBorders>
                </w:tcPr>
                <w:p>
                  <w:pPr>
                    <w:jc w:val="center"/>
                  </w:pPr>
                  <w:r>
                    <w:rPr>
                      <w:sz w:val="21"/>
                    </w:rPr>
                    <w:t>900</w:t>
                  </w:r>
                </w:p>
              </w:tc>
            </w:tr>
            <w:tr>
              <w:tc>
                <w:tcPr>
                  <w:tcW w:type="dxa" w:w="295"/>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Pr>
                <w:p>
                  <w:pPr>
                    <w:jc w:val="center"/>
                  </w:pPr>
                  <w:r>
                    <w:rPr>
                      <w:sz w:val="21"/>
                    </w:rPr>
                    <w:t>7</w:t>
                  </w:r>
                </w:p>
              </w:tc>
              <w:tc>
                <w:tcPr>
                  <w:tcW w:type="dxa" w:w="2180"/>
                  <w:tcBorders>
                    <w:top w:val="none" w:color="000000" w:sz="4"/>
                    <w:left w:val="none" w:color="000000" w:sz="4"/>
                    <w:bottom w:val="single" w:color="000000" w:sz="4"/>
                    <w:right w:val="single" w:color="000000" w:sz="4"/>
                  </w:tcBorders>
                </w:tcPr>
                <w:p>
                  <w:pPr>
                    <w:jc w:val="center"/>
                  </w:pPr>
                  <w:r>
                    <w:rPr>
                      <w:sz w:val="21"/>
                    </w:rPr>
                    <w:t>锝</w:t>
                  </w:r>
                  <w:r>
                    <w:rPr>
                      <w:sz w:val="21"/>
                    </w:rPr>
                    <w:t>[</w:t>
                  </w:r>
                  <w:r>
                    <w:rPr>
                      <w:sz w:val="21"/>
                      <w:vertAlign w:val="superscript"/>
                    </w:rPr>
                    <w:t>99m</w:t>
                  </w:r>
                  <w:r>
                    <w:rPr>
                      <w:sz w:val="21"/>
                    </w:rPr>
                    <w:t>Tc]</w:t>
                  </w:r>
                  <w:r>
                    <w:rPr>
                      <w:sz w:val="21"/>
                    </w:rPr>
                    <w:t>喷替酸盐注射液</w:t>
                  </w:r>
                  <w:r>
                    <w:rPr>
                      <w:sz w:val="21"/>
                    </w:rPr>
                    <w:t>(</w:t>
                  </w:r>
                  <w:r>
                    <w:rPr>
                      <w:sz w:val="21"/>
                      <w:vertAlign w:val="superscript"/>
                    </w:rPr>
                    <w:t>99m</w:t>
                  </w:r>
                  <w:r>
                    <w:rPr>
                      <w:sz w:val="21"/>
                    </w:rPr>
                    <w:t>Tc-DTPA)</w:t>
                  </w:r>
                </w:p>
              </w:tc>
              <w:tc>
                <w:tcPr>
                  <w:tcW w:type="dxa" w:w="1414"/>
                  <w:tcBorders>
                    <w:top w:val="none" w:color="000000" w:sz="4"/>
                    <w:left w:val="none" w:color="000000" w:sz="4"/>
                    <w:bottom w:val="single" w:color="000000" w:sz="4"/>
                    <w:right w:val="single" w:color="000000" w:sz="4"/>
                  </w:tcBorders>
                </w:tcPr>
                <w:p>
                  <w:pPr>
                    <w:jc w:val="center"/>
                  </w:pPr>
                  <w:r>
                    <w:rPr>
                      <w:sz w:val="21"/>
                    </w:rPr>
                    <w:t>5-30mCi*1</w:t>
                  </w:r>
                  <w:r>
                    <w:rPr>
                      <w:sz w:val="21"/>
                    </w:rPr>
                    <w:t>支</w:t>
                  </w:r>
                  <w:r>
                    <w:rPr>
                      <w:sz w:val="21"/>
                    </w:rPr>
                    <w:t>/</w:t>
                  </w:r>
                  <w:r>
                    <w:rPr>
                      <w:sz w:val="21"/>
                    </w:rPr>
                    <w:t>支</w:t>
                  </w:r>
                </w:p>
              </w:tc>
              <w:tc>
                <w:tcPr>
                  <w:tcW w:type="dxa" w:w="707"/>
                  <w:tcBorders>
                    <w:top w:val="none" w:color="000000" w:sz="4"/>
                    <w:left w:val="none" w:color="000000" w:sz="4"/>
                    <w:bottom w:val="single" w:color="000000" w:sz="4"/>
                    <w:right w:val="single" w:color="000000" w:sz="4"/>
                  </w:tcBorders>
                </w:tcPr>
                <w:p>
                  <w:pPr>
                    <w:jc w:val="center"/>
                  </w:pPr>
                  <w:r>
                    <w:rPr>
                      <w:sz w:val="21"/>
                    </w:rPr>
                    <w:t>480</w:t>
                  </w:r>
                </w:p>
              </w:tc>
              <w:tc>
                <w:tcPr>
                  <w:tcW w:type="dxa" w:w="707"/>
                  <w:tcBorders>
                    <w:top w:val="none" w:color="000000" w:sz="4"/>
                    <w:left w:val="none" w:color="000000" w:sz="4"/>
                    <w:bottom w:val="single" w:color="000000" w:sz="4"/>
                    <w:right w:val="single" w:color="000000" w:sz="4"/>
                  </w:tcBorders>
                </w:tcPr>
                <w:p>
                  <w:pPr>
                    <w:jc w:val="center"/>
                  </w:pPr>
                  <w:r>
                    <w:rPr>
                      <w:sz w:val="21"/>
                    </w:rPr>
                    <w:t>900</w:t>
                  </w:r>
                </w:p>
              </w:tc>
            </w:tr>
            <w:tr>
              <w:tc>
                <w:tcPr>
                  <w:tcW w:type="dxa" w:w="295"/>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Pr>
                <w:p>
                  <w:pPr>
                    <w:jc w:val="center"/>
                  </w:pPr>
                  <w:r>
                    <w:rPr>
                      <w:sz w:val="21"/>
                    </w:rPr>
                    <w:t>8</w:t>
                  </w:r>
                </w:p>
              </w:tc>
              <w:tc>
                <w:tcPr>
                  <w:tcW w:type="dxa" w:w="2180"/>
                  <w:tcBorders>
                    <w:top w:val="none" w:color="000000" w:sz="4"/>
                    <w:left w:val="none" w:color="000000" w:sz="4"/>
                    <w:bottom w:val="single" w:color="000000" w:sz="4"/>
                    <w:right w:val="single" w:color="000000" w:sz="4"/>
                  </w:tcBorders>
                </w:tcPr>
                <w:p>
                  <w:pPr>
                    <w:jc w:val="center"/>
                  </w:pPr>
                  <w:r>
                    <w:rPr>
                      <w:sz w:val="21"/>
                    </w:rPr>
                    <w:t>锝</w:t>
                  </w:r>
                  <w:r>
                    <w:rPr>
                      <w:sz w:val="21"/>
                    </w:rPr>
                    <w:t>[</w:t>
                  </w:r>
                  <w:r>
                    <w:rPr>
                      <w:sz w:val="21"/>
                      <w:vertAlign w:val="superscript"/>
                    </w:rPr>
                    <w:t>99m</w:t>
                  </w:r>
                  <w:r>
                    <w:rPr>
                      <w:sz w:val="21"/>
                    </w:rPr>
                    <w:t>Tc]</w:t>
                  </w:r>
                  <w:r>
                    <w:rPr>
                      <w:sz w:val="21"/>
                    </w:rPr>
                    <w:t>聚合白蛋白注射液</w:t>
                  </w:r>
                  <w:r>
                    <w:rPr>
                      <w:sz w:val="21"/>
                    </w:rPr>
                    <w:t>(</w:t>
                  </w:r>
                  <w:r>
                    <w:rPr>
                      <w:sz w:val="21"/>
                      <w:vertAlign w:val="superscript"/>
                    </w:rPr>
                    <w:t>99m</w:t>
                  </w:r>
                  <w:r>
                    <w:rPr>
                      <w:sz w:val="21"/>
                    </w:rPr>
                    <w:t>Tc-MAA)</w:t>
                  </w:r>
                </w:p>
              </w:tc>
              <w:tc>
                <w:tcPr>
                  <w:tcW w:type="dxa" w:w="1414"/>
                  <w:tcBorders>
                    <w:top w:val="none" w:color="000000" w:sz="4"/>
                    <w:left w:val="none" w:color="000000" w:sz="4"/>
                    <w:bottom w:val="single" w:color="000000" w:sz="4"/>
                    <w:right w:val="single" w:color="000000" w:sz="4"/>
                  </w:tcBorders>
                </w:tcPr>
                <w:p>
                  <w:pPr>
                    <w:jc w:val="center"/>
                  </w:pPr>
                  <w:r>
                    <w:rPr>
                      <w:sz w:val="21"/>
                    </w:rPr>
                    <w:t>5-15mCi*1</w:t>
                  </w:r>
                  <w:r>
                    <w:rPr>
                      <w:sz w:val="21"/>
                    </w:rPr>
                    <w:t>支</w:t>
                  </w:r>
                  <w:r>
                    <w:rPr>
                      <w:sz w:val="21"/>
                    </w:rPr>
                    <w:t>/</w:t>
                  </w:r>
                  <w:r>
                    <w:rPr>
                      <w:sz w:val="21"/>
                    </w:rPr>
                    <w:t>支</w:t>
                  </w:r>
                </w:p>
              </w:tc>
              <w:tc>
                <w:tcPr>
                  <w:tcW w:type="dxa" w:w="707"/>
                  <w:tcBorders>
                    <w:top w:val="none" w:color="000000" w:sz="4"/>
                    <w:left w:val="none" w:color="000000" w:sz="4"/>
                    <w:bottom w:val="single" w:color="000000" w:sz="4"/>
                    <w:right w:val="single" w:color="000000" w:sz="4"/>
                  </w:tcBorders>
                </w:tcPr>
                <w:p>
                  <w:pPr>
                    <w:jc w:val="center"/>
                  </w:pPr>
                  <w:r>
                    <w:rPr>
                      <w:sz w:val="21"/>
                    </w:rPr>
                    <w:t>500</w:t>
                  </w:r>
                </w:p>
              </w:tc>
              <w:tc>
                <w:tcPr>
                  <w:tcW w:type="dxa" w:w="707"/>
                  <w:tcBorders>
                    <w:top w:val="none" w:color="000000" w:sz="4"/>
                    <w:left w:val="none" w:color="000000" w:sz="4"/>
                    <w:bottom w:val="single" w:color="000000" w:sz="4"/>
                    <w:right w:val="single" w:color="000000" w:sz="4"/>
                  </w:tcBorders>
                </w:tcPr>
                <w:p>
                  <w:pPr>
                    <w:jc w:val="center"/>
                  </w:pPr>
                  <w:r>
                    <w:rPr>
                      <w:sz w:val="21"/>
                    </w:rPr>
                    <w:t>150</w:t>
                  </w:r>
                </w:p>
              </w:tc>
            </w:tr>
            <w:tr>
              <w:tc>
                <w:tcPr>
                  <w:tcW w:type="dxa" w:w="295"/>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Pr>
                <w:p>
                  <w:pPr>
                    <w:jc w:val="center"/>
                  </w:pPr>
                  <w:r>
                    <w:rPr>
                      <w:sz w:val="21"/>
                    </w:rPr>
                    <w:t>9</w:t>
                  </w:r>
                </w:p>
              </w:tc>
              <w:tc>
                <w:tcPr>
                  <w:tcW w:type="dxa" w:w="2180"/>
                  <w:tcBorders>
                    <w:top w:val="none" w:color="000000" w:sz="4"/>
                    <w:left w:val="none" w:color="000000" w:sz="4"/>
                    <w:bottom w:val="single" w:color="000000" w:sz="4"/>
                    <w:right w:val="single" w:color="000000" w:sz="4"/>
                  </w:tcBorders>
                </w:tcPr>
                <w:p>
                  <w:pPr>
                    <w:jc w:val="center"/>
                  </w:pPr>
                  <w:r>
                    <w:rPr>
                      <w:sz w:val="21"/>
                    </w:rPr>
                    <w:t>锝</w:t>
                  </w:r>
                  <w:r>
                    <w:rPr>
                      <w:sz w:val="21"/>
                    </w:rPr>
                    <w:t>[</w:t>
                  </w:r>
                  <w:r>
                    <w:rPr>
                      <w:sz w:val="21"/>
                      <w:vertAlign w:val="superscript"/>
                    </w:rPr>
                    <w:t>99m</w:t>
                  </w:r>
                  <w:r>
                    <w:rPr>
                      <w:sz w:val="21"/>
                    </w:rPr>
                    <w:t>Tc]</w:t>
                  </w:r>
                  <w:r>
                    <w:rPr>
                      <w:sz w:val="21"/>
                    </w:rPr>
                    <w:t>植酸盐注射液</w:t>
                  </w:r>
                  <w:r>
                    <w:rPr>
                      <w:sz w:val="21"/>
                    </w:rPr>
                    <w:t>(</w:t>
                  </w:r>
                  <w:r>
                    <w:rPr>
                      <w:sz w:val="21"/>
                      <w:vertAlign w:val="superscript"/>
                    </w:rPr>
                    <w:t>99m</w:t>
                  </w:r>
                  <w:r>
                    <w:rPr>
                      <w:sz w:val="21"/>
                    </w:rPr>
                    <w:t>Tc-PHY)</w:t>
                  </w:r>
                </w:p>
              </w:tc>
              <w:tc>
                <w:tcPr>
                  <w:tcW w:type="dxa" w:w="1414"/>
                  <w:tcBorders>
                    <w:top w:val="none" w:color="000000" w:sz="4"/>
                    <w:left w:val="none" w:color="000000" w:sz="4"/>
                    <w:bottom w:val="single" w:color="000000" w:sz="4"/>
                    <w:right w:val="single" w:color="000000" w:sz="4"/>
                  </w:tcBorders>
                </w:tcPr>
                <w:p>
                  <w:pPr>
                    <w:jc w:val="center"/>
                  </w:pPr>
                  <w:r>
                    <w:rPr>
                      <w:sz w:val="21"/>
                    </w:rPr>
                    <w:t>1</w:t>
                  </w:r>
                  <w:r>
                    <w:rPr>
                      <w:sz w:val="21"/>
                    </w:rPr>
                    <w:t>支</w:t>
                  </w:r>
                  <w:r>
                    <w:rPr>
                      <w:sz w:val="21"/>
                    </w:rPr>
                    <w:t>/</w:t>
                  </w:r>
                  <w:r>
                    <w:rPr>
                      <w:sz w:val="21"/>
                    </w:rPr>
                    <w:t>支</w:t>
                  </w:r>
                </w:p>
              </w:tc>
              <w:tc>
                <w:tcPr>
                  <w:tcW w:type="dxa" w:w="707"/>
                  <w:tcBorders>
                    <w:top w:val="none" w:color="000000" w:sz="4"/>
                    <w:left w:val="none" w:color="000000" w:sz="4"/>
                    <w:bottom w:val="single" w:color="000000" w:sz="4"/>
                    <w:right w:val="single" w:color="000000" w:sz="4"/>
                  </w:tcBorders>
                </w:tcPr>
                <w:p>
                  <w:pPr>
                    <w:jc w:val="center"/>
                  </w:pPr>
                  <w:r>
                    <w:rPr>
                      <w:sz w:val="21"/>
                    </w:rPr>
                    <w:t>400</w:t>
                  </w:r>
                </w:p>
              </w:tc>
              <w:tc>
                <w:tcPr>
                  <w:tcW w:type="dxa" w:w="707"/>
                  <w:tcBorders>
                    <w:top w:val="none" w:color="000000" w:sz="4"/>
                    <w:left w:val="none" w:color="000000" w:sz="4"/>
                    <w:bottom w:val="single" w:color="000000" w:sz="4"/>
                    <w:right w:val="single" w:color="000000" w:sz="4"/>
                  </w:tcBorders>
                </w:tcPr>
                <w:p>
                  <w:pPr>
                    <w:jc w:val="center"/>
                  </w:pPr>
                  <w:r>
                    <w:rPr>
                      <w:sz w:val="21"/>
                    </w:rPr>
                    <w:t>30</w:t>
                  </w:r>
                </w:p>
              </w:tc>
            </w:tr>
            <w:tr>
              <w:tc>
                <w:tcPr>
                  <w:tcW w:type="dxa" w:w="295"/>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Pr>
                <w:p>
                  <w:pPr>
                    <w:jc w:val="center"/>
                  </w:pPr>
                  <w:r>
                    <w:rPr>
                      <w:sz w:val="21"/>
                    </w:rPr>
                    <w:t>10</w:t>
                  </w:r>
                </w:p>
              </w:tc>
              <w:tc>
                <w:tcPr>
                  <w:tcW w:type="dxa" w:w="2180"/>
                  <w:tcBorders>
                    <w:top w:val="none" w:color="000000" w:sz="4"/>
                    <w:left w:val="none" w:color="000000" w:sz="4"/>
                    <w:bottom w:val="single" w:color="000000" w:sz="4"/>
                    <w:right w:val="single" w:color="000000" w:sz="4"/>
                  </w:tcBorders>
                </w:tcPr>
                <w:p>
                  <w:pPr>
                    <w:jc w:val="center"/>
                  </w:pPr>
                  <w:r>
                    <w:rPr>
                      <w:sz w:val="21"/>
                    </w:rPr>
                    <w:t>锝</w:t>
                  </w:r>
                  <w:r>
                    <w:rPr>
                      <w:sz w:val="21"/>
                    </w:rPr>
                    <w:t>[</w:t>
                  </w:r>
                  <w:r>
                    <w:rPr>
                      <w:sz w:val="21"/>
                      <w:vertAlign w:val="superscript"/>
                    </w:rPr>
                    <w:t>99m</w:t>
                  </w:r>
                  <w:r>
                    <w:rPr>
                      <w:sz w:val="21"/>
                    </w:rPr>
                    <w:t>Tc]</w:t>
                  </w:r>
                  <w:r>
                    <w:rPr>
                      <w:sz w:val="21"/>
                    </w:rPr>
                    <w:t>依替菲宁注射液</w:t>
                  </w:r>
                  <w:r>
                    <w:rPr>
                      <w:sz w:val="21"/>
                    </w:rPr>
                    <w:t>(</w:t>
                  </w:r>
                  <w:r>
                    <w:rPr>
                      <w:sz w:val="21"/>
                      <w:vertAlign w:val="superscript"/>
                    </w:rPr>
                    <w:t>99m</w:t>
                  </w:r>
                  <w:r>
                    <w:rPr>
                      <w:sz w:val="21"/>
                    </w:rPr>
                    <w:t>Tc-EHIDA)</w:t>
                  </w:r>
                </w:p>
              </w:tc>
              <w:tc>
                <w:tcPr>
                  <w:tcW w:type="dxa" w:w="1414"/>
                  <w:tcBorders>
                    <w:top w:val="none" w:color="000000" w:sz="4"/>
                    <w:left w:val="none" w:color="000000" w:sz="4"/>
                    <w:bottom w:val="single" w:color="000000" w:sz="4"/>
                    <w:right w:val="single" w:color="000000" w:sz="4"/>
                  </w:tcBorders>
                </w:tcPr>
                <w:p>
                  <w:pPr>
                    <w:jc w:val="center"/>
                  </w:pPr>
                  <w:r>
                    <w:rPr>
                      <w:sz w:val="21"/>
                    </w:rPr>
                    <w:t>1</w:t>
                  </w:r>
                  <w:r>
                    <w:rPr>
                      <w:sz w:val="21"/>
                    </w:rPr>
                    <w:t>支</w:t>
                  </w:r>
                  <w:r>
                    <w:rPr>
                      <w:sz w:val="21"/>
                    </w:rPr>
                    <w:t>/</w:t>
                  </w:r>
                  <w:r>
                    <w:rPr>
                      <w:sz w:val="21"/>
                    </w:rPr>
                    <w:t>支</w:t>
                  </w:r>
                </w:p>
              </w:tc>
              <w:tc>
                <w:tcPr>
                  <w:tcW w:type="dxa" w:w="707"/>
                  <w:tcBorders>
                    <w:top w:val="none" w:color="000000" w:sz="4"/>
                    <w:left w:val="none" w:color="000000" w:sz="4"/>
                    <w:bottom w:val="single" w:color="000000" w:sz="4"/>
                    <w:right w:val="single" w:color="000000" w:sz="4"/>
                  </w:tcBorders>
                </w:tcPr>
                <w:p>
                  <w:pPr>
                    <w:jc w:val="center"/>
                  </w:pPr>
                  <w:r>
                    <w:rPr>
                      <w:sz w:val="21"/>
                    </w:rPr>
                    <w:t>450</w:t>
                  </w:r>
                </w:p>
              </w:tc>
              <w:tc>
                <w:tcPr>
                  <w:tcW w:type="dxa" w:w="707"/>
                  <w:tcBorders>
                    <w:top w:val="none" w:color="000000" w:sz="4"/>
                    <w:left w:val="none" w:color="000000" w:sz="4"/>
                    <w:bottom w:val="single" w:color="000000" w:sz="4"/>
                    <w:right w:val="single" w:color="000000" w:sz="4"/>
                  </w:tcBorders>
                </w:tcPr>
                <w:p>
                  <w:pPr>
                    <w:jc w:val="center"/>
                  </w:pPr>
                  <w:r>
                    <w:rPr>
                      <w:sz w:val="21"/>
                    </w:rPr>
                    <w:t>28</w:t>
                  </w:r>
                </w:p>
              </w:tc>
            </w:tr>
            <w:tr>
              <w:tc>
                <w:tcPr>
                  <w:tcW w:type="dxa" w:w="295"/>
                  <w:vMerge/>
                  <w:tcBorders>
                    <w:top w:val="none" w:color="000000" w:sz="4"/>
                    <w:left w:val="single" w:color="000000" w:sz="4"/>
                    <w:bottom w:val="single" w:color="000000" w:sz="4"/>
                    <w:right w:val="single" w:color="000000" w:sz="4"/>
                  </w:tcBorders>
                </w:tcPr>
                <w:p/>
              </w:tc>
              <w:tc>
                <w:tcPr>
                  <w:tcW w:type="dxa" w:w="295"/>
                  <w:tcBorders>
                    <w:top w:val="none" w:color="000000" w:sz="4"/>
                    <w:left w:val="none" w:color="000000" w:sz="4"/>
                    <w:bottom w:val="single" w:color="000000" w:sz="4"/>
                    <w:right w:val="single" w:color="000000" w:sz="4"/>
                  </w:tcBorders>
                </w:tcPr>
                <w:p>
                  <w:pPr>
                    <w:jc w:val="center"/>
                  </w:pPr>
                  <w:r>
                    <w:rPr>
                      <w:sz w:val="21"/>
                    </w:rPr>
                    <w:t>11</w:t>
                  </w:r>
                </w:p>
              </w:tc>
              <w:tc>
                <w:tcPr>
                  <w:tcW w:type="dxa" w:w="2180"/>
                  <w:tcBorders>
                    <w:top w:val="none" w:color="000000" w:sz="4"/>
                    <w:left w:val="none" w:color="000000" w:sz="4"/>
                    <w:bottom w:val="single" w:color="000000" w:sz="4"/>
                    <w:right w:val="single" w:color="000000" w:sz="4"/>
                  </w:tcBorders>
                </w:tcPr>
                <w:p>
                  <w:pPr>
                    <w:jc w:val="center"/>
                  </w:pPr>
                  <w:r>
                    <w:rPr>
                      <w:sz w:val="21"/>
                    </w:rPr>
                    <w:t>锝</w:t>
                  </w:r>
                  <w:r>
                    <w:rPr>
                      <w:sz w:val="21"/>
                    </w:rPr>
                    <w:t>[</w:t>
                  </w:r>
                  <w:r>
                    <w:rPr>
                      <w:sz w:val="21"/>
                      <w:vertAlign w:val="superscript"/>
                    </w:rPr>
                    <w:t>99m</w:t>
                  </w:r>
                  <w:r>
                    <w:rPr>
                      <w:sz w:val="21"/>
                    </w:rPr>
                    <w:t>Tc]</w:t>
                  </w:r>
                  <w:r>
                    <w:rPr>
                      <w:sz w:val="21"/>
                    </w:rPr>
                    <w:t>二巯丁二酸盐注射液</w:t>
                  </w:r>
                  <w:r>
                    <w:rPr>
                      <w:sz w:val="21"/>
                    </w:rPr>
                    <w:t>(</w:t>
                  </w:r>
                  <w:r>
                    <w:rPr>
                      <w:sz w:val="21"/>
                      <w:vertAlign w:val="superscript"/>
                    </w:rPr>
                    <w:t>99m</w:t>
                  </w:r>
                  <w:r>
                    <w:rPr>
                      <w:sz w:val="21"/>
                    </w:rPr>
                    <w:t>Tc-DMSA)</w:t>
                  </w:r>
                </w:p>
              </w:tc>
              <w:tc>
                <w:tcPr>
                  <w:tcW w:type="dxa" w:w="1414"/>
                  <w:tcBorders>
                    <w:top w:val="none" w:color="000000" w:sz="4"/>
                    <w:left w:val="none" w:color="000000" w:sz="4"/>
                    <w:bottom w:val="single" w:color="000000" w:sz="4"/>
                    <w:right w:val="single" w:color="000000" w:sz="4"/>
                  </w:tcBorders>
                </w:tcPr>
                <w:p>
                  <w:pPr>
                    <w:jc w:val="center"/>
                  </w:pPr>
                  <w:r>
                    <w:rPr>
                      <w:sz w:val="21"/>
                    </w:rPr>
                    <w:t>5-10mCi*1</w:t>
                  </w:r>
                  <w:r>
                    <w:rPr>
                      <w:sz w:val="21"/>
                    </w:rPr>
                    <w:t>支</w:t>
                  </w:r>
                  <w:r>
                    <w:rPr>
                      <w:sz w:val="21"/>
                    </w:rPr>
                    <w:t>/</w:t>
                  </w:r>
                  <w:r>
                    <w:rPr>
                      <w:sz w:val="21"/>
                    </w:rPr>
                    <w:t>支</w:t>
                  </w:r>
                </w:p>
              </w:tc>
              <w:tc>
                <w:tcPr>
                  <w:tcW w:type="dxa" w:w="707"/>
                  <w:tcBorders>
                    <w:top w:val="none" w:color="000000" w:sz="4"/>
                    <w:left w:val="none" w:color="000000" w:sz="4"/>
                    <w:bottom w:val="single" w:color="000000" w:sz="4"/>
                    <w:right w:val="single" w:color="000000" w:sz="4"/>
                  </w:tcBorders>
                </w:tcPr>
                <w:p>
                  <w:pPr>
                    <w:jc w:val="center"/>
                  </w:pPr>
                  <w:r>
                    <w:rPr>
                      <w:sz w:val="21"/>
                    </w:rPr>
                    <w:t>480</w:t>
                  </w:r>
                </w:p>
              </w:tc>
              <w:tc>
                <w:tcPr>
                  <w:tcW w:type="dxa" w:w="707"/>
                  <w:tcBorders>
                    <w:top w:val="none" w:color="000000" w:sz="4"/>
                    <w:left w:val="none" w:color="000000" w:sz="4"/>
                    <w:bottom w:val="single" w:color="000000" w:sz="4"/>
                    <w:right w:val="single" w:color="000000" w:sz="4"/>
                  </w:tcBorders>
                </w:tcPr>
                <w:p>
                  <w:pPr>
                    <w:jc w:val="center"/>
                  </w:pPr>
                  <w:r>
                    <w:rPr>
                      <w:sz w:val="21"/>
                    </w:rPr>
                    <w:t>300</w:t>
                  </w:r>
                </w:p>
              </w:tc>
            </w:tr>
          </w:tbl>
          <w:p>
            <w:pPr>
              <w:ind w:firstLine="420"/>
              <w:jc w:val="both"/>
            </w:pPr>
            <w:r>
              <w:rPr>
                <w:sz w:val="21"/>
              </w:rPr>
              <w:t>注：本项目的投标报价以折扣率的形式报出，所有货物适用于同一个折扣率。</w:t>
            </w:r>
            <w:r>
              <w:rPr>
                <w:sz w:val="21"/>
              </w:rPr>
              <w:t>投标人对所投包组内的全部内容进行报价和供货，否则将按无效投标处理。</w:t>
            </w:r>
          </w:p>
          <w:p>
            <w:pPr>
              <w:jc w:val="both"/>
            </w:pPr>
            <w:r>
              <w:rPr>
                <w:b/>
                <w:sz w:val="21"/>
              </w:rPr>
              <w:t>二、服务要求</w:t>
            </w:r>
          </w:p>
          <w:p>
            <w:pPr>
              <w:ind w:firstLine="420"/>
              <w:jc w:val="both"/>
            </w:pPr>
            <w:r>
              <w:rPr>
                <w:sz w:val="21"/>
              </w:rPr>
              <w:t>★1. 用于药品运输的车辆及设备必须满足《放射性物品道路运输管理规定》中的相关规定；投标人或者投标人所分包的药品运输单位具有有效的《放射性物品道路运输许可证》</w:t>
            </w:r>
            <w:r>
              <w:rPr>
                <w:sz w:val="21"/>
              </w:rPr>
              <w:t>，本采购包仅允许分包</w:t>
            </w:r>
            <w:r>
              <w:rPr>
                <w:sz w:val="21"/>
              </w:rPr>
              <w:t>药品运输环节。（提供有效的证书复印件，若分包的还需提供分包意向协议书）</w:t>
            </w:r>
          </w:p>
          <w:p>
            <w:pPr>
              <w:ind w:firstLine="420"/>
              <w:jc w:val="both"/>
            </w:pPr>
            <w:r>
              <w:rPr>
                <w:sz w:val="21"/>
              </w:rPr>
              <w:t>★2.投标人所提供的放射性药品具有有效的《药品注册证》或《药品再注册批件》。（提供相关证明）</w:t>
            </w:r>
          </w:p>
          <w:p>
            <w:pPr>
              <w:ind w:firstLine="420"/>
              <w:jc w:val="both"/>
            </w:pPr>
            <w:r>
              <w:rPr>
                <w:sz w:val="21"/>
              </w:rPr>
              <w:t>3.</w:t>
            </w:r>
            <w:r>
              <w:rPr>
                <w:sz w:val="21"/>
              </w:rPr>
              <w:t>供货要求：分批次供货，在采购人下单后1小时内送达采购人指定地点。中标供应商需具备在特殊紧急情况下，在采购人下单后35分钟内送达采购人指定地点。</w:t>
            </w:r>
          </w:p>
          <w:p>
            <w:pPr>
              <w:ind w:firstLine="420"/>
              <w:jc w:val="both"/>
            </w:pPr>
            <w:r>
              <w:rPr>
                <w:sz w:val="21"/>
              </w:rPr>
              <w:t>4.</w:t>
            </w:r>
            <w:r>
              <w:rPr>
                <w:sz w:val="21"/>
              </w:rPr>
              <w:t>供货期：</w:t>
            </w:r>
            <w:r>
              <w:rPr>
                <w:sz w:val="21"/>
              </w:rPr>
              <w:t>自合同执行之日起3年，合同一年一签，实际执行的结束时间以“实际结算费用累计达到采购预算”或“供货期3年期限”先到者供货结束。在供货期限内因国家政策或不可抗力的因素导致采购人不能执行所采购货物时，本项目合同终止，采购人及采购代理机构不承担任何责任。</w:t>
            </w:r>
          </w:p>
          <w:p>
            <w:pPr>
              <w:ind w:firstLine="420"/>
              <w:jc w:val="both"/>
            </w:pPr>
            <w:r>
              <w:rPr>
                <w:sz w:val="21"/>
              </w:rPr>
              <w:t>5.</w:t>
            </w:r>
            <w:r>
              <w:rPr>
                <w:sz w:val="21"/>
              </w:rPr>
              <w:t>中标供应商所提供的货物必须是所代表品牌厂商出品的、全新的、包装完好的、符合国家有关质量、安全、环保标准的原装产品。</w:t>
            </w:r>
          </w:p>
          <w:p>
            <w:pPr>
              <w:ind w:firstLine="420"/>
              <w:jc w:val="both"/>
            </w:pPr>
            <w:r>
              <w:rPr>
                <w:sz w:val="21"/>
              </w:rPr>
              <w:t>6.</w:t>
            </w:r>
            <w:r>
              <w:rPr>
                <w:sz w:val="21"/>
              </w:rPr>
              <w:t>每种放射性药品含内外标签，并清楚标明：内外标签一致的编号、药物名称、剂量、校准的时间、有效期限、批号、生产单位。</w:t>
            </w:r>
          </w:p>
          <w:p>
            <w:pPr>
              <w:ind w:firstLine="420"/>
              <w:jc w:val="both"/>
            </w:pPr>
            <w:r>
              <w:rPr>
                <w:sz w:val="21"/>
              </w:rPr>
              <w:t>★7.投标人所投产品内外包装均须符合国家规定的放射性药品运输要求。（投标人需提供承诺函）</w:t>
            </w:r>
          </w:p>
          <w:p>
            <w:pPr>
              <w:ind w:firstLine="420"/>
              <w:jc w:val="both"/>
            </w:pPr>
            <w:r>
              <w:rPr>
                <w:sz w:val="21"/>
              </w:rPr>
              <w:t>8.供货时还需提供产品合格证明或检验报告书，以及产品使用说明书。</w:t>
            </w:r>
          </w:p>
          <w:p>
            <w:pPr>
              <w:ind w:firstLine="420"/>
              <w:jc w:val="both"/>
            </w:pPr>
            <w:r>
              <w:rPr>
                <w:sz w:val="21"/>
              </w:rPr>
              <w:t>9.中标供应商安排专门的、有资质的专业技术人员进行现场分装，以保证检查用药剂量的个体化和准确性，该人员遵守医院科室的各种规章制度。</w:t>
            </w:r>
          </w:p>
          <w:p>
            <w:pPr>
              <w:ind w:firstLine="420"/>
              <w:jc w:val="both"/>
            </w:pPr>
            <w:r>
              <w:rPr>
                <w:sz w:val="21"/>
              </w:rPr>
              <w:t>10</w:t>
            </w:r>
            <w:r>
              <w:rPr>
                <w:sz w:val="21"/>
              </w:rPr>
              <w:t>．为助力采购人临床科研发展，中标供应商为采购人临床科研实验提供常规的新型化合物标记技术服务。（其费用已包含在投标报价中）</w:t>
            </w:r>
          </w:p>
          <w:p>
            <w:pPr>
              <w:ind w:firstLine="420"/>
              <w:jc w:val="both"/>
            </w:pPr>
            <w:r>
              <w:rPr>
                <w:sz w:val="21"/>
              </w:rPr>
              <w:t>11.</w:t>
            </w:r>
            <w:r>
              <w:rPr>
                <w:sz w:val="21"/>
              </w:rPr>
              <w:t>药物有异常的情况（包括但不限于剂量不符、目测药物异常、溢岀/外漏、QC不达标、辐射感染、包装破损、过期等），中标供应商需进行回收，并重新提供相应种类、数量的合格药品。</w:t>
            </w:r>
          </w:p>
          <w:p>
            <w:pPr>
              <w:ind w:firstLine="420"/>
              <w:jc w:val="both"/>
            </w:pPr>
            <w:r>
              <w:rPr>
                <w:sz w:val="21"/>
              </w:rPr>
              <w:t>12.</w:t>
            </w:r>
            <w:r>
              <w:rPr>
                <w:sz w:val="21"/>
              </w:rPr>
              <w:t>服务期内，如果出现中标供应商无法供货的情形，采购人有权另行采购所需的药品，其费用由中标供应商进行支付。如中标供应商</w:t>
            </w:r>
            <w:r>
              <w:rPr>
                <w:sz w:val="21"/>
              </w:rPr>
              <w:t>服务期内累计</w:t>
            </w:r>
            <w:r>
              <w:rPr>
                <w:sz w:val="21"/>
              </w:rPr>
              <w:t>3</w:t>
            </w:r>
            <w:r>
              <w:rPr>
                <w:sz w:val="21"/>
              </w:rPr>
              <w:t>次</w:t>
            </w:r>
            <w:r>
              <w:rPr>
                <w:sz w:val="21"/>
              </w:rPr>
              <w:t>或长期无法供货，影响科室用药的，采购人有权终止合同；情节严重的，采购人有权追究其相关法律责任，并要求赔偿。</w:t>
            </w:r>
          </w:p>
          <w:p>
            <w:pPr>
              <w:ind w:firstLine="422"/>
              <w:jc w:val="both"/>
            </w:pPr>
            <w:r>
              <w:rPr>
                <w:b/>
                <w:sz w:val="21"/>
              </w:rPr>
              <w:t>三、考核标准</w:t>
            </w:r>
          </w:p>
          <w:p>
            <w:pPr>
              <w:ind w:firstLine="420"/>
              <w:jc w:val="both"/>
            </w:pPr>
            <w:r>
              <w:rPr>
                <w:sz w:val="21"/>
              </w:rPr>
              <w:t>为保证服务质量，采购人每年对中标供应商提供的服务进行监督和检查考评，总分为100分。采购人在合同期内有权结合实际需求及相关法规规范的变更，更新、调整考核评价项目、内容及分值。</w:t>
            </w:r>
          </w:p>
          <w:p>
            <w:pPr>
              <w:ind w:firstLine="420"/>
              <w:jc w:val="both"/>
            </w:pPr>
            <w:r>
              <w:rPr>
                <w:sz w:val="21"/>
              </w:rPr>
              <w:t>（一）服务质量考核表：</w:t>
            </w:r>
          </w:p>
          <w:p>
            <w:pPr>
              <w:jc w:val="center"/>
            </w:pPr>
            <w:r>
              <w:rPr>
                <w:b/>
                <w:sz w:val="21"/>
              </w:rPr>
              <w:t>服务质量考核表</w:t>
            </w:r>
          </w:p>
          <w:p>
            <w:pPr>
              <w:ind w:firstLine="422"/>
              <w:jc w:val="left"/>
            </w:pPr>
            <w:r>
              <w:rPr>
                <w:b/>
                <w:sz w:val="21"/>
              </w:rPr>
              <w:t>注：每项考核内容累计扣分，最高扣至分项总分。</w:t>
            </w:r>
          </w:p>
          <w:tbl>
            <w:tblPr>
              <w:tblBorders>
                <w:top w:val="none" w:color="000000" w:sz="4"/>
                <w:left w:val="none" w:color="000000" w:sz="4"/>
                <w:bottom w:val="none" w:color="000000" w:sz="4"/>
                <w:right w:val="none" w:color="000000" w:sz="4"/>
                <w:insideH w:val="none"/>
                <w:insideV w:val="none"/>
              </w:tblBorders>
            </w:tblPr>
            <w:tblGrid>
              <w:gridCol w:w="477"/>
              <w:gridCol w:w="3654"/>
              <w:gridCol w:w="1059"/>
            </w:tblGrid>
            <w:tr>
              <w:tc>
                <w:tcPr>
                  <w:tcW w:type="dxa" w:w="477"/>
                  <w:tcBorders>
                    <w:top w:val="single" w:color="000000" w:sz="4"/>
                    <w:left w:val="single" w:color="000000" w:sz="4"/>
                    <w:bottom w:val="single" w:color="000000" w:sz="4"/>
                    <w:right w:val="single" w:color="000000" w:sz="4"/>
                  </w:tcBorders>
                </w:tcPr>
                <w:p>
                  <w:pPr>
                    <w:jc w:val="center"/>
                  </w:pPr>
                  <w:r>
                    <w:rPr>
                      <w:b/>
                      <w:sz w:val="21"/>
                    </w:rPr>
                    <w:t>序号</w:t>
                  </w:r>
                </w:p>
              </w:tc>
              <w:tc>
                <w:tcPr>
                  <w:tcW w:type="dxa" w:w="3654"/>
                  <w:tcBorders>
                    <w:top w:val="single" w:color="000000" w:sz="4"/>
                    <w:left w:val="none" w:color="000000" w:sz="4"/>
                    <w:bottom w:val="single" w:color="000000" w:sz="4"/>
                    <w:right w:val="single" w:color="000000" w:sz="4"/>
                  </w:tcBorders>
                </w:tcPr>
                <w:p>
                  <w:pPr>
                    <w:jc w:val="center"/>
                  </w:pPr>
                  <w:r>
                    <w:rPr>
                      <w:b/>
                      <w:sz w:val="21"/>
                    </w:rPr>
                    <w:t>考核要求</w:t>
                  </w:r>
                </w:p>
              </w:tc>
              <w:tc>
                <w:tcPr>
                  <w:tcW w:type="dxa" w:w="1059"/>
                  <w:tcBorders>
                    <w:top w:val="single" w:color="000000" w:sz="4"/>
                    <w:left w:val="none" w:color="000000" w:sz="4"/>
                    <w:bottom w:val="single" w:color="000000" w:sz="4"/>
                    <w:right w:val="single" w:color="000000" w:sz="4"/>
                  </w:tcBorders>
                </w:tcPr>
                <w:p>
                  <w:pPr>
                    <w:jc w:val="center"/>
                  </w:pPr>
                  <w:r>
                    <w:rPr>
                      <w:b/>
                      <w:sz w:val="21"/>
                    </w:rPr>
                    <w:t>扣分明细</w:t>
                  </w:r>
                </w:p>
              </w:tc>
            </w:tr>
            <w:tr>
              <w:tc>
                <w:tcPr>
                  <w:tcW w:type="dxa" w:w="477"/>
                  <w:tcBorders>
                    <w:top w:val="none" w:color="000000" w:sz="4"/>
                    <w:left w:val="single" w:color="000000" w:sz="4"/>
                    <w:bottom w:val="single" w:color="000000" w:sz="4"/>
                    <w:right w:val="single" w:color="000000" w:sz="4"/>
                  </w:tcBorders>
                </w:tcPr>
                <w:p>
                  <w:pPr>
                    <w:jc w:val="center"/>
                  </w:pPr>
                  <w:r>
                    <w:rPr>
                      <w:sz w:val="21"/>
                    </w:rPr>
                    <w:t>1</w:t>
                  </w:r>
                </w:p>
              </w:tc>
              <w:tc>
                <w:tcPr>
                  <w:tcW w:type="dxa" w:w="3654"/>
                  <w:tcBorders>
                    <w:top w:val="none" w:color="000000" w:sz="4"/>
                    <w:left w:val="none" w:color="000000" w:sz="4"/>
                    <w:bottom w:val="single" w:color="000000" w:sz="4"/>
                    <w:right w:val="single" w:color="000000" w:sz="4"/>
                  </w:tcBorders>
                </w:tcPr>
                <w:p>
                  <w:pPr>
                    <w:jc w:val="left"/>
                  </w:pPr>
                  <w:r>
                    <w:rPr>
                      <w:sz w:val="21"/>
                    </w:rPr>
                    <w:t>按项目需求派驻现场分装人员准时到位，按采购人意见对服务人员选用或要求及时进行调整，对于采购人提出的不符合要求的派驻人员及时更换；每发现一次不满足要求的扣5分；</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77"/>
                  <w:tcBorders>
                    <w:top w:val="none" w:color="000000" w:sz="4"/>
                    <w:left w:val="single" w:color="000000" w:sz="4"/>
                    <w:bottom w:val="single" w:color="000000" w:sz="4"/>
                    <w:right w:val="single" w:color="000000" w:sz="4"/>
                  </w:tcBorders>
                </w:tcPr>
                <w:p>
                  <w:pPr>
                    <w:jc w:val="center"/>
                  </w:pPr>
                  <w:r>
                    <w:rPr>
                      <w:sz w:val="21"/>
                    </w:rPr>
                    <w:t>2</w:t>
                  </w:r>
                </w:p>
              </w:tc>
              <w:tc>
                <w:tcPr>
                  <w:tcW w:type="dxa" w:w="3654"/>
                  <w:tcBorders>
                    <w:top w:val="none" w:color="000000" w:sz="4"/>
                    <w:left w:val="none" w:color="000000" w:sz="4"/>
                    <w:bottom w:val="single" w:color="000000" w:sz="4"/>
                    <w:right w:val="single" w:color="000000" w:sz="4"/>
                  </w:tcBorders>
                </w:tcPr>
                <w:p>
                  <w:pPr>
                    <w:jc w:val="left"/>
                  </w:pPr>
                  <w:r>
                    <w:rPr>
                      <w:sz w:val="21"/>
                    </w:rPr>
                    <w:t>定期为现场分装人员进行安全、业务知识等必要的教育培训；每发现一次不满足要求的扣5分；</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77"/>
                  <w:tcBorders>
                    <w:top w:val="none" w:color="000000" w:sz="4"/>
                    <w:left w:val="single" w:color="000000" w:sz="4"/>
                    <w:bottom w:val="single" w:color="000000" w:sz="4"/>
                    <w:right w:val="single" w:color="000000" w:sz="4"/>
                  </w:tcBorders>
                </w:tcPr>
                <w:p>
                  <w:pPr>
                    <w:jc w:val="center"/>
                  </w:pPr>
                  <w:r>
                    <w:rPr>
                      <w:sz w:val="21"/>
                    </w:rPr>
                    <w:t>3</w:t>
                  </w:r>
                </w:p>
              </w:tc>
              <w:tc>
                <w:tcPr>
                  <w:tcW w:type="dxa" w:w="3654"/>
                  <w:tcBorders>
                    <w:top w:val="none" w:color="000000" w:sz="4"/>
                    <w:left w:val="none" w:color="000000" w:sz="4"/>
                    <w:bottom w:val="single" w:color="000000" w:sz="4"/>
                    <w:right w:val="single" w:color="000000" w:sz="4"/>
                  </w:tcBorders>
                </w:tcPr>
                <w:p>
                  <w:pPr>
                    <w:jc w:val="left"/>
                  </w:pPr>
                  <w:r>
                    <w:rPr>
                      <w:sz w:val="21"/>
                    </w:rPr>
                    <w:t>药物有异常的情况（包括但不限于剂量不符、目测药物异常、溢岀/外漏、QC不达标、辐射感染、包装破损、过期等）</w:t>
                  </w:r>
                  <w:r>
                    <w:rPr>
                      <w:sz w:val="21"/>
                    </w:rPr>
                    <w:t>；每发现一次不满足要求的扣5分；</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77"/>
                  <w:tcBorders>
                    <w:top w:val="none" w:color="000000" w:sz="4"/>
                    <w:left w:val="single" w:color="000000" w:sz="4"/>
                    <w:bottom w:val="single" w:color="000000" w:sz="4"/>
                    <w:right w:val="single" w:color="000000" w:sz="4"/>
                  </w:tcBorders>
                </w:tcPr>
                <w:p>
                  <w:pPr>
                    <w:jc w:val="center"/>
                  </w:pPr>
                  <w:r>
                    <w:rPr>
                      <w:sz w:val="21"/>
                    </w:rPr>
                    <w:t>4</w:t>
                  </w:r>
                </w:p>
              </w:tc>
              <w:tc>
                <w:tcPr>
                  <w:tcW w:type="dxa" w:w="3654"/>
                  <w:tcBorders>
                    <w:top w:val="none" w:color="000000" w:sz="4"/>
                    <w:left w:val="none" w:color="000000" w:sz="4"/>
                    <w:bottom w:val="single" w:color="000000" w:sz="4"/>
                    <w:right w:val="single" w:color="000000" w:sz="4"/>
                  </w:tcBorders>
                </w:tcPr>
                <w:p>
                  <w:pPr>
                    <w:jc w:val="left"/>
                  </w:pPr>
                  <w:r>
                    <w:rPr>
                      <w:sz w:val="21"/>
                    </w:rPr>
                    <w:t>每种放射性药品含内外标签，并清楚标明：内外标签一致的编号、药物名称、剂量、校准的时间、有效期限、批号、生产单位</w:t>
                  </w:r>
                  <w:r>
                    <w:rPr>
                      <w:sz w:val="21"/>
                    </w:rPr>
                    <w:t>；每发现一次不满足要求的扣5分；</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77"/>
                  <w:tcBorders>
                    <w:top w:val="none" w:color="000000" w:sz="4"/>
                    <w:left w:val="single" w:color="000000" w:sz="4"/>
                    <w:bottom w:val="single" w:color="000000" w:sz="4"/>
                    <w:right w:val="single" w:color="000000" w:sz="4"/>
                  </w:tcBorders>
                </w:tcPr>
                <w:p>
                  <w:pPr>
                    <w:jc w:val="center"/>
                  </w:pPr>
                  <w:r>
                    <w:rPr>
                      <w:sz w:val="21"/>
                    </w:rPr>
                    <w:t>5</w:t>
                  </w:r>
                </w:p>
              </w:tc>
              <w:tc>
                <w:tcPr>
                  <w:tcW w:type="dxa" w:w="3654"/>
                  <w:tcBorders>
                    <w:top w:val="none" w:color="000000" w:sz="4"/>
                    <w:left w:val="none" w:color="000000" w:sz="4"/>
                    <w:bottom w:val="single" w:color="000000" w:sz="4"/>
                    <w:right w:val="single" w:color="000000" w:sz="4"/>
                  </w:tcBorders>
                </w:tcPr>
                <w:p>
                  <w:pPr>
                    <w:jc w:val="left"/>
                  </w:pPr>
                  <w:r>
                    <w:rPr>
                      <w:sz w:val="21"/>
                    </w:rPr>
                    <w:t>采购人所收到的药品</w:t>
                  </w:r>
                  <w:r>
                    <w:rPr>
                      <w:sz w:val="21"/>
                    </w:rPr>
                    <w:t>名、规格、放射性活度、外观质量、货物包装完好；每发现一次不满足要求的扣5分；</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77"/>
                  <w:tcBorders>
                    <w:top w:val="none" w:color="000000" w:sz="4"/>
                    <w:left w:val="single" w:color="000000" w:sz="4"/>
                    <w:bottom w:val="single" w:color="000000" w:sz="4"/>
                    <w:right w:val="single" w:color="000000" w:sz="4"/>
                  </w:tcBorders>
                </w:tcPr>
                <w:p>
                  <w:pPr>
                    <w:jc w:val="center"/>
                  </w:pPr>
                  <w:r>
                    <w:rPr>
                      <w:sz w:val="21"/>
                    </w:rPr>
                    <w:t>6</w:t>
                  </w:r>
                </w:p>
              </w:tc>
              <w:tc>
                <w:tcPr>
                  <w:tcW w:type="dxa" w:w="3654"/>
                  <w:tcBorders>
                    <w:top w:val="none" w:color="000000" w:sz="4"/>
                    <w:left w:val="none" w:color="000000" w:sz="4"/>
                    <w:bottom w:val="single" w:color="000000" w:sz="4"/>
                    <w:right w:val="single" w:color="000000" w:sz="4"/>
                  </w:tcBorders>
                </w:tcPr>
                <w:p>
                  <w:pPr>
                    <w:jc w:val="left"/>
                  </w:pPr>
                  <w:r>
                    <w:rPr>
                      <w:sz w:val="21"/>
                    </w:rPr>
                    <w:t>工作内容或辅助工作落实不到位，造成负面影响，经查实，每发生一次扣5分，造成社会影响的，加倍扣分并依法追究当事人负责。</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77"/>
                  <w:tcBorders>
                    <w:top w:val="none" w:color="000000" w:sz="4"/>
                    <w:left w:val="single" w:color="000000" w:sz="4"/>
                    <w:bottom w:val="single" w:color="000000" w:sz="4"/>
                    <w:right w:val="single" w:color="000000" w:sz="4"/>
                  </w:tcBorders>
                </w:tcPr>
                <w:p>
                  <w:pPr>
                    <w:jc w:val="center"/>
                  </w:pPr>
                  <w:r>
                    <w:rPr>
                      <w:sz w:val="21"/>
                    </w:rPr>
                    <w:t>7</w:t>
                  </w:r>
                </w:p>
              </w:tc>
              <w:tc>
                <w:tcPr>
                  <w:tcW w:type="dxa" w:w="3654"/>
                  <w:tcBorders>
                    <w:top w:val="none" w:color="000000" w:sz="4"/>
                    <w:left w:val="none" w:color="000000" w:sz="4"/>
                    <w:bottom w:val="single" w:color="000000" w:sz="4"/>
                    <w:right w:val="single" w:color="000000" w:sz="4"/>
                  </w:tcBorders>
                </w:tcPr>
                <w:p>
                  <w:pPr>
                    <w:jc w:val="left"/>
                  </w:pPr>
                  <w:r>
                    <w:rPr>
                      <w:sz w:val="21"/>
                    </w:rPr>
                    <w:t>放射性药品不能按时限供应的</w:t>
                  </w:r>
                  <w:r>
                    <w:rPr>
                      <w:sz w:val="21"/>
                    </w:rPr>
                    <w:t>；每发现一次不满足要求的扣5分；</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131"/>
                  <w:gridSpan w:val="2"/>
                  <w:tcBorders>
                    <w:top w:val="none" w:color="000000" w:sz="4"/>
                    <w:left w:val="single" w:color="000000" w:sz="4"/>
                    <w:bottom w:val="single" w:color="000000" w:sz="4"/>
                    <w:right w:val="single" w:color="000000" w:sz="4"/>
                  </w:tcBorders>
                </w:tcPr>
                <w:p>
                  <w:pPr>
                    <w:jc w:val="center"/>
                  </w:pPr>
                  <w:r>
                    <w:rPr>
                      <w:b/>
                      <w:sz w:val="21"/>
                    </w:rPr>
                    <w:t>考核</w:t>
                  </w:r>
                  <w:r>
                    <w:rPr>
                      <w:b/>
                      <w:sz w:val="21"/>
                    </w:rPr>
                    <w:t>合计总分</w:t>
                  </w:r>
                </w:p>
              </w:tc>
              <w:tc>
                <w:tcPr>
                  <w:tcW w:type="dxa" w:w="1059"/>
                  <w:tcBorders>
                    <w:top w:val="none" w:color="000000" w:sz="4"/>
                    <w:left w:val="none" w:color="000000" w:sz="4"/>
                    <w:bottom w:val="single" w:color="000000" w:sz="4"/>
                    <w:right w:val="single" w:color="000000" w:sz="4"/>
                  </w:tcBorders>
                </w:tcPr>
                <w:p>
                  <w:pPr>
                    <w:jc w:val="center"/>
                  </w:pPr>
                </w:p>
              </w:tc>
            </w:tr>
          </w:tbl>
          <w:p>
            <w:pPr>
              <w:ind w:firstLine="420"/>
              <w:jc w:val="both"/>
            </w:pPr>
            <w:r>
              <w:rPr>
                <w:sz w:val="21"/>
              </w:rPr>
              <w:t>（二）考评结果：</w:t>
            </w:r>
          </w:p>
          <w:p>
            <w:pPr>
              <w:ind w:firstLine="420"/>
              <w:jc w:val="both"/>
            </w:pPr>
            <w:r>
              <w:rPr>
                <w:sz w:val="21"/>
              </w:rPr>
              <w:t>1.</w:t>
            </w:r>
            <w:r>
              <w:rPr>
                <w:sz w:val="21"/>
              </w:rPr>
              <w:t>由采购人组织实施项目服务质量考评，考评结果纳入供应商绩效管理。</w:t>
            </w:r>
          </w:p>
          <w:p>
            <w:pPr>
              <w:ind w:firstLine="420"/>
              <w:jc w:val="left"/>
            </w:pPr>
            <w:r>
              <w:rPr>
                <w:sz w:val="21"/>
              </w:rPr>
              <w:t>2.</w:t>
            </w:r>
            <w:r>
              <w:rPr>
                <w:sz w:val="21"/>
              </w:rPr>
              <w:t>每年度考核不合格的（低于80分），</w:t>
            </w:r>
            <w:r>
              <w:rPr>
                <w:sz w:val="21"/>
              </w:rPr>
              <w:t>中标供应商应在采购人规定时间内及时整改完善直至合格，整改后仍不合格的，采购人有权单方解除合同。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采购包2（放射性药品2）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供货期：自合同执行之日起3年，合同一年一签，实际执行的结束时间以“实际结算费用累计达到采购预算”或“供货期3年期限”先到者供货结束。在供货期限内因国家政策或不可抗力的因素导致采购人不能执行所采购货物时，本项目合同终止，采购人及采购代理机构不承担任何责任</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1期：支付比例100%,1、如中标供应商为中小微企业或监狱企业或残疾人福利性单位，则按以下方式付款： （1）每月按实结算，中标供应商在每个月10日前开具上个月据实结算价款的国家正式发票给采购人。 （2）实际结算费用=∑[实际采购量×（货物的单价最高限价×中标折扣率）]。 （3）采购人收到正式发票及付款申请后15日内支付上个月结算价款，若中标供应商迟延履行提供发票义务，采购人也可顺延履行支付义务。 （4）支付方式：采用支票、银行汇付（含电汇）等形式。 2、如中标供应商非中小微企业或监狱企业或残疾人福利性单位，则按以下方式付款： （1）每月按实结算，中标供应商在每个月10日前开具上个月据实结算价款的国家正式发票给采购人。 （2）实际结算费用=∑[实际采购量×（货物的单价最高限价×中标折扣率）]。 （3）采购人收到正式发票及付款申请后30日内支付上个月结算价款， 若中标供应商迟延履行提供发票义务，采购人也可顺延履行支付义务。 （4）支付方式：采用支票、银行汇付（含电汇）等形式。</w:t>
            </w:r>
          </w:p>
        </w:tc>
      </w:tr>
      <w:tr>
        <w:tc>
          <w:tcPr>
            <w:tcW w:type="dxa" w:w="4153"/>
          </w:tcPr>
          <w:p>
            <w:r>
              <w:rPr/>
              <w:t>验收要求</w:t>
            </w:r>
          </w:p>
        </w:tc>
        <w:tc>
          <w:tcPr>
            <w:tcW w:type="dxa" w:w="4153"/>
          </w:tcPr>
          <w:p/>
          <w:p/>
          <w:p/>
          <w:p>
            <w:r>
              <w:rPr/>
              <w:t>1期：1、采购人收到中标供应商送达的货物后及时对放射性药品进行验收，验收项目包括：品名、规格、放射性活度、外观质量、货物包装是否完好；中标供应商保证送货文件的真实、完整。采购人验收合格后视为确认收货。 2、中标供应商应当保证按约定时间、地点将货物送至交货地点。无正当理由不得延迟交货。若中标供应商遇到突发情况或受不可抗因素影响不能按时送达时，中标供应商应与采购人及时沟通并采取相应措施将影响降到最少。 3、当出现不合格产品时，中标供应商要无条件更换合格产品。除采购人认可，否则不接受任何形式的降格处理。 4、批量进货无法逐一开箱验货时，待开箱时如发现中标供应商提供的货品与规格不符或者有质量问题的，采购人有权要求退换整批货品，采购人在临床使用过程中如发现货物质量问题，有权要求中标供应商退换该批次所有货物，如由此造成的一切损失(包括经济损失、消除影响等)均由中标供应商无条件承担。 5、验收期限：全部货物到货后7日内完成项目验收。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（一）包装与运输</w:t>
            </w:r>
          </w:p>
        </w:tc>
        <w:tc>
          <w:tcPr>
            <w:tcW w:type="dxa" w:w="2076"/>
          </w:tcPr>
          <w:p>
            <w:pPr>
              <w:jc w:val="left"/>
            </w:pPr>
            <w:r>
              <w:rPr/>
              <w:t>1、产品的包装均应有良好的防湿、防锈、防潮、防雨、防腐及防碰撞的措施。凡由于包装不良造成的损失和由此产生的费用均由中标供应商承担。 2、包装应有药物标签，标签要注明药品的具体名称、生产时间、剂量、放化纯度等主要质控参数。</w:t>
            </w:r>
          </w:p>
        </w:tc>
      </w:tr>
      <w:tr>
        <w:tc>
          <w:tcPr>
            <w:tcW w:type="dxa" w:w="2076"/>
          </w:tcPr>
          <w:p>
            <w:pPr>
              <w:jc w:val="center"/>
            </w:pPr>
          </w:p>
        </w:tc>
        <w:tc>
          <w:tcPr>
            <w:tcW w:type="dxa" w:w="2076"/>
          </w:tcPr>
          <w:p>
            <w:pPr>
              <w:jc w:val="center"/>
            </w:pPr>
            <w:r>
              <w:rPr/>
              <w:t>2</w:t>
            </w:r>
          </w:p>
        </w:tc>
        <w:tc>
          <w:tcPr>
            <w:tcW w:type="dxa" w:w="2076"/>
          </w:tcPr>
          <w:p>
            <w:pPr>
              <w:jc w:val="left"/>
            </w:pPr>
            <w:r>
              <w:rPr/>
              <w:t>（二）质量保证期（有效期）</w:t>
            </w:r>
          </w:p>
        </w:tc>
        <w:tc>
          <w:tcPr>
            <w:tcW w:type="dxa" w:w="2076"/>
          </w:tcPr>
          <w:p>
            <w:pPr>
              <w:jc w:val="left"/>
            </w:pPr>
            <w:r>
              <w:rPr/>
              <w:t>1、中标供应商提供的货物必须符合中华人民共和国“国家安全环保标准”。 2、中标供应商提供的产品必须能提供产品质量证明，保证为原厂全新正品，包装完好，保存得当，其技术规格、标准必须符合放射性药品质量控制标准。 3、产品为原厂商未启封全新包装，具出厂合格证，序列号、包装箱号与出厂批号一致，并可追溯查阅。 4、如果发现货物的质量和规格与合同规定不符，或货物在质量保证期内被证明有缺陷，包括内在缺陷或使用不适当原材料，采购人将有权要求有关部门进行检验，并依据检验证书向中标供应商索赔，中标供应商负责退货工作。 5、保证所供应放射性药品的放化纯度大于95%，符合放射性药品的质量控制标准。 6、质量保证期（有效期）内非因采购人的人为原因而出现产品质量问题，由中标供应商全部负责包换或包退，并承担因此而产生的一切费用。 7、因质量问题而发生争议，由广东省或广州市质检部门进行质量鉴定。符合质量标准的，鉴定费用由采购人承担；不符合质量标准的，鉴定费用由中标供应商承担。</w:t>
            </w:r>
          </w:p>
        </w:tc>
      </w:tr>
      <w:tr>
        <w:tc>
          <w:tcPr>
            <w:tcW w:type="dxa" w:w="2076"/>
          </w:tcPr>
          <w:p>
            <w:pPr>
              <w:jc w:val="center"/>
            </w:pPr>
          </w:p>
        </w:tc>
        <w:tc>
          <w:tcPr>
            <w:tcW w:type="dxa" w:w="2076"/>
          </w:tcPr>
          <w:p>
            <w:pPr>
              <w:jc w:val="center"/>
            </w:pPr>
            <w:r>
              <w:rPr/>
              <w:t>3</w:t>
            </w:r>
          </w:p>
        </w:tc>
        <w:tc>
          <w:tcPr>
            <w:tcW w:type="dxa" w:w="2076"/>
          </w:tcPr>
          <w:p>
            <w:pPr>
              <w:jc w:val="left"/>
            </w:pPr>
            <w:r>
              <w:rPr/>
              <w:t>（三）售后服务</w:t>
            </w:r>
          </w:p>
        </w:tc>
        <w:tc>
          <w:tcPr>
            <w:tcW w:type="dxa" w:w="2076"/>
          </w:tcPr>
          <w:p>
            <w:pPr>
              <w:jc w:val="left"/>
            </w:pPr>
            <w:r>
              <w:rPr/>
              <w:t>1、中标供应商有义务在采购人指定地点为所供放射性药品的临床应用进行现场讲解或培训，已包含在投标报价中。 2、如果中标供应商对可能发生的伴随服务需要收取费用，应予以注明，否则均应视为已包含在投标报价中。 3、采购人发现非人为因素损坏或缺陷，中标供应商应接受无条件退、换货，由此产生的费用均由中标供应商承担。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放射性同位素药</w:t>
            </w:r>
          </w:p>
        </w:tc>
        <w:tc>
          <w:tcPr>
            <w:tcW w:type="dxa" w:w="748"/>
          </w:tcPr>
          <w:p>
            <w:pPr>
              <w:jc w:val="left"/>
            </w:pPr>
            <w:r>
              <w:rPr/>
              <w:t>放射性药品2</w:t>
            </w:r>
          </w:p>
        </w:tc>
        <w:tc>
          <w:tcPr>
            <w:tcW w:type="dxa" w:w="748"/>
          </w:tcPr>
          <w:p>
            <w:pPr>
              <w:jc w:val="left"/>
            </w:pPr>
            <w:r>
              <w:rPr/>
              <w:t>项</w:t>
            </w:r>
          </w:p>
        </w:tc>
        <w:tc>
          <w:tcPr>
            <w:tcW w:type="dxa" w:w="748"/>
          </w:tcPr>
          <w:p>
            <w:pPr>
              <w:jc w:val="right"/>
            </w:pPr>
            <w:r>
              <w:rPr/>
              <w:t>1.00</w:t>
            </w:r>
          </w:p>
        </w:tc>
        <w:tc>
          <w:tcPr>
            <w:tcW w:type="dxa" w:w="748"/>
          </w:tcPr>
          <w:p>
            <w:pPr>
              <w:jc w:val="right"/>
            </w:pPr>
            <w:r>
              <w:rPr/>
              <w:t>13,050,000.00</w:t>
            </w:r>
          </w:p>
        </w:tc>
        <w:tc>
          <w:tcPr>
            <w:tcW w:type="dxa" w:w="748"/>
          </w:tcPr>
          <w:p>
            <w:pPr>
              <w:jc w:val="right"/>
            </w:pPr>
            <w:r>
              <w:rPr/>
              <w:t>13,050,000.00</w:t>
            </w:r>
          </w:p>
        </w:tc>
        <w:tc>
          <w:tcPr>
            <w:tcW w:type="dxa" w:w="748"/>
          </w:tcPr>
          <w:p>
            <w:r>
              <w:rPr/>
              <w:t>100.0</w:t>
            </w:r>
          </w:p>
        </w:tc>
        <w:tc>
          <w:tcPr>
            <w:tcW w:type="dxa" w:w="823"/>
          </w:tcPr>
          <w:p>
            <w:r>
              <w:rPr/>
              <w:t>批发业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放射性药品2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一、采购清单</w:t>
            </w:r>
          </w:p>
          <w:tbl>
            <w:tblPr>
              <w:tblBorders>
                <w:top w:val="none" w:color="000000" w:sz="4"/>
                <w:left w:val="none" w:color="000000" w:sz="4"/>
                <w:bottom w:val="none" w:color="000000" w:sz="4"/>
                <w:right w:val="none" w:color="000000" w:sz="4"/>
                <w:insideH w:val="none"/>
                <w:insideV w:val="none"/>
              </w:tblBorders>
            </w:tblPr>
            <w:tblGrid>
              <w:gridCol w:w="343"/>
              <w:gridCol w:w="343"/>
              <w:gridCol w:w="2114"/>
              <w:gridCol w:w="1428"/>
              <w:gridCol w:w="685"/>
              <w:gridCol w:w="685"/>
            </w:tblGrid>
            <w:tr>
              <w:tc>
                <w:tcPr>
                  <w:tcW w:type="dxa" w:w="343"/>
                  <w:tcBorders>
                    <w:top w:val="single" w:color="000000" w:sz="4"/>
                    <w:left w:val="single" w:color="000000" w:sz="4"/>
                    <w:bottom w:val="single" w:color="000000" w:sz="4"/>
                    <w:right w:val="single" w:color="000000" w:sz="4"/>
                  </w:tcBorders>
                </w:tcPr>
                <w:p>
                  <w:pPr>
                    <w:jc w:val="center"/>
                  </w:pPr>
                  <w:r>
                    <w:rPr>
                      <w:sz w:val="21"/>
                    </w:rPr>
                    <w:t>采购包</w:t>
                  </w:r>
                </w:p>
              </w:tc>
              <w:tc>
                <w:tcPr>
                  <w:tcW w:type="dxa" w:w="343"/>
                  <w:tcBorders>
                    <w:top w:val="single" w:color="000000" w:sz="4"/>
                    <w:left w:val="none" w:color="000000" w:sz="4"/>
                    <w:bottom w:val="single" w:color="000000" w:sz="4"/>
                    <w:right w:val="single" w:color="000000" w:sz="4"/>
                  </w:tcBorders>
                </w:tcPr>
                <w:p>
                  <w:pPr>
                    <w:jc w:val="center"/>
                  </w:pPr>
                  <w:r>
                    <w:rPr>
                      <w:sz w:val="21"/>
                    </w:rPr>
                    <w:t>序号</w:t>
                  </w:r>
                </w:p>
              </w:tc>
              <w:tc>
                <w:tcPr>
                  <w:tcW w:type="dxa" w:w="2114"/>
                  <w:tcBorders>
                    <w:top w:val="single" w:color="000000" w:sz="4"/>
                    <w:left w:val="none" w:color="000000" w:sz="4"/>
                    <w:bottom w:val="single" w:color="000000" w:sz="4"/>
                    <w:right w:val="single" w:color="000000" w:sz="4"/>
                  </w:tcBorders>
                </w:tcPr>
                <w:p>
                  <w:pPr>
                    <w:jc w:val="center"/>
                  </w:pPr>
                  <w:r>
                    <w:rPr>
                      <w:sz w:val="21"/>
                    </w:rPr>
                    <w:t>放射性药品名称</w:t>
                  </w:r>
                </w:p>
              </w:tc>
              <w:tc>
                <w:tcPr>
                  <w:tcW w:type="dxa" w:w="1428"/>
                  <w:tcBorders>
                    <w:top w:val="single" w:color="000000" w:sz="4"/>
                    <w:left w:val="none" w:color="000000" w:sz="4"/>
                    <w:bottom w:val="single" w:color="000000" w:sz="4"/>
                    <w:right w:val="single" w:color="000000" w:sz="4"/>
                  </w:tcBorders>
                </w:tcPr>
                <w:p>
                  <w:pPr>
                    <w:jc w:val="center"/>
                  </w:pPr>
                  <w:r>
                    <w:rPr>
                      <w:sz w:val="21"/>
                    </w:rPr>
                    <w:t>规格</w:t>
                  </w:r>
                </w:p>
              </w:tc>
              <w:tc>
                <w:tcPr>
                  <w:tcW w:type="dxa" w:w="685"/>
                  <w:tcBorders>
                    <w:top w:val="single" w:color="000000" w:sz="4"/>
                    <w:left w:val="none" w:color="000000" w:sz="4"/>
                    <w:bottom w:val="single" w:color="000000" w:sz="4"/>
                    <w:right w:val="single" w:color="000000" w:sz="4"/>
                  </w:tcBorders>
                </w:tcPr>
                <w:p>
                  <w:pPr>
                    <w:jc w:val="center"/>
                  </w:pPr>
                  <w:r>
                    <w:rPr>
                      <w:sz w:val="21"/>
                    </w:rPr>
                    <w:t>单价最高限价（元）</w:t>
                  </w:r>
                </w:p>
              </w:tc>
              <w:tc>
                <w:tcPr>
                  <w:tcW w:type="dxa" w:w="685"/>
                  <w:tcBorders>
                    <w:top w:val="single" w:color="000000" w:sz="4"/>
                    <w:left w:val="none" w:color="000000" w:sz="4"/>
                    <w:bottom w:val="single" w:color="000000" w:sz="4"/>
                    <w:right w:val="single" w:color="000000" w:sz="4"/>
                  </w:tcBorders>
                </w:tcPr>
                <w:p>
                  <w:pPr>
                    <w:jc w:val="center"/>
                  </w:pPr>
                  <w:r>
                    <w:rPr>
                      <w:sz w:val="21"/>
                    </w:rPr>
                    <w:t>预计3年使用量（支）</w:t>
                  </w:r>
                </w:p>
              </w:tc>
            </w:tr>
            <w:tr>
              <w:tc>
                <w:tcPr>
                  <w:tcW w:type="dxa" w:w="343"/>
                  <w:tcBorders>
                    <w:top w:val="none" w:color="000000" w:sz="4"/>
                    <w:left w:val="single" w:color="000000" w:sz="4"/>
                    <w:bottom w:val="single" w:color="000000" w:sz="4"/>
                    <w:right w:val="single" w:color="000000" w:sz="4"/>
                  </w:tcBorders>
                </w:tcPr>
                <w:p>
                  <w:pPr>
                    <w:jc w:val="center"/>
                  </w:pPr>
                  <w:r>
                    <w:rPr>
                      <w:sz w:val="21"/>
                    </w:rPr>
                    <w:t>2</w:t>
                  </w:r>
                </w:p>
              </w:tc>
              <w:tc>
                <w:tcPr>
                  <w:tcW w:type="dxa" w:w="343"/>
                  <w:tcBorders>
                    <w:top w:val="none" w:color="000000" w:sz="4"/>
                    <w:left w:val="none" w:color="000000" w:sz="4"/>
                    <w:bottom w:val="single" w:color="000000" w:sz="4"/>
                    <w:right w:val="single" w:color="000000" w:sz="4"/>
                  </w:tcBorders>
                </w:tcPr>
                <w:p>
                  <w:pPr>
                    <w:jc w:val="center"/>
                  </w:pPr>
                  <w:r>
                    <w:rPr>
                      <w:sz w:val="21"/>
                    </w:rPr>
                    <w:t>1</w:t>
                  </w:r>
                </w:p>
              </w:tc>
              <w:tc>
                <w:tcPr>
                  <w:tcW w:type="dxa" w:w="2114"/>
                  <w:tcBorders>
                    <w:top w:val="none" w:color="000000" w:sz="4"/>
                    <w:left w:val="none" w:color="000000" w:sz="4"/>
                    <w:bottom w:val="single" w:color="000000" w:sz="4"/>
                    <w:right w:val="single" w:color="000000" w:sz="4"/>
                  </w:tcBorders>
                </w:tcPr>
                <w:p>
                  <w:pPr>
                    <w:jc w:val="center"/>
                  </w:pPr>
                  <w:r>
                    <w:rPr>
                      <w:sz w:val="21"/>
                    </w:rPr>
                    <w:t>氟</w:t>
                  </w:r>
                  <w:r>
                    <w:rPr>
                      <w:sz w:val="21"/>
                    </w:rPr>
                    <w:t>[</w:t>
                  </w:r>
                  <w:r>
                    <w:rPr>
                      <w:sz w:val="21"/>
                      <w:vertAlign w:val="superscript"/>
                    </w:rPr>
                    <w:t>18</w:t>
                  </w:r>
                  <w:r>
                    <w:rPr>
                      <w:sz w:val="21"/>
                    </w:rPr>
                    <w:t>F]</w:t>
                  </w:r>
                  <w:r>
                    <w:rPr>
                      <w:sz w:val="21"/>
                    </w:rPr>
                    <w:t>脱氧葡萄糖注射液</w:t>
                  </w:r>
                </w:p>
              </w:tc>
              <w:tc>
                <w:tcPr>
                  <w:tcW w:type="dxa" w:w="1428"/>
                  <w:tcBorders>
                    <w:top w:val="none" w:color="000000" w:sz="4"/>
                    <w:left w:val="none" w:color="000000" w:sz="4"/>
                    <w:bottom w:val="single" w:color="000000" w:sz="4"/>
                    <w:right w:val="single" w:color="000000" w:sz="4"/>
                  </w:tcBorders>
                </w:tcPr>
                <w:p>
                  <w:pPr>
                    <w:jc w:val="center"/>
                  </w:pPr>
                  <w:r>
                    <w:rPr>
                      <w:sz w:val="21"/>
                    </w:rPr>
                    <w:t>10</w:t>
                  </w:r>
                  <w:r>
                    <w:rPr>
                      <w:sz w:val="21"/>
                    </w:rPr>
                    <w:t>mCi</w:t>
                  </w:r>
                  <w:r>
                    <w:rPr>
                      <w:sz w:val="21"/>
                    </w:rPr>
                    <w:t>*1</w:t>
                  </w:r>
                  <w:r>
                    <w:rPr>
                      <w:sz w:val="21"/>
                    </w:rPr>
                    <w:t>支/支</w:t>
                  </w:r>
                </w:p>
              </w:tc>
              <w:tc>
                <w:tcPr>
                  <w:tcW w:type="dxa" w:w="685"/>
                  <w:tcBorders>
                    <w:top w:val="none" w:color="000000" w:sz="4"/>
                    <w:left w:val="none" w:color="000000" w:sz="4"/>
                    <w:bottom w:val="single" w:color="000000" w:sz="4"/>
                    <w:right w:val="single" w:color="000000" w:sz="4"/>
                  </w:tcBorders>
                </w:tcPr>
                <w:p>
                  <w:pPr>
                    <w:jc w:val="center"/>
                  </w:pPr>
                  <w:r>
                    <w:rPr>
                      <w:sz w:val="21"/>
                    </w:rPr>
                    <w:t>1450</w:t>
                  </w:r>
                </w:p>
              </w:tc>
              <w:tc>
                <w:tcPr>
                  <w:tcW w:type="dxa" w:w="685"/>
                  <w:tcBorders>
                    <w:top w:val="none" w:color="000000" w:sz="4"/>
                    <w:left w:val="none" w:color="000000" w:sz="4"/>
                    <w:bottom w:val="single" w:color="000000" w:sz="4"/>
                    <w:right w:val="single" w:color="000000" w:sz="4"/>
                  </w:tcBorders>
                </w:tcPr>
                <w:p>
                  <w:pPr>
                    <w:jc w:val="center"/>
                  </w:pPr>
                  <w:r>
                    <w:rPr>
                      <w:sz w:val="21"/>
                    </w:rPr>
                    <w:t>9000</w:t>
                  </w:r>
                </w:p>
              </w:tc>
            </w:tr>
          </w:tbl>
          <w:p>
            <w:pPr>
              <w:ind w:firstLine="420"/>
              <w:jc w:val="both"/>
            </w:pPr>
            <w:r>
              <w:rPr>
                <w:sz w:val="21"/>
              </w:rPr>
              <w:t>注：本项目的投标报价以折扣率的形式报出，所有货物适用于同一个折扣率。</w:t>
            </w:r>
            <w:r>
              <w:rPr>
                <w:sz w:val="21"/>
              </w:rPr>
              <w:t>投标人对所投包组内的全部内容进行报价和供货，否则将按无效投标处理。</w:t>
            </w:r>
          </w:p>
          <w:p>
            <w:pPr>
              <w:jc w:val="both"/>
            </w:pPr>
            <w:r>
              <w:rPr>
                <w:b/>
                <w:sz w:val="21"/>
              </w:rPr>
              <w:t>二、服务要求</w:t>
            </w:r>
          </w:p>
          <w:p>
            <w:pPr>
              <w:ind w:firstLine="420"/>
              <w:jc w:val="both"/>
            </w:pPr>
            <w:r>
              <w:rPr>
                <w:sz w:val="21"/>
              </w:rPr>
              <w:t>★1. 用于药品运输的车辆及设备必须满足《放射性物品道路运输管理规定》中的相关规定；投标人或者投标人所分包的药品运输单位具有有效的《放射性物品道路运输许可证》</w:t>
            </w:r>
            <w:r>
              <w:rPr>
                <w:sz w:val="21"/>
              </w:rPr>
              <w:t>，本采购包仅允许分包</w:t>
            </w:r>
            <w:r>
              <w:rPr>
                <w:sz w:val="21"/>
              </w:rPr>
              <w:t>药品运输环节。（提供有效的证书复印件，若分包的还需提供分包意向协议书）</w:t>
            </w:r>
          </w:p>
          <w:p>
            <w:pPr>
              <w:ind w:firstLine="420"/>
              <w:jc w:val="both"/>
            </w:pPr>
            <w:r>
              <w:rPr>
                <w:sz w:val="21"/>
              </w:rPr>
              <w:t>★2.投标人所提供的放射性药品具有有效的《药品注册证》或《药品再注册批件》。（提供相关证明）</w:t>
            </w:r>
          </w:p>
          <w:p>
            <w:pPr>
              <w:ind w:firstLine="420"/>
              <w:jc w:val="both"/>
            </w:pPr>
            <w:r>
              <w:rPr>
                <w:sz w:val="21"/>
              </w:rPr>
              <w:t>3.</w:t>
            </w:r>
            <w:r>
              <w:rPr>
                <w:sz w:val="21"/>
              </w:rPr>
              <w:t>供货要求：分批次供货，在采购人下单后1小时内送达采购人指定地点。中标供应商需具备在特殊紧急情况下，在采购人下单后35分钟内送达采购人指定地点。</w:t>
            </w:r>
          </w:p>
          <w:p>
            <w:pPr>
              <w:ind w:firstLine="420"/>
              <w:jc w:val="both"/>
            </w:pPr>
            <w:r>
              <w:rPr>
                <w:sz w:val="21"/>
              </w:rPr>
              <w:t>4.</w:t>
            </w:r>
            <w:r>
              <w:rPr>
                <w:sz w:val="21"/>
              </w:rPr>
              <w:t>供货期：：</w:t>
            </w:r>
            <w:r>
              <w:rPr>
                <w:sz w:val="21"/>
              </w:rPr>
              <w:t>自合同执行之日起3年，合同一年一签，实际执行的结束时间以“实际结算费用累计达到采购预算”或“供货期3年期限”先到者供货结束。在供货期限内因国家政策或不可抗力的因素导致采购人不能执行所采购货物时，本项目合同终止，采购人及采购代理机构不承担任何责任。</w:t>
            </w:r>
          </w:p>
          <w:p>
            <w:pPr>
              <w:ind w:firstLine="420"/>
              <w:jc w:val="both"/>
            </w:pPr>
            <w:r>
              <w:rPr>
                <w:sz w:val="21"/>
              </w:rPr>
              <w:t>5.</w:t>
            </w:r>
            <w:r>
              <w:rPr>
                <w:sz w:val="21"/>
              </w:rPr>
              <w:t>中标供应商所提供的货物必须是所代表品牌厂商出品的、全新的、包装完好的、符合国家有关质量、安全、环保标准的原装产品。</w:t>
            </w:r>
          </w:p>
          <w:p>
            <w:pPr>
              <w:ind w:firstLine="420"/>
              <w:jc w:val="both"/>
            </w:pPr>
            <w:r>
              <w:rPr>
                <w:sz w:val="21"/>
              </w:rPr>
              <w:t>6.</w:t>
            </w:r>
            <w:r>
              <w:rPr>
                <w:sz w:val="21"/>
              </w:rPr>
              <w:t>每种放射性药品含内外标签，并清楚标明：内外标签一致的编号、药物名称、剂量、校准的时间、有效期限、批号、生产单位。</w:t>
            </w:r>
          </w:p>
          <w:p>
            <w:pPr>
              <w:ind w:firstLine="420"/>
              <w:jc w:val="both"/>
            </w:pPr>
            <w:r>
              <w:rPr>
                <w:sz w:val="21"/>
              </w:rPr>
              <w:t>★7.投标人所投产品内外包装均须符合国家规定的放射性药品运输要求。（投标人需提供承诺函）</w:t>
            </w:r>
          </w:p>
          <w:p>
            <w:pPr>
              <w:ind w:firstLine="420"/>
              <w:jc w:val="both"/>
            </w:pPr>
            <w:r>
              <w:rPr>
                <w:sz w:val="21"/>
              </w:rPr>
              <w:t>8.供货时还需提供产品合格证明或检验报告书，以及产品使用说明书。</w:t>
            </w:r>
          </w:p>
          <w:p>
            <w:pPr>
              <w:ind w:firstLine="420"/>
              <w:jc w:val="both"/>
            </w:pPr>
            <w:r>
              <w:rPr>
                <w:sz w:val="21"/>
              </w:rPr>
              <w:t>9.中标供应商安排专门的、有资质的专业技术人员进行现场分装，以保证检查用药剂量的个体化和准确性，该人员遵守医院科室的各种规章制度。</w:t>
            </w:r>
          </w:p>
          <w:p>
            <w:pPr>
              <w:ind w:firstLine="420"/>
              <w:jc w:val="both"/>
            </w:pPr>
            <w:r>
              <w:rPr>
                <w:sz w:val="21"/>
              </w:rPr>
              <w:t>10</w:t>
            </w:r>
            <w:r>
              <w:rPr>
                <w:sz w:val="21"/>
              </w:rPr>
              <w:t>．为助力采购人临床科研发展，中标供应商为采购人临床科研实验提供常规的新型化合物标记技术服务。（其费用已包含在投标报价中）</w:t>
            </w:r>
          </w:p>
          <w:p>
            <w:pPr>
              <w:ind w:firstLine="420"/>
              <w:jc w:val="both"/>
            </w:pPr>
            <w:r>
              <w:rPr>
                <w:sz w:val="21"/>
              </w:rPr>
              <w:t>11.</w:t>
            </w:r>
            <w:r>
              <w:rPr>
                <w:sz w:val="21"/>
              </w:rPr>
              <w:t>药物有异常的情况（包括但不限于剂量不符、目测药物异常、溢岀/外漏、QC不达标、辐射感染、包装破损、过期等），中标供应商需进行回收，并重新提供相应种类、数量的合格药品。</w:t>
            </w:r>
          </w:p>
          <w:p>
            <w:pPr>
              <w:ind w:firstLine="420"/>
              <w:jc w:val="both"/>
            </w:pPr>
            <w:r>
              <w:rPr>
                <w:sz w:val="21"/>
              </w:rPr>
              <w:t>12.</w:t>
            </w:r>
            <w:r>
              <w:rPr>
                <w:sz w:val="21"/>
              </w:rPr>
              <w:t>服务期内，如果出现中标供应商无法供货的情形，采购人有权另行采购所需的药品，其费用由中标供应商进行支付。如中标供应商</w:t>
            </w:r>
            <w:r>
              <w:rPr>
                <w:sz w:val="21"/>
              </w:rPr>
              <w:t>服务期内累计</w:t>
            </w:r>
            <w:r>
              <w:rPr>
                <w:sz w:val="21"/>
              </w:rPr>
              <w:t>3</w:t>
            </w:r>
            <w:r>
              <w:rPr>
                <w:sz w:val="21"/>
              </w:rPr>
              <w:t>次</w:t>
            </w:r>
            <w:r>
              <w:rPr>
                <w:sz w:val="21"/>
              </w:rPr>
              <w:t>或长期无法供货，影响科室用药的，采购人有权终止合同；情节严重的，采购人有权追究其相关法律责任，并要求赔偿。</w:t>
            </w:r>
          </w:p>
          <w:p>
            <w:pPr>
              <w:ind w:firstLine="422"/>
              <w:jc w:val="both"/>
            </w:pPr>
            <w:r>
              <w:rPr>
                <w:b/>
                <w:sz w:val="21"/>
              </w:rPr>
              <w:t>三、考核标准</w:t>
            </w:r>
          </w:p>
          <w:p>
            <w:pPr>
              <w:ind w:firstLine="420"/>
              <w:jc w:val="both"/>
            </w:pPr>
            <w:r>
              <w:rPr>
                <w:sz w:val="21"/>
              </w:rPr>
              <w:t>为保证服务质量，采购人每年对中标供应商提供的服务进行监督和检查考评，总分为100分。采购人在合同期内有权结合实际需求及相关法规规范的变更，更新、调整考核评价项目、内容及分值。</w:t>
            </w:r>
          </w:p>
          <w:p>
            <w:pPr>
              <w:ind w:firstLine="420"/>
              <w:jc w:val="both"/>
            </w:pPr>
            <w:r>
              <w:rPr>
                <w:sz w:val="21"/>
              </w:rPr>
              <w:t>（一）服务质量考核表：</w:t>
            </w:r>
          </w:p>
          <w:p>
            <w:pPr>
              <w:jc w:val="center"/>
            </w:pPr>
            <w:r>
              <w:rPr>
                <w:b/>
                <w:sz w:val="21"/>
              </w:rPr>
              <w:t>服务质量考核表</w:t>
            </w:r>
          </w:p>
          <w:p>
            <w:pPr>
              <w:ind w:firstLine="422"/>
              <w:jc w:val="left"/>
            </w:pPr>
            <w:r>
              <w:rPr>
                <w:b/>
                <w:sz w:val="21"/>
              </w:rPr>
              <w:t>注：每项考核内容累计扣分，最高扣至分项总分。</w:t>
            </w:r>
          </w:p>
          <w:tbl>
            <w:tblPr>
              <w:tblBorders>
                <w:top w:val="none" w:color="000000" w:sz="4"/>
                <w:left w:val="none" w:color="000000" w:sz="4"/>
                <w:bottom w:val="none" w:color="000000" w:sz="4"/>
                <w:right w:val="none" w:color="000000" w:sz="4"/>
                <w:insideH w:val="none"/>
                <w:insideV w:val="none"/>
              </w:tblBorders>
            </w:tblPr>
            <w:tblGrid>
              <w:gridCol w:w="477"/>
              <w:gridCol w:w="3654"/>
              <w:gridCol w:w="1059"/>
            </w:tblGrid>
            <w:tr>
              <w:tc>
                <w:tcPr>
                  <w:tcW w:type="dxa" w:w="477"/>
                  <w:tcBorders>
                    <w:top w:val="single" w:color="000000" w:sz="4"/>
                    <w:left w:val="single" w:color="000000" w:sz="4"/>
                    <w:bottom w:val="single" w:color="000000" w:sz="4"/>
                    <w:right w:val="single" w:color="000000" w:sz="4"/>
                  </w:tcBorders>
                </w:tcPr>
                <w:p>
                  <w:pPr>
                    <w:jc w:val="center"/>
                  </w:pPr>
                  <w:r>
                    <w:rPr>
                      <w:b/>
                      <w:sz w:val="21"/>
                    </w:rPr>
                    <w:t>序号</w:t>
                  </w:r>
                </w:p>
              </w:tc>
              <w:tc>
                <w:tcPr>
                  <w:tcW w:type="dxa" w:w="3654"/>
                  <w:tcBorders>
                    <w:top w:val="single" w:color="000000" w:sz="4"/>
                    <w:left w:val="none" w:color="000000" w:sz="4"/>
                    <w:bottom w:val="single" w:color="000000" w:sz="4"/>
                    <w:right w:val="single" w:color="000000" w:sz="4"/>
                  </w:tcBorders>
                </w:tcPr>
                <w:p>
                  <w:pPr>
                    <w:jc w:val="center"/>
                  </w:pPr>
                  <w:r>
                    <w:rPr>
                      <w:b/>
                      <w:sz w:val="21"/>
                    </w:rPr>
                    <w:t>考核要求</w:t>
                  </w:r>
                </w:p>
              </w:tc>
              <w:tc>
                <w:tcPr>
                  <w:tcW w:type="dxa" w:w="1059"/>
                  <w:tcBorders>
                    <w:top w:val="single" w:color="000000" w:sz="4"/>
                    <w:left w:val="none" w:color="000000" w:sz="4"/>
                    <w:bottom w:val="single" w:color="000000" w:sz="4"/>
                    <w:right w:val="single" w:color="000000" w:sz="4"/>
                  </w:tcBorders>
                </w:tcPr>
                <w:p>
                  <w:pPr>
                    <w:jc w:val="center"/>
                  </w:pPr>
                  <w:r>
                    <w:rPr>
                      <w:b/>
                      <w:sz w:val="21"/>
                    </w:rPr>
                    <w:t>扣分明细</w:t>
                  </w:r>
                </w:p>
              </w:tc>
            </w:tr>
            <w:tr>
              <w:tc>
                <w:tcPr>
                  <w:tcW w:type="dxa" w:w="477"/>
                  <w:tcBorders>
                    <w:top w:val="none" w:color="000000" w:sz="4"/>
                    <w:left w:val="single" w:color="000000" w:sz="4"/>
                    <w:bottom w:val="single" w:color="000000" w:sz="4"/>
                    <w:right w:val="single" w:color="000000" w:sz="4"/>
                  </w:tcBorders>
                </w:tcPr>
                <w:p>
                  <w:pPr>
                    <w:jc w:val="center"/>
                  </w:pPr>
                  <w:r>
                    <w:rPr>
                      <w:sz w:val="21"/>
                    </w:rPr>
                    <w:t>1</w:t>
                  </w:r>
                </w:p>
              </w:tc>
              <w:tc>
                <w:tcPr>
                  <w:tcW w:type="dxa" w:w="3654"/>
                  <w:tcBorders>
                    <w:top w:val="none" w:color="000000" w:sz="4"/>
                    <w:left w:val="none" w:color="000000" w:sz="4"/>
                    <w:bottom w:val="single" w:color="000000" w:sz="4"/>
                    <w:right w:val="single" w:color="000000" w:sz="4"/>
                  </w:tcBorders>
                </w:tcPr>
                <w:p>
                  <w:pPr>
                    <w:jc w:val="left"/>
                  </w:pPr>
                  <w:r>
                    <w:rPr>
                      <w:sz w:val="21"/>
                    </w:rPr>
                    <w:t>按项目需求派驻现场分装人员准时到位，按采购人意见对服务人员选用或要求及时进行调整，对于采购人提出的不符合要求的派驻人员及时更换；每发现一次不满足要求的扣5分；</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77"/>
                  <w:tcBorders>
                    <w:top w:val="none" w:color="000000" w:sz="4"/>
                    <w:left w:val="single" w:color="000000" w:sz="4"/>
                    <w:bottom w:val="single" w:color="000000" w:sz="4"/>
                    <w:right w:val="single" w:color="000000" w:sz="4"/>
                  </w:tcBorders>
                </w:tcPr>
                <w:p>
                  <w:pPr>
                    <w:jc w:val="center"/>
                  </w:pPr>
                  <w:r>
                    <w:rPr>
                      <w:sz w:val="21"/>
                    </w:rPr>
                    <w:t>2</w:t>
                  </w:r>
                </w:p>
              </w:tc>
              <w:tc>
                <w:tcPr>
                  <w:tcW w:type="dxa" w:w="3654"/>
                  <w:tcBorders>
                    <w:top w:val="none" w:color="000000" w:sz="4"/>
                    <w:left w:val="none" w:color="000000" w:sz="4"/>
                    <w:bottom w:val="single" w:color="000000" w:sz="4"/>
                    <w:right w:val="single" w:color="000000" w:sz="4"/>
                  </w:tcBorders>
                </w:tcPr>
                <w:p>
                  <w:pPr>
                    <w:jc w:val="left"/>
                  </w:pPr>
                  <w:r>
                    <w:rPr>
                      <w:sz w:val="21"/>
                    </w:rPr>
                    <w:t>定期为现场分装人员进行安全、业务知识等必要的教育培训；每发现一次不满足要求的扣5分；</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77"/>
                  <w:tcBorders>
                    <w:top w:val="none" w:color="000000" w:sz="4"/>
                    <w:left w:val="single" w:color="000000" w:sz="4"/>
                    <w:bottom w:val="single" w:color="000000" w:sz="4"/>
                    <w:right w:val="single" w:color="000000" w:sz="4"/>
                  </w:tcBorders>
                </w:tcPr>
                <w:p>
                  <w:pPr>
                    <w:jc w:val="center"/>
                  </w:pPr>
                  <w:r>
                    <w:rPr>
                      <w:sz w:val="21"/>
                    </w:rPr>
                    <w:t>3</w:t>
                  </w:r>
                </w:p>
              </w:tc>
              <w:tc>
                <w:tcPr>
                  <w:tcW w:type="dxa" w:w="3654"/>
                  <w:tcBorders>
                    <w:top w:val="none" w:color="000000" w:sz="4"/>
                    <w:left w:val="none" w:color="000000" w:sz="4"/>
                    <w:bottom w:val="single" w:color="000000" w:sz="4"/>
                    <w:right w:val="single" w:color="000000" w:sz="4"/>
                  </w:tcBorders>
                </w:tcPr>
                <w:p>
                  <w:pPr>
                    <w:jc w:val="left"/>
                  </w:pPr>
                  <w:r>
                    <w:rPr>
                      <w:sz w:val="21"/>
                    </w:rPr>
                    <w:t>药物有异常的情况（包括但不限于剂量不符、目测药物异常、溢岀/外漏、QC不达标、辐射感染、包装破损、过期等）</w:t>
                  </w:r>
                  <w:r>
                    <w:rPr>
                      <w:sz w:val="21"/>
                    </w:rPr>
                    <w:t>；每发现一次不满足要求的扣5分；</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77"/>
                  <w:tcBorders>
                    <w:top w:val="none" w:color="000000" w:sz="4"/>
                    <w:left w:val="single" w:color="000000" w:sz="4"/>
                    <w:bottom w:val="single" w:color="000000" w:sz="4"/>
                    <w:right w:val="single" w:color="000000" w:sz="4"/>
                  </w:tcBorders>
                </w:tcPr>
                <w:p>
                  <w:pPr>
                    <w:jc w:val="center"/>
                  </w:pPr>
                  <w:r>
                    <w:rPr>
                      <w:sz w:val="21"/>
                    </w:rPr>
                    <w:t>4</w:t>
                  </w:r>
                </w:p>
              </w:tc>
              <w:tc>
                <w:tcPr>
                  <w:tcW w:type="dxa" w:w="3654"/>
                  <w:tcBorders>
                    <w:top w:val="none" w:color="000000" w:sz="4"/>
                    <w:left w:val="none" w:color="000000" w:sz="4"/>
                    <w:bottom w:val="single" w:color="000000" w:sz="4"/>
                    <w:right w:val="single" w:color="000000" w:sz="4"/>
                  </w:tcBorders>
                </w:tcPr>
                <w:p>
                  <w:pPr>
                    <w:jc w:val="left"/>
                  </w:pPr>
                  <w:r>
                    <w:rPr>
                      <w:sz w:val="21"/>
                    </w:rPr>
                    <w:t>每种放射性药品含内外标签，并清楚标明：内外标签一致的编号、药物名称、剂量、校准的时间、有效期限、批号、生产单位</w:t>
                  </w:r>
                  <w:r>
                    <w:rPr>
                      <w:sz w:val="21"/>
                    </w:rPr>
                    <w:t>；每发现一次不满足要求的扣5分；</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77"/>
                  <w:tcBorders>
                    <w:top w:val="none" w:color="000000" w:sz="4"/>
                    <w:left w:val="single" w:color="000000" w:sz="4"/>
                    <w:bottom w:val="single" w:color="000000" w:sz="4"/>
                    <w:right w:val="single" w:color="000000" w:sz="4"/>
                  </w:tcBorders>
                </w:tcPr>
                <w:p>
                  <w:pPr>
                    <w:jc w:val="center"/>
                  </w:pPr>
                  <w:r>
                    <w:rPr>
                      <w:sz w:val="21"/>
                    </w:rPr>
                    <w:t>5</w:t>
                  </w:r>
                </w:p>
              </w:tc>
              <w:tc>
                <w:tcPr>
                  <w:tcW w:type="dxa" w:w="3654"/>
                  <w:tcBorders>
                    <w:top w:val="none" w:color="000000" w:sz="4"/>
                    <w:left w:val="none" w:color="000000" w:sz="4"/>
                    <w:bottom w:val="single" w:color="000000" w:sz="4"/>
                    <w:right w:val="single" w:color="000000" w:sz="4"/>
                  </w:tcBorders>
                </w:tcPr>
                <w:p>
                  <w:pPr>
                    <w:jc w:val="left"/>
                  </w:pPr>
                  <w:r>
                    <w:rPr>
                      <w:sz w:val="21"/>
                    </w:rPr>
                    <w:t>采购人所收到的药品</w:t>
                  </w:r>
                  <w:r>
                    <w:rPr>
                      <w:sz w:val="21"/>
                    </w:rPr>
                    <w:t>名、规格、放射性活度、外观质量、货物包装完好；每发现一次不满足要求的扣5分；</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77"/>
                  <w:tcBorders>
                    <w:top w:val="none" w:color="000000" w:sz="4"/>
                    <w:left w:val="single" w:color="000000" w:sz="4"/>
                    <w:bottom w:val="single" w:color="000000" w:sz="4"/>
                    <w:right w:val="single" w:color="000000" w:sz="4"/>
                  </w:tcBorders>
                </w:tcPr>
                <w:p>
                  <w:pPr>
                    <w:jc w:val="center"/>
                  </w:pPr>
                  <w:r>
                    <w:rPr>
                      <w:sz w:val="21"/>
                    </w:rPr>
                    <w:t>6</w:t>
                  </w:r>
                </w:p>
              </w:tc>
              <w:tc>
                <w:tcPr>
                  <w:tcW w:type="dxa" w:w="3654"/>
                  <w:tcBorders>
                    <w:top w:val="none" w:color="000000" w:sz="4"/>
                    <w:left w:val="none" w:color="000000" w:sz="4"/>
                    <w:bottom w:val="single" w:color="000000" w:sz="4"/>
                    <w:right w:val="single" w:color="000000" w:sz="4"/>
                  </w:tcBorders>
                </w:tcPr>
                <w:p>
                  <w:pPr>
                    <w:jc w:val="left"/>
                  </w:pPr>
                  <w:r>
                    <w:rPr>
                      <w:sz w:val="21"/>
                    </w:rPr>
                    <w:t>工作内容或辅助工作落实不到位，造成负面影响，经查实，每发生一次扣5分，造成社会影响的，加倍扣分并依法追究当事人负责。</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77"/>
                  <w:tcBorders>
                    <w:top w:val="none" w:color="000000" w:sz="4"/>
                    <w:left w:val="single" w:color="000000" w:sz="4"/>
                    <w:bottom w:val="single" w:color="000000" w:sz="4"/>
                    <w:right w:val="single" w:color="000000" w:sz="4"/>
                  </w:tcBorders>
                </w:tcPr>
                <w:p>
                  <w:pPr>
                    <w:jc w:val="center"/>
                  </w:pPr>
                  <w:r>
                    <w:rPr>
                      <w:sz w:val="21"/>
                    </w:rPr>
                    <w:t>7</w:t>
                  </w:r>
                </w:p>
              </w:tc>
              <w:tc>
                <w:tcPr>
                  <w:tcW w:type="dxa" w:w="3654"/>
                  <w:tcBorders>
                    <w:top w:val="none" w:color="000000" w:sz="4"/>
                    <w:left w:val="none" w:color="000000" w:sz="4"/>
                    <w:bottom w:val="single" w:color="000000" w:sz="4"/>
                    <w:right w:val="single" w:color="000000" w:sz="4"/>
                  </w:tcBorders>
                </w:tcPr>
                <w:p>
                  <w:pPr>
                    <w:jc w:val="left"/>
                  </w:pPr>
                  <w:r>
                    <w:rPr>
                      <w:sz w:val="21"/>
                    </w:rPr>
                    <w:t>放射性药品不能按时限供应的</w:t>
                  </w:r>
                  <w:r>
                    <w:rPr>
                      <w:sz w:val="21"/>
                    </w:rPr>
                    <w:t>；每发现一次不满足要求的扣5分；</w:t>
                  </w:r>
                </w:p>
              </w:tc>
              <w:tc>
                <w:tcPr>
                  <w:tcW w:type="dxa" w:w="1059"/>
                  <w:tcBorders>
                    <w:top w:val="none" w:color="000000" w:sz="4"/>
                    <w:left w:val="none" w:color="000000" w:sz="4"/>
                    <w:bottom w:val="single" w:color="000000" w:sz="4"/>
                    <w:right w:val="single" w:color="000000" w:sz="4"/>
                  </w:tcBorders>
                </w:tcPr>
                <w:p>
                  <w:pPr>
                    <w:jc w:val="center"/>
                  </w:pPr>
                </w:p>
              </w:tc>
            </w:tr>
            <w:tr>
              <w:tc>
                <w:tcPr>
                  <w:tcW w:type="dxa" w:w="4131"/>
                  <w:gridSpan w:val="2"/>
                  <w:tcBorders>
                    <w:top w:val="none" w:color="000000" w:sz="4"/>
                    <w:left w:val="single" w:color="000000" w:sz="4"/>
                    <w:bottom w:val="single" w:color="000000" w:sz="4"/>
                    <w:right w:val="single" w:color="000000" w:sz="4"/>
                  </w:tcBorders>
                </w:tcPr>
                <w:p>
                  <w:pPr>
                    <w:jc w:val="center"/>
                  </w:pPr>
                  <w:r>
                    <w:rPr>
                      <w:b/>
                      <w:sz w:val="21"/>
                    </w:rPr>
                    <w:t>考核</w:t>
                  </w:r>
                  <w:r>
                    <w:rPr>
                      <w:b/>
                      <w:sz w:val="21"/>
                    </w:rPr>
                    <w:t>合计总分</w:t>
                  </w:r>
                </w:p>
              </w:tc>
              <w:tc>
                <w:tcPr>
                  <w:tcW w:type="dxa" w:w="1059"/>
                  <w:tcBorders>
                    <w:top w:val="none" w:color="000000" w:sz="4"/>
                    <w:left w:val="none" w:color="000000" w:sz="4"/>
                    <w:bottom w:val="single" w:color="000000" w:sz="4"/>
                    <w:right w:val="single" w:color="000000" w:sz="4"/>
                  </w:tcBorders>
                </w:tcPr>
                <w:p>
                  <w:pPr>
                    <w:jc w:val="center"/>
                  </w:pPr>
                </w:p>
              </w:tc>
            </w:tr>
          </w:tbl>
          <w:p>
            <w:pPr>
              <w:ind w:firstLine="420"/>
              <w:jc w:val="both"/>
            </w:pPr>
            <w:r>
              <w:rPr>
                <w:sz w:val="21"/>
              </w:rPr>
              <w:t>（二）考评结果：</w:t>
            </w:r>
          </w:p>
          <w:p>
            <w:pPr>
              <w:ind w:firstLine="420"/>
              <w:jc w:val="both"/>
            </w:pPr>
            <w:r>
              <w:rPr>
                <w:sz w:val="21"/>
              </w:rPr>
              <w:t>1.</w:t>
            </w:r>
            <w:r>
              <w:rPr>
                <w:sz w:val="21"/>
              </w:rPr>
              <w:t>由采购人组织实施项目服务质量考评，考评结果纳入供应商绩效管理。</w:t>
            </w:r>
          </w:p>
          <w:p>
            <w:pPr>
              <w:ind w:firstLine="420"/>
              <w:jc w:val="both"/>
            </w:pPr>
            <w:r>
              <w:rPr>
                <w:sz w:val="21"/>
              </w:rPr>
              <w:t>2.</w:t>
            </w:r>
            <w:r>
              <w:rPr>
                <w:sz w:val="21"/>
              </w:rPr>
              <w:t>每年度考核不合格的（低于80分），中标供应商应在采购人规定时间内及时整改完善直至合格，整改后仍不合格的，采购人有权单方解除合同。</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中山大学附属第六医院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采购包1：折扣率</w:t>
            </w:r>
          </w:p>
          <w:p/>
          <w:p>
            <w:r>
              <w:rPr/>
              <w:t>采购包2：折扣率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采购包1：保证金人民币：100,000.00元整。</w:t>
            </w:r>
            <w:r>
              <w:rPr/>
              <w:t>采购包2：保证金人民币：80,000.00元整。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提交投标文件截止时间前原件递交至采购代理机构</w:t>
            </w:r>
          </w:p>
          <w:p>
            <w:r>
              <w:rPr/>
              <w:t>汇票、本票提交方式：</w:t>
            </w:r>
            <w:r>
              <w:rPr/>
              <w:t>提交投标文件截止时间前原件递交至采购代理机构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无：投标人可对一个包或者多个包进行投标，可同时成为两个包的中标供应商，但须对所投采购包内的全部内容进行报价与供货，否则将按无效投标处理。</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差额定率累进法收费：以各采购包的中标金额作为采购代理服务费的计算基数。参照中华人民共和国国家发展计划委员会颁发的计价格〔2002〕1980号、发改办价格〔2003〕857号及发改价格〔2011〕534号文规定的计费标准的65%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根据实际情况填写。具体情况根据开标(开启)时现场代理机构人员设置为准。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李国晨、陈蔚</w:t>
      </w:r>
    </w:p>
    <w:p>
      <w:pPr>
        <w:ind w:firstLine="480"/>
      </w:pPr>
      <w:r>
        <w:rPr/>
        <w:t>电话：</w:t>
      </w:r>
      <w:r>
        <w:rPr/>
        <w:t>020-31603842、020-87688049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采购包1(放射性药品1)：综合评分法,是指投标文件满足招标文件全部实质性要求，且按照评审因素的量化指标评审得分最高的投标人为中标候选人的评标方法。（最低报价不是中标的唯一依据。）</w:t>
      </w:r>
    </w:p>
    <w:p/>
    <w:p>
      <w:r>
        <w:rPr/>
        <w:t>采购包2(放射性药品2)：综合评分法,是指投标文件满足招标文件全部实质性要求，且按照评审因素的量化指标评审得分最高的投标人为中标候选人的评标方法。（最低报价不是中标的唯一依据。）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采购包1（放射性药品1）：</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批发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（1）符合《批发业和信息化部、国家统计局、国家发展和改革委员会、财政部关于印发中小企业划型标准规定的通知》（工信部联企业[2011]300号）规定的划分标准；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采购包2（放射性药品2）：</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批发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（1）符合《批发业和信息化部、国家统计局、国家发展和改革委员会、财政部关于印发中小企业划型标准规定的通知》（工信部联企业[2011]300号）规定的划分标准；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采购包1（放射性药品1）：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供应商必须具有良好的商业信誉和健全的财务会计制度（提供2022年度或2023年度财务状况报告或基本开户行出具的资信证明）。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书面承诺声明函（格式自拟）。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特定资格要求1</w:t>
            </w:r>
          </w:p>
        </w:tc>
        <w:tc>
          <w:tcPr>
            <w:tcW w:type="dxa" w:w="4238"/>
          </w:tcPr>
          <w:p>
            <w:r>
              <w:rPr/>
              <w:t>投标人具有有效的《放射性药品经营许可证》或《放射性药品生产许可证》。</w:t>
            </w:r>
          </w:p>
        </w:tc>
      </w:tr>
      <w:tr>
        <w:tc>
          <w:tcPr>
            <w:tcW w:type="dxa" w:w="890"/>
          </w:tcPr>
          <w:p>
            <w:r>
              <w:rPr/>
              <w:t>9</w:t>
            </w:r>
          </w:p>
        </w:tc>
        <w:tc>
          <w:tcPr>
            <w:tcW w:type="dxa" w:w="3178"/>
          </w:tcPr>
          <w:p>
            <w:r>
              <w:rPr/>
              <w:t>特定资格要求2</w:t>
            </w:r>
          </w:p>
        </w:tc>
        <w:tc>
          <w:tcPr>
            <w:tcW w:type="dxa" w:w="4238"/>
          </w:tcPr>
          <w:p>
            <w:r>
              <w:rPr/>
              <w:t>投标人具有有效的《辐射安全许可证》。</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采购包2（放射性药品2）：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供应商必须具有良好的商业信誉和健全的财务会计制度（提供2022年度或2023年度财务状况报告或基本开户行出具的资信证明）。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提供书面承诺声明函（格式自拟）。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特定资格要求1</w:t>
            </w:r>
          </w:p>
        </w:tc>
        <w:tc>
          <w:tcPr>
            <w:tcW w:type="dxa" w:w="4238"/>
          </w:tcPr>
          <w:p>
            <w:r>
              <w:rPr/>
              <w:t>投标人具有有效的《放射性药品经营许可证》或《放射性药品生产许可证》。</w:t>
            </w:r>
          </w:p>
        </w:tc>
      </w:tr>
      <w:tr>
        <w:tc>
          <w:tcPr>
            <w:tcW w:type="dxa" w:w="890"/>
          </w:tcPr>
          <w:p>
            <w:r>
              <w:rPr/>
              <w:t>9</w:t>
            </w:r>
          </w:p>
        </w:tc>
        <w:tc>
          <w:tcPr>
            <w:tcW w:type="dxa" w:w="3178"/>
          </w:tcPr>
          <w:p>
            <w:r>
              <w:rPr/>
              <w:t>特定资格要求2</w:t>
            </w:r>
          </w:p>
        </w:tc>
        <w:tc>
          <w:tcPr>
            <w:tcW w:type="dxa" w:w="4238"/>
          </w:tcPr>
          <w:p>
            <w:r>
              <w:rPr/>
              <w:t>投标人具有有效的《辐射安全许可证》。</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采购包1（放射性药品1）：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投标折扣率固定、唯一且在0.00%＜投标折扣率≤100.00%范围内取值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t>采购包2（放射性药品2）：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投标折扣率固定、唯一且在0.00%＜投标折扣率≤100.00%范围内取值</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r>
        <w:tc>
          <w:tcPr>
            <w:tcW w:type="dxa" w:w="890"/>
          </w:tcPr>
          <w:p>
            <w:r>
              <w:rPr/>
              <w:t>10</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采购包1(放射性药品1):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技术部分30.0分</w:t>
            </w:r>
          </w:p>
          <w:p>
            <w:r>
              <w:rPr/>
              <w:t>报价得分50.0分</w:t>
            </w:r>
          </w:p>
        </w:tc>
      </w:tr>
      <w:tr>
        <w:tc>
          <w:tcPr>
            <w:tcW w:type="dxa" w:w="922"/>
            <w:gridSpan w:val="2"/>
            <w:vMerge w:val="restart"/>
          </w:tcPr>
          <w:p>
            <w:pPr>
              <w:jc w:val="center"/>
            </w:pPr>
            <w:r>
              <w:rPr/>
              <w:t>技术部分</w:t>
            </w:r>
          </w:p>
        </w:tc>
        <w:tc>
          <w:tcPr>
            <w:tcW w:type="dxa" w:w="2307"/>
          </w:tcPr>
          <w:p>
            <w:pPr>
              <w:jc w:val="left"/>
            </w:pPr>
            <w:r>
              <w:rPr/>
              <w:t>采购需求响应情况 (3.0分)</w:t>
            </w:r>
          </w:p>
        </w:tc>
        <w:tc>
          <w:tcPr>
            <w:tcW w:type="dxa" w:w="5076"/>
          </w:tcPr>
          <w:p>
            <w:pPr>
              <w:jc w:val="left"/>
            </w:pPr>
            <w:r>
              <w:rPr/>
              <w:t>根据投标人对本项目采购需求响应情况进行评审： （1）完全满足且优于本项目采购需求的，得3分；  （2）完全满足本项目采购需求的，得2分； （3）有未响应或负偏离本项目采购需求的，得1分。 注：采购需求中“供货要求”除外。</w:t>
            </w:r>
          </w:p>
        </w:tc>
      </w:tr>
      <w:tr>
        <w:tc>
          <w:tcPr>
            <w:tcW w:type="dxa" w:w="922"/>
            <w:gridSpan w:val="2"/>
            <w:vMerge/>
          </w:tcPr>
          <w:p/>
        </w:tc>
        <w:tc>
          <w:tcPr>
            <w:tcW w:type="dxa" w:w="2307"/>
          </w:tcPr>
          <w:p>
            <w:pPr>
              <w:jc w:val="left"/>
            </w:pPr>
            <w:r>
              <w:rPr/>
              <w:t>投标产品授权情况 (11.0分)</w:t>
            </w:r>
          </w:p>
        </w:tc>
        <w:tc>
          <w:tcPr>
            <w:tcW w:type="dxa" w:w="5076"/>
          </w:tcPr>
          <w:p>
            <w:pPr>
              <w:jc w:val="left"/>
            </w:pPr>
            <w:r>
              <w:rPr/>
              <w:t>为保证本项目的投标产品来源合法，投标人应提供所投产品来源渠道合法的证明文件（原厂授权销售协议、代理协议、授权书等其中之一），能够提供上述所投产品来源渠道合法证明文件的，每提供1项得1分（共11项），最高得11分，无提供不得分。 注：须提供所投产品来源渠道合法的证明文件复印件作为证明材料，不提供或专家无法认定的不得分。</w:t>
            </w:r>
          </w:p>
        </w:tc>
      </w:tr>
      <w:tr>
        <w:tc>
          <w:tcPr>
            <w:tcW w:type="dxa" w:w="922"/>
            <w:gridSpan w:val="2"/>
            <w:vMerge/>
          </w:tcPr>
          <w:p/>
        </w:tc>
        <w:tc>
          <w:tcPr>
            <w:tcW w:type="dxa" w:w="2307"/>
          </w:tcPr>
          <w:p>
            <w:pPr>
              <w:jc w:val="left"/>
            </w:pPr>
            <w:r>
              <w:rPr/>
              <w:t>总体服务方案（一） (1.0分)</w:t>
            </w:r>
          </w:p>
        </w:tc>
        <w:tc>
          <w:tcPr>
            <w:tcW w:type="dxa" w:w="5076"/>
          </w:tcPr>
          <w:p>
            <w:pPr>
              <w:jc w:val="left"/>
            </w:pPr>
            <w:r>
              <w:rPr/>
              <w:t>评标委员会根据投标人提供的总体服务方案进行综合评审，内容应包括（投标文件中方案标题应以下列方案名称命名）： （1）时间计划； （2）配送流程； （3）配送人员； （4）配送车辆； （5）服务承诺。 注：提供全部内容得1分，每缺1项扣0.2分。</w:t>
            </w:r>
          </w:p>
        </w:tc>
      </w:tr>
      <w:tr>
        <w:tc>
          <w:tcPr>
            <w:tcW w:type="dxa" w:w="922"/>
            <w:gridSpan w:val="2"/>
            <w:vMerge/>
          </w:tcPr>
          <w:p/>
        </w:tc>
        <w:tc>
          <w:tcPr>
            <w:tcW w:type="dxa" w:w="2307"/>
          </w:tcPr>
          <w:p>
            <w:pPr>
              <w:jc w:val="left"/>
            </w:pPr>
            <w:r>
              <w:rPr/>
              <w:t>总体服务方案（二） (5.0分)</w:t>
            </w:r>
          </w:p>
        </w:tc>
        <w:tc>
          <w:tcPr>
            <w:tcW w:type="dxa" w:w="5076"/>
          </w:tcPr>
          <w:p>
            <w:pPr>
              <w:jc w:val="left"/>
            </w:pPr>
            <w:r>
              <w:rPr/>
              <w:t>根据投标人提供的针对本项目的总体服务方案进行综合评审：  （1）总体服务方案详细完善具体，科学合理，可行性高，得5分；  （2）总体服务方案较详细，较科学合理，可行性较高，得3分； （3）总体服务方案基本完整，科学合理性一般，可行性一般，得1分； （4）无提供不得分。</w:t>
            </w:r>
          </w:p>
        </w:tc>
      </w:tr>
      <w:tr>
        <w:tc>
          <w:tcPr>
            <w:tcW w:type="dxa" w:w="922"/>
            <w:gridSpan w:val="2"/>
            <w:vMerge/>
          </w:tcPr>
          <w:p/>
        </w:tc>
        <w:tc>
          <w:tcPr>
            <w:tcW w:type="dxa" w:w="2307"/>
          </w:tcPr>
          <w:p>
            <w:pPr>
              <w:jc w:val="left"/>
            </w:pPr>
            <w:r>
              <w:rPr/>
              <w:t>质量保障措施（一） (1.0分)</w:t>
            </w:r>
          </w:p>
        </w:tc>
        <w:tc>
          <w:tcPr>
            <w:tcW w:type="dxa" w:w="5076"/>
          </w:tcPr>
          <w:p>
            <w:pPr>
              <w:jc w:val="left"/>
            </w:pPr>
            <w:r>
              <w:rPr/>
              <w:t>评标委员会根据投标人提供的质量保障措施内容进行综合评审，内容应包括（投标文件中方案标题应以下列方案名称命名）： （1）产品的质量； （2）因产品质量问题的责任承担及赔偿方案； （3）产品的三包； （4）交货验收服务。 注：提供全部内容得1分，每缺1项扣0.25分。</w:t>
            </w:r>
          </w:p>
        </w:tc>
      </w:tr>
      <w:tr>
        <w:tc>
          <w:tcPr>
            <w:tcW w:type="dxa" w:w="922"/>
            <w:gridSpan w:val="2"/>
            <w:vMerge/>
          </w:tcPr>
          <w:p/>
        </w:tc>
        <w:tc>
          <w:tcPr>
            <w:tcW w:type="dxa" w:w="2307"/>
          </w:tcPr>
          <w:p>
            <w:pPr>
              <w:jc w:val="left"/>
            </w:pPr>
            <w:r>
              <w:rPr/>
              <w:t>质量保障措施（二） (4.0分)</w:t>
            </w:r>
          </w:p>
        </w:tc>
        <w:tc>
          <w:tcPr>
            <w:tcW w:type="dxa" w:w="5076"/>
          </w:tcPr>
          <w:p>
            <w:pPr>
              <w:jc w:val="left"/>
            </w:pPr>
            <w:r>
              <w:rPr/>
              <w:t>根据投标人提供的质量保障措施进行综合评审： （1）质量保证承诺详细全面，保障措施环节具体可实施的，得4分； （2）质量保证承诺基本完整，保障措施环节具备基本可实施性的，得2分； （3）质量保证承诺声明简单粗略，保障措施环节具备基本可实施性一般的，得1分； （4）无提供不得分。</w:t>
            </w:r>
          </w:p>
        </w:tc>
      </w:tr>
      <w:tr>
        <w:tc>
          <w:tcPr>
            <w:tcW w:type="dxa" w:w="922"/>
            <w:gridSpan w:val="2"/>
            <w:vMerge/>
          </w:tcPr>
          <w:p/>
        </w:tc>
        <w:tc>
          <w:tcPr>
            <w:tcW w:type="dxa" w:w="2307"/>
          </w:tcPr>
          <w:p>
            <w:pPr>
              <w:jc w:val="left"/>
            </w:pPr>
            <w:r>
              <w:rPr/>
              <w:t>配送时间承诺 (5.0分)</w:t>
            </w:r>
          </w:p>
        </w:tc>
        <w:tc>
          <w:tcPr>
            <w:tcW w:type="dxa" w:w="5076"/>
          </w:tcPr>
          <w:p>
            <w:pPr>
              <w:jc w:val="left"/>
            </w:pPr>
            <w:r>
              <w:rPr/>
              <w:t>根据投标人对配送时间的承诺进行评审： （1）中标供应商承诺，在正常情况下，采购人下单后60分钟内送达采购人指定地点；且在特殊紧急情况下，采购人下单后35分钟内送达采购人指定地点的，得5分； （2）中标供应商承诺，在正常情况下，采购人下单后75分钟内送达采购人指定地点；且在特殊紧急情况下，采购人下单后45分钟内送达采购人指定地点的，得3分； （3）中标供应商承诺，在正常情况下，采购人下单后90分钟内送达采购人指定地点；且在特殊紧急情况下，采购人下单后60分钟内送达采购人指定地点的，得1分； （4）其余情况不得分。 注：投标人需提供承诺函作为证明材料，不提供不得分。</w:t>
            </w:r>
          </w:p>
        </w:tc>
      </w:tr>
      <w:tr>
        <w:tc>
          <w:tcPr>
            <w:tcW w:type="dxa" w:w="922"/>
            <w:gridSpan w:val="2"/>
            <w:vMerge w:val="restart"/>
          </w:tcPr>
          <w:p>
            <w:pPr>
              <w:jc w:val="center"/>
            </w:pPr>
            <w:r>
              <w:rPr/>
              <w:t>商务部分</w:t>
            </w:r>
          </w:p>
        </w:tc>
        <w:tc>
          <w:tcPr>
            <w:tcW w:type="dxa" w:w="2307"/>
          </w:tcPr>
          <w:p>
            <w:pPr>
              <w:jc w:val="left"/>
            </w:pPr>
            <w:r>
              <w:rPr/>
              <w:t>同类业绩经验  (10.0分)</w:t>
            </w:r>
          </w:p>
        </w:tc>
        <w:tc>
          <w:tcPr>
            <w:tcW w:type="dxa" w:w="5076"/>
          </w:tcPr>
          <w:p>
            <w:pPr>
              <w:jc w:val="left"/>
            </w:pPr>
            <w:r>
              <w:rPr/>
              <w:t>投标人于2020年1月1日至今签订的同类项目业绩情况，每提供一项业绩证明文件得2分，最高得10分。  注：提供的合同关键页及发票复印件并加盖投标人公章（合同关键页须显示签订合同双方的单位名称、合同项目名称、采购内容、签订合同双方的落款盖章、签订日期；并附相应的销货清单或送货清单复印件，并清晰显示采购标的内容），时间以合同签订时间为准，不提供或专家无法认定的不得分。</w:t>
            </w:r>
          </w:p>
        </w:tc>
      </w:tr>
      <w:tr>
        <w:tc>
          <w:tcPr>
            <w:tcW w:type="dxa" w:w="922"/>
            <w:gridSpan w:val="2"/>
            <w:vMerge/>
          </w:tcPr>
          <w:p/>
        </w:tc>
        <w:tc>
          <w:tcPr>
            <w:tcW w:type="dxa" w:w="2307"/>
          </w:tcPr>
          <w:p>
            <w:pPr>
              <w:jc w:val="left"/>
            </w:pPr>
            <w:r>
              <w:rPr/>
              <w:t>用户评价 (5.0分)</w:t>
            </w:r>
          </w:p>
        </w:tc>
        <w:tc>
          <w:tcPr>
            <w:tcW w:type="dxa" w:w="5076"/>
          </w:tcPr>
          <w:p>
            <w:pPr>
              <w:jc w:val="left"/>
            </w:pPr>
            <w:r>
              <w:rPr/>
              <w:t>投标人具有对应以上同类项目业绩所获得的满意（或同等意义的评价、表扬信、锦旗、服务满意度等，如80分或以上、满意或以上等）的服务质量评价，每提供一份得1分，最高得5分。  注：提供用户单位或其管理部门盖章出具的服务评价书或证明，不提供或专家无法认定的不得分。</w:t>
            </w:r>
          </w:p>
        </w:tc>
      </w:tr>
      <w:tr>
        <w:tc>
          <w:tcPr>
            <w:tcW w:type="dxa" w:w="922"/>
            <w:gridSpan w:val="2"/>
            <w:vMerge/>
          </w:tcPr>
          <w:p/>
        </w:tc>
        <w:tc>
          <w:tcPr>
            <w:tcW w:type="dxa" w:w="2307"/>
          </w:tcPr>
          <w:p>
            <w:pPr>
              <w:jc w:val="left"/>
            </w:pPr>
            <w:r>
              <w:rPr/>
              <w:t>售后服务方案（一）  (1.0分)</w:t>
            </w:r>
          </w:p>
        </w:tc>
        <w:tc>
          <w:tcPr>
            <w:tcW w:type="dxa" w:w="5076"/>
          </w:tcPr>
          <w:p>
            <w:pPr>
              <w:jc w:val="left"/>
            </w:pPr>
            <w:r>
              <w:rPr/>
              <w:t>评标委员会根据投标人提供的售后服务方案方案进行综合评审，方案应包括（投标文件中方案标题应以下列方案名称命名）： （1）不良反应处理方案； （2）产品有效期等特殊情况的措施。 注：提供全部内容得1分，每缺1项扣0.5分。</w:t>
            </w:r>
          </w:p>
        </w:tc>
      </w:tr>
      <w:tr>
        <w:tc>
          <w:tcPr>
            <w:tcW w:type="dxa" w:w="922"/>
            <w:gridSpan w:val="2"/>
            <w:vMerge/>
          </w:tcPr>
          <w:p/>
        </w:tc>
        <w:tc>
          <w:tcPr>
            <w:tcW w:type="dxa" w:w="2307"/>
          </w:tcPr>
          <w:p>
            <w:pPr>
              <w:jc w:val="left"/>
            </w:pPr>
            <w:r>
              <w:rPr/>
              <w:t>售后服务方案（二） (4.0分)</w:t>
            </w:r>
          </w:p>
        </w:tc>
        <w:tc>
          <w:tcPr>
            <w:tcW w:type="dxa" w:w="5076"/>
          </w:tcPr>
          <w:p>
            <w:pPr>
              <w:jc w:val="left"/>
            </w:pPr>
            <w:r>
              <w:rPr/>
              <w:t>根据投标人提供的售后服务方案进行综合评审： （1）售后服务方案及服务承诺详细具体、合理可行，完全满足或有优于采购需求的，对药品售后保障全面的，得4分； （2）售后服务方案及服务承诺具体，可完全满足采购需求的，对药品售后保障有部分缺漏的，得2分； （3）售后服务方案及服务承诺简单空洞或不合理不可行，缺乏保障性，得1分； （4）未提供任何方案说明，不得分。</w:t>
            </w:r>
          </w:p>
        </w:tc>
      </w:tr>
      <w:tr>
        <w:tc>
          <w:tcPr>
            <w:tcW w:type="dxa" w:w="922"/>
            <w:gridSpan w:val="2"/>
          </w:tcPr>
          <w:p>
            <w:pPr>
              <w:jc w:val="center"/>
            </w:pPr>
            <w:r>
              <w:rPr/>
              <w:t>投标报价</w:t>
            </w:r>
          </w:p>
        </w:tc>
        <w:tc>
          <w:tcPr>
            <w:tcW w:type="dxa" w:w="2307"/>
          </w:tcPr>
          <w:p>
            <w:pPr>
              <w:jc w:val="left"/>
            </w:pPr>
            <w:r>
              <w:rPr/>
              <w:t>投标报价得分 (50.0分)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采购包2(放射性药品2):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技术部分30.0分</w:t>
            </w:r>
          </w:p>
          <w:p>
            <w:r>
              <w:rPr/>
              <w:t>报价得分50.0分</w:t>
            </w:r>
          </w:p>
        </w:tc>
      </w:tr>
      <w:tr>
        <w:tc>
          <w:tcPr>
            <w:tcW w:type="dxa" w:w="922"/>
            <w:gridSpan w:val="2"/>
            <w:vMerge w:val="restart"/>
          </w:tcPr>
          <w:p>
            <w:pPr>
              <w:jc w:val="center"/>
            </w:pPr>
            <w:r>
              <w:rPr/>
              <w:t>技术部分</w:t>
            </w:r>
          </w:p>
        </w:tc>
        <w:tc>
          <w:tcPr>
            <w:tcW w:type="dxa" w:w="2307"/>
          </w:tcPr>
          <w:p>
            <w:pPr>
              <w:jc w:val="left"/>
            </w:pPr>
            <w:r>
              <w:rPr/>
              <w:t>采购需求响应情况 (3.0分)</w:t>
            </w:r>
          </w:p>
        </w:tc>
        <w:tc>
          <w:tcPr>
            <w:tcW w:type="dxa" w:w="5076"/>
          </w:tcPr>
          <w:p>
            <w:pPr>
              <w:jc w:val="left"/>
            </w:pPr>
            <w:r>
              <w:rPr/>
              <w:t>根据投标人对本项目采购需求响应情况进行评审： （1）完全满足且优于本项目采购需求的，得3分；  （2）完全满足本项目采购需求的，得2分； （3）有未响应或负偏离本项目采购需求的，得1分。 注：采购需求中“供货要求”除外。</w:t>
            </w:r>
          </w:p>
        </w:tc>
      </w:tr>
      <w:tr>
        <w:tc>
          <w:tcPr>
            <w:tcW w:type="dxa" w:w="922"/>
            <w:gridSpan w:val="2"/>
            <w:vMerge/>
          </w:tcPr>
          <w:p/>
        </w:tc>
        <w:tc>
          <w:tcPr>
            <w:tcW w:type="dxa" w:w="2307"/>
          </w:tcPr>
          <w:p>
            <w:pPr>
              <w:jc w:val="left"/>
            </w:pPr>
            <w:r>
              <w:rPr/>
              <w:t>投标产品授权情况 (8.5分)</w:t>
            </w:r>
          </w:p>
        </w:tc>
        <w:tc>
          <w:tcPr>
            <w:tcW w:type="dxa" w:w="5076"/>
          </w:tcPr>
          <w:p>
            <w:pPr>
              <w:jc w:val="left"/>
            </w:pPr>
            <w:r>
              <w:rPr/>
              <w:t>为保证本项目的投标产品来源合法，投标人应提供所投产品来源渠道合法的证明文件（原厂授权销售协议、代理协议、授权书等其中之一），能够提供上述所投产品来源渠道合法证明文件的，每提供1项得8.5分（共1项），最高得8.5分，无提供不得分。 注：须提供所投产品来源渠道合法的证明文件复印件作为证明材料，不提供或专家无法认定的不得分。</w:t>
            </w:r>
          </w:p>
        </w:tc>
      </w:tr>
      <w:tr>
        <w:tc>
          <w:tcPr>
            <w:tcW w:type="dxa" w:w="922"/>
            <w:gridSpan w:val="2"/>
            <w:vMerge/>
          </w:tcPr>
          <w:p/>
        </w:tc>
        <w:tc>
          <w:tcPr>
            <w:tcW w:type="dxa" w:w="2307"/>
          </w:tcPr>
          <w:p>
            <w:pPr>
              <w:jc w:val="left"/>
            </w:pPr>
            <w:r>
              <w:rPr/>
              <w:t>总体服务方案（一） (2.5分)</w:t>
            </w:r>
          </w:p>
        </w:tc>
        <w:tc>
          <w:tcPr>
            <w:tcW w:type="dxa" w:w="5076"/>
          </w:tcPr>
          <w:p>
            <w:pPr>
              <w:jc w:val="left"/>
            </w:pPr>
            <w:r>
              <w:rPr/>
              <w:t>评标委员会根据投标人提供的总体服务方案进行综合评审，内容应包括（投标文件中方案标题应以下列方案名称命名）： （1）时间计划； （2）配送流程； （3）配送人员； （4）配送车辆； （5）服务承诺。 注：提供全部内容得2.5分，每缺1项扣0.5分。</w:t>
            </w:r>
          </w:p>
        </w:tc>
      </w:tr>
      <w:tr>
        <w:tc>
          <w:tcPr>
            <w:tcW w:type="dxa" w:w="922"/>
            <w:gridSpan w:val="2"/>
            <w:vMerge/>
          </w:tcPr>
          <w:p/>
        </w:tc>
        <w:tc>
          <w:tcPr>
            <w:tcW w:type="dxa" w:w="2307"/>
          </w:tcPr>
          <w:p>
            <w:pPr>
              <w:jc w:val="left"/>
            </w:pPr>
            <w:r>
              <w:rPr/>
              <w:t>总体服务方案（二） (5.0分)</w:t>
            </w:r>
          </w:p>
        </w:tc>
        <w:tc>
          <w:tcPr>
            <w:tcW w:type="dxa" w:w="5076"/>
          </w:tcPr>
          <w:p>
            <w:pPr>
              <w:jc w:val="left"/>
            </w:pPr>
            <w:r>
              <w:rPr/>
              <w:t>根据投标人提供的针对本项目的总体服务方案进行综合评审：  （1）总体服务方案详细完善具体，科学合理，可行性高，得5分；  （2）总体服务方案较详细，较科学合理，可行性较高，得3分； （3）总体服务方案基本完整，科学合理性一般，可行性一般，得1分； （4）无提供不得分。</w:t>
            </w:r>
          </w:p>
        </w:tc>
      </w:tr>
      <w:tr>
        <w:tc>
          <w:tcPr>
            <w:tcW w:type="dxa" w:w="922"/>
            <w:gridSpan w:val="2"/>
            <w:vMerge/>
          </w:tcPr>
          <w:p/>
        </w:tc>
        <w:tc>
          <w:tcPr>
            <w:tcW w:type="dxa" w:w="2307"/>
          </w:tcPr>
          <w:p>
            <w:pPr>
              <w:jc w:val="left"/>
            </w:pPr>
            <w:r>
              <w:rPr/>
              <w:t>质量保障措施（一） (2.0分)</w:t>
            </w:r>
          </w:p>
        </w:tc>
        <w:tc>
          <w:tcPr>
            <w:tcW w:type="dxa" w:w="5076"/>
          </w:tcPr>
          <w:p>
            <w:pPr>
              <w:jc w:val="left"/>
            </w:pPr>
            <w:r>
              <w:rPr/>
              <w:t>评标委员会根据投标人提供的质量保障措施内容进行综合评审，内容应包括（投标文件中方案标题应以下列方案名称命名）： （1）产品的质量； （2）因产品质量问题的责任承担及赔偿方案； （3）产品的三包； （4）交货验收服务。 注：提供全部内容得2分，每缺1项扣0.5分。</w:t>
            </w:r>
          </w:p>
        </w:tc>
      </w:tr>
      <w:tr>
        <w:tc>
          <w:tcPr>
            <w:tcW w:type="dxa" w:w="922"/>
            <w:gridSpan w:val="2"/>
            <w:vMerge/>
          </w:tcPr>
          <w:p/>
        </w:tc>
        <w:tc>
          <w:tcPr>
            <w:tcW w:type="dxa" w:w="2307"/>
          </w:tcPr>
          <w:p>
            <w:pPr>
              <w:jc w:val="left"/>
            </w:pPr>
            <w:r>
              <w:rPr/>
              <w:t>质量保障措施（二） (4.0分)</w:t>
            </w:r>
          </w:p>
        </w:tc>
        <w:tc>
          <w:tcPr>
            <w:tcW w:type="dxa" w:w="5076"/>
          </w:tcPr>
          <w:p>
            <w:pPr>
              <w:jc w:val="left"/>
            </w:pPr>
            <w:r>
              <w:rPr/>
              <w:t>根据投标人提供的质量保障措施进行综合评审： （1）质量保证承诺详细全面，保障措施环节具体可实施的，得4分； （2）质量保证承诺基本完整，保障措施环节具备基本可实施性的，得2分； （3）质量保证承诺声明简单粗略，保障措施环节具备基本可实施性一般的，得1分； （4）无提供不得分。</w:t>
            </w:r>
          </w:p>
        </w:tc>
      </w:tr>
      <w:tr>
        <w:tc>
          <w:tcPr>
            <w:tcW w:type="dxa" w:w="922"/>
            <w:gridSpan w:val="2"/>
            <w:vMerge/>
          </w:tcPr>
          <w:p/>
        </w:tc>
        <w:tc>
          <w:tcPr>
            <w:tcW w:type="dxa" w:w="2307"/>
          </w:tcPr>
          <w:p>
            <w:pPr>
              <w:jc w:val="left"/>
            </w:pPr>
            <w:r>
              <w:rPr/>
              <w:t>配送时间承诺 (5.0分)</w:t>
            </w:r>
          </w:p>
        </w:tc>
        <w:tc>
          <w:tcPr>
            <w:tcW w:type="dxa" w:w="5076"/>
          </w:tcPr>
          <w:p>
            <w:pPr>
              <w:jc w:val="left"/>
            </w:pPr>
            <w:r>
              <w:rPr/>
              <w:t>根据投标人对配送时间的承诺进行评审： （1）中标供应商承诺，在正常情况下，采购人下单后60分钟内送达采购人指定地点；且在特殊紧急情况下，采购人下单后35分钟内送达采购人指定地点的，得5分； （2）中标供应商承诺，在正常情况下，采购人下单后75分钟内送达采购人指定地点；且在特殊紧急情况下，采购人下单后45分钟内送达采购人指定地点的，得3分； （3）中标供应商承诺，在正常情况下，采购人下单后90分钟内送达采购人指定地点；且在特殊紧急情况下，采购人下单后60分钟内送达采购人指定地点的，得1分； （4）其余情况不得分。 注：投标人需提供承诺函作为证明材料，不提供不得分。</w:t>
            </w:r>
          </w:p>
        </w:tc>
      </w:tr>
      <w:tr>
        <w:tc>
          <w:tcPr>
            <w:tcW w:type="dxa" w:w="922"/>
            <w:gridSpan w:val="2"/>
            <w:vMerge w:val="restart"/>
          </w:tcPr>
          <w:p>
            <w:pPr>
              <w:jc w:val="center"/>
            </w:pPr>
            <w:r>
              <w:rPr/>
              <w:t>商务部分</w:t>
            </w:r>
          </w:p>
        </w:tc>
        <w:tc>
          <w:tcPr>
            <w:tcW w:type="dxa" w:w="2307"/>
          </w:tcPr>
          <w:p>
            <w:pPr>
              <w:jc w:val="left"/>
            </w:pPr>
            <w:r>
              <w:rPr/>
              <w:t>同类业绩经验  (10.0分)</w:t>
            </w:r>
          </w:p>
        </w:tc>
        <w:tc>
          <w:tcPr>
            <w:tcW w:type="dxa" w:w="5076"/>
          </w:tcPr>
          <w:p>
            <w:pPr>
              <w:jc w:val="left"/>
            </w:pPr>
            <w:r>
              <w:rPr/>
              <w:t>投标人于2020年1月1日至今签订的同类项目业绩情况，每提供一项业绩证明文件得2分，最高得10分。  注：提供的合同关键页及发票复印件并加盖投标人公章（合同关键页须显示签订合同双方的单位名称、合同项目名称、采购内容、签订合同双方的落款盖章、签订日期；并附相应的销货清单或送货清单复印件，并清晰显示采购标的内容），时间以合同签订时间为准，不提供或专家无法认定的不得分。</w:t>
            </w:r>
          </w:p>
        </w:tc>
      </w:tr>
      <w:tr>
        <w:tc>
          <w:tcPr>
            <w:tcW w:type="dxa" w:w="922"/>
            <w:gridSpan w:val="2"/>
            <w:vMerge/>
          </w:tcPr>
          <w:p/>
        </w:tc>
        <w:tc>
          <w:tcPr>
            <w:tcW w:type="dxa" w:w="2307"/>
          </w:tcPr>
          <w:p>
            <w:pPr>
              <w:jc w:val="left"/>
            </w:pPr>
            <w:r>
              <w:rPr/>
              <w:t>用户评价 (5.0分)</w:t>
            </w:r>
          </w:p>
        </w:tc>
        <w:tc>
          <w:tcPr>
            <w:tcW w:type="dxa" w:w="5076"/>
          </w:tcPr>
          <w:p>
            <w:pPr>
              <w:jc w:val="left"/>
            </w:pPr>
            <w:r>
              <w:rPr/>
              <w:t>投标人具有对应以上同类项目业绩获得满意（或同等意义的评价、表扬信、锦旗、服务满意度等，如80分或以上、满意或以上等）的服务质量评价，每提供一份得1分，最高得5分。  注：提供用户单位或其管理部门盖章出具的服务评价书或证明，不提供或专家无法认定的不得分。</w:t>
            </w:r>
          </w:p>
        </w:tc>
      </w:tr>
      <w:tr>
        <w:tc>
          <w:tcPr>
            <w:tcW w:type="dxa" w:w="922"/>
            <w:gridSpan w:val="2"/>
            <w:vMerge/>
          </w:tcPr>
          <w:p/>
        </w:tc>
        <w:tc>
          <w:tcPr>
            <w:tcW w:type="dxa" w:w="2307"/>
          </w:tcPr>
          <w:p>
            <w:pPr>
              <w:jc w:val="left"/>
            </w:pPr>
            <w:r>
              <w:rPr/>
              <w:t>售后服务方案（一）  (1.0分)</w:t>
            </w:r>
          </w:p>
        </w:tc>
        <w:tc>
          <w:tcPr>
            <w:tcW w:type="dxa" w:w="5076"/>
          </w:tcPr>
          <w:p>
            <w:pPr>
              <w:jc w:val="left"/>
            </w:pPr>
            <w:r>
              <w:rPr/>
              <w:t>评标委员会根据投标人提供的售后服务方案方案进行综合评审，方案应包括（投标文件中方案标题应以下列方案名称命名）： （1）不良反应处理方案； （2）产品有效期等特殊情况的措施。 注：提供全部内容得1分，每缺1项扣0.5分。</w:t>
            </w:r>
          </w:p>
        </w:tc>
      </w:tr>
      <w:tr>
        <w:tc>
          <w:tcPr>
            <w:tcW w:type="dxa" w:w="922"/>
            <w:gridSpan w:val="2"/>
            <w:vMerge/>
          </w:tcPr>
          <w:p/>
        </w:tc>
        <w:tc>
          <w:tcPr>
            <w:tcW w:type="dxa" w:w="2307"/>
          </w:tcPr>
          <w:p>
            <w:pPr>
              <w:jc w:val="left"/>
            </w:pPr>
            <w:r>
              <w:rPr/>
              <w:t>售后服务方案（二） (4.0分)</w:t>
            </w:r>
          </w:p>
        </w:tc>
        <w:tc>
          <w:tcPr>
            <w:tcW w:type="dxa" w:w="5076"/>
          </w:tcPr>
          <w:p>
            <w:pPr>
              <w:jc w:val="left"/>
            </w:pPr>
            <w:r>
              <w:rPr/>
              <w:t>根据投标人提供的售后服务方案进行综合评审： （1）售后服务方案及服务承诺详细具体、合理可行，完全满足或有优于采购需求的，对药品售后保障全面的，得4分； （2）售后服务方案及服务承诺具体，可完全满足采购需求的，对药品售后保障有部分缺漏的，得2分； （3）售后服务方案及服务承诺简单空洞或不合理不可行，缺乏保障性，得1分； （4）未提供任何方案说明，不得分。</w:t>
            </w:r>
          </w:p>
        </w:tc>
      </w:tr>
      <w:tr>
        <w:tc>
          <w:tcPr>
            <w:tcW w:type="dxa" w:w="922"/>
            <w:gridSpan w:val="2"/>
          </w:tcPr>
          <w:p>
            <w:pPr>
              <w:jc w:val="center"/>
            </w:pPr>
            <w:r>
              <w:rPr/>
              <w:t>投标报价</w:t>
            </w:r>
          </w:p>
        </w:tc>
        <w:tc>
          <w:tcPr>
            <w:tcW w:type="dxa" w:w="2307"/>
          </w:tcPr>
          <w:p>
            <w:pPr>
              <w:jc w:val="left"/>
            </w:pPr>
            <w:r>
              <w:rPr/>
              <w:t>投标报价得分 (50.0分)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r>
        <w:rPr/>
        <w:t xml:space="preserve"> </w:t>
      </w:r>
    </w:p>
    <w:p>
      <w:r>
        <w:rPr/>
        <w:t xml:space="preserve"> </w:t>
      </w:r>
    </w:p>
    <w:p>
      <w:pPr>
        <w:jc w:val="left"/>
      </w:pPr>
      <w:r>
        <w:rPr>
          <w:b/>
          <w:sz w:val="21"/>
        </w:rPr>
        <w:t>注： 合同具体事项须根据采购文件的约定及乙方投标文件的承诺执行；</w:t>
      </w:r>
    </w:p>
    <w:p>
      <w:pPr>
        <w:jc w:val="left"/>
      </w:pPr>
    </w:p>
    <w:p>
      <w:pPr>
        <w:ind w:firstLine="211"/>
        <w:jc w:val="left"/>
      </w:pPr>
    </w:p>
    <w:p/>
    <w:p>
      <w:r>
        <w:rPr/>
        <w:t xml:space="preserve"> </w:t>
      </w:r>
    </w:p>
    <w:p>
      <w:pPr>
        <w:jc w:val="both"/>
      </w:pPr>
    </w:p>
    <w:p>
      <w:pPr>
        <w:jc w:val="center"/>
      </w:pPr>
      <w:r>
        <w:rPr>
          <w:b/>
          <w:sz w:val="50"/>
        </w:rPr>
        <w:t>中山大学附属第六医院</w:t>
      </w:r>
    </w:p>
    <w:p>
      <w:pPr>
        <w:jc w:val="center"/>
      </w:pPr>
      <w:r>
        <w:rPr>
          <w:b/>
          <w:sz w:val="50"/>
        </w:rPr>
        <w:t>放射性药品采购项目</w:t>
      </w:r>
    </w:p>
    <w:p>
      <w:pPr>
        <w:jc w:val="both"/>
      </w:pPr>
    </w:p>
    <w:p>
      <w:pPr>
        <w:jc w:val="both"/>
      </w:pPr>
    </w:p>
    <w:p>
      <w:pPr>
        <w:jc w:val="both"/>
      </w:pPr>
    </w:p>
    <w:p>
      <w:pPr>
        <w:jc w:val="center"/>
      </w:pPr>
      <w:r>
        <w:rPr>
          <w:b/>
          <w:sz w:val="52"/>
        </w:rPr>
        <w:t>合</w:t>
      </w:r>
    </w:p>
    <w:p>
      <w:pPr>
        <w:jc w:val="center"/>
      </w:pPr>
    </w:p>
    <w:p>
      <w:pPr>
        <w:jc w:val="center"/>
      </w:pPr>
      <w:r>
        <w:rPr>
          <w:b/>
          <w:sz w:val="52"/>
        </w:rPr>
        <w:t>同</w:t>
      </w:r>
    </w:p>
    <w:p>
      <w:pPr>
        <w:jc w:val="center"/>
      </w:pPr>
    </w:p>
    <w:p>
      <w:pPr>
        <w:jc w:val="center"/>
      </w:pPr>
      <w:r>
        <w:rPr>
          <w:b/>
          <w:sz w:val="52"/>
        </w:rPr>
        <w:t>书</w:t>
      </w:r>
    </w:p>
    <w:p>
      <w:pPr>
        <w:jc w:val="both"/>
      </w:pPr>
    </w:p>
    <w:p>
      <w:pPr>
        <w:jc w:val="both"/>
      </w:pPr>
      <w:r>
        <w:rPr>
          <w:b/>
          <w:sz w:val="28"/>
        </w:rPr>
        <w:t xml:space="preserve">   项目名称：</w:t>
      </w:r>
      <w:r>
        <w:rPr>
          <w:b/>
          <w:sz w:val="28"/>
          <w:u w:val="single"/>
        </w:rPr>
        <w:t xml:space="preserve">中山大学附属第六医院放射性药品采购项目   </w:t>
      </w:r>
    </w:p>
    <w:p>
      <w:pPr>
        <w:ind w:firstLine="400"/>
        <w:jc w:val="both"/>
      </w:pPr>
      <w:r>
        <w:rPr>
          <w:b/>
          <w:sz w:val="28"/>
        </w:rPr>
        <w:t>合同编号：</w:t>
      </w:r>
      <w:r>
        <w:rPr>
          <w:b/>
          <w:sz w:val="28"/>
          <w:u w:val="single"/>
        </w:rPr>
        <w:t xml:space="preserve">                                                  </w:t>
      </w:r>
    </w:p>
    <w:p>
      <w:pPr>
        <w:ind w:firstLine="400"/>
        <w:jc w:val="both"/>
      </w:pPr>
      <w:r>
        <w:rPr>
          <w:b/>
          <w:sz w:val="28"/>
        </w:rPr>
        <w:t>签约地点：</w:t>
      </w:r>
      <w:r>
        <w:rPr>
          <w:b/>
          <w:sz w:val="28"/>
          <w:u w:val="single"/>
        </w:rPr>
        <w:t xml:space="preserve"> 广东省广州市                                              </w:t>
      </w:r>
    </w:p>
    <w:p>
      <w:pPr>
        <w:ind w:firstLine="400"/>
        <w:jc w:val="both"/>
      </w:pPr>
      <w:r>
        <w:rPr>
          <w:b/>
          <w:sz w:val="28"/>
        </w:rPr>
        <w:t>签订日期：二○    年    月    日</w:t>
      </w:r>
    </w:p>
    <w:p/>
    <w:p>
      <w:r>
        <w:rPr/>
        <w:t xml:space="preserve"> </w:t>
      </w:r>
    </w:p>
    <w:p>
      <w:pPr>
        <w:jc w:val="both"/>
      </w:pPr>
      <w:r>
        <w:rPr>
          <w:b/>
          <w:sz w:val="21"/>
        </w:rPr>
        <w:t>甲　　方：</w:t>
      </w:r>
      <w:r>
        <w:rPr>
          <w:b/>
          <w:sz w:val="21"/>
          <w:u w:val="single"/>
        </w:rPr>
        <w:t>中山大学附属第六医院</w:t>
      </w:r>
    </w:p>
    <w:p>
      <w:pPr>
        <w:jc w:val="both"/>
      </w:pPr>
      <w:r>
        <w:rPr>
          <w:sz w:val="21"/>
        </w:rPr>
        <w:t>电　　话：</w:t>
      </w:r>
      <w:r>
        <w:rPr>
          <w:b/>
          <w:sz w:val="21"/>
          <w:u w:val="single"/>
        </w:rPr>
        <w:t>　020-38254000　　</w:t>
      </w:r>
      <w:r>
        <w:rPr>
          <w:sz w:val="21"/>
        </w:rPr>
        <w:t>　　传　　真：</w:t>
      </w:r>
      <w:r>
        <w:rPr>
          <w:b/>
          <w:sz w:val="21"/>
          <w:u w:val="single"/>
        </w:rPr>
        <w:t>　020-38254220　</w:t>
      </w:r>
      <w:r>
        <w:rPr>
          <w:sz w:val="21"/>
        </w:rPr>
        <w:t>　　</w:t>
      </w:r>
    </w:p>
    <w:p>
      <w:pPr>
        <w:jc w:val="both"/>
      </w:pPr>
      <w:r>
        <w:rPr>
          <w:sz w:val="21"/>
        </w:rPr>
        <w:t>地　　址：</w:t>
      </w:r>
      <w:r>
        <w:rPr>
          <w:b/>
          <w:sz w:val="21"/>
          <w:u w:val="single"/>
        </w:rPr>
        <w:t xml:space="preserve">广州市天河区员村二横路26号  </w:t>
      </w:r>
    </w:p>
    <w:p>
      <w:pPr>
        <w:jc w:val="both"/>
      </w:pPr>
      <w:r>
        <w:rPr>
          <w:b/>
          <w:sz w:val="21"/>
        </w:rPr>
        <w:t>乙　　方：</w:t>
      </w:r>
      <w:r>
        <w:rPr>
          <w:b/>
          <w:sz w:val="21"/>
          <w:u w:val="single"/>
        </w:rPr>
        <w:t xml:space="preserve">　                    </w:t>
      </w:r>
    </w:p>
    <w:p>
      <w:pPr>
        <w:jc w:val="both"/>
      </w:pPr>
      <w:r>
        <w:rPr>
          <w:sz w:val="21"/>
        </w:rPr>
        <w:t>电　　话：</w:t>
      </w:r>
      <w:r>
        <w:rPr>
          <w:b/>
          <w:sz w:val="21"/>
          <w:u w:val="single"/>
        </w:rPr>
        <w:t>　              　</w:t>
      </w:r>
      <w:r>
        <w:rPr>
          <w:sz w:val="21"/>
        </w:rPr>
        <w:t>　传　　真：</w:t>
      </w:r>
      <w:r>
        <w:rPr>
          <w:b/>
          <w:sz w:val="21"/>
          <w:u w:val="single"/>
        </w:rPr>
        <w:t>　               　</w:t>
      </w:r>
      <w:r>
        <w:rPr>
          <w:sz w:val="21"/>
        </w:rPr>
        <w:t>　</w:t>
      </w:r>
    </w:p>
    <w:p>
      <w:pPr>
        <w:jc w:val="both"/>
      </w:pPr>
      <w:r>
        <w:rPr>
          <w:sz w:val="21"/>
        </w:rPr>
        <w:t>地　　址：</w:t>
      </w:r>
      <w:r>
        <w:rPr>
          <w:b/>
          <w:sz w:val="21"/>
          <w:u w:val="single"/>
        </w:rPr>
        <w:t>　                                 　　</w:t>
      </w:r>
    </w:p>
    <w:p>
      <w:pPr>
        <w:jc w:val="both"/>
      </w:pPr>
      <w:r>
        <w:rPr>
          <w:sz w:val="21"/>
        </w:rPr>
        <w:t>项目名称：</w:t>
      </w:r>
      <w:r>
        <w:rPr>
          <w:sz w:val="21"/>
          <w:u w:val="single"/>
        </w:rPr>
        <w:t>　</w:t>
      </w:r>
      <w:r>
        <w:rPr>
          <w:b/>
          <w:sz w:val="21"/>
          <w:u w:val="single"/>
        </w:rPr>
        <w:t xml:space="preserve">                                  </w:t>
      </w:r>
      <w:r>
        <w:rPr>
          <w:sz w:val="21"/>
          <w:u w:val="single"/>
        </w:rPr>
        <w:t>　</w:t>
      </w:r>
    </w:p>
    <w:p>
      <w:pPr>
        <w:jc w:val="both"/>
      </w:pPr>
      <w:r>
        <w:rPr>
          <w:sz w:val="21"/>
        </w:rPr>
        <w:t>采购编号：</w:t>
      </w:r>
      <w:r>
        <w:rPr>
          <w:sz w:val="21"/>
          <w:u w:val="single"/>
        </w:rPr>
        <w:t>　</w:t>
      </w:r>
      <w:r>
        <w:rPr>
          <w:b/>
          <w:sz w:val="21"/>
          <w:u w:val="single"/>
        </w:rPr>
        <w:t>GZGK23P200A0675Z</w:t>
      </w:r>
      <w:r>
        <w:rPr>
          <w:sz w:val="21"/>
          <w:u w:val="single"/>
        </w:rPr>
        <w:t>　　</w:t>
      </w:r>
    </w:p>
    <w:p>
      <w:pPr>
        <w:jc w:val="both"/>
      </w:pPr>
    </w:p>
    <w:p>
      <w:pPr>
        <w:ind w:firstLine="424"/>
        <w:jc w:val="both"/>
      </w:pPr>
      <w:r>
        <w:rPr>
          <w:sz w:val="21"/>
        </w:rPr>
        <w:t>根据</w:t>
      </w:r>
      <w:r>
        <w:rPr>
          <w:sz w:val="21"/>
          <w:u w:val="single"/>
        </w:rPr>
        <w:t xml:space="preserve"> 中山大学附属第六医院放射性药品采购项目（项目编号：GZGK23P200A0675Z，采购包     ）</w:t>
      </w:r>
      <w:r>
        <w:rPr>
          <w:sz w:val="21"/>
        </w:rPr>
        <w:t>的采购结果，按照《中华人民共和国政府采购法》、《中华人民共和国民法典》的规定，经双方协商，本着平等互利和诚实信用的原则，一致同意签订本合同如下。</w:t>
      </w:r>
    </w:p>
    <w:p>
      <w:pPr>
        <w:ind w:firstLine="424"/>
        <w:jc w:val="both"/>
      </w:pPr>
      <w:r>
        <w:rPr>
          <w:b/>
          <w:sz w:val="21"/>
        </w:rPr>
        <w:t>一、合同标的</w:t>
      </w:r>
    </w:p>
    <w:tbl>
      <w:tblPr>
        <w:tblW w:w="0" w:type="auto"/>
        <w:tblBorders>
          <w:top w:val="none" w:color="000000" w:sz="4"/>
          <w:left w:val="none" w:color="000000" w:sz="4"/>
          <w:bottom w:val="none" w:color="000000" w:sz="4"/>
          <w:right w:val="none" w:color="000000" w:sz="4"/>
          <w:insideH w:val="none"/>
          <w:insideV w:val="none"/>
        </w:tblBorders>
      </w:tblPr>
      <w:tblGrid>
        <w:gridCol w:w="771"/>
        <w:gridCol w:w="1884"/>
        <w:gridCol w:w="3425"/>
        <w:gridCol w:w="1028"/>
        <w:gridCol w:w="1199"/>
      </w:tblGrid>
      <w:tr>
        <w:tc>
          <w:tcPr>
            <w:tcW w:type="dxa" w:w="771"/>
            <w:tcBorders>
              <w:top w:val="single" w:color="000000" w:sz="4"/>
              <w:left w:val="single" w:color="000000" w:sz="4"/>
              <w:bottom w:val="single" w:color="000000" w:sz="4"/>
              <w:right w:val="single" w:color="000000" w:sz="4"/>
            </w:tcBorders>
          </w:tcPr>
          <w:p>
            <w:pPr>
              <w:jc w:val="center"/>
            </w:pPr>
            <w:r>
              <w:rPr>
                <w:sz w:val="21"/>
              </w:rPr>
              <w:t>序号</w:t>
            </w:r>
          </w:p>
        </w:tc>
        <w:tc>
          <w:tcPr>
            <w:tcW w:type="dxa" w:w="1884"/>
            <w:tcBorders>
              <w:top w:val="single" w:color="000000" w:sz="4"/>
              <w:left w:val="none" w:color="000000" w:sz="4"/>
              <w:bottom w:val="single" w:color="000000" w:sz="4"/>
              <w:right w:val="single" w:color="000000" w:sz="4"/>
            </w:tcBorders>
          </w:tcPr>
          <w:p>
            <w:pPr>
              <w:jc w:val="center"/>
            </w:pPr>
            <w:r>
              <w:rPr>
                <w:sz w:val="21"/>
              </w:rPr>
              <w:t>商品名称</w:t>
            </w:r>
          </w:p>
        </w:tc>
        <w:tc>
          <w:tcPr>
            <w:tcW w:type="dxa" w:w="3425"/>
            <w:tcBorders>
              <w:top w:val="single" w:color="000000" w:sz="4"/>
              <w:left w:val="none" w:color="000000" w:sz="4"/>
              <w:bottom w:val="single" w:color="000000" w:sz="4"/>
              <w:right w:val="single" w:color="000000" w:sz="4"/>
            </w:tcBorders>
          </w:tcPr>
          <w:p>
            <w:pPr>
              <w:jc w:val="center"/>
            </w:pPr>
            <w:r>
              <w:rPr>
                <w:sz w:val="21"/>
              </w:rPr>
              <w:t>品牌、规格</w:t>
            </w:r>
          </w:p>
        </w:tc>
        <w:tc>
          <w:tcPr>
            <w:tcW w:type="dxa" w:w="1028"/>
            <w:tcBorders>
              <w:top w:val="single" w:color="000000" w:sz="4"/>
              <w:left w:val="none" w:color="000000" w:sz="4"/>
              <w:bottom w:val="single" w:color="000000" w:sz="4"/>
              <w:right w:val="single" w:color="000000" w:sz="4"/>
            </w:tcBorders>
          </w:tcPr>
          <w:p>
            <w:pPr>
              <w:jc w:val="center"/>
            </w:pPr>
            <w:r>
              <w:rPr>
                <w:sz w:val="21"/>
              </w:rPr>
              <w:t>产地</w:t>
            </w:r>
          </w:p>
        </w:tc>
        <w:tc>
          <w:tcPr>
            <w:tcW w:type="dxa" w:w="1199"/>
            <w:tcBorders>
              <w:top w:val="single" w:color="000000" w:sz="4"/>
              <w:left w:val="none" w:color="000000" w:sz="4"/>
              <w:bottom w:val="single" w:color="000000" w:sz="4"/>
              <w:right w:val="single" w:color="000000" w:sz="4"/>
            </w:tcBorders>
          </w:tcPr>
          <w:p>
            <w:pPr>
              <w:jc w:val="center"/>
            </w:pPr>
            <w:r>
              <w:rPr>
                <w:sz w:val="21"/>
              </w:rPr>
              <w:t>单价(元)</w:t>
            </w:r>
          </w:p>
        </w:tc>
      </w:tr>
      <w:tr>
        <w:tc>
          <w:tcPr>
            <w:tcW w:type="dxa" w:w="771"/>
            <w:tcBorders>
              <w:top w:val="none" w:color="000000" w:sz="4"/>
              <w:left w:val="single" w:color="000000" w:sz="4"/>
              <w:bottom w:val="single" w:color="000000" w:sz="4"/>
              <w:right w:val="single" w:color="000000" w:sz="4"/>
            </w:tcBorders>
          </w:tcPr>
          <w:p>
            <w:pPr>
              <w:jc w:val="center"/>
            </w:pPr>
            <w:r>
              <w:rPr>
                <w:sz w:val="21"/>
              </w:rPr>
              <w:t>1</w:t>
            </w:r>
          </w:p>
        </w:tc>
        <w:tc>
          <w:tcPr>
            <w:tcW w:type="dxa" w:w="1884"/>
            <w:tcBorders>
              <w:top w:val="none" w:color="000000" w:sz="4"/>
              <w:left w:val="none" w:color="000000" w:sz="4"/>
              <w:bottom w:val="single" w:color="000000" w:sz="4"/>
              <w:right w:val="single" w:color="000000" w:sz="4"/>
            </w:tcBorders>
          </w:tcPr>
          <w:p>
            <w:pPr>
              <w:jc w:val="both"/>
            </w:pPr>
          </w:p>
        </w:tc>
        <w:tc>
          <w:tcPr>
            <w:tcW w:type="dxa" w:w="3425"/>
            <w:tcBorders>
              <w:top w:val="none" w:color="000000" w:sz="4"/>
              <w:left w:val="none" w:color="000000" w:sz="4"/>
              <w:bottom w:val="single" w:color="000000" w:sz="4"/>
              <w:right w:val="single" w:color="000000" w:sz="4"/>
            </w:tcBorders>
          </w:tcPr>
          <w:p>
            <w:pPr>
              <w:jc w:val="both"/>
            </w:pPr>
          </w:p>
        </w:tc>
        <w:tc>
          <w:tcPr>
            <w:tcW w:type="dxa" w:w="1028"/>
            <w:tcBorders>
              <w:top w:val="none" w:color="000000" w:sz="4"/>
              <w:left w:val="none" w:color="000000" w:sz="4"/>
              <w:bottom w:val="single" w:color="000000" w:sz="4"/>
              <w:right w:val="single" w:color="000000" w:sz="4"/>
            </w:tcBorders>
          </w:tcPr>
          <w:p>
            <w:pPr>
              <w:jc w:val="both"/>
            </w:pPr>
          </w:p>
        </w:tc>
        <w:tc>
          <w:tcPr>
            <w:tcW w:type="dxa" w:w="1199"/>
            <w:tcBorders>
              <w:top w:val="none" w:color="000000" w:sz="4"/>
              <w:left w:val="none" w:color="000000" w:sz="4"/>
              <w:bottom w:val="single" w:color="000000" w:sz="4"/>
              <w:right w:val="single" w:color="000000" w:sz="4"/>
            </w:tcBorders>
          </w:tcPr>
          <w:p>
            <w:pPr>
              <w:jc w:val="both"/>
            </w:pPr>
          </w:p>
        </w:tc>
      </w:tr>
      <w:tr>
        <w:tc>
          <w:tcPr>
            <w:tcW w:type="dxa" w:w="771"/>
            <w:tcBorders>
              <w:top w:val="none" w:color="000000" w:sz="4"/>
              <w:left w:val="single" w:color="000000" w:sz="4"/>
              <w:bottom w:val="single" w:color="000000" w:sz="4"/>
              <w:right w:val="single" w:color="000000" w:sz="4"/>
            </w:tcBorders>
          </w:tcPr>
          <w:p>
            <w:pPr>
              <w:jc w:val="center"/>
            </w:pPr>
            <w:r>
              <w:rPr>
                <w:sz w:val="21"/>
              </w:rPr>
              <w:t>2</w:t>
            </w:r>
          </w:p>
        </w:tc>
        <w:tc>
          <w:tcPr>
            <w:tcW w:type="dxa" w:w="1884"/>
            <w:tcBorders>
              <w:top w:val="none" w:color="000000" w:sz="4"/>
              <w:left w:val="none" w:color="000000" w:sz="4"/>
              <w:bottom w:val="single" w:color="000000" w:sz="4"/>
              <w:right w:val="single" w:color="000000" w:sz="4"/>
            </w:tcBorders>
          </w:tcPr>
          <w:p>
            <w:pPr>
              <w:jc w:val="both"/>
            </w:pPr>
          </w:p>
        </w:tc>
        <w:tc>
          <w:tcPr>
            <w:tcW w:type="dxa" w:w="3425"/>
            <w:tcBorders>
              <w:top w:val="none" w:color="000000" w:sz="4"/>
              <w:left w:val="none" w:color="000000" w:sz="4"/>
              <w:bottom w:val="single" w:color="000000" w:sz="4"/>
              <w:right w:val="single" w:color="000000" w:sz="4"/>
            </w:tcBorders>
          </w:tcPr>
          <w:p>
            <w:pPr>
              <w:jc w:val="both"/>
            </w:pPr>
          </w:p>
        </w:tc>
        <w:tc>
          <w:tcPr>
            <w:tcW w:type="dxa" w:w="1028"/>
            <w:tcBorders>
              <w:top w:val="none" w:color="000000" w:sz="4"/>
              <w:left w:val="none" w:color="000000" w:sz="4"/>
              <w:bottom w:val="single" w:color="000000" w:sz="4"/>
              <w:right w:val="single" w:color="000000" w:sz="4"/>
            </w:tcBorders>
          </w:tcPr>
          <w:p>
            <w:pPr>
              <w:jc w:val="both"/>
            </w:pPr>
          </w:p>
        </w:tc>
        <w:tc>
          <w:tcPr>
            <w:tcW w:type="dxa" w:w="1199"/>
            <w:tcBorders>
              <w:top w:val="none" w:color="000000" w:sz="4"/>
              <w:left w:val="none" w:color="000000" w:sz="4"/>
              <w:bottom w:val="single" w:color="000000" w:sz="4"/>
              <w:right w:val="single" w:color="000000" w:sz="4"/>
            </w:tcBorders>
          </w:tcPr>
          <w:p>
            <w:pPr>
              <w:jc w:val="both"/>
            </w:pPr>
          </w:p>
        </w:tc>
      </w:tr>
      <w:tr>
        <w:tc>
          <w:tcPr>
            <w:tcW w:type="dxa" w:w="771"/>
            <w:tcBorders>
              <w:top w:val="none" w:color="000000" w:sz="4"/>
              <w:left w:val="single" w:color="000000" w:sz="4"/>
              <w:bottom w:val="single" w:color="000000" w:sz="4"/>
              <w:right w:val="single" w:color="000000" w:sz="4"/>
            </w:tcBorders>
          </w:tcPr>
          <w:p>
            <w:pPr>
              <w:jc w:val="center"/>
            </w:pPr>
            <w:r>
              <w:rPr>
                <w:sz w:val="21"/>
              </w:rPr>
              <w:t>3</w:t>
            </w:r>
          </w:p>
        </w:tc>
        <w:tc>
          <w:tcPr>
            <w:tcW w:type="dxa" w:w="1884"/>
            <w:tcBorders>
              <w:top w:val="none" w:color="000000" w:sz="4"/>
              <w:left w:val="none" w:color="000000" w:sz="4"/>
              <w:bottom w:val="single" w:color="000000" w:sz="4"/>
              <w:right w:val="single" w:color="000000" w:sz="4"/>
            </w:tcBorders>
          </w:tcPr>
          <w:p>
            <w:pPr>
              <w:jc w:val="both"/>
            </w:pPr>
          </w:p>
        </w:tc>
        <w:tc>
          <w:tcPr>
            <w:tcW w:type="dxa" w:w="3425"/>
            <w:tcBorders>
              <w:top w:val="none" w:color="000000" w:sz="4"/>
              <w:left w:val="none" w:color="000000" w:sz="4"/>
              <w:bottom w:val="single" w:color="000000" w:sz="4"/>
              <w:right w:val="single" w:color="000000" w:sz="4"/>
            </w:tcBorders>
          </w:tcPr>
          <w:p>
            <w:pPr>
              <w:jc w:val="both"/>
            </w:pPr>
          </w:p>
        </w:tc>
        <w:tc>
          <w:tcPr>
            <w:tcW w:type="dxa" w:w="1028"/>
            <w:tcBorders>
              <w:top w:val="none" w:color="000000" w:sz="4"/>
              <w:left w:val="none" w:color="000000" w:sz="4"/>
              <w:bottom w:val="single" w:color="000000" w:sz="4"/>
              <w:right w:val="single" w:color="000000" w:sz="4"/>
            </w:tcBorders>
          </w:tcPr>
          <w:p>
            <w:pPr>
              <w:jc w:val="both"/>
            </w:pPr>
          </w:p>
        </w:tc>
        <w:tc>
          <w:tcPr>
            <w:tcW w:type="dxa" w:w="1199"/>
            <w:tcBorders>
              <w:top w:val="none" w:color="000000" w:sz="4"/>
              <w:left w:val="none" w:color="000000" w:sz="4"/>
              <w:bottom w:val="single" w:color="000000" w:sz="4"/>
              <w:right w:val="single" w:color="000000" w:sz="4"/>
            </w:tcBorders>
          </w:tcPr>
          <w:p>
            <w:pPr>
              <w:jc w:val="both"/>
            </w:pPr>
          </w:p>
        </w:tc>
      </w:tr>
      <w:tr>
        <w:tc>
          <w:tcPr>
            <w:tcW w:type="dxa" w:w="771"/>
            <w:tcBorders>
              <w:top w:val="none" w:color="000000" w:sz="4"/>
              <w:left w:val="single" w:color="000000" w:sz="4"/>
              <w:bottom w:val="single" w:color="000000" w:sz="4"/>
              <w:right w:val="single" w:color="000000" w:sz="4"/>
            </w:tcBorders>
          </w:tcPr>
          <w:p>
            <w:pPr>
              <w:jc w:val="center"/>
            </w:pPr>
            <w:r>
              <w:rPr>
                <w:sz w:val="21"/>
              </w:rPr>
              <w:t>…</w:t>
            </w:r>
          </w:p>
        </w:tc>
        <w:tc>
          <w:tcPr>
            <w:tcW w:type="dxa" w:w="1884"/>
            <w:tcBorders>
              <w:top w:val="none" w:color="000000" w:sz="4"/>
              <w:left w:val="none" w:color="000000" w:sz="4"/>
              <w:bottom w:val="single" w:color="000000" w:sz="4"/>
              <w:right w:val="single" w:color="000000" w:sz="4"/>
            </w:tcBorders>
          </w:tcPr>
          <w:p>
            <w:pPr>
              <w:jc w:val="both"/>
            </w:pPr>
          </w:p>
        </w:tc>
        <w:tc>
          <w:tcPr>
            <w:tcW w:type="dxa" w:w="3425"/>
            <w:tcBorders>
              <w:top w:val="none" w:color="000000" w:sz="4"/>
              <w:left w:val="none" w:color="000000" w:sz="4"/>
              <w:bottom w:val="single" w:color="000000" w:sz="4"/>
              <w:right w:val="single" w:color="000000" w:sz="4"/>
            </w:tcBorders>
          </w:tcPr>
          <w:p>
            <w:pPr>
              <w:jc w:val="both"/>
            </w:pPr>
          </w:p>
        </w:tc>
        <w:tc>
          <w:tcPr>
            <w:tcW w:type="dxa" w:w="1028"/>
            <w:tcBorders>
              <w:top w:val="none" w:color="000000" w:sz="4"/>
              <w:left w:val="none" w:color="000000" w:sz="4"/>
              <w:bottom w:val="single" w:color="000000" w:sz="4"/>
              <w:right w:val="single" w:color="000000" w:sz="4"/>
            </w:tcBorders>
          </w:tcPr>
          <w:p>
            <w:pPr>
              <w:jc w:val="both"/>
            </w:pPr>
          </w:p>
        </w:tc>
        <w:tc>
          <w:tcPr>
            <w:tcW w:type="dxa" w:w="1199"/>
            <w:tcBorders>
              <w:top w:val="none" w:color="000000" w:sz="4"/>
              <w:left w:val="none" w:color="000000" w:sz="4"/>
              <w:bottom w:val="single" w:color="000000" w:sz="4"/>
              <w:right w:val="single" w:color="000000" w:sz="4"/>
            </w:tcBorders>
          </w:tcPr>
          <w:p>
            <w:pPr>
              <w:jc w:val="both"/>
            </w:pPr>
          </w:p>
        </w:tc>
      </w:tr>
    </w:tbl>
    <w:p>
      <w:pPr>
        <w:ind w:firstLine="420"/>
        <w:jc w:val="both"/>
      </w:pPr>
      <w:r>
        <w:rPr>
          <w:sz w:val="21"/>
        </w:rPr>
        <w:t>注：货物名称内容必须与投标文件中货物名称内容一致。单价=单价最高限价*中标折扣率；所有货物适用于同一个中标折扣率。</w:t>
      </w:r>
    </w:p>
    <w:p>
      <w:pPr>
        <w:ind w:firstLine="420"/>
        <w:jc w:val="both"/>
      </w:pPr>
      <w:r>
        <w:rPr>
          <w:b/>
          <w:sz w:val="21"/>
        </w:rPr>
        <w:t>二、合同金额</w:t>
      </w:r>
    </w:p>
    <w:p>
      <w:pPr>
        <w:ind w:firstLine="420"/>
        <w:jc w:val="both"/>
      </w:pPr>
      <w:r>
        <w:rPr>
          <w:sz w:val="21"/>
        </w:rPr>
        <w:t>1、本合同执行期（xx年xx月xx日-xx年xx月xx日）内本年度限额为</w:t>
      </w:r>
      <w:r>
        <w:rPr>
          <w:sz w:val="21"/>
          <w:u w:val="single"/>
        </w:rPr>
        <w:t xml:space="preserve">   </w:t>
      </w:r>
      <w:r>
        <w:rPr>
          <w:sz w:val="21"/>
        </w:rPr>
        <w:t>万元（本项目采购预算为：</w:t>
      </w:r>
      <w:r>
        <w:rPr>
          <w:sz w:val="21"/>
          <w:u w:val="single"/>
        </w:rPr>
        <w:t xml:space="preserve">   </w:t>
      </w:r>
      <w:r>
        <w:rPr>
          <w:sz w:val="21"/>
        </w:rPr>
        <w:t>万元），实际执行的结束时间以“实际结算费用累计达到采购预算”或“供货期3年期限”先到者供货结束。合同一年一签，每年度供应商</w:t>
      </w:r>
      <w:r>
        <w:rPr>
          <w:b/>
          <w:sz w:val="21"/>
        </w:rPr>
        <w:t>服务质量考核合格的续签合同（</w:t>
      </w:r>
      <w:r>
        <w:rPr>
          <w:sz w:val="21"/>
        </w:rPr>
        <w:t>每年度考核不合格的，乙方应在甲方规定时间内及时整改完善直至合格，整改后仍不合格的，甲方有权单方解除合同</w:t>
      </w:r>
      <w:r>
        <w:rPr>
          <w:b/>
          <w:sz w:val="21"/>
        </w:rPr>
        <w:t>），最长</w:t>
      </w:r>
      <w:r>
        <w:rPr>
          <w:sz w:val="21"/>
        </w:rPr>
        <w:t>供货期为3年。</w:t>
      </w:r>
    </w:p>
    <w:p>
      <w:pPr>
        <w:ind w:firstLine="420"/>
        <w:jc w:val="both"/>
      </w:pPr>
      <w:r>
        <w:rPr>
          <w:sz w:val="21"/>
        </w:rPr>
        <w:t xml:space="preserve"> 2、在供货期限内因国家政策或不可抗力的因素导致采购人不能执行所采购货物时，本项目合同终止，采购人及采购代理机构不承担任何责任。</w:t>
      </w:r>
    </w:p>
    <w:p>
      <w:pPr>
        <w:ind w:firstLine="420"/>
        <w:jc w:val="both"/>
      </w:pPr>
      <w:r>
        <w:rPr>
          <w:b/>
          <w:sz w:val="21"/>
        </w:rPr>
        <w:t>三、包装与运输：</w:t>
      </w:r>
    </w:p>
    <w:p>
      <w:pPr>
        <w:ind w:firstLine="420"/>
        <w:jc w:val="both"/>
      </w:pPr>
      <w:r>
        <w:rPr>
          <w:sz w:val="21"/>
        </w:rPr>
        <w:t>1.设备的包装均应有良好的防湿、防锈、防潮、防雨、防腐及防碰撞的措施。凡由于包装不良造成的损失和由此产生的费用均由乙方承担。</w:t>
      </w:r>
    </w:p>
    <w:p>
      <w:pPr>
        <w:ind w:firstLine="420"/>
        <w:jc w:val="both"/>
      </w:pPr>
      <w:r>
        <w:rPr>
          <w:sz w:val="21"/>
        </w:rPr>
        <w:t>2.包装应有药物标签，标签要注明药品的具体名称、生产时间、剂量、放化纯度等主要质控参数。</w:t>
      </w:r>
    </w:p>
    <w:p>
      <w:pPr>
        <w:ind w:firstLine="420"/>
        <w:jc w:val="both"/>
      </w:pPr>
      <w:r>
        <w:rPr>
          <w:b/>
          <w:sz w:val="21"/>
        </w:rPr>
        <w:t>四、质量保证</w:t>
      </w:r>
      <w:r>
        <w:rPr>
          <w:b/>
          <w:sz w:val="21"/>
        </w:rPr>
        <w:t>期（有效期）</w:t>
      </w:r>
    </w:p>
    <w:p>
      <w:pPr>
        <w:ind w:firstLine="420"/>
        <w:jc w:val="both"/>
      </w:pPr>
      <w:r>
        <w:rPr>
          <w:sz w:val="21"/>
        </w:rPr>
        <w:t>1.乙方提供的货物必须符合中华人民共和国“国家安全环保标准”。</w:t>
      </w:r>
    </w:p>
    <w:p>
      <w:pPr>
        <w:ind w:firstLine="420"/>
        <w:jc w:val="both"/>
      </w:pPr>
      <w:r>
        <w:rPr>
          <w:sz w:val="21"/>
        </w:rPr>
        <w:t>2.乙方提供的产品必须能提供产品质量证明，保证为原厂全新正品，包装完好，保存得当，其技术规格、标准必须符合放射性药品质量控制标准。</w:t>
      </w:r>
    </w:p>
    <w:p>
      <w:pPr>
        <w:ind w:firstLine="420"/>
        <w:jc w:val="both"/>
      </w:pPr>
      <w:r>
        <w:rPr>
          <w:sz w:val="21"/>
        </w:rPr>
        <w:t>3.产品为原厂商未启封全新包装，具出厂合格证，序列号、包装箱号与出厂批号一致，并可追溯查阅。</w:t>
      </w:r>
    </w:p>
    <w:p>
      <w:pPr>
        <w:ind w:firstLine="420"/>
        <w:jc w:val="both"/>
      </w:pPr>
      <w:r>
        <w:rPr>
          <w:sz w:val="21"/>
        </w:rPr>
        <w:t>4.如果发现货物的质量和规格与合同规定不符，或货物在质量保证期内被证明有缺陷，包括内在缺陷或使用不适当原材料，甲方将有权要求有关部门进行检验，并依据检验证书向乙方索赔，乙方负责退货工作。</w:t>
      </w:r>
    </w:p>
    <w:p>
      <w:pPr>
        <w:ind w:firstLine="420"/>
        <w:jc w:val="both"/>
      </w:pPr>
      <w:r>
        <w:rPr>
          <w:sz w:val="21"/>
        </w:rPr>
        <w:t>5.保证所供应放射性药品的放化纯度大于95%，符合放射性药品的质量控制标准。</w:t>
      </w:r>
    </w:p>
    <w:p>
      <w:pPr>
        <w:ind w:firstLine="420"/>
        <w:jc w:val="both"/>
      </w:pPr>
      <w:r>
        <w:rPr>
          <w:sz w:val="21"/>
        </w:rPr>
        <w:t>6.质量保证期（有效期）内非因甲方的人为原因而出现产品质量问题，由乙方全部负责包换或包退，并承担因此而产生的一切费用。</w:t>
      </w:r>
    </w:p>
    <w:p>
      <w:pPr>
        <w:ind w:firstLine="420"/>
        <w:jc w:val="both"/>
      </w:pPr>
      <w:r>
        <w:rPr>
          <w:sz w:val="21"/>
        </w:rPr>
        <w:t>7.因质量问题而发生争议，由广东省或广州市质检部门进行质量鉴定。符合质量标准的，鉴定费用由甲方承担；不符合质量标准的，鉴定费用由乙方承担。</w:t>
      </w:r>
    </w:p>
    <w:p>
      <w:pPr>
        <w:ind w:firstLine="420"/>
        <w:jc w:val="both"/>
      </w:pPr>
      <w:r>
        <w:rPr>
          <w:b/>
          <w:sz w:val="21"/>
        </w:rPr>
        <w:t>五、服务要求</w:t>
      </w:r>
    </w:p>
    <w:p>
      <w:pPr>
        <w:ind w:firstLine="420"/>
        <w:jc w:val="both"/>
      </w:pPr>
      <w:r>
        <w:rPr>
          <w:sz w:val="21"/>
        </w:rPr>
        <w:t>1.乙方用于药品运输的车辆及设备必须满足《放射性物品道路运输管理规定》中的相关规定。乙方或者乙方所分包的药品运输单位具有有效的《放射性物品道路运输许可证》。</w:t>
      </w:r>
    </w:p>
    <w:p>
      <w:pPr>
        <w:ind w:firstLine="420"/>
        <w:jc w:val="both"/>
      </w:pPr>
      <w:r>
        <w:rPr>
          <w:sz w:val="21"/>
        </w:rPr>
        <w:t>2.投标人所提供的放射性药品具有有效的《药品注册证》或《药品再注册批件》。</w:t>
      </w:r>
    </w:p>
    <w:p>
      <w:pPr>
        <w:ind w:firstLine="420"/>
        <w:jc w:val="both"/>
      </w:pPr>
      <w:r>
        <w:rPr>
          <w:sz w:val="21"/>
        </w:rPr>
        <w:t>3.供货要求：分批次供货，在甲方下单后1小时内送达甲方指定地点。乙方需具备应急配送供货的能力，在特殊紧急情况下，在甲方下单后35分钟内送达甲方指定地点。</w:t>
      </w:r>
    </w:p>
    <w:p>
      <w:pPr>
        <w:ind w:firstLine="420"/>
        <w:jc w:val="both"/>
      </w:pPr>
      <w:r>
        <w:rPr>
          <w:sz w:val="21"/>
        </w:rPr>
        <w:t>4．乙方安排专门的、有资质的专业技术人员进行现场分装，以保证检查用药剂量的个体化和准确性，该人员遵守医院科室的各种规章制度。</w:t>
      </w:r>
    </w:p>
    <w:p>
      <w:pPr>
        <w:ind w:firstLine="420"/>
        <w:jc w:val="both"/>
      </w:pPr>
      <w:r>
        <w:rPr>
          <w:sz w:val="21"/>
        </w:rPr>
        <w:t>5. 乙方所提供的货物必须是所代表品牌厂商出品的、全新的、包装完好的、符合国家有关质量、安全、环保标准的原装产品。</w:t>
      </w:r>
    </w:p>
    <w:p>
      <w:pPr>
        <w:ind w:firstLine="420"/>
        <w:jc w:val="both"/>
      </w:pPr>
      <w:r>
        <w:rPr>
          <w:sz w:val="21"/>
        </w:rPr>
        <w:t>6. 每种放射性药品含内外标签，并清楚标明：内外标签一致的编号、药物名称、剂量、校准的时间、有效期限、批号、生产单位。</w:t>
      </w:r>
    </w:p>
    <w:p>
      <w:pPr>
        <w:ind w:firstLine="420"/>
        <w:jc w:val="both"/>
      </w:pPr>
      <w:r>
        <w:rPr>
          <w:sz w:val="21"/>
        </w:rPr>
        <w:t>7.乙方所提供产品内外包装均须符合国家规定的放射性药品运输要求。</w:t>
      </w:r>
    </w:p>
    <w:p>
      <w:pPr>
        <w:ind w:firstLine="420"/>
        <w:jc w:val="both"/>
      </w:pPr>
      <w:r>
        <w:rPr>
          <w:sz w:val="21"/>
        </w:rPr>
        <w:t>8.供货时还需提供产品合格证明或检验报告书，以及产品使用说明书。</w:t>
      </w:r>
    </w:p>
    <w:p>
      <w:pPr>
        <w:ind w:firstLine="420"/>
        <w:jc w:val="both"/>
      </w:pPr>
      <w:r>
        <w:rPr>
          <w:sz w:val="21"/>
        </w:rPr>
        <w:t>9．为助力甲方临床科研发展，乙方为甲方临床科研实验提供常规的新型化合物标记技术服务。</w:t>
      </w:r>
    </w:p>
    <w:p>
      <w:pPr>
        <w:ind w:firstLine="420"/>
        <w:jc w:val="both"/>
      </w:pPr>
      <w:r>
        <w:rPr>
          <w:sz w:val="21"/>
        </w:rPr>
        <w:t>10.药物有异常的情况（包括但不限于剂量不符、目测药物异常、溢岀/外漏、QC不达标、辐射感染、包装破损、过期等），乙方需进行回收，并重新提供相应种类、数量的合格药品。</w:t>
      </w:r>
    </w:p>
    <w:p>
      <w:pPr>
        <w:ind w:firstLine="420"/>
        <w:jc w:val="both"/>
      </w:pPr>
      <w:r>
        <w:rPr>
          <w:sz w:val="21"/>
        </w:rPr>
        <w:t>11.服务期内，如果出现乙方无法供货的情形，甲方有权另行采购所需的药品，其费用由乙方进行支付。如乙方服务期内累计3次或长期无法供货，影响科室用药的，甲方有权终止合同；情节严重的，甲方有权追究其相关法律责任，并要求赔偿</w:t>
      </w:r>
    </w:p>
    <w:p>
      <w:pPr>
        <w:ind w:firstLine="420"/>
        <w:jc w:val="both"/>
      </w:pPr>
      <w:r>
        <w:rPr>
          <w:sz w:val="21"/>
        </w:rPr>
        <w:t>六、</w:t>
      </w:r>
      <w:r>
        <w:rPr>
          <w:b/>
          <w:sz w:val="21"/>
        </w:rPr>
        <w:t>货物验收：</w:t>
      </w:r>
    </w:p>
    <w:p>
      <w:pPr>
        <w:ind w:firstLine="420"/>
        <w:jc w:val="both"/>
      </w:pPr>
      <w:r>
        <w:rPr>
          <w:sz w:val="21"/>
        </w:rPr>
        <w:t>1.甲方收到乙方送达的货物后及时对放射性药品进行验收，验收项目包括：品名、规格、放射性活度、外观质量、货物包装是否完好；乙方保证送货文件的真实、完整。甲方验收合格后视为确认收货。</w:t>
      </w:r>
    </w:p>
    <w:p>
      <w:pPr>
        <w:ind w:firstLine="420"/>
        <w:jc w:val="both"/>
      </w:pPr>
      <w:r>
        <w:rPr>
          <w:sz w:val="21"/>
        </w:rPr>
        <w:t>2.乙方应当保证按约定时间、地点将货物送至交货地点。无正当理由不得延迟交货。若乙方遇到突发情况或受不可抗因素影响不能按时送达时，乙方应与甲方及时沟通并采取相应措施将影响降到最少。</w:t>
      </w:r>
    </w:p>
    <w:p>
      <w:pPr>
        <w:ind w:firstLine="420"/>
        <w:jc w:val="both"/>
      </w:pPr>
      <w:r>
        <w:rPr>
          <w:sz w:val="21"/>
        </w:rPr>
        <w:t>3.当出现不合格产品时，乙方要无条件更换合格产品。除甲方认可，否则不接受任何形式的降格处理。</w:t>
      </w:r>
    </w:p>
    <w:p>
      <w:pPr>
        <w:ind w:firstLine="420"/>
        <w:jc w:val="both"/>
      </w:pPr>
      <w:r>
        <w:rPr>
          <w:sz w:val="21"/>
        </w:rPr>
        <w:t>4.批量进货无法逐一开箱验货时，待开箱时如发现乙方提供的货品与规格不符或者有质量问题的，甲方有权要求退换整批货品，甲方在临床使用过程中如发现货物质量问题，有权要求乙方退换该批次所有货物，如由此造成的一切损失(包括经济损失、消除影响等)均由乙方无条件承担。</w:t>
      </w:r>
    </w:p>
    <w:p>
      <w:pPr>
        <w:ind w:firstLine="420"/>
        <w:jc w:val="both"/>
      </w:pPr>
      <w:r>
        <w:rPr>
          <w:sz w:val="21"/>
        </w:rPr>
        <w:t>5.验收期限：全部货物到货后7日内完成项目验收。</w:t>
      </w:r>
    </w:p>
    <w:p>
      <w:pPr>
        <w:ind w:firstLine="420"/>
        <w:jc w:val="both"/>
      </w:pPr>
      <w:r>
        <w:rPr>
          <w:b/>
          <w:sz w:val="21"/>
        </w:rPr>
        <w:t>七、售后服务：</w:t>
      </w:r>
    </w:p>
    <w:p>
      <w:pPr>
        <w:ind w:firstLine="420"/>
        <w:jc w:val="both"/>
      </w:pPr>
      <w:r>
        <w:rPr>
          <w:sz w:val="21"/>
        </w:rPr>
        <w:t>1.乙方有义务在甲方指定地点为所供放射性药品的临床应用进行现场讲解或培训，已包含在合同价中。</w:t>
      </w:r>
    </w:p>
    <w:p>
      <w:pPr>
        <w:ind w:firstLine="420"/>
        <w:jc w:val="both"/>
      </w:pPr>
      <w:r>
        <w:rPr>
          <w:sz w:val="21"/>
        </w:rPr>
        <w:t>2.如果乙方对可能发生的伴随服务需要收取费用，应予以注明，否则均应视为已包含在合同价中。</w:t>
      </w:r>
    </w:p>
    <w:p>
      <w:pPr>
        <w:ind w:firstLine="420"/>
        <w:jc w:val="both"/>
      </w:pPr>
      <w:r>
        <w:rPr>
          <w:sz w:val="21"/>
        </w:rPr>
        <w:t>3.甲方发现非人为因素损坏或缺陷，乙方应接受无条件退、换货，由此产生的费用均由乙方承担。</w:t>
      </w:r>
    </w:p>
    <w:p>
      <w:pPr>
        <w:ind w:firstLine="420"/>
        <w:jc w:val="both"/>
      </w:pPr>
      <w:r>
        <w:rPr>
          <w:b/>
          <w:sz w:val="21"/>
        </w:rPr>
        <w:t>八、付款方式</w:t>
      </w:r>
    </w:p>
    <w:p>
      <w:pPr>
        <w:ind w:firstLine="240"/>
        <w:jc w:val="both"/>
      </w:pPr>
      <w:r>
        <w:rPr>
          <w:sz w:val="21"/>
        </w:rPr>
        <w:t>1.每月按实结算，乙方在每个月10日前开具上个月据实结算价款的国家正式发票给甲方。</w:t>
      </w:r>
    </w:p>
    <w:p>
      <w:pPr>
        <w:ind w:firstLine="240"/>
        <w:jc w:val="both"/>
      </w:pPr>
      <w:r>
        <w:rPr>
          <w:sz w:val="21"/>
        </w:rPr>
        <w:t>2.实际结算费用=∑[实际采购量×（货物的单价最高限价×中标折扣率）]。</w:t>
      </w:r>
    </w:p>
    <w:p>
      <w:pPr>
        <w:ind w:firstLine="240"/>
        <w:jc w:val="both"/>
      </w:pPr>
      <w:r>
        <w:rPr>
          <w:sz w:val="21"/>
        </w:rPr>
        <w:t>3.甲方收到正式发票及付款申请后</w:t>
      </w:r>
      <w:r>
        <w:rPr>
          <w:sz w:val="21"/>
          <w:u w:val="single"/>
        </w:rPr>
        <w:t xml:space="preserve">     </w:t>
      </w:r>
      <w:r>
        <w:rPr>
          <w:sz w:val="21"/>
        </w:rPr>
        <w:t>日内支付上个月结算价款， 若乙方迟延履行提供发票义务，甲方也可顺延履行支付义务。</w:t>
      </w:r>
    </w:p>
    <w:p>
      <w:pPr>
        <w:ind w:firstLine="240"/>
        <w:jc w:val="both"/>
      </w:pPr>
      <w:r>
        <w:rPr>
          <w:sz w:val="21"/>
        </w:rPr>
        <w:t>4.支付方式：采用支票、银行汇付（含电汇）等形式。</w:t>
      </w:r>
    </w:p>
    <w:p>
      <w:pPr>
        <w:ind w:firstLine="240"/>
        <w:jc w:val="both"/>
      </w:pPr>
      <w:r>
        <w:rPr>
          <w:b/>
          <w:sz w:val="21"/>
        </w:rPr>
        <w:t>九、违约责任与赔偿损失</w:t>
      </w:r>
    </w:p>
    <w:p>
      <w:pPr>
        <w:ind w:firstLine="420"/>
        <w:jc w:val="both"/>
      </w:pPr>
      <w:r>
        <w:rPr>
          <w:sz w:val="21"/>
        </w:rPr>
        <w:t>1.乙方交付的货物不符合本合同规定的，甲方有权拒收，并且乙方须向甲方支付本合同总价5%的违约金。</w:t>
      </w:r>
    </w:p>
    <w:p>
      <w:pPr>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ind w:firstLine="420"/>
        <w:jc w:val="both"/>
      </w:pPr>
      <w:r>
        <w:rPr>
          <w:sz w:val="21"/>
        </w:rPr>
        <w:t>3.甲方无正当理由拒收货物/接受服务，到期拒付货物/服务款项的，甲方向乙方偿付本合同总的5%的违约金。甲方逾期付款，则每日按本合同总价的3‰向乙方偿付违约金。</w:t>
      </w:r>
    </w:p>
    <w:p>
      <w:pPr>
        <w:ind w:firstLine="420"/>
        <w:jc w:val="both"/>
      </w:pPr>
      <w:r>
        <w:rPr>
          <w:sz w:val="21"/>
        </w:rPr>
        <w:t>4.其它违约责任按《中华人民共和国民法典》处理。</w:t>
      </w:r>
    </w:p>
    <w:p>
      <w:pPr>
        <w:ind w:firstLine="420"/>
        <w:jc w:val="both"/>
      </w:pPr>
      <w:r>
        <w:rPr>
          <w:b/>
          <w:sz w:val="21"/>
        </w:rPr>
        <w:t>十、争议的解决</w:t>
      </w:r>
    </w:p>
    <w:p>
      <w:pPr>
        <w:jc w:val="both"/>
      </w:pPr>
      <w:r>
        <w:rPr>
          <w:sz w:val="21"/>
        </w:rPr>
        <w:t>合同执行过程中发生的任何争议，如双方不能通过友好协商解决，则任一方均有权向甲方所在地有管辖权的人民法院提起诉讼。</w:t>
      </w:r>
    </w:p>
    <w:p>
      <w:pPr>
        <w:jc w:val="both"/>
      </w:pPr>
      <w:r>
        <w:rPr>
          <w:b/>
          <w:sz w:val="21"/>
        </w:rPr>
        <w:t>十一、不可抗力</w:t>
      </w:r>
    </w:p>
    <w:p>
      <w:pPr>
        <w:ind w:firstLine="420"/>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20"/>
        <w:jc w:val="both"/>
      </w:pPr>
      <w:r>
        <w:rPr>
          <w:b/>
          <w:sz w:val="21"/>
        </w:rPr>
        <w:t>十二、税费</w:t>
      </w:r>
    </w:p>
    <w:p>
      <w:pPr>
        <w:ind w:firstLine="420"/>
        <w:jc w:val="both"/>
      </w:pPr>
      <w:r>
        <w:rPr>
          <w:sz w:val="21"/>
        </w:rPr>
        <w:t>在中国境内、外发生的与本合同执行有关的一切税费均由乙方负担。</w:t>
      </w:r>
    </w:p>
    <w:p>
      <w:pPr>
        <w:ind w:firstLine="420"/>
        <w:jc w:val="both"/>
      </w:pPr>
      <w:r>
        <w:rPr>
          <w:b/>
          <w:sz w:val="21"/>
        </w:rPr>
        <w:t>十三、其它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ind w:firstLine="420"/>
        <w:jc w:val="both"/>
      </w:pPr>
      <w:r>
        <w:rPr>
          <w:b/>
          <w:sz w:val="21"/>
        </w:rPr>
        <w:t>十四、合同生效</w:t>
      </w:r>
    </w:p>
    <w:p>
      <w:pPr>
        <w:ind w:firstLine="420"/>
        <w:jc w:val="both"/>
      </w:pPr>
      <w:r>
        <w:rPr>
          <w:sz w:val="21"/>
        </w:rPr>
        <w:t>1.本合同在甲乙双方法人代表或其授权代表签字盖章后生效。</w:t>
      </w:r>
    </w:p>
    <w:p>
      <w:pPr>
        <w:ind w:firstLine="420"/>
        <w:jc w:val="both"/>
      </w:pPr>
      <w:r>
        <w:rPr>
          <w:sz w:val="21"/>
        </w:rPr>
        <w:t>2.合同一式</w:t>
      </w:r>
      <w:r>
        <w:rPr>
          <w:sz w:val="21"/>
          <w:u w:val="single"/>
        </w:rPr>
        <w:t xml:space="preserve"> 肆 </w:t>
      </w:r>
      <w:r>
        <w:rPr>
          <w:sz w:val="21"/>
        </w:rPr>
        <w:t>份。甲方</w:t>
      </w:r>
      <w:r>
        <w:rPr>
          <w:sz w:val="21"/>
          <w:u w:val="single"/>
        </w:rPr>
        <w:t xml:space="preserve"> 贰 </w:t>
      </w:r>
      <w:r>
        <w:rPr>
          <w:sz w:val="21"/>
        </w:rPr>
        <w:t>份，乙方</w:t>
      </w:r>
      <w:r>
        <w:rPr>
          <w:sz w:val="21"/>
          <w:u w:val="single"/>
        </w:rPr>
        <w:t xml:space="preserve"> 贰 </w:t>
      </w:r>
      <w:r>
        <w:rPr>
          <w:sz w:val="21"/>
        </w:rPr>
        <w:t>份，具有同等法律效力。</w:t>
      </w:r>
    </w:p>
    <w:p>
      <w:pPr>
        <w:jc w:val="both"/>
      </w:pPr>
    </w:p>
    <w:p>
      <w:pPr>
        <w:jc w:val="both"/>
      </w:pPr>
      <w:r>
        <w:rPr>
          <w:b/>
          <w:sz w:val="21"/>
        </w:rPr>
        <w:t>甲方（盖章）：中山大学附属第六医院     乙方（盖章）：</w:t>
      </w:r>
    </w:p>
    <w:p>
      <w:pPr>
        <w:jc w:val="both"/>
      </w:pPr>
      <w:r>
        <w:rPr>
          <w:b/>
          <w:sz w:val="21"/>
        </w:rPr>
        <w:t>代表：                                                    代表：</w:t>
      </w:r>
    </w:p>
    <w:p>
      <w:pPr>
        <w:jc w:val="both"/>
      </w:pPr>
      <w:r>
        <w:rPr>
          <w:sz w:val="21"/>
        </w:rPr>
        <w:t>签定地点：广州</w:t>
      </w:r>
    </w:p>
    <w:p>
      <w:pPr>
        <w:jc w:val="both"/>
      </w:pPr>
      <w:r>
        <w:rPr>
          <w:sz w:val="21"/>
        </w:rPr>
        <w:t>签定日期：　　　年　　月　　日           签定日期：　　　年　　月　　日</w:t>
      </w:r>
    </w:p>
    <w:p>
      <w:pPr>
        <w:jc w:val="both"/>
      </w:pPr>
      <w:r>
        <w:rPr>
          <w:sz w:val="21"/>
        </w:rPr>
        <w:t xml:space="preserve">                                开户名称：</w:t>
      </w:r>
    </w:p>
    <w:p>
      <w:pPr>
        <w:jc w:val="both"/>
      </w:pPr>
      <w:r>
        <w:rPr>
          <w:sz w:val="21"/>
        </w:rPr>
        <w:t xml:space="preserve">                                银行帐号：</w:t>
      </w:r>
    </w:p>
    <w:p>
      <w:pPr>
        <w:jc w:val="both"/>
      </w:pPr>
      <w:r>
        <w:rPr>
          <w:sz w:val="21"/>
        </w:rPr>
        <w:t xml:space="preserve">                                开 户 行：</w:t>
      </w: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jc w:val="left"/>
      </w:pPr>
      <w:r>
        <w:rPr>
          <w:b/>
          <w:sz w:val="24"/>
        </w:rPr>
        <w:t xml:space="preserve">配置清单   </w:t>
      </w:r>
    </w:p>
    <w:p>
      <w:pPr>
        <w:jc w:val="left"/>
      </w:pPr>
      <w:r>
        <w:rPr>
          <w:b/>
          <w:sz w:val="21"/>
        </w:rPr>
        <w:t xml:space="preserve"> </w:t>
      </w:r>
    </w:p>
    <w:tbl>
      <w:tblPr>
        <w:tblW w:w="0" w:type="auto"/>
        <w:tblBorders>
          <w:top w:val="single"/>
          <w:left w:val="single"/>
          <w:bottom w:val="single"/>
          <w:right w:val="single"/>
          <w:insideH w:val="single"/>
          <w:insideV w:val="single"/>
        </w:tblBorders>
      </w:tblPr>
      <w:tblGrid>
        <w:gridCol w:w="596"/>
        <w:gridCol w:w="1469"/>
        <w:gridCol w:w="1469"/>
        <w:gridCol w:w="1081"/>
        <w:gridCol w:w="1150"/>
        <w:gridCol w:w="582"/>
        <w:gridCol w:w="623"/>
        <w:gridCol w:w="637"/>
        <w:gridCol w:w="693"/>
      </w:tblGrid>
      <w:tr>
        <w:tc>
          <w:tcPr>
            <w:tcW w:type="dxa" w:w="596"/>
            <w:tcBorders>
              <w:top w:val="single" w:color="000000" w:sz="4"/>
              <w:left w:val="single" w:color="000000" w:sz="4"/>
              <w:bottom w:val="single" w:color="000000" w:sz="4"/>
              <w:right w:val="single" w:color="000000" w:sz="4"/>
            </w:tcBorders>
          </w:tcPr>
          <w:p>
            <w:pPr>
              <w:jc w:val="center"/>
            </w:pPr>
            <w:r>
              <w:rPr>
                <w:b/>
                <w:sz w:val="24"/>
              </w:rPr>
              <w:t>序号</w:t>
            </w:r>
          </w:p>
        </w:tc>
        <w:tc>
          <w:tcPr>
            <w:tcW w:type="dxa" w:w="1469"/>
            <w:tcBorders>
              <w:top w:val="single" w:color="000000" w:sz="4"/>
              <w:left w:val="none" w:color="000000" w:sz="4"/>
              <w:bottom w:val="single" w:color="000000" w:sz="4"/>
              <w:right w:val="single" w:color="000000" w:sz="4"/>
            </w:tcBorders>
          </w:tcPr>
          <w:p>
            <w:pPr>
              <w:jc w:val="center"/>
            </w:pPr>
            <w:r>
              <w:rPr>
                <w:b/>
                <w:sz w:val="24"/>
              </w:rPr>
              <w:t>产品名称</w:t>
            </w:r>
          </w:p>
        </w:tc>
        <w:tc>
          <w:tcPr>
            <w:tcW w:type="dxa" w:w="1469"/>
            <w:tcBorders>
              <w:top w:val="single" w:color="000000" w:sz="4"/>
              <w:left w:val="none" w:color="000000" w:sz="4"/>
              <w:bottom w:val="single" w:color="000000" w:sz="4"/>
              <w:right w:val="single" w:color="000000" w:sz="4"/>
            </w:tcBorders>
          </w:tcPr>
          <w:p>
            <w:pPr>
              <w:jc w:val="center"/>
            </w:pPr>
            <w:r>
              <w:rPr>
                <w:b/>
                <w:sz w:val="24"/>
              </w:rPr>
              <w:t>产品型号</w:t>
            </w:r>
          </w:p>
        </w:tc>
        <w:tc>
          <w:tcPr>
            <w:tcW w:type="dxa" w:w="1081"/>
            <w:tcBorders>
              <w:top w:val="single" w:color="000000" w:sz="4"/>
              <w:left w:val="none" w:color="000000" w:sz="4"/>
              <w:bottom w:val="single" w:color="000000" w:sz="4"/>
              <w:right w:val="single" w:color="000000" w:sz="4"/>
            </w:tcBorders>
          </w:tcPr>
          <w:p>
            <w:pPr>
              <w:jc w:val="center"/>
            </w:pPr>
            <w:r>
              <w:rPr>
                <w:b/>
                <w:sz w:val="24"/>
              </w:rPr>
              <w:t>注册证号</w:t>
            </w:r>
          </w:p>
        </w:tc>
        <w:tc>
          <w:tcPr>
            <w:tcW w:type="dxa" w:w="1150"/>
            <w:tcBorders>
              <w:top w:val="single" w:color="000000" w:sz="4"/>
              <w:left w:val="none" w:color="000000" w:sz="4"/>
              <w:bottom w:val="single" w:color="000000" w:sz="4"/>
              <w:right w:val="single" w:color="000000" w:sz="4"/>
            </w:tcBorders>
          </w:tcPr>
          <w:p>
            <w:pPr>
              <w:jc w:val="center"/>
            </w:pPr>
            <w:r>
              <w:rPr>
                <w:b/>
                <w:sz w:val="24"/>
              </w:rPr>
              <w:t>生产厂家</w:t>
            </w:r>
          </w:p>
        </w:tc>
        <w:tc>
          <w:tcPr>
            <w:tcW w:type="dxa" w:w="582"/>
            <w:tcBorders>
              <w:top w:val="single" w:color="000000" w:sz="4"/>
              <w:left w:val="none" w:color="000000" w:sz="4"/>
              <w:bottom w:val="single" w:color="000000" w:sz="4"/>
              <w:right w:val="single" w:color="000000" w:sz="4"/>
            </w:tcBorders>
          </w:tcPr>
          <w:p>
            <w:pPr>
              <w:jc w:val="center"/>
            </w:pPr>
            <w:r>
              <w:rPr>
                <w:b/>
                <w:sz w:val="24"/>
              </w:rPr>
              <w:t>数量</w:t>
            </w:r>
          </w:p>
        </w:tc>
        <w:tc>
          <w:tcPr>
            <w:tcW w:type="dxa" w:w="623"/>
            <w:tcBorders>
              <w:top w:val="single" w:color="000000" w:sz="4"/>
              <w:left w:val="none" w:color="000000" w:sz="4"/>
              <w:bottom w:val="single" w:color="000000" w:sz="4"/>
              <w:right w:val="single" w:color="000000" w:sz="4"/>
            </w:tcBorders>
          </w:tcPr>
          <w:p>
            <w:pPr>
              <w:jc w:val="center"/>
            </w:pPr>
            <w:r>
              <w:rPr>
                <w:b/>
                <w:sz w:val="24"/>
              </w:rPr>
              <w:t>单位</w:t>
            </w:r>
          </w:p>
        </w:tc>
        <w:tc>
          <w:tcPr>
            <w:tcW w:type="dxa" w:w="637"/>
            <w:tcBorders>
              <w:top w:val="single" w:color="000000" w:sz="4"/>
              <w:left w:val="none" w:color="000000" w:sz="4"/>
              <w:bottom w:val="single" w:color="000000" w:sz="4"/>
              <w:right w:val="single" w:color="000000" w:sz="4"/>
            </w:tcBorders>
          </w:tcPr>
          <w:p>
            <w:pPr>
              <w:jc w:val="center"/>
            </w:pPr>
            <w:r>
              <w:rPr>
                <w:b/>
                <w:sz w:val="24"/>
              </w:rPr>
              <w:t>单价</w:t>
            </w:r>
          </w:p>
        </w:tc>
        <w:tc>
          <w:tcPr>
            <w:tcW w:type="dxa" w:w="693"/>
            <w:tcBorders>
              <w:top w:val="single" w:color="000000" w:sz="4"/>
              <w:left w:val="none" w:color="000000" w:sz="4"/>
              <w:bottom w:val="single" w:color="000000" w:sz="4"/>
              <w:right w:val="single" w:color="000000" w:sz="4"/>
            </w:tcBorders>
          </w:tcPr>
          <w:p>
            <w:pPr>
              <w:jc w:val="center"/>
            </w:pPr>
            <w:r>
              <w:rPr>
                <w:b/>
                <w:sz w:val="24"/>
              </w:rPr>
              <w:t>总价</w:t>
            </w:r>
          </w:p>
        </w:tc>
      </w:tr>
      <w:tr>
        <w:tc>
          <w:tcPr>
            <w:tcW w:type="dxa" w:w="596"/>
            <w:tcBorders>
              <w:top w:val="none" w:color="000000" w:sz="4"/>
              <w:left w:val="single" w:color="000000" w:sz="4"/>
              <w:bottom w:val="single" w:color="000000" w:sz="4"/>
              <w:right w:val="single" w:color="000000" w:sz="4"/>
            </w:tcBorders>
          </w:tcPr>
          <w:p>
            <w:pPr>
              <w:jc w:val="center"/>
            </w:pPr>
            <w:r>
              <w:rPr>
                <w:sz w:val="24"/>
              </w:rPr>
              <w:t>1</w:t>
            </w:r>
          </w:p>
        </w:tc>
        <w:tc>
          <w:tcPr>
            <w:tcW w:type="dxa" w:w="1469"/>
            <w:tcBorders>
              <w:top w:val="none" w:color="000000" w:sz="4"/>
              <w:left w:val="none" w:color="000000" w:sz="4"/>
              <w:bottom w:val="single" w:color="000000" w:sz="4"/>
              <w:right w:val="single" w:color="000000" w:sz="4"/>
            </w:tcBorders>
          </w:tcPr>
          <w:p>
            <w:pPr>
              <w:jc w:val="left"/>
            </w:pPr>
          </w:p>
        </w:tc>
        <w:tc>
          <w:tcPr>
            <w:tcW w:type="dxa" w:w="1469"/>
            <w:tcBorders>
              <w:top w:val="none" w:color="000000" w:sz="4"/>
              <w:left w:val="none" w:color="000000" w:sz="4"/>
              <w:bottom w:val="single" w:color="000000" w:sz="4"/>
              <w:right w:val="single" w:color="000000" w:sz="4"/>
            </w:tcBorders>
          </w:tcPr>
          <w:p>
            <w:pPr>
              <w:jc w:val="center"/>
            </w:pPr>
          </w:p>
        </w:tc>
        <w:tc>
          <w:tcPr>
            <w:tcW w:type="dxa" w:w="1081"/>
            <w:tcBorders>
              <w:top w:val="none" w:color="000000" w:sz="4"/>
              <w:left w:val="none" w:color="000000" w:sz="4"/>
              <w:bottom w:val="single" w:color="000000" w:sz="4"/>
              <w:right w:val="single" w:color="000000" w:sz="4"/>
            </w:tcBorders>
          </w:tcPr>
          <w:p>
            <w:pPr>
              <w:jc w:val="center"/>
            </w:pPr>
          </w:p>
        </w:tc>
        <w:tc>
          <w:tcPr>
            <w:tcW w:type="dxa" w:w="1150"/>
            <w:tcBorders>
              <w:top w:val="none" w:color="000000" w:sz="4"/>
              <w:left w:val="none" w:color="000000" w:sz="4"/>
              <w:bottom w:val="single" w:color="000000" w:sz="4"/>
              <w:right w:val="single" w:color="000000" w:sz="4"/>
            </w:tcBorders>
          </w:tcPr>
          <w:p>
            <w:pPr>
              <w:jc w:val="center"/>
            </w:pPr>
          </w:p>
        </w:tc>
        <w:tc>
          <w:tcPr>
            <w:tcW w:type="dxa" w:w="582"/>
            <w:tcBorders>
              <w:top w:val="none" w:color="000000" w:sz="4"/>
              <w:left w:val="none" w:color="000000" w:sz="4"/>
              <w:bottom w:val="single" w:color="000000" w:sz="4"/>
              <w:right w:val="single" w:color="000000" w:sz="4"/>
            </w:tcBorders>
          </w:tcPr>
          <w:p>
            <w:pPr>
              <w:jc w:val="center"/>
            </w:pPr>
          </w:p>
        </w:tc>
        <w:tc>
          <w:tcPr>
            <w:tcW w:type="dxa" w:w="623"/>
            <w:tcBorders>
              <w:top w:val="none" w:color="000000" w:sz="4"/>
              <w:left w:val="none" w:color="000000" w:sz="4"/>
              <w:bottom w:val="single" w:color="000000" w:sz="4"/>
              <w:right w:val="single" w:color="000000" w:sz="4"/>
            </w:tcBorders>
          </w:tcPr>
          <w:p>
            <w:pPr>
              <w:jc w:val="center"/>
            </w:pPr>
          </w:p>
        </w:tc>
        <w:tc>
          <w:tcPr>
            <w:tcW w:type="dxa" w:w="637"/>
            <w:tcBorders>
              <w:top w:val="none" w:color="000000" w:sz="4"/>
              <w:left w:val="none" w:color="000000" w:sz="4"/>
              <w:bottom w:val="single" w:color="000000" w:sz="4"/>
              <w:right w:val="single" w:color="000000" w:sz="4"/>
            </w:tcBorders>
          </w:tcPr>
          <w:p>
            <w:pPr>
              <w:jc w:val="center"/>
            </w:pPr>
          </w:p>
        </w:tc>
        <w:tc>
          <w:tcPr>
            <w:tcW w:type="dxa" w:w="693"/>
            <w:tcBorders>
              <w:top w:val="none" w:color="000000" w:sz="4"/>
              <w:left w:val="none" w:color="000000" w:sz="4"/>
              <w:bottom w:val="single" w:color="000000" w:sz="4"/>
              <w:right w:val="single" w:color="000000" w:sz="4"/>
            </w:tcBorders>
          </w:tcPr>
          <w:p>
            <w:pPr>
              <w:jc w:val="center"/>
            </w:pPr>
          </w:p>
        </w:tc>
      </w:tr>
      <w:tr>
        <w:tc>
          <w:tcPr>
            <w:tcW w:type="dxa" w:w="596"/>
            <w:tcBorders>
              <w:top w:val="none" w:color="000000" w:sz="4"/>
              <w:left w:val="single" w:color="000000" w:sz="4"/>
              <w:bottom w:val="single" w:color="000000" w:sz="4"/>
              <w:right w:val="single" w:color="000000" w:sz="4"/>
            </w:tcBorders>
          </w:tcPr>
          <w:p>
            <w:pPr>
              <w:jc w:val="center"/>
            </w:pPr>
            <w:r>
              <w:rPr>
                <w:sz w:val="24"/>
              </w:rPr>
              <w:t>2</w:t>
            </w:r>
          </w:p>
        </w:tc>
        <w:tc>
          <w:tcPr>
            <w:tcW w:type="dxa" w:w="1469"/>
            <w:tcBorders>
              <w:top w:val="none" w:color="000000" w:sz="4"/>
              <w:left w:val="none" w:color="000000" w:sz="4"/>
              <w:bottom w:val="single" w:color="000000" w:sz="4"/>
              <w:right w:val="single" w:color="000000" w:sz="4"/>
            </w:tcBorders>
          </w:tcPr>
          <w:p>
            <w:pPr>
              <w:jc w:val="left"/>
            </w:pPr>
          </w:p>
        </w:tc>
        <w:tc>
          <w:tcPr>
            <w:tcW w:type="dxa" w:w="1469"/>
            <w:tcBorders>
              <w:top w:val="none" w:color="000000" w:sz="4"/>
              <w:left w:val="none" w:color="000000" w:sz="4"/>
              <w:bottom w:val="single" w:color="000000" w:sz="4"/>
              <w:right w:val="single" w:color="000000" w:sz="4"/>
            </w:tcBorders>
          </w:tcPr>
          <w:p>
            <w:pPr>
              <w:jc w:val="center"/>
            </w:pPr>
          </w:p>
        </w:tc>
        <w:tc>
          <w:tcPr>
            <w:tcW w:type="dxa" w:w="1081"/>
            <w:tcBorders>
              <w:top w:val="none" w:color="000000" w:sz="4"/>
              <w:left w:val="none" w:color="000000" w:sz="4"/>
              <w:bottom w:val="single" w:color="000000" w:sz="4"/>
              <w:right w:val="single" w:color="000000" w:sz="4"/>
            </w:tcBorders>
          </w:tcPr>
          <w:p>
            <w:pPr>
              <w:jc w:val="center"/>
            </w:pPr>
          </w:p>
        </w:tc>
        <w:tc>
          <w:tcPr>
            <w:tcW w:type="dxa" w:w="1150"/>
            <w:tcBorders>
              <w:top w:val="none" w:color="000000" w:sz="4"/>
              <w:left w:val="none" w:color="000000" w:sz="4"/>
              <w:bottom w:val="single" w:color="000000" w:sz="4"/>
              <w:right w:val="single" w:color="000000" w:sz="4"/>
            </w:tcBorders>
          </w:tcPr>
          <w:p>
            <w:pPr>
              <w:jc w:val="center"/>
            </w:pPr>
          </w:p>
        </w:tc>
        <w:tc>
          <w:tcPr>
            <w:tcW w:type="dxa" w:w="582"/>
            <w:tcBorders>
              <w:top w:val="none" w:color="000000" w:sz="4"/>
              <w:left w:val="none" w:color="000000" w:sz="4"/>
              <w:bottom w:val="single" w:color="000000" w:sz="4"/>
              <w:right w:val="single" w:color="000000" w:sz="4"/>
            </w:tcBorders>
          </w:tcPr>
          <w:p>
            <w:pPr>
              <w:jc w:val="center"/>
            </w:pPr>
          </w:p>
        </w:tc>
        <w:tc>
          <w:tcPr>
            <w:tcW w:type="dxa" w:w="623"/>
            <w:tcBorders>
              <w:top w:val="none" w:color="000000" w:sz="4"/>
              <w:left w:val="none" w:color="000000" w:sz="4"/>
              <w:bottom w:val="single" w:color="000000" w:sz="4"/>
              <w:right w:val="single" w:color="000000" w:sz="4"/>
            </w:tcBorders>
          </w:tcPr>
          <w:p>
            <w:pPr>
              <w:jc w:val="center"/>
            </w:pPr>
          </w:p>
        </w:tc>
        <w:tc>
          <w:tcPr>
            <w:tcW w:type="dxa" w:w="637"/>
            <w:tcBorders>
              <w:top w:val="none" w:color="000000" w:sz="4"/>
              <w:left w:val="none" w:color="000000" w:sz="4"/>
              <w:bottom w:val="single" w:color="000000" w:sz="4"/>
              <w:right w:val="single" w:color="000000" w:sz="4"/>
            </w:tcBorders>
          </w:tcPr>
          <w:p>
            <w:pPr>
              <w:jc w:val="center"/>
            </w:pPr>
          </w:p>
        </w:tc>
        <w:tc>
          <w:tcPr>
            <w:tcW w:type="dxa" w:w="693"/>
            <w:tcBorders>
              <w:top w:val="none" w:color="000000" w:sz="4"/>
              <w:left w:val="none" w:color="000000" w:sz="4"/>
              <w:bottom w:val="single" w:color="000000" w:sz="4"/>
              <w:right w:val="single" w:color="000000" w:sz="4"/>
            </w:tcBorders>
          </w:tcPr>
          <w:p>
            <w:pPr>
              <w:jc w:val="center"/>
            </w:pPr>
          </w:p>
        </w:tc>
      </w:tr>
      <w:tr>
        <w:tc>
          <w:tcPr>
            <w:tcW w:type="dxa" w:w="596"/>
            <w:tcBorders>
              <w:top w:val="none" w:color="000000" w:sz="4"/>
              <w:left w:val="single" w:color="000000" w:sz="4"/>
              <w:bottom w:val="single" w:color="000000" w:sz="4"/>
              <w:right w:val="single" w:color="000000" w:sz="4"/>
            </w:tcBorders>
          </w:tcPr>
          <w:p>
            <w:pPr>
              <w:jc w:val="center"/>
            </w:pPr>
            <w:r>
              <w:rPr>
                <w:sz w:val="24"/>
              </w:rPr>
              <w:t>3</w:t>
            </w:r>
          </w:p>
        </w:tc>
        <w:tc>
          <w:tcPr>
            <w:tcW w:type="dxa" w:w="1469"/>
            <w:tcBorders>
              <w:top w:val="none" w:color="000000" w:sz="4"/>
              <w:left w:val="none" w:color="000000" w:sz="4"/>
              <w:bottom w:val="single" w:color="000000" w:sz="4"/>
              <w:right w:val="single" w:color="000000" w:sz="4"/>
            </w:tcBorders>
          </w:tcPr>
          <w:p>
            <w:pPr>
              <w:jc w:val="left"/>
            </w:pPr>
          </w:p>
        </w:tc>
        <w:tc>
          <w:tcPr>
            <w:tcW w:type="dxa" w:w="1469"/>
            <w:tcBorders>
              <w:top w:val="none" w:color="000000" w:sz="4"/>
              <w:left w:val="none" w:color="000000" w:sz="4"/>
              <w:bottom w:val="single" w:color="000000" w:sz="4"/>
              <w:right w:val="single" w:color="000000" w:sz="4"/>
            </w:tcBorders>
          </w:tcPr>
          <w:p>
            <w:pPr>
              <w:jc w:val="center"/>
            </w:pPr>
          </w:p>
        </w:tc>
        <w:tc>
          <w:tcPr>
            <w:tcW w:type="dxa" w:w="1081"/>
            <w:tcBorders>
              <w:top w:val="none" w:color="000000" w:sz="4"/>
              <w:left w:val="none" w:color="000000" w:sz="4"/>
              <w:bottom w:val="single" w:color="000000" w:sz="4"/>
              <w:right w:val="single" w:color="000000" w:sz="4"/>
            </w:tcBorders>
          </w:tcPr>
          <w:p>
            <w:pPr>
              <w:jc w:val="center"/>
            </w:pPr>
          </w:p>
        </w:tc>
        <w:tc>
          <w:tcPr>
            <w:tcW w:type="dxa" w:w="1150"/>
            <w:tcBorders>
              <w:top w:val="none" w:color="000000" w:sz="4"/>
              <w:left w:val="none" w:color="000000" w:sz="4"/>
              <w:bottom w:val="single" w:color="000000" w:sz="4"/>
              <w:right w:val="single" w:color="000000" w:sz="4"/>
            </w:tcBorders>
          </w:tcPr>
          <w:p>
            <w:pPr>
              <w:jc w:val="center"/>
            </w:pPr>
          </w:p>
        </w:tc>
        <w:tc>
          <w:tcPr>
            <w:tcW w:type="dxa" w:w="582"/>
            <w:tcBorders>
              <w:top w:val="none" w:color="000000" w:sz="4"/>
              <w:left w:val="none" w:color="000000" w:sz="4"/>
              <w:bottom w:val="single" w:color="000000" w:sz="4"/>
              <w:right w:val="single" w:color="000000" w:sz="4"/>
            </w:tcBorders>
          </w:tcPr>
          <w:p>
            <w:pPr>
              <w:jc w:val="center"/>
            </w:pPr>
          </w:p>
        </w:tc>
        <w:tc>
          <w:tcPr>
            <w:tcW w:type="dxa" w:w="623"/>
            <w:tcBorders>
              <w:top w:val="none" w:color="000000" w:sz="4"/>
              <w:left w:val="none" w:color="000000" w:sz="4"/>
              <w:bottom w:val="single" w:color="000000" w:sz="4"/>
              <w:right w:val="single" w:color="000000" w:sz="4"/>
            </w:tcBorders>
          </w:tcPr>
          <w:p>
            <w:pPr>
              <w:jc w:val="center"/>
            </w:pPr>
          </w:p>
        </w:tc>
        <w:tc>
          <w:tcPr>
            <w:tcW w:type="dxa" w:w="637"/>
            <w:tcBorders>
              <w:top w:val="none" w:color="000000" w:sz="4"/>
              <w:left w:val="none" w:color="000000" w:sz="4"/>
              <w:bottom w:val="single" w:color="000000" w:sz="4"/>
              <w:right w:val="single" w:color="000000" w:sz="4"/>
            </w:tcBorders>
          </w:tcPr>
          <w:p>
            <w:pPr>
              <w:jc w:val="center"/>
            </w:pPr>
          </w:p>
        </w:tc>
        <w:tc>
          <w:tcPr>
            <w:tcW w:type="dxa" w:w="693"/>
            <w:tcBorders>
              <w:top w:val="none" w:color="000000" w:sz="4"/>
              <w:left w:val="none" w:color="000000" w:sz="4"/>
              <w:bottom w:val="single" w:color="000000" w:sz="4"/>
              <w:right w:val="single" w:color="000000" w:sz="4"/>
            </w:tcBorders>
          </w:tcPr>
          <w:p>
            <w:pPr>
              <w:jc w:val="center"/>
            </w:pPr>
          </w:p>
        </w:tc>
      </w:tr>
      <w:tr>
        <w:tc>
          <w:tcPr>
            <w:tcW w:type="dxa" w:w="596"/>
            <w:tcBorders>
              <w:top w:val="none" w:color="000000" w:sz="4"/>
              <w:left w:val="single" w:color="000000" w:sz="4"/>
              <w:bottom w:val="single" w:color="000000" w:sz="4"/>
              <w:right w:val="single" w:color="000000" w:sz="4"/>
            </w:tcBorders>
          </w:tcPr>
          <w:p>
            <w:pPr>
              <w:jc w:val="center"/>
            </w:pPr>
            <w:r>
              <w:rPr>
                <w:sz w:val="24"/>
              </w:rPr>
              <w:t>4</w:t>
            </w:r>
          </w:p>
        </w:tc>
        <w:tc>
          <w:tcPr>
            <w:tcW w:type="dxa" w:w="1469"/>
            <w:tcBorders>
              <w:top w:val="none" w:color="000000" w:sz="4"/>
              <w:left w:val="none" w:color="000000" w:sz="4"/>
              <w:bottom w:val="single" w:color="000000" w:sz="4"/>
              <w:right w:val="single" w:color="000000" w:sz="4"/>
            </w:tcBorders>
          </w:tcPr>
          <w:p>
            <w:pPr>
              <w:jc w:val="left"/>
            </w:pPr>
          </w:p>
        </w:tc>
        <w:tc>
          <w:tcPr>
            <w:tcW w:type="dxa" w:w="1469"/>
            <w:tcBorders>
              <w:top w:val="none" w:color="000000" w:sz="4"/>
              <w:left w:val="none" w:color="000000" w:sz="4"/>
              <w:bottom w:val="single" w:color="000000" w:sz="4"/>
              <w:right w:val="single" w:color="000000" w:sz="4"/>
            </w:tcBorders>
          </w:tcPr>
          <w:p>
            <w:pPr>
              <w:jc w:val="center"/>
            </w:pPr>
          </w:p>
        </w:tc>
        <w:tc>
          <w:tcPr>
            <w:tcW w:type="dxa" w:w="1081"/>
            <w:tcBorders>
              <w:top w:val="none" w:color="000000" w:sz="4"/>
              <w:left w:val="none" w:color="000000" w:sz="4"/>
              <w:bottom w:val="single" w:color="000000" w:sz="4"/>
              <w:right w:val="single" w:color="000000" w:sz="4"/>
            </w:tcBorders>
          </w:tcPr>
          <w:p>
            <w:pPr>
              <w:jc w:val="center"/>
            </w:pPr>
          </w:p>
        </w:tc>
        <w:tc>
          <w:tcPr>
            <w:tcW w:type="dxa" w:w="1150"/>
            <w:tcBorders>
              <w:top w:val="none" w:color="000000" w:sz="4"/>
              <w:left w:val="none" w:color="000000" w:sz="4"/>
              <w:bottom w:val="single" w:color="000000" w:sz="4"/>
              <w:right w:val="single" w:color="000000" w:sz="4"/>
            </w:tcBorders>
          </w:tcPr>
          <w:p>
            <w:pPr>
              <w:jc w:val="center"/>
            </w:pPr>
          </w:p>
        </w:tc>
        <w:tc>
          <w:tcPr>
            <w:tcW w:type="dxa" w:w="582"/>
            <w:tcBorders>
              <w:top w:val="none" w:color="000000" w:sz="4"/>
              <w:left w:val="none" w:color="000000" w:sz="4"/>
              <w:bottom w:val="single" w:color="000000" w:sz="4"/>
              <w:right w:val="single" w:color="000000" w:sz="4"/>
            </w:tcBorders>
          </w:tcPr>
          <w:p>
            <w:pPr>
              <w:jc w:val="center"/>
            </w:pPr>
          </w:p>
        </w:tc>
        <w:tc>
          <w:tcPr>
            <w:tcW w:type="dxa" w:w="623"/>
            <w:tcBorders>
              <w:top w:val="none" w:color="000000" w:sz="4"/>
              <w:left w:val="none" w:color="000000" w:sz="4"/>
              <w:bottom w:val="single" w:color="000000" w:sz="4"/>
              <w:right w:val="single" w:color="000000" w:sz="4"/>
            </w:tcBorders>
          </w:tcPr>
          <w:p>
            <w:pPr>
              <w:jc w:val="center"/>
            </w:pPr>
          </w:p>
        </w:tc>
        <w:tc>
          <w:tcPr>
            <w:tcW w:type="dxa" w:w="637"/>
            <w:tcBorders>
              <w:top w:val="none" w:color="000000" w:sz="4"/>
              <w:left w:val="none" w:color="000000" w:sz="4"/>
              <w:bottom w:val="single" w:color="000000" w:sz="4"/>
              <w:right w:val="single" w:color="000000" w:sz="4"/>
            </w:tcBorders>
          </w:tcPr>
          <w:p>
            <w:pPr>
              <w:jc w:val="center"/>
            </w:pPr>
          </w:p>
        </w:tc>
        <w:tc>
          <w:tcPr>
            <w:tcW w:type="dxa" w:w="693"/>
            <w:tcBorders>
              <w:top w:val="none" w:color="000000" w:sz="4"/>
              <w:left w:val="none" w:color="000000" w:sz="4"/>
              <w:bottom w:val="single" w:color="000000" w:sz="4"/>
              <w:right w:val="single" w:color="000000" w:sz="4"/>
            </w:tcBorders>
          </w:tcPr>
          <w:p>
            <w:pPr>
              <w:jc w:val="center"/>
            </w:pPr>
          </w:p>
        </w:tc>
      </w:tr>
    </w:tbl>
    <w:p>
      <w:pPr>
        <w:jc w:val="left"/>
      </w:pPr>
    </w:p>
    <w:p>
      <w:pPr>
        <w:jc w:val="left"/>
      </w:pPr>
    </w:p>
    <w:p/>
    <w:p>
      <w:r>
        <w:rPr/>
        <w:t xml:space="preserve"> </w:t>
      </w:r>
    </w:p>
    <w:p>
      <w:pPr>
        <w:jc w:val="both"/>
      </w:pPr>
    </w:p>
    <w:p>
      <w:pPr>
        <w:jc w:val="both"/>
      </w:pPr>
      <w:r>
        <w:rPr>
          <w:b/>
          <w:sz w:val="24"/>
        </w:rPr>
        <w:t>廉洁协议书</w:t>
      </w:r>
    </w:p>
    <w:p>
      <w:pPr>
        <w:jc w:val="center"/>
      </w:pPr>
      <w:r>
        <w:rPr>
          <w:b/>
          <w:sz w:val="32"/>
        </w:rPr>
        <w:t>廉洁协议书</w:t>
      </w:r>
    </w:p>
    <w:p>
      <w:pPr>
        <w:jc w:val="both"/>
      </w:pPr>
      <w:r>
        <w:rPr>
          <w:b/>
          <w:sz w:val="24"/>
        </w:rPr>
        <w:t xml:space="preserve">甲方（采购人）：中山大学附属第六医院      </w:t>
      </w:r>
    </w:p>
    <w:p>
      <w:pPr>
        <w:jc w:val="both"/>
      </w:pPr>
      <w:r>
        <w:rPr>
          <w:b/>
          <w:sz w:val="24"/>
        </w:rPr>
        <w:t>乙方（中标供应商）：</w:t>
      </w:r>
    </w:p>
    <w:p>
      <w:pPr>
        <w:ind w:firstLine="480"/>
        <w:jc w:val="both"/>
      </w:pPr>
      <w:r>
        <w:rPr>
          <w:sz w:val="24"/>
        </w:rPr>
        <w:t>为进一步加强医疗卫生行风建设，规范医疗卫生机构医药购销行为，有效防范商业贿赂行为，营造公平交易、诚实守信的购销环境，经甲、乙双方协商，同意签订本合同，并共同遵守:</w:t>
      </w:r>
    </w:p>
    <w:p>
      <w:pPr>
        <w:ind w:firstLine="480"/>
        <w:jc w:val="both"/>
      </w:pPr>
      <w:r>
        <w:rPr>
          <w:sz w:val="24"/>
        </w:rPr>
        <w:t>一、甲乙双方按照《民法典》及医药产品购销合同约定购销药品、医用设备、医用耗材等医药产品。</w:t>
      </w:r>
    </w:p>
    <w:p>
      <w:pPr>
        <w:ind w:firstLine="480"/>
        <w:jc w:val="both"/>
      </w:pPr>
      <w:r>
        <w:rPr>
          <w:sz w:val="24"/>
        </w:rPr>
        <w:t>二、甲方应当严格执行医药产品购销合同验收、入库制度，对采购医药产品及发票进行查验，不得违反有关规定合同外采购、违价采购或从非规定渠道采购。</w:t>
      </w:r>
    </w:p>
    <w:p>
      <w:pPr>
        <w:ind w:firstLine="480"/>
        <w:jc w:val="both"/>
      </w:pPr>
      <w:r>
        <w:rPr>
          <w:sz w:val="24"/>
        </w:rPr>
        <w:t>三、甲方严禁接受乙方以任何名义、形式给予的回</w:t>
      </w:r>
      <w:r>
        <w:rPr>
          <w:color w:val="FFFFFF"/>
          <w:sz w:val="24"/>
        </w:rPr>
        <w:t>.</w:t>
      </w:r>
      <w:r>
        <w:rPr>
          <w:sz w:val="24"/>
        </w:rPr>
        <w:t>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ind w:firstLine="480"/>
        <w:jc w:val="both"/>
      </w:pPr>
      <w:r>
        <w:rPr>
          <w:sz w:val="24"/>
        </w:rPr>
        <w:t>四、严禁甲方工作人员利用任何途径和方式，为乙方统计医师个人及临床科室有关医药产品用量信息，或为乙方统计提供便利。</w:t>
      </w:r>
    </w:p>
    <w:p>
      <w:pPr>
        <w:ind w:firstLine="480"/>
        <w:jc w:val="both"/>
      </w:pPr>
      <w:r>
        <w:rPr>
          <w:sz w:val="24"/>
        </w:rPr>
        <w:t>五、乙方不得以回</w:t>
      </w:r>
      <w:r>
        <w:rPr>
          <w:color w:val="FFFFFF"/>
          <w:sz w:val="24"/>
        </w:rPr>
        <w:t>.</w:t>
      </w:r>
      <w:r>
        <w:rPr>
          <w:sz w:val="24"/>
        </w:rPr>
        <w:t>扣、宴请等方式影响甲方工作人员采购或使用医药产品的选择权，不得在学术活动中提供旅游、超标准支付食宿费用。</w:t>
      </w:r>
    </w:p>
    <w:p>
      <w:pPr>
        <w:ind w:firstLine="480"/>
        <w:jc w:val="both"/>
      </w:pPr>
      <w:r>
        <w:rPr>
          <w:sz w:val="24"/>
        </w:rPr>
        <w:t>六、销售代表必须在工作时间到甲方指定地点联系商谈，不得到住院部、门诊部、医技科室等推销医药产品，不得借故到甲方相关领导、部门负责人及相关工作人员家中访谈并提供任何好处费。</w:t>
      </w:r>
    </w:p>
    <w:p>
      <w:pPr>
        <w:ind w:firstLine="480"/>
        <w:jc w:val="both"/>
      </w:pPr>
      <w:r>
        <w:rPr>
          <w:sz w:val="24"/>
        </w:rPr>
        <w:t>七、乙方如违反本合同，一经发现，甲方有权终止购销合同，并向有关卫生计生行政部门报告。如乙方被列入商业贿赂不良记录，则严格按照《国家卫生计生委关于建立医药购销领域商业贿赂不良记录的规定》(国卫法制发〔2013〕50号）相关规定处理。</w:t>
      </w:r>
    </w:p>
    <w:p>
      <w:pPr>
        <w:ind w:firstLine="480"/>
        <w:jc w:val="both"/>
      </w:pPr>
      <w:r>
        <w:rPr>
          <w:sz w:val="24"/>
        </w:rPr>
        <w:t>八、本合同作为医药产品购销合同的重要组成部分，与购销合同一并执行，具有同等的法律效力。</w:t>
      </w:r>
    </w:p>
    <w:p>
      <w:pPr>
        <w:ind w:firstLine="480"/>
        <w:jc w:val="both"/>
      </w:pPr>
      <w:r>
        <w:rPr>
          <w:sz w:val="24"/>
        </w:rPr>
        <w:t>九、本合同一式三份，甲、乙双方各执一份，甲方纪检监察部门执一份，并从签订之日起一年内有效。</w:t>
      </w:r>
    </w:p>
    <w:p>
      <w:pPr>
        <w:ind w:firstLine="480"/>
        <w:jc w:val="both"/>
      </w:pPr>
    </w:p>
    <w:p>
      <w:pPr>
        <w:jc w:val="both"/>
      </w:pPr>
      <w:r>
        <w:rPr>
          <w:b/>
          <w:sz w:val="24"/>
        </w:rPr>
        <w:t>甲方：中山大学附属第六医院（盖章）       乙方单位（盖章）：</w:t>
      </w:r>
    </w:p>
    <w:p>
      <w:pPr>
        <w:jc w:val="both"/>
      </w:pPr>
      <w:r>
        <w:rPr>
          <w:b/>
          <w:sz w:val="24"/>
        </w:rPr>
        <w:t>法定代表人（负责人）：                           法定代表人（负责人）：</w:t>
      </w:r>
    </w:p>
    <w:p>
      <w:pPr>
        <w:jc w:val="both"/>
      </w:pPr>
      <w:r>
        <w:rPr>
          <w:b/>
          <w:sz w:val="24"/>
        </w:rPr>
        <w:t>经办人签名：                                            经办人签名：</w:t>
      </w:r>
    </w:p>
    <w:p>
      <w:pPr>
        <w:ind w:firstLine="241"/>
        <w:jc w:val="both"/>
      </w:pPr>
      <w:r>
        <w:rPr>
          <w:b/>
          <w:sz w:val="21"/>
        </w:rPr>
        <w:t xml:space="preserve">  </w:t>
      </w:r>
      <w:r>
        <w:rPr>
          <w:b/>
          <w:sz w:val="24"/>
        </w:rPr>
        <w:t>年    月    日                                                 年    月     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440001-2023-44824</w:t>
      </w:r>
    </w:p>
    <w:p>
      <w:pPr>
        <w:jc w:val="center"/>
      </w:pPr>
      <w:r>
        <w:rPr>
          <w:b/>
          <w:sz w:val="24"/>
        </w:rPr>
        <w:t>采购项目编号：</w:t>
      </w:r>
      <w:r>
        <w:rPr>
          <w:b/>
          <w:sz w:val="24"/>
        </w:rPr>
        <w:t>GZGK23P200A0675Z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中山大学附属第六医院放射性药品采购项目</w:t>
      </w:r>
      <w:r>
        <w:rPr>
          <w:u w:val="single"/>
        </w:rPr>
        <w:t>”</w:t>
      </w:r>
      <w:r>
        <w:rPr/>
        <w:t>项目的招标[采购项目编号为：</w:t>
      </w:r>
      <w:r>
        <w:rPr>
          <w:u w:val="single"/>
        </w:rPr>
        <w:t>GZGK23P200A0675Z</w:t>
      </w:r>
      <w:r>
        <w:rPr/>
        <w:t>]，我方愿参与投标。</w:t>
      </w:r>
    </w:p>
    <w:p>
      <w:pPr>
        <w:ind w:firstLine="480"/>
      </w:pPr>
      <w:r>
        <w:rPr/>
        <w:t>我方确认收到贵方提供的</w:t>
      </w:r>
      <w:r>
        <w:rPr>
          <w:u w:val="single"/>
        </w:rPr>
        <w:t>“</w:t>
      </w:r>
      <w:r>
        <w:rPr>
          <w:u w:val="single"/>
        </w:rPr>
        <w:t>中山大学附属第六医院放射性药品采购项目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中山大学附属第六医院放射性药品采购项目</w:t>
      </w:r>
      <w:r>
        <w:rPr/>
        <w:t>”项目采购[采购项目编号为</w:t>
      </w:r>
      <w:r>
        <w:rPr/>
        <w:t>GZGK23P200A0675Z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中山大学附属第六医院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中山大学附属第六医院放射性药品采购项目</w:t>
      </w:r>
      <w:r>
        <w:rPr/>
        <w:t>招标中获中标（采购项目编号：</w:t>
      </w:r>
      <w:r>
        <w:rPr/>
        <w:t>GZGK23P200A0675Z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中山大学附属第六医院放射性药品采购项目</w:t>
      </w:r>
      <w:r>
        <w:rPr/>
        <w:t>”项目（采购项目编号：</w:t>
      </w:r>
      <w:r>
        <w:rPr/>
        <w:t>GZGK23P200A0675Z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