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440501-2024-00064</w:t>
      </w:r>
    </w:p>
    <w:p>
      <w:pPr>
        <w:jc w:val="center"/>
      </w:pPr>
      <w:r>
        <w:rPr>
          <w:b/>
          <w:sz w:val="24"/>
        </w:rPr>
        <w:t>采购项目编号：</w:t>
      </w:r>
      <w:r>
        <w:rPr>
          <w:b/>
          <w:sz w:val="24"/>
        </w:rPr>
        <w:t>GZGK23P215C0717Z</w:t>
      </w:r>
    </w:p>
    <w:p>
      <w:pPr>
        <w:jc w:val="center"/>
      </w:pPr>
      <w:r>
        <w:rPr>
          <w:b/>
          <w:sz w:val="24"/>
        </w:rPr>
        <w:t>项目名称：</w:t>
      </w:r>
      <w:r>
        <w:rPr>
          <w:b/>
          <w:sz w:val="24"/>
        </w:rPr>
        <w:t>化学与精细化工广东省实验室生物大分子中试基地建设全过程技术咨询服务项目</w:t>
      </w:r>
    </w:p>
    <w:p>
      <w:pPr>
        <w:jc w:val="center"/>
      </w:pPr>
      <w:r>
        <w:rPr>
          <w:b/>
          <w:sz w:val="24"/>
        </w:rPr>
        <w:t>采购人：</w:t>
      </w:r>
      <w:r>
        <w:rPr>
          <w:b/>
          <w:sz w:val="24"/>
        </w:rPr>
        <w:t>化学与精细化工广东省实验室</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化学与精细化工广东省实验室</w:t>
      </w:r>
      <w:r>
        <w:rPr/>
        <w:t>的委托，采用</w:t>
      </w:r>
      <w:r>
        <w:rPr/>
        <w:t>公开招标</w:t>
      </w:r>
      <w:r>
        <w:rPr/>
        <w:t>方式组织采购</w:t>
      </w:r>
      <w:r>
        <w:rPr/>
        <w:t>化学与精细化工广东省实验室生物大分子中试基地建设全过程技术咨询服务项目</w:t>
      </w:r>
      <w:r>
        <w:rPr/>
        <w:t>。欢迎符合资格条件的国内供应商参加投标。</w:t>
      </w:r>
    </w:p>
    <w:p>
      <w:r>
        <w:rPr>
          <w:b/>
          <w:sz w:val="28"/>
        </w:rPr>
        <w:t>一.项目概述</w:t>
      </w:r>
    </w:p>
    <w:p>
      <w:r>
        <w:rPr>
          <w:b/>
          <w:sz w:val="24"/>
        </w:rPr>
        <w:t>1.名称与编号</w:t>
      </w:r>
    </w:p>
    <w:p>
      <w:pPr>
        <w:ind w:firstLine="480"/>
      </w:pPr>
      <w:r>
        <w:rPr/>
        <w:t>项目名称：</w:t>
      </w:r>
      <w:r>
        <w:rPr/>
        <w:t>化学与精细化工广东省实验室生物大分子中试基地建设全过程技术咨询服务项目</w:t>
      </w:r>
    </w:p>
    <w:p>
      <w:pPr>
        <w:ind w:firstLine="480"/>
      </w:pPr>
      <w:r>
        <w:rPr/>
        <w:t>采购计划编号：</w:t>
      </w:r>
      <w:r>
        <w:rPr/>
        <w:t>440501-2024-00064</w:t>
      </w:r>
    </w:p>
    <w:p>
      <w:pPr>
        <w:ind w:firstLine="480"/>
      </w:pPr>
      <w:r>
        <w:rPr/>
        <w:t>采购项目编号：</w:t>
      </w:r>
      <w:r>
        <w:rPr/>
        <w:t>GZGK23P215C0717Z</w:t>
      </w:r>
    </w:p>
    <w:p>
      <w:pPr>
        <w:ind w:firstLine="480"/>
      </w:pPr>
      <w:r>
        <w:rPr/>
        <w:t>采购方式：</w:t>
      </w:r>
      <w:r>
        <w:rPr/>
        <w:t>公开招标</w:t>
      </w:r>
    </w:p>
    <w:p>
      <w:pPr>
        <w:ind w:firstLine="480"/>
      </w:pPr>
      <w:r>
        <w:rPr/>
        <w:t>预算金额：</w:t>
      </w:r>
      <w:r>
        <w:rPr/>
        <w:t>1,960,000.00</w:t>
      </w:r>
      <w:r>
        <w:rPr/>
        <w:t>元</w:t>
      </w:r>
    </w:p>
    <w:p>
      <w:r>
        <w:rPr>
          <w:b/>
          <w:sz w:val="24"/>
        </w:rPr>
        <w:t>2.项目内容及需求情况（采购项目技术规格、参数及要求）</w:t>
      </w:r>
    </w:p>
    <w:p>
      <w:pPr>
        <w:ind w:firstLine="480"/>
      </w:pPr>
    </w:p>
    <w:p/>
    <w:p>
      <w:r>
        <w:rPr/>
        <w:t>采购包1(化学与精细化工广东省实验室生物大分子中试基地建设全过程技术咨询服务项目):</w:t>
      </w:r>
    </w:p>
    <w:p>
      <w:r>
        <w:rPr/>
        <w:t>采购包预算金额：1,960,000.00元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化学与精细化工广东省实验室生物大分子中试基地建设全过程技术咨询服务项目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2）有依法缴纳税收和社会保障资金的良好记录：有依法缴纳税收和社会保障资金的良好记录：提供书面承诺声明函（格式详见附件《汕头市政府采购供应商信用承诺函》）</w:t>
      </w:r>
    </w:p>
    <w:p/>
    <w:p>
      <w:r>
        <w:rPr/>
        <w:t>3）具有良好的商业信誉和健全的财务会计制度：具有良好的商业信誉和健全的财务会计制度：提供书面承诺声明函（格式详见附件《汕头市政府采购供应商信用承诺函》）</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采购包1（化学与精细化工广东省实验室生物大分子中试基地建设全过程技术咨询服务项目）：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采购包1（化学与精细化工广东省实验室生物大分子中试基地建设全过程技术咨询服务项目）：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化学与精细化工广东省实验室</w:t>
      </w:r>
    </w:p>
    <w:p>
      <w:pPr>
        <w:ind w:firstLine="480"/>
      </w:pPr>
      <w:r>
        <w:rPr/>
        <w:t>地址：</w:t>
      </w:r>
      <w:r>
        <w:rPr/>
        <w:t>广东省汕头市金平区鮀江街道学院路1号</w:t>
      </w:r>
    </w:p>
    <w:p>
      <w:pPr>
        <w:ind w:firstLine="480"/>
      </w:pPr>
      <w:r>
        <w:rPr/>
        <w:t>联系方式：</w:t>
      </w:r>
      <w:r>
        <w:rPr/>
        <w:t>0754-87237125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020-87687427、87688049</w:t>
      </w:r>
    </w:p>
    <w:p>
      <w:r>
        <w:rPr>
          <w:b/>
          <w:sz w:val="24"/>
        </w:rPr>
        <w:t>3.项目联系方式</w:t>
      </w:r>
    </w:p>
    <w:p>
      <w:pPr>
        <w:ind w:firstLine="480"/>
      </w:pPr>
      <w:r>
        <w:rPr/>
        <w:t>项目联系人：</w:t>
      </w:r>
      <w:r>
        <w:rPr/>
        <w:t>郭俊贤、陈蔚</w:t>
      </w:r>
    </w:p>
    <w:p>
      <w:pPr>
        <w:ind w:firstLine="480"/>
      </w:pPr>
      <w:r>
        <w:rPr/>
        <w:t>电话：</w:t>
      </w:r>
      <w:r>
        <w:rPr/>
        <w:t>020-87687427、87688049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GZGK23P215C0717Z</w:t>
      </w:r>
    </w:p>
    <w:p>
      <w:pPr>
        <w:jc w:val="both"/>
      </w:pPr>
      <w:r>
        <w:rPr>
          <w:b/>
          <w:sz w:val="21"/>
        </w:rPr>
        <w:t>（二）</w:t>
      </w:r>
      <w:r>
        <w:rPr>
          <w:b/>
          <w:sz w:val="21"/>
        </w:rPr>
        <w:t>项目名称：</w:t>
      </w:r>
      <w:r>
        <w:rPr>
          <w:sz w:val="21"/>
        </w:rPr>
        <w:t>化学与精细化工广东省实验室生物大分子中试基地建设全过程技术咨询服务项目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涉及到软件产品的，必须采购和使用正版软件，项目中涉及计算机办公产品的，必须预装正版操作系统软件。</w:t>
      </w:r>
    </w:p>
    <w:p>
      <w:pPr>
        <w:jc w:val="both"/>
      </w:pPr>
      <w:r>
        <w:rPr>
          <w:sz w:val="21"/>
        </w:rPr>
        <w:t>6、</w:t>
      </w:r>
      <w:r>
        <w:rPr>
          <w:sz w:val="21"/>
        </w:rPr>
        <w:t>投标人没有在投标文件中注明偏离（文字说明或在响应表注明）的参数、配置、条款视为被投标人完全接受。</w:t>
      </w:r>
    </w:p>
    <w:p>
      <w:pPr>
        <w:jc w:val="both"/>
      </w:pPr>
      <w:r>
        <w:rPr>
          <w:sz w:val="21"/>
        </w:rPr>
        <w:t>7、</w:t>
      </w:r>
      <w:r>
        <w:rPr>
          <w:sz w:val="21"/>
        </w:rPr>
        <w:t>投标人应保证，采购人在中华人民共和国使用该货物或货物的任何一部分时，免受第三方提出的侵犯其专利权、商标权、著作权或其它知识产权的起诉。</w:t>
      </w:r>
    </w:p>
    <w:p>
      <w:pPr>
        <w:jc w:val="both"/>
      </w:pPr>
      <w:r>
        <w:rPr>
          <w:sz w:val="21"/>
        </w:rPr>
        <w:t>8、</w:t>
      </w:r>
      <w:r>
        <w:rPr>
          <w:sz w:val="21"/>
        </w:rPr>
        <w:t>不允许中标供应商</w:t>
      </w:r>
      <w:r>
        <w:rPr>
          <w:sz w:val="21"/>
        </w:rPr>
        <w:t>转包、分包项目内容</w:t>
      </w:r>
      <w:r>
        <w:rPr>
          <w:sz w:val="21"/>
        </w:rPr>
        <w:t>。</w:t>
      </w:r>
    </w:p>
    <w:p>
      <w:pPr>
        <w:jc w:val="both"/>
      </w:pPr>
      <w:r>
        <w:rPr>
          <w:sz w:val="21"/>
        </w:rPr>
        <w:t>9、</w:t>
      </w:r>
      <w:r>
        <w:rPr>
          <w:sz w:val="21"/>
        </w:rPr>
        <w:t>小型和微型企业、监狱企业和残疾人福利性单位必须按照招标（采购）文件第三章内容提供相应的资料。</w:t>
      </w:r>
    </w:p>
    <w:p>
      <w:pPr>
        <w:jc w:val="both"/>
      </w:pPr>
      <w:r>
        <w:rPr>
          <w:sz w:val="21"/>
        </w:rPr>
        <w:t>10、</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w:t>
      </w:r>
      <w:r>
        <w:rPr>
          <w:sz w:val="21"/>
        </w:rPr>
        <w:t>广东省汕头市金霞街道高新区科技路</w:t>
      </w:r>
      <w:r>
        <w:rPr>
          <w:sz w:val="21"/>
        </w:rPr>
        <w:t>25号聚盛大厦B座511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w:t>
      </w:r>
      <w:r>
        <w:rPr>
          <w:sz w:val="21"/>
        </w:rPr>
        <w:t>本项目所有工作内容、成果资料、后续服务等伴随的服务，包含服务涉及的专家评审相关</w:t>
      </w:r>
      <w:r>
        <w:rPr>
          <w:sz w:val="21"/>
        </w:rPr>
        <w:t>费用</w:t>
      </w:r>
      <w:r>
        <w:rPr>
          <w:sz w:val="21"/>
        </w:rPr>
        <w:t>、雇员费用、差旅费用、通讯费用、管理费用、全额税费等，以及合同履行过程中应预见和不可预见的一切费用。项目配套软件若涉及购买第三方版权、专利权、商标权或其他知识产权，其所需费用应在此次报价中包含</w:t>
      </w:r>
      <w:r>
        <w:rPr>
          <w:color w:val="FF0000"/>
          <w:sz w:val="21"/>
        </w:rPr>
        <w:t>。</w:t>
      </w:r>
    </w:p>
    <w:p>
      <w:pPr>
        <w:jc w:val="both"/>
      </w:pPr>
      <w:r>
        <w:rPr>
          <w:b/>
          <w:sz w:val="21"/>
        </w:rPr>
        <w:t>（六）</w:t>
      </w:r>
      <w:r>
        <w:rPr>
          <w:b/>
          <w:sz w:val="21"/>
        </w:rPr>
        <w:t>实现的目标</w:t>
      </w:r>
    </w:p>
    <w:p>
      <w:pPr>
        <w:ind w:firstLine="420"/>
        <w:jc w:val="both"/>
      </w:pPr>
      <w:r>
        <w:rPr>
          <w:sz w:val="21"/>
        </w:rPr>
        <w:t>为</w:t>
      </w:r>
      <w:r>
        <w:rPr>
          <w:sz w:val="21"/>
        </w:rPr>
        <w:t>汕头化学与精细化工广东省实验室项目（一期）</w:t>
      </w:r>
      <w:r>
        <w:rPr>
          <w:sz w:val="21"/>
        </w:rPr>
        <w:t>-生物大分子中试基地全过程工程项目</w:t>
      </w:r>
      <w:r>
        <w:rPr>
          <w:sz w:val="21"/>
        </w:rPr>
        <w:t>提供</w:t>
      </w:r>
      <w:r>
        <w:rPr>
          <w:sz w:val="21"/>
        </w:rPr>
        <w:t>管理及全过程</w:t>
      </w:r>
      <w:r>
        <w:rPr>
          <w:sz w:val="21"/>
        </w:rPr>
        <w:t>技术</w:t>
      </w:r>
      <w:r>
        <w:rPr>
          <w:sz w:val="21"/>
        </w:rPr>
        <w:t>咨询，从项目深度设计、施工安装、调试阶段到验收、认证全部过程参与并提供技术咨询服务</w:t>
      </w:r>
    </w:p>
    <w:p>
      <w:pPr>
        <w:jc w:val="both"/>
      </w:pPr>
      <w:r>
        <w:rPr>
          <w:b/>
          <w:sz w:val="21"/>
        </w:rPr>
        <w:t>（七）</w:t>
      </w:r>
      <w:r>
        <w:rPr>
          <w:b/>
          <w:sz w:val="21"/>
        </w:rPr>
        <w:t>需执行国家相关标准、行业标准、地方标准或者其他标准、规范</w:t>
      </w:r>
    </w:p>
    <w:p/>
    <w:p>
      <w:pPr>
        <w:ind w:firstLine="480"/>
      </w:pPr>
    </w:p>
    <w:p/>
    <w:p>
      <w:r>
        <w:rPr/>
        <w:t>采购包1（化学与精细化工广东省实验室生物大分子中试基地建设全过程技术咨询服务项目）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签订合同之日起通过GMP等所有相关认证之日止的全过程咨询服务。具体起止时间根据项目实施情况决定。</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1期：支付比例30%,合同签订后支付,中标供应商按采购人要求提交请款申请后5个工作日内采购人向中标供应商支付合同总额的30%。</w:t>
            </w:r>
          </w:p>
          <w:p/>
          <w:p>
            <w:r>
              <w:rPr/>
              <w:t>2期：支付比例20%,项目开工后，中标供应商按采购人要求提交请款申请后15个自然日内采购人向中标供应商支付合同总额的20%（如该项目须办理施工许可证，待取得施工许可证后支付）。</w:t>
            </w:r>
          </w:p>
          <w:p/>
          <w:p>
            <w:r>
              <w:rPr/>
              <w:t>3期：支付比例30%,项目完工且提交完整GMP认证资料并被认证机构接受后，中标供应商按采购人要求提交请款申请后 15个自然日内采购人向中标供应商支付合同总额的30%。</w:t>
            </w:r>
          </w:p>
          <w:p/>
          <w:p>
            <w:r>
              <w:rPr/>
              <w:t>4期：支付比例20%,工程结算通过财政部门审核且通过GMP认证及通过验收后，中标供应商按采购人要求提交请款申请经采购人确认后采购人向中标供应商支付至财审结算定案价的100%，15 个自然日内支付。</w:t>
            </w:r>
          </w:p>
        </w:tc>
      </w:tr>
      <w:tr>
        <w:tc>
          <w:tcPr>
            <w:tcW w:type="dxa" w:w="4153"/>
          </w:tcPr>
          <w:p>
            <w:r>
              <w:rPr/>
              <w:t>验收要求</w:t>
            </w:r>
          </w:p>
        </w:tc>
        <w:tc>
          <w:tcPr>
            <w:tcW w:type="dxa" w:w="4153"/>
          </w:tcPr>
          <w:p/>
          <w:p/>
          <w:p/>
          <w:p>
            <w:r>
              <w:rPr/>
              <w:t>1期：1、符合中华人民共和国国家和履约地相关安全质量标准、行业技术规范标准、环保节能标准，符合美国FDA、欧盟EMA、中国CFDA、GMP标准认证服务； 2、符合招标文件和投标承诺中各方共同认可的各项要求； 3、双方协商一致的其它标准； 4、符合本项目采购需求的要求； 5、上述各类标准与法规必须是有关官方机构最新发布的现行标准。</w:t>
            </w:r>
          </w:p>
        </w:tc>
      </w:tr>
      <w:tr>
        <w:tc>
          <w:tcPr>
            <w:tcW w:type="dxa" w:w="4153"/>
          </w:tcPr>
          <w:p>
            <w:r>
              <w:rPr/>
              <w:t>履约保证金</w:t>
            </w:r>
          </w:p>
        </w:tc>
        <w:tc>
          <w:tcPr>
            <w:tcW w:type="dxa" w:w="4153"/>
          </w:tcPr>
          <w:p/>
          <w:p/>
          <w:p/>
          <w:p/>
          <w:p>
            <w:r>
              <w:rPr/>
              <w:t>收取比例：5%,说明：1、中标人与采购人签订合同后5个工作日内，按合同总价的5%向采购人提交履约保证金（以支票、汇票、本票或者金融机构、担保机构出具的保函等非现金形式提交）。若中标人没有违约行为，履约保证金在项目竣工验收合格且通过GMP等所有相关认证后30日内由采购人以非现金形式无息退还中标人。 2、履约保证金不予退还的情形： （1）拒绝履行合同义务的； （2）履约验收不合格的。 3、采购人逾期退还履约保证金的，从逾期之日起每日按履约保证金3‰的数额向中标人支付违约金。但因中标人自身原因导致无法及时退还的除外。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保密，双方均应对因履行本合同而了解或接触到的对方尚未公开的业务、技术、财务等保密信息和本项目有关文件进行保密，未经对方书面同意，任何一方均不得将对方的资料及文件擅自修改、复制或向第三人转让或用于本项目外的项目，任何一方的相关人员违反保密义务的，由该人员所属一方承担全部法律责任。</w:t>
            </w:r>
          </w:p>
          <w:p/>
          <w:p>
            <w:r>
              <w:rPr/>
              <w:t>（二）知识产权，中标人提交给采购人的成果文件及其相关知识产权权利归属于采购人，中标人享有署名权利。中标人不得将履行本合同产生的工作成果及其相关知识产权转让给第三方，也不得用于本项目以外的地方。</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化学与精细化工广东省实验室生物大分子中试基地建设全过程技术咨询服务项目</w:t>
            </w:r>
          </w:p>
        </w:tc>
        <w:tc>
          <w:tcPr>
            <w:tcW w:type="dxa" w:w="933"/>
          </w:tcPr>
          <w:p>
            <w:pPr>
              <w:jc w:val="left"/>
            </w:pPr>
            <w:r>
              <w:rPr/>
              <w:t>项</w:t>
            </w:r>
          </w:p>
        </w:tc>
        <w:tc>
          <w:tcPr>
            <w:tcW w:type="dxa" w:w="933"/>
          </w:tcPr>
          <w:p>
            <w:pPr>
              <w:jc w:val="right"/>
            </w:pPr>
            <w:r>
              <w:rPr/>
              <w:t>1.00</w:t>
            </w:r>
          </w:p>
        </w:tc>
        <w:tc>
          <w:tcPr>
            <w:tcW w:type="dxa" w:w="933"/>
          </w:tcPr>
          <w:p>
            <w:pPr>
              <w:jc w:val="right"/>
            </w:pPr>
            <w:r>
              <w:rPr/>
              <w:t>1,960,000.00</w:t>
            </w:r>
          </w:p>
        </w:tc>
        <w:tc>
          <w:tcPr>
            <w:tcW w:type="dxa" w:w="933"/>
          </w:tcPr>
          <w:p>
            <w:pPr>
              <w:jc w:val="right"/>
            </w:pPr>
            <w:r>
              <w:rPr/>
              <w:t>1,960,000.00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化学与精细化工广东省实验室生物大分子中试基地建设全过程技术咨询服务项目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一、服务范围和项目概况</w:t>
            </w:r>
          </w:p>
          <w:p>
            <w:pPr>
              <w:ind w:firstLine="420"/>
              <w:jc w:val="both"/>
            </w:pPr>
            <w:r>
              <w:rPr>
                <w:sz w:val="21"/>
              </w:rPr>
              <w:t>服务范围：化学与精细化工广东省实验室生物大分子中试基地建设全过程技术咨询服务</w:t>
            </w:r>
            <w:r>
              <w:rPr>
                <w:sz w:val="21"/>
              </w:rPr>
              <w:t>，从项目深度设计、施工安装、调试阶段到验收、认证全部过程参与并提供技术咨询服务。</w:t>
            </w:r>
          </w:p>
          <w:p>
            <w:pPr>
              <w:ind w:firstLine="420"/>
              <w:jc w:val="both"/>
            </w:pPr>
            <w:r>
              <w:rPr>
                <w:sz w:val="21"/>
              </w:rPr>
              <w:t>（一）全过程工程项目咨询：负责完成的全部项目工程管理咨询工作。主要包括工程前期服务、设计咨询、计划咨询、质量咨询、合同咨询、信息咨询、综合协调沟通管理服务。自项目立项阶段至竣工验收、保修、结算、后评估等各阶段的咨询服务。</w:t>
            </w:r>
          </w:p>
          <w:p>
            <w:pPr>
              <w:ind w:firstLine="420"/>
              <w:jc w:val="both"/>
            </w:pPr>
            <w:r>
              <w:rPr>
                <w:sz w:val="21"/>
              </w:rPr>
              <w:t>（二）全过程工程项目咨询的每个阶段具体工作内容包括但不限于：全过程工程项目服务内容。</w:t>
            </w:r>
          </w:p>
          <w:p>
            <w:pPr>
              <w:ind w:firstLine="420"/>
              <w:jc w:val="both"/>
            </w:pPr>
            <w:r>
              <w:rPr>
                <w:sz w:val="21"/>
              </w:rPr>
              <w:t>（三）提供国际一流水平生物大分子中试基地建设全过程工艺布局、质控体系开发、施工过程质量控制技术顾问，解决建设过程中遇到的问题，支撑产品在中、美、欧等地区进行临床试验及上市，完成研究成果全球同步转化，要求符合美国</w:t>
            </w:r>
            <w:r>
              <w:rPr>
                <w:sz w:val="21"/>
              </w:rPr>
              <w:t>FDA、欧盟EMA、中国CFDA、GMP标准认证服务，并满足建设多管线、高标准、国际一流生物大分子药物研发平台建设的需要。</w:t>
            </w:r>
          </w:p>
          <w:p>
            <w:pPr>
              <w:jc w:val="both"/>
            </w:pPr>
            <w:r>
              <w:rPr>
                <w:b/>
                <w:sz w:val="21"/>
              </w:rPr>
              <w:t>二、服务内容</w:t>
            </w:r>
          </w:p>
          <w:tbl>
            <w:tblPr>
              <w:tblBorders>
                <w:top w:val="none" w:color="000000" w:sz="4"/>
                <w:left w:val="none" w:color="000000" w:sz="4"/>
                <w:bottom w:val="none" w:color="000000" w:sz="4"/>
                <w:right w:val="none" w:color="000000" w:sz="4"/>
                <w:insideH w:val="none"/>
                <w:insideV w:val="none"/>
              </w:tblBorders>
            </w:tblPr>
            <w:tblGrid>
              <w:gridCol w:w="497"/>
              <w:gridCol w:w="830"/>
              <w:gridCol w:w="4269"/>
            </w:tblGrid>
            <w:tr>
              <w:tc>
                <w:tcPr>
                  <w:tcW w:type="dxa" w:w="49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830"/>
                  <w:tcBorders>
                    <w:top w:val="single" w:color="000000" w:sz="4"/>
                    <w:left w:val="none" w:color="000000" w:sz="4"/>
                    <w:bottom w:val="single" w:color="000000" w:sz="4"/>
                    <w:right w:val="single" w:color="000000" w:sz="4"/>
                  </w:tcBorders>
                  <w:vAlign w:val="top"/>
                </w:tcPr>
                <w:p>
                  <w:pPr>
                    <w:jc w:val="center"/>
                  </w:pPr>
                  <w:r>
                    <w:rPr>
                      <w:sz w:val="21"/>
                    </w:rPr>
                    <w:t>阶段</w:t>
                  </w:r>
                </w:p>
              </w:tc>
              <w:tc>
                <w:tcPr>
                  <w:tcW w:type="dxa" w:w="4269"/>
                  <w:tcBorders>
                    <w:top w:val="single" w:color="000000" w:sz="4"/>
                    <w:left w:val="none" w:color="000000" w:sz="4"/>
                    <w:bottom w:val="single" w:color="000000" w:sz="4"/>
                    <w:right w:val="single" w:color="000000" w:sz="4"/>
                  </w:tcBorders>
                  <w:vAlign w:val="top"/>
                </w:tcPr>
                <w:p>
                  <w:pPr>
                    <w:jc w:val="center"/>
                  </w:pPr>
                  <w:r>
                    <w:rPr>
                      <w:sz w:val="21"/>
                    </w:rPr>
                    <w:t>工作内容</w:t>
                  </w:r>
                </w:p>
              </w:tc>
            </w:tr>
            <w:tr>
              <w:tc>
                <w:tcPr>
                  <w:tcW w:type="dxa" w:w="49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30"/>
                  <w:tcBorders>
                    <w:top w:val="none" w:color="000000" w:sz="4"/>
                    <w:left w:val="none" w:color="000000" w:sz="4"/>
                    <w:bottom w:val="single" w:color="000000" w:sz="4"/>
                    <w:right w:val="single" w:color="000000" w:sz="4"/>
                  </w:tcBorders>
                  <w:vAlign w:val="top"/>
                </w:tcPr>
                <w:p>
                  <w:pPr>
                    <w:jc w:val="center"/>
                  </w:pPr>
                  <w:r>
                    <w:rPr>
                      <w:sz w:val="21"/>
                    </w:rPr>
                    <w:t>施工图设计阶段</w:t>
                  </w:r>
                </w:p>
              </w:tc>
              <w:tc>
                <w:tcPr>
                  <w:tcW w:type="dxa" w:w="4269"/>
                  <w:tcBorders>
                    <w:top w:val="none" w:color="000000" w:sz="4"/>
                    <w:left w:val="none" w:color="000000" w:sz="4"/>
                    <w:bottom w:val="single" w:color="000000" w:sz="4"/>
                    <w:right w:val="single" w:color="000000" w:sz="4"/>
                  </w:tcBorders>
                  <w:vAlign w:val="top"/>
                </w:tcPr>
                <w:p>
                  <w:pPr>
                    <w:jc w:val="left"/>
                  </w:pPr>
                  <w:r>
                    <w:rPr>
                      <w:sz w:val="21"/>
                    </w:rPr>
                    <w:t>1、配合进行设计方案的比选，复核各方案的指标；</w:t>
                  </w:r>
                </w:p>
                <w:p>
                  <w:pPr>
                    <w:jc w:val="left"/>
                  </w:pPr>
                  <w:r>
                    <w:rPr>
                      <w:sz w:val="21"/>
                    </w:rPr>
                    <w:t>2、从投资及技术标准的角度提出优化建议；</w:t>
                  </w:r>
                </w:p>
                <w:p>
                  <w:pPr>
                    <w:jc w:val="left"/>
                  </w:pPr>
                  <w:r>
                    <w:rPr>
                      <w:sz w:val="21"/>
                    </w:rPr>
                    <w:t>3、对设计中采用的主材、设备等提供市场信息，进行方案比较，提出优化建议；</w:t>
                  </w:r>
                </w:p>
                <w:p>
                  <w:pPr>
                    <w:jc w:val="left"/>
                  </w:pPr>
                  <w:r>
                    <w:rPr>
                      <w:sz w:val="21"/>
                    </w:rPr>
                    <w:t>4、参加相应的设计方案论证会议、GMP相关工程图纸专家会审、设计变更方案论证专题会，从技术角度提出意见。</w:t>
                  </w:r>
                </w:p>
              </w:tc>
            </w:tr>
            <w:tr>
              <w:tc>
                <w:tcPr>
                  <w:tcW w:type="dxa" w:w="4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30"/>
                  <w:tcBorders>
                    <w:top w:val="none" w:color="000000" w:sz="4"/>
                    <w:left w:val="none" w:color="000000" w:sz="4"/>
                    <w:bottom w:val="single" w:color="000000" w:sz="4"/>
                    <w:right w:val="single" w:color="000000" w:sz="4"/>
                  </w:tcBorders>
                  <w:vAlign w:val="top"/>
                </w:tcPr>
                <w:p>
                  <w:pPr>
                    <w:jc w:val="center"/>
                  </w:pPr>
                  <w:r>
                    <w:rPr>
                      <w:sz w:val="21"/>
                    </w:rPr>
                    <w:t>施工阶段</w:t>
                  </w:r>
                </w:p>
              </w:tc>
              <w:tc>
                <w:tcPr>
                  <w:tcW w:type="dxa" w:w="4269"/>
                  <w:tcBorders>
                    <w:top w:val="none" w:color="000000" w:sz="4"/>
                    <w:left w:val="none" w:color="000000" w:sz="4"/>
                    <w:bottom w:val="single" w:color="000000" w:sz="4"/>
                    <w:right w:val="single" w:color="000000" w:sz="4"/>
                  </w:tcBorders>
                  <w:vAlign w:val="top"/>
                </w:tcPr>
                <w:p>
                  <w:pPr>
                    <w:jc w:val="left"/>
                  </w:pPr>
                  <w:r>
                    <w:rPr>
                      <w:sz w:val="21"/>
                    </w:rPr>
                    <w:t>1、设计变更时，对变更源进行分析；配合变更方案比选，提出合理化建议；</w:t>
                  </w:r>
                </w:p>
                <w:p>
                  <w:pPr>
                    <w:jc w:val="left"/>
                  </w:pPr>
                  <w:r>
                    <w:rPr>
                      <w:sz w:val="21"/>
                    </w:rPr>
                    <w:t>2、委派人员参与例会，并定期召开咨询反馈意见会议，解决施工过程中各类工艺技术问题。</w:t>
                  </w:r>
                </w:p>
                <w:p>
                  <w:pPr>
                    <w:jc w:val="left"/>
                  </w:pPr>
                  <w:r>
                    <w:rPr>
                      <w:sz w:val="21"/>
                    </w:rPr>
                    <w:t>3、设备到货及定位安装中标人须协助采购人审核确认。并指派专人到现场协助采购人对购买的仪器设备进行到货核验及安装确认直至验收合格，同时提供技术咨询与指导。</w:t>
                  </w:r>
                </w:p>
                <w:p>
                  <w:pPr>
                    <w:jc w:val="left"/>
                  </w:pPr>
                  <w:r>
                    <w:rPr>
                      <w:sz w:val="21"/>
                    </w:rPr>
                    <w:t>4、设备调试技术指导。派人在现场对已建成的管线试运行进行技术咨询及指导，及时解决出现问题，确保各管线正常运行。</w:t>
                  </w:r>
                </w:p>
              </w:tc>
            </w:tr>
            <w:tr>
              <w:tc>
                <w:tcPr>
                  <w:tcW w:type="dxa" w:w="4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30"/>
                  <w:tcBorders>
                    <w:top w:val="none" w:color="000000" w:sz="4"/>
                    <w:left w:val="none" w:color="000000" w:sz="4"/>
                    <w:bottom w:val="single" w:color="000000" w:sz="4"/>
                    <w:right w:val="single" w:color="000000" w:sz="4"/>
                  </w:tcBorders>
                  <w:vAlign w:val="top"/>
                </w:tcPr>
                <w:p>
                  <w:pPr>
                    <w:jc w:val="center"/>
                  </w:pPr>
                  <w:r>
                    <w:rPr>
                      <w:sz w:val="21"/>
                    </w:rPr>
                    <w:t>竣工验收阶段</w:t>
                  </w:r>
                </w:p>
              </w:tc>
              <w:tc>
                <w:tcPr>
                  <w:tcW w:type="dxa" w:w="4269"/>
                  <w:tcBorders>
                    <w:top w:val="none" w:color="000000" w:sz="4"/>
                    <w:left w:val="none" w:color="000000" w:sz="4"/>
                    <w:bottom w:val="single" w:color="000000" w:sz="4"/>
                    <w:right w:val="single" w:color="000000" w:sz="4"/>
                  </w:tcBorders>
                  <w:vAlign w:val="top"/>
                </w:tcPr>
                <w:p>
                  <w:pPr>
                    <w:jc w:val="left"/>
                  </w:pPr>
                  <w:r>
                    <w:rPr>
                      <w:sz w:val="21"/>
                    </w:rPr>
                    <w:t>1、审核项目整体完成情况，在工艺技术上审核实验室建设情况是否完备，是否符合GMP建设标准；</w:t>
                  </w:r>
                </w:p>
                <w:p>
                  <w:pPr>
                    <w:jc w:val="left"/>
                  </w:pPr>
                  <w:r>
                    <w:rPr>
                      <w:sz w:val="21"/>
                    </w:rPr>
                    <w:t>2、完成项目业主委托的其他事项。</w:t>
                  </w:r>
                </w:p>
              </w:tc>
            </w:tr>
            <w:tr>
              <w:tc>
                <w:tcPr>
                  <w:tcW w:type="dxa" w:w="4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30"/>
                  <w:tcBorders>
                    <w:top w:val="none" w:color="000000" w:sz="4"/>
                    <w:left w:val="none" w:color="000000" w:sz="4"/>
                    <w:bottom w:val="single" w:color="000000" w:sz="4"/>
                    <w:right w:val="single" w:color="000000" w:sz="4"/>
                  </w:tcBorders>
                  <w:vAlign w:val="top"/>
                </w:tcPr>
                <w:p>
                  <w:pPr>
                    <w:jc w:val="center"/>
                  </w:pPr>
                  <w:r>
                    <w:rPr>
                      <w:sz w:val="21"/>
                    </w:rPr>
                    <w:t>认证阶段</w:t>
                  </w:r>
                </w:p>
              </w:tc>
              <w:tc>
                <w:tcPr>
                  <w:tcW w:type="dxa" w:w="4269"/>
                  <w:tcBorders>
                    <w:top w:val="none" w:color="000000" w:sz="4"/>
                    <w:left w:val="none" w:color="000000" w:sz="4"/>
                    <w:bottom w:val="single" w:color="000000" w:sz="4"/>
                    <w:right w:val="single" w:color="000000" w:sz="4"/>
                  </w:tcBorders>
                  <w:vAlign w:val="top"/>
                </w:tcPr>
                <w:p>
                  <w:pPr>
                    <w:jc w:val="left"/>
                  </w:pPr>
                  <w:r>
                    <w:rPr>
                      <w:sz w:val="21"/>
                    </w:rPr>
                    <w:t>1</w:t>
                  </w:r>
                  <w:r>
                    <w:rPr>
                      <w:sz w:val="21"/>
                    </w:rPr>
                    <w:t>、提供整体项目</w:t>
                  </w:r>
                  <w:r>
                    <w:rPr>
                      <w:sz w:val="21"/>
                    </w:rPr>
                    <w:t>GMP合</w:t>
                  </w:r>
                  <w:r>
                    <w:rPr>
                      <w:sz w:val="21"/>
                    </w:rPr>
                    <w:t>规性管理。包括提供：认证总计划（</w:t>
                  </w:r>
                  <w:r>
                    <w:rPr>
                      <w:sz w:val="21"/>
                    </w:rPr>
                    <w:t>VMP），影响分析（IA），基于</w:t>
                  </w:r>
                  <w:r>
                    <w:rPr>
                      <w:sz w:val="21"/>
                    </w:rPr>
                    <w:t>HAZOP, sFMEA</w:t>
                  </w:r>
                  <w:r>
                    <w:rPr>
                      <w:sz w:val="21"/>
                    </w:rPr>
                    <w:t>的风险分析</w:t>
                  </w:r>
                  <w:r>
                    <w:rPr>
                      <w:sz w:val="21"/>
                    </w:rPr>
                    <w:t>.</w:t>
                  </w:r>
                </w:p>
                <w:p>
                  <w:pPr>
                    <w:jc w:val="left"/>
                  </w:pPr>
                  <w:r>
                    <w:rPr>
                      <w:sz w:val="21"/>
                    </w:rPr>
                    <w:t>2、</w:t>
                  </w:r>
                  <w:r>
                    <w:rPr>
                      <w:sz w:val="21"/>
                    </w:rPr>
                    <w:t>需提供</w:t>
                  </w:r>
                  <w:r>
                    <w:rPr>
                      <w:sz w:val="21"/>
                    </w:rPr>
                    <w:t>符合美国</w:t>
                  </w:r>
                  <w:r>
                    <w:rPr>
                      <w:sz w:val="21"/>
                    </w:rPr>
                    <w:t>FDA、欧盟EMA、中国</w:t>
                  </w:r>
                  <w:r>
                    <w:rPr>
                      <w:sz w:val="21"/>
                    </w:rPr>
                    <w:t>NAMP</w:t>
                  </w:r>
                  <w:r>
                    <w:rPr>
                      <w:sz w:val="21"/>
                    </w:rPr>
                    <w:t>、</w:t>
                  </w:r>
                  <w:r>
                    <w:rPr>
                      <w:sz w:val="21"/>
                    </w:rPr>
                    <w:t>GMP标准认证服务。并满足建设多管线、高标准、国际一流生物大分子药物研发平台建设的需要。</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化学与精细化工广东省实验室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从提交投标文件的截止之日起60日历天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的92%收取。招标代理服务费由中标供应商在领取《中标通知书》前一次性向采购代理机构交纳以下金额：￥20,865.60元（大写：人民币贰万零捌佰陆拾伍元陆角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郭俊贤、陈蔚</w:t>
      </w:r>
    </w:p>
    <w:p>
      <w:pPr>
        <w:ind w:firstLine="480"/>
      </w:pPr>
      <w:r>
        <w:rPr/>
        <w:t>电话：</w:t>
      </w:r>
      <w:r>
        <w:rPr/>
        <w:t>020-87687427、87688049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政府采购监督管理机构名称：汕头市财政局政府采购监管科</w:t>
      </w:r>
    </w:p>
    <w:p>
      <w:r>
        <w:rPr/>
        <w:t>地  址：广东省汕头市金平区十一街区财政大楼18楼1809室</w:t>
      </w:r>
    </w:p>
    <w:p>
      <w:r>
        <w:rPr/>
        <w:t>电  话：0754-88179775</w:t>
      </w:r>
    </w:p>
    <w:p>
      <w:r>
        <w:rPr/>
        <w:t>邮  编：515041</w:t>
      </w:r>
    </w:p>
    <w:p>
      <w:r>
        <w:rPr/>
        <w:t>传  真：0754-88179830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化学与精细化工广东省实验室生物大分子中试基地建设全过程技术咨询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采购包1（化学与精细化工广东省实验室生物大分子中试基地建设全过程技术咨询服务项目）：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采购包1（化学与精细化工广东省实验室生物大分子中试基地建设全过程技术咨询服务项目）：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有依法缴纳税收和社会保障资金的良好记录：提供书面承诺声明函（格式详见附件《汕头市政府采购供应商信用承诺函》）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具有良好的商业信誉和健全的财务会计制度：提供书面承诺声明函（格式详见附件《汕头市政府采购供应商信用承诺函》）</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采购包1（化学与精细化工广东省实验室生物大分子中试基地建设全过程技术咨询服务项目）：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投标有效期：60天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采购包1(化学与精细化工广东省实验室生物大分子中试基地建设全过程技术咨询服务项目):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对投标人针对本项目的实验室规划设计咨询服务总体方案进行评审（一） (3.0分)</w:t>
            </w:r>
          </w:p>
        </w:tc>
        <w:tc>
          <w:tcPr>
            <w:tcW w:type="dxa" w:w="5076"/>
          </w:tcPr>
          <w:p>
            <w:pPr>
              <w:jc w:val="left"/>
            </w:pPr>
            <w:r>
              <w:rPr/>
              <w:t>根据采购需求，供应商能提供实验室规划设计咨询服务总体方案且内容同时包括实施计划、流程、成果的得3分，否则不得分且“对投标人针对本项目的实验室规划设计咨询服务总体方案进行评审（二）”均不得分</w:t>
            </w:r>
          </w:p>
        </w:tc>
      </w:tr>
      <w:tr>
        <w:tc>
          <w:tcPr>
            <w:tcW w:type="dxa" w:w="922"/>
            <w:gridSpan w:val="2"/>
            <w:vMerge/>
          </w:tcPr>
          <w:p/>
        </w:tc>
        <w:tc>
          <w:tcPr>
            <w:tcW w:type="dxa" w:w="2307"/>
          </w:tcPr>
          <w:p>
            <w:pPr>
              <w:jc w:val="left"/>
            </w:pPr>
            <w:r>
              <w:rPr/>
              <w:t>对投标人针对本项目的实验室规划设计咨询服务总体方案进行评审（二） (12.0分)</w:t>
            </w:r>
            <w:r>
              <w:rPr/>
              <w:t>，（等次分值选择：</w:t>
            </w:r>
            <w:r>
              <w:rPr/>
              <w:t>0.0;</w:t>
            </w:r>
            <w:r>
              <w:rPr/>
              <w:t>1.0;</w:t>
            </w:r>
            <w:r>
              <w:rPr/>
              <w:t>4.0;</w:t>
            </w:r>
            <w:r>
              <w:rPr/>
              <w:t>8.0;</w:t>
            </w:r>
            <w:r>
              <w:rPr/>
              <w:t>12.0;</w:t>
            </w:r>
            <w:r>
              <w:rPr/>
              <w:t>）</w:t>
            </w:r>
          </w:p>
        </w:tc>
        <w:tc>
          <w:tcPr>
            <w:tcW w:type="dxa" w:w="5076"/>
          </w:tcPr>
          <w:p>
            <w:pPr>
              <w:jc w:val="left"/>
            </w:pPr>
            <w:r>
              <w:rPr/>
              <w:t>1、方案满足本项目实验室的要求并符合国家相关规范及标准、有项目所在地区的设计特色、设计方案及咨询服务内容与深度符合招标文件要求，对项目理解和把握准确并对本项目的实际功能进行了系统性的整理，全局考虑项目的功能布局，内容详细、完善、切实可行性，得12分； 2、方案满足本项目实验室的要求并符合国家相关规范及标准、有项目所在地区的设计特色、设计方案及咨询服务内容与深度符合招标文件要求，对项目理解和把握有一定的准确性，对本项目的实际功能进行了系统性的整理，全局考虑项目的功能布局，内容有可行性，得8分； 3、方案满足本项目实验室的要求及国家相关规范及标准、未突显项目所在地区的设计特色、设计方案、咨询服务内容及深度与招标文件要求契合度不高，对项目能基本理解但把握的准确性有一定偏差，全局功能布局考虑不全，得4分； 4、方案不能满足本项目实验室的要求，不符合国家相关规范及标准、未突显项目所在地区的设计特色、设计方案、咨询服务内容及深度与招标文件要求不符，对项目不理解，未全局考虑项目的功能布局，方案不完善、无可行性，得1分。 注：不提供方案不得分。</w:t>
            </w:r>
          </w:p>
        </w:tc>
      </w:tr>
      <w:tr>
        <w:tc>
          <w:tcPr>
            <w:tcW w:type="dxa" w:w="922"/>
            <w:gridSpan w:val="2"/>
            <w:vMerge/>
          </w:tcPr>
          <w:p/>
        </w:tc>
        <w:tc>
          <w:tcPr>
            <w:tcW w:type="dxa" w:w="2307"/>
          </w:tcPr>
          <w:p>
            <w:pPr>
              <w:jc w:val="left"/>
            </w:pPr>
            <w:r>
              <w:rPr/>
              <w:t>对投标人满足本项目实验室建设工艺重点和难点分析及应对措施进行评审（一） (3.0分)</w:t>
            </w:r>
          </w:p>
        </w:tc>
        <w:tc>
          <w:tcPr>
            <w:tcW w:type="dxa" w:w="5076"/>
          </w:tcPr>
          <w:p>
            <w:pPr>
              <w:jc w:val="left"/>
            </w:pPr>
            <w:r>
              <w:rPr/>
              <w:t>根据采购需求，供应商能提供实验室建设工艺重点和难点分析及应对措施且内容同时包括重点和难点分析、应对措施的得3分，否则不得分且“对投标人满足本项目实验室建设工艺重点和难点分析及应对措施进行评审（二）”均不得分</w:t>
            </w:r>
          </w:p>
        </w:tc>
      </w:tr>
      <w:tr>
        <w:tc>
          <w:tcPr>
            <w:tcW w:type="dxa" w:w="922"/>
            <w:gridSpan w:val="2"/>
            <w:vMerge/>
          </w:tcPr>
          <w:p/>
        </w:tc>
        <w:tc>
          <w:tcPr>
            <w:tcW w:type="dxa" w:w="2307"/>
          </w:tcPr>
          <w:p>
            <w:pPr>
              <w:jc w:val="left"/>
            </w:pPr>
            <w:r>
              <w:rPr/>
              <w:t>对投标人满足本项目实验室建设工艺重点和难点分析及应对措施进行评审（二） (12.0分)</w:t>
            </w:r>
            <w:r>
              <w:rPr/>
              <w:t>，（等次分值选择：</w:t>
            </w:r>
            <w:r>
              <w:rPr/>
              <w:t>0.0;</w:t>
            </w:r>
            <w:r>
              <w:rPr/>
              <w:t>4.0;</w:t>
            </w:r>
            <w:r>
              <w:rPr/>
              <w:t>8.0;</w:t>
            </w:r>
            <w:r>
              <w:rPr/>
              <w:t>12.0;</w:t>
            </w:r>
            <w:r>
              <w:rPr/>
              <w:t>）</w:t>
            </w:r>
          </w:p>
        </w:tc>
        <w:tc>
          <w:tcPr>
            <w:tcW w:type="dxa" w:w="5076"/>
          </w:tcPr>
          <w:p>
            <w:pPr>
              <w:jc w:val="left"/>
            </w:pPr>
            <w:r>
              <w:rPr/>
              <w:t>对满足实验室建设工艺设计各阶段重点和难点分析及应对措施： 1、针对项目全部重点难点全面剖析，能针对全部重点难点提出科学合理、可直接执行的应对措施，得12分； 2、针对部分重点难点全面剖析，只针对部分重点难点提出科学合理，具备一定执行性的应对措施，得8分； 3、只针对部分重点难点剖析，提出应对措施合理性不足、难以执行的，得4分； 4、没提供得0分。</w:t>
            </w:r>
          </w:p>
        </w:tc>
      </w:tr>
      <w:tr>
        <w:tc>
          <w:tcPr>
            <w:tcW w:type="dxa" w:w="922"/>
            <w:gridSpan w:val="2"/>
            <w:vMerge/>
          </w:tcPr>
          <w:p/>
        </w:tc>
        <w:tc>
          <w:tcPr>
            <w:tcW w:type="dxa" w:w="2307"/>
          </w:tcPr>
          <w:p>
            <w:pPr>
              <w:jc w:val="left"/>
            </w:pPr>
            <w:r>
              <w:rPr/>
              <w:t>对各阶段实验室工艺流程的工作进度安排及质量保证措施（一） (2.0分)</w:t>
            </w:r>
          </w:p>
        </w:tc>
        <w:tc>
          <w:tcPr>
            <w:tcW w:type="dxa" w:w="5076"/>
          </w:tcPr>
          <w:p>
            <w:pPr>
              <w:jc w:val="left"/>
            </w:pPr>
            <w:r>
              <w:rPr/>
              <w:t>根据采购需求，供应商能提供各阶段实验室工艺流程的工作进度安排及质量保证措施且内容同时包括工作进度安排、质量保证措施的得2分，否则不得分且“对各阶段实验室工艺流程的工作进度安排及质量保证措施（二）”均不得分</w:t>
            </w:r>
          </w:p>
        </w:tc>
      </w:tr>
      <w:tr>
        <w:tc>
          <w:tcPr>
            <w:tcW w:type="dxa" w:w="922"/>
            <w:gridSpan w:val="2"/>
            <w:vMerge/>
          </w:tcPr>
          <w:p/>
        </w:tc>
        <w:tc>
          <w:tcPr>
            <w:tcW w:type="dxa" w:w="2307"/>
          </w:tcPr>
          <w:p>
            <w:pPr>
              <w:jc w:val="left"/>
            </w:pPr>
            <w:r>
              <w:rPr/>
              <w:t>对各阶段实验室工艺流程的工作进度安排及质量保证措施（二） (8.0分)</w:t>
            </w:r>
            <w:r>
              <w:rPr/>
              <w:t>，（等次分值选择：</w:t>
            </w:r>
            <w:r>
              <w:rPr/>
              <w:t>0.0;</w:t>
            </w:r>
            <w:r>
              <w:rPr/>
              <w:t>1.0;</w:t>
            </w:r>
            <w:r>
              <w:rPr/>
              <w:t>4.0;</w:t>
            </w:r>
            <w:r>
              <w:rPr/>
              <w:t>8.0;</w:t>
            </w:r>
            <w:r>
              <w:rPr/>
              <w:t>）</w:t>
            </w:r>
          </w:p>
        </w:tc>
        <w:tc>
          <w:tcPr>
            <w:tcW w:type="dxa" w:w="5076"/>
          </w:tcPr>
          <w:p>
            <w:pPr>
              <w:jc w:val="left"/>
            </w:pPr>
            <w:r>
              <w:rPr/>
              <w:t>对各阶段实验室工艺方案设计的工作进度安排（包括但不限于各级实验室工艺方案设计中的时间安排）及质量保证措施进行评审： （1）工作进度安排及质量保障措施对需求响应全面具体、针对项目全部重点难点全面剖析，能针对全部重点难点提出科学合理、可直接执行的实施方案，有效保障本项目实施，有利于实现服务效果，得8分； （2）工作进度安排及质量保障措施对需求响应全面具体，针对部分重点难点进行剖析，并提出具备执行条件的针对措施，基本保障本项目服务实施，基本满足服务效果，得4分； （3）工作进度安排及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与采购人及各单位的协同配合方案（一） (2.0分)</w:t>
            </w:r>
          </w:p>
        </w:tc>
        <w:tc>
          <w:tcPr>
            <w:tcW w:type="dxa" w:w="5076"/>
          </w:tcPr>
          <w:p>
            <w:pPr>
              <w:jc w:val="left"/>
            </w:pPr>
            <w:r>
              <w:rPr/>
              <w:t>根据采购需求，供应商能提供与采购人及各单位的协同配合方案且内容同时包括与采购人协同配合方案、与实验室建设各单位（包括但不限于设计单位、监理单位、施工单位）的协同配合方案的得2分，否则不得分且“与采购人及各单位的协同配合方案（二）”均不得分</w:t>
            </w:r>
          </w:p>
        </w:tc>
      </w:tr>
      <w:tr>
        <w:tc>
          <w:tcPr>
            <w:tcW w:type="dxa" w:w="922"/>
            <w:gridSpan w:val="2"/>
            <w:vMerge/>
          </w:tcPr>
          <w:p/>
        </w:tc>
        <w:tc>
          <w:tcPr>
            <w:tcW w:type="dxa" w:w="2307"/>
          </w:tcPr>
          <w:p>
            <w:pPr>
              <w:jc w:val="left"/>
            </w:pPr>
            <w:r>
              <w:rPr/>
              <w:t>与采购人及各单位的协同配合方案（二） (8.0分)</w:t>
            </w:r>
            <w:r>
              <w:rPr/>
              <w:t>，（等次分值选择：</w:t>
            </w:r>
            <w:r>
              <w:rPr/>
              <w:t>0.0;</w:t>
            </w:r>
            <w:r>
              <w:rPr/>
              <w:t>1.0;</w:t>
            </w:r>
            <w:r>
              <w:rPr/>
              <w:t>4.0;</w:t>
            </w:r>
            <w:r>
              <w:rPr/>
              <w:t>8.0;</w:t>
            </w:r>
            <w:r>
              <w:rPr/>
              <w:t>）</w:t>
            </w:r>
          </w:p>
        </w:tc>
        <w:tc>
          <w:tcPr>
            <w:tcW w:type="dxa" w:w="5076"/>
          </w:tcPr>
          <w:p>
            <w:pPr>
              <w:jc w:val="left"/>
            </w:pPr>
            <w:r>
              <w:rPr/>
              <w:t>对投标人对整体协调及与采购人及各单位（包括但不限于设计单位、监理单位、施工单位）的协同配合方案进行评审： （1）协同配合方案对需求响应全面具体，针对实施难点及关键点全面剖析，提出方案全面具体，售后服务计划详细完备并配备完善的保障人员和预备人员，方案可直接全面执行的，有效保障本项目实施，有利于实现服务效果，得8分； （2）协同配合方案对需求响应全面具体，只针对实施的部分难点或部分关键点进行剖析，售后服务计划不完善或者配备人员不足，但方案仍具备一定执行性的，基本保障本项目服务实施，基本满足服务效果，得4分； （3）协同配合方案对需求响应不全面，对实施难点重点认识不清晰，售后服务计划差或者人员配备差的，或者方案难以执行的，无法保障本项目服务实施，达不到服务效果，得1分； （4）没提供得0分。</w:t>
            </w:r>
          </w:p>
        </w:tc>
      </w:tr>
      <w:tr>
        <w:tc>
          <w:tcPr>
            <w:tcW w:type="dxa" w:w="922"/>
            <w:gridSpan w:val="2"/>
            <w:vMerge/>
          </w:tcPr>
          <w:p/>
        </w:tc>
        <w:tc>
          <w:tcPr>
            <w:tcW w:type="dxa" w:w="2307"/>
          </w:tcPr>
          <w:p>
            <w:pPr>
              <w:jc w:val="left"/>
            </w:pPr>
            <w:r>
              <w:rPr/>
              <w:t>合理化建议（一） (2.0分)</w:t>
            </w:r>
          </w:p>
        </w:tc>
        <w:tc>
          <w:tcPr>
            <w:tcW w:type="dxa" w:w="5076"/>
          </w:tcPr>
          <w:p>
            <w:pPr>
              <w:jc w:val="left"/>
            </w:pPr>
            <w:r>
              <w:rPr/>
              <w:t>根据投标人提供的合理化建议进行评审 每提供1条合理化建议的分析得1分，本小项最高得2分；不提供不得分且“合理化建议（二）”均不得分</w:t>
            </w:r>
          </w:p>
        </w:tc>
      </w:tr>
      <w:tr>
        <w:tc>
          <w:tcPr>
            <w:tcW w:type="dxa" w:w="922"/>
            <w:gridSpan w:val="2"/>
            <w:vMerge/>
          </w:tcPr>
          <w:p/>
        </w:tc>
        <w:tc>
          <w:tcPr>
            <w:tcW w:type="dxa" w:w="2307"/>
          </w:tcPr>
          <w:p>
            <w:pPr>
              <w:jc w:val="left"/>
            </w:pPr>
            <w:r>
              <w:rPr/>
              <w:t>合理化建议（二） (8.0分)</w:t>
            </w:r>
            <w:r>
              <w:rPr/>
              <w:t>，（等次分值选择：</w:t>
            </w:r>
            <w:r>
              <w:rPr/>
              <w:t>0.0;</w:t>
            </w:r>
            <w:r>
              <w:rPr/>
              <w:t>2.0;</w:t>
            </w:r>
            <w:r>
              <w:rPr/>
              <w:t>5.0;</w:t>
            </w:r>
            <w:r>
              <w:rPr/>
              <w:t>8.0;</w:t>
            </w:r>
            <w:r>
              <w:rPr/>
              <w:t>）</w:t>
            </w:r>
          </w:p>
        </w:tc>
        <w:tc>
          <w:tcPr>
            <w:tcW w:type="dxa" w:w="5076"/>
          </w:tcPr>
          <w:p>
            <w:pPr>
              <w:jc w:val="left"/>
            </w:pPr>
            <w:r>
              <w:rPr/>
              <w:t>对投标人根据自身经验结合本项目建设满足实际情况提出的合理化建议进行评审： 1.建议合理、详细，全面，针对性及可操作性强的，得8分； 2.建议基本合理、详细，只针对部分重点难点提出科学合理的措施，得5分； 3.建议缺乏合理性，具有片面性，有一定的针对性及可操作性的，得2分； 4.建议不合理，针对性及可操作性的，或不提供的得0分.。</w:t>
            </w:r>
          </w:p>
        </w:tc>
      </w:tr>
      <w:tr>
        <w:tc>
          <w:tcPr>
            <w:tcW w:type="dxa" w:w="922"/>
            <w:gridSpan w:val="2"/>
            <w:vMerge w:val="restart"/>
          </w:tcPr>
          <w:p>
            <w:pPr>
              <w:jc w:val="center"/>
            </w:pPr>
            <w:r>
              <w:rPr/>
              <w:t>商务部分</w:t>
            </w:r>
          </w:p>
        </w:tc>
        <w:tc>
          <w:tcPr>
            <w:tcW w:type="dxa" w:w="2307"/>
          </w:tcPr>
          <w:p>
            <w:pPr>
              <w:jc w:val="left"/>
            </w:pPr>
            <w:r>
              <w:rPr/>
              <w:t>企业业绩 (10.0分)</w:t>
            </w:r>
          </w:p>
        </w:tc>
        <w:tc>
          <w:tcPr>
            <w:tcW w:type="dxa" w:w="5076"/>
          </w:tcPr>
          <w:p>
            <w:pPr>
              <w:jc w:val="left"/>
            </w:pPr>
            <w:r>
              <w:rPr/>
              <w:t>2020年1月1日至今投标人独立完成过的同类项目的业绩，每提供一项得2分，累计最高得10分 注： 1、同类项目是指所提供项目的实施内容至少包含实验室建设全过程咨询类或同时至少包括同类型项目的概念、基础、详细设计。 2、需提供合同关键页及成果文件（成果文件需有专家评审通过的日期或业主出具的含有日期及盖章的证明）扫描件并加盖投标人公章，合同关键页至少包括合同首尾页、委托内容页、签字盖章页； 3、时间以最终成果文件（专家评审通过的日期或业主出具的盖章证明日期）为准。 未提供或提供不完整的不得分。</w:t>
            </w:r>
          </w:p>
        </w:tc>
      </w:tr>
      <w:tr>
        <w:tc>
          <w:tcPr>
            <w:tcW w:type="dxa" w:w="922"/>
            <w:gridSpan w:val="2"/>
            <w:vMerge/>
          </w:tcPr>
          <w:p/>
        </w:tc>
        <w:tc>
          <w:tcPr>
            <w:tcW w:type="dxa" w:w="2307"/>
          </w:tcPr>
          <w:p>
            <w:pPr>
              <w:jc w:val="left"/>
            </w:pPr>
            <w:r>
              <w:rPr/>
              <w:t>履约评价 (5.0分)</w:t>
            </w:r>
          </w:p>
        </w:tc>
        <w:tc>
          <w:tcPr>
            <w:tcW w:type="dxa" w:w="5076"/>
          </w:tcPr>
          <w:p>
            <w:pPr>
              <w:jc w:val="left"/>
            </w:pPr>
            <w:r>
              <w:rPr/>
              <w:t>根据上述所提供的有效“企业业绩”履约评价或客户评价，优秀或良好或满意或满足业主要求（或同等类型）的评价，每提供一个得1分，最高得5分。（需提供加盖客户或用户印章的评价证明材料扫描件）</w:t>
            </w:r>
          </w:p>
        </w:tc>
      </w:tr>
      <w:tr>
        <w:tc>
          <w:tcPr>
            <w:tcW w:type="dxa" w:w="922"/>
            <w:gridSpan w:val="2"/>
            <w:vMerge/>
          </w:tcPr>
          <w:p/>
        </w:tc>
        <w:tc>
          <w:tcPr>
            <w:tcW w:type="dxa" w:w="2307"/>
          </w:tcPr>
          <w:p>
            <w:pPr>
              <w:jc w:val="left"/>
            </w:pPr>
            <w:r>
              <w:rPr/>
              <w:t>拟投入项目负责人职称及学历(限1人)  (5.0分)</w:t>
            </w:r>
          </w:p>
        </w:tc>
        <w:tc>
          <w:tcPr>
            <w:tcW w:type="dxa" w:w="5076"/>
          </w:tcPr>
          <w:p>
            <w:pPr>
              <w:jc w:val="left"/>
            </w:pPr>
            <w:r>
              <w:rPr/>
              <w:t>1、投入本项目的项目负责人： 1）具有医药相关专业（或建筑相关专业）正高级(或教授级)职称的，得2分； 2）具有医药相关专业（或建筑相关专业）高级（或副高级）职称的，得1分； 3）具有医药相关专业（或建筑相关专业）中级职称的，得0.5分。其他不得分。 （具有多个职称只计算一次，按最高等级计算得分） 2、投入本项目的项目负责人具有医药相关专业（或建筑相关专业）5年或以上工作经验的，得3分；具有医药相关专业（或建筑相关专业）5年以下工作经验的，得1分。其他情况不得分。 注：本项最高得5分，需提供职称证书、毕业证书（或学位证书）扫描件及发布招标公告前六个月中任意一个月（不含招标公告当月）在投标人单位缴纳的社保证明材料扫描件加盖公章；项目负责人专业以职称证，毕业证书（或学位证书）显示专业的最高级别为准。</w:t>
            </w:r>
          </w:p>
        </w:tc>
      </w:tr>
      <w:tr>
        <w:tc>
          <w:tcPr>
            <w:tcW w:type="dxa" w:w="922"/>
            <w:gridSpan w:val="2"/>
            <w:vMerge/>
          </w:tcPr>
          <w:p/>
        </w:tc>
        <w:tc>
          <w:tcPr>
            <w:tcW w:type="dxa" w:w="2307"/>
          </w:tcPr>
          <w:p>
            <w:pPr>
              <w:jc w:val="left"/>
            </w:pPr>
            <w:r>
              <w:rPr/>
              <w:t>拟投入团队人员（除项目负责人外） (10.0分)</w:t>
            </w:r>
          </w:p>
        </w:tc>
        <w:tc>
          <w:tcPr>
            <w:tcW w:type="dxa" w:w="5076"/>
          </w:tcPr>
          <w:p>
            <w:pPr>
              <w:jc w:val="left"/>
            </w:pPr>
            <w:r>
              <w:rPr/>
              <w:t>拟投入本项目团队人员：满足本项目采购需求下，每投入以下人员： ①暖通专业负责人（1人）：暖通相关专业中级或以上职称，得1分； ②电气专业负责人（1人）：电气相关专业中级或以上职称，得1分； ③给排水专业负责人（1人）：给排水相关专业中级或以上职称，1分； ④建筑专业负责人：建筑相关专业中级职称的，1分； ⑤投入人员具有10年或以上生物制药工艺设计咨询经验的，每提供一名得2分，投入人员具有5-9年（含）生物制药工艺设计咨询经验的，每提供一名得1分，4年及以下不得分，本小项最高得6分。 注：本项最高得10分。一人多证不得分，需提供职称证书，相关工艺设计咨询经验人员需一并提供履历表（履历表格式自定，至少含主要简历、经验及承担过的项目）扫描件及发布招标公告前六个月中任意一个月（不含招标公告当月）在投标人单位缴纳的社保证明材料扫描件加盖公章。以上人员不重复得分，以最高级别为准；人员专业以职称证显示专业的最高级别为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评审后得分最高的投标人获得中标候选人推荐资格；评审得分相同的，由采购人或者采购人委托评标委员会采取随机抽取方式确定。</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w:t>
      </w:r>
      <w:r>
        <w:rPr>
          <w:b/>
          <w:sz w:val="21"/>
        </w:rPr>
        <w:t>合同具体事项须根据采购文件的约定及乙方投标文件的承诺执行；</w:t>
      </w:r>
    </w:p>
    <w:p>
      <w:pPr>
        <w:ind w:firstLine="211"/>
        <w:jc w:val="left"/>
      </w:pPr>
      <w:r>
        <w:rPr>
          <w:b/>
          <w:sz w:val="21"/>
        </w:rPr>
        <w:t>2、</w:t>
      </w:r>
      <w:r>
        <w:rPr>
          <w:b/>
          <w:sz w:val="21"/>
        </w:rPr>
        <w:t>本项目合同为中小企业预留合同</w:t>
      </w: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w:t>
      </w:r>
      <w:r>
        <w:rPr>
          <w:sz w:val="21"/>
        </w:rPr>
        <w:t>单项合同</w:t>
      </w:r>
    </w:p>
    <w:p>
      <w:pPr>
        <w:jc w:val="both"/>
      </w:pPr>
      <w:r>
        <w:rPr>
          <w:sz w:val="21"/>
        </w:rPr>
        <w:t>合同范本：采购合同</w:t>
      </w:r>
    </w:p>
    <w:p>
      <w:pPr>
        <w:jc w:val="both"/>
      </w:pPr>
      <w:r>
        <w:rPr>
          <w:sz w:val="21"/>
        </w:rPr>
        <w:t>合同期限：</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化学与精细化工广东省实验室生物大分子中试基地建设全过程技术咨询服务项目</w:t>
      </w:r>
      <w:r>
        <w:rPr>
          <w:sz w:val="21"/>
        </w:rPr>
        <w:t>招标文件（项目编号：</w:t>
      </w:r>
      <w:r>
        <w:rPr>
          <w:sz w:val="21"/>
        </w:rPr>
        <w:t>GZGK23P215C0717Z）的要求，经双方协商，本着平等互利和诚实信用的原则，一致同意签订本合同。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予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乙方提供的服务不符合招标文件、投标文件或本合同规定的，甲方有权拒收并解除合同，乙方应立即退还甲方全部已付款项并向甲方支付本合同总价</w:t>
      </w:r>
      <w:r>
        <w:rPr>
          <w:sz w:val="21"/>
        </w:rPr>
        <w:t>5%的违约金。</w:t>
      </w:r>
    </w:p>
    <w:p>
      <w:pPr>
        <w:jc w:val="both"/>
      </w:pPr>
      <w:r>
        <w:rPr>
          <w:sz w:val="21"/>
        </w:rPr>
        <w:t>2．</w:t>
      </w:r>
      <w:r>
        <w:rPr>
          <w:sz w:val="21"/>
        </w:rPr>
        <w:t>乙方未能按本合同规定的双方确认的工作计划各个时间节点提供服务，从逾期之日起每日按本合同总价</w:t>
      </w:r>
      <w:r>
        <w:rPr>
          <w:sz w:val="21"/>
        </w:rPr>
        <w:t>3‰的数额向甲方支付违约金；逾期半个月以上的，甲方有权终止合同，并要求乙方赔付本合同总金额20%的违约金。</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 xml:space="preserve">     </w:t>
      </w:r>
      <w:r>
        <w:rPr>
          <w:sz w:val="21"/>
          <w:u w:val="single"/>
        </w:rPr>
        <w:t>%。</w:t>
      </w:r>
    </w:p>
    <w:p>
      <w:pPr>
        <w:jc w:val="both"/>
      </w:pPr>
      <w:r>
        <w:rPr>
          <w:sz w:val="21"/>
        </w:rPr>
        <w:t>5．</w:t>
      </w:r>
      <w:r>
        <w:rPr>
          <w:sz w:val="21"/>
        </w:rPr>
        <w:t>本合同执行期间，如发现乙方有以下违约行为之一，通过有关部门查处核实后，甲方有权终止本合同，取消乙方的服务资格，并按相关的管理规定追究其相应责任，由相关管理机构对乙方作严肃处理：</w:t>
      </w:r>
    </w:p>
    <w:p>
      <w:pPr>
        <w:jc w:val="both"/>
      </w:pPr>
      <w:r>
        <w:rPr>
          <w:sz w:val="21"/>
        </w:rPr>
        <w:t>（</w:t>
      </w:r>
      <w:r>
        <w:rPr>
          <w:sz w:val="21"/>
        </w:rPr>
        <w:t>1）提供虚假信息，误导或欺骗用户单位，以谋取非法利益；</w:t>
      </w:r>
    </w:p>
    <w:p>
      <w:pPr>
        <w:jc w:val="both"/>
      </w:pPr>
      <w:r>
        <w:rPr>
          <w:sz w:val="21"/>
        </w:rPr>
        <w:t>（</w:t>
      </w:r>
      <w:r>
        <w:rPr>
          <w:sz w:val="21"/>
        </w:rPr>
        <w:t>2）违反了诚实信用和投标承诺，没有严格执行相关质量、服务和收费标准，损害甲方的利益；</w:t>
      </w:r>
    </w:p>
    <w:p>
      <w:pPr>
        <w:jc w:val="both"/>
      </w:pPr>
      <w:r>
        <w:rPr>
          <w:sz w:val="21"/>
        </w:rPr>
        <w:t>（</w:t>
      </w:r>
      <w:r>
        <w:rPr>
          <w:sz w:val="21"/>
        </w:rPr>
        <w:t>3）拒绝接受甲方及相关部门监督、检查的；</w:t>
      </w:r>
    </w:p>
    <w:p>
      <w:pPr>
        <w:jc w:val="both"/>
      </w:pPr>
      <w:r>
        <w:rPr>
          <w:sz w:val="21"/>
        </w:rPr>
        <w:t>（</w:t>
      </w:r>
      <w:r>
        <w:rPr>
          <w:sz w:val="21"/>
        </w:rPr>
        <w:t>4）出现信用危机、财务危机、经营危机甚至破产、倒闭，无法履行合同的；</w:t>
      </w:r>
    </w:p>
    <w:p>
      <w:pPr>
        <w:jc w:val="both"/>
      </w:pPr>
      <w:r>
        <w:rPr>
          <w:sz w:val="21"/>
        </w:rPr>
        <w:t>（</w:t>
      </w:r>
      <w:r>
        <w:rPr>
          <w:sz w:val="21"/>
        </w:rPr>
        <w:t>5）采用非法手段进行不正当竞争的，构成恶劣影响的。</w:t>
      </w:r>
    </w:p>
    <w:p>
      <w:pPr>
        <w:jc w:val="both"/>
      </w:pPr>
      <w:r>
        <w:rPr>
          <w:sz w:val="21"/>
        </w:rPr>
        <w:t>6．</w:t>
      </w:r>
      <w:r>
        <w:rPr>
          <w:sz w:val="21"/>
        </w:rPr>
        <w:t>因乙方自身原因，所提交</w:t>
      </w:r>
      <w:r>
        <w:rPr>
          <w:sz w:val="21"/>
        </w:rPr>
        <w:t>GMP等所有相关认证成果资料出现较大错漏，或无法满足甲方质量和深度要求，每累计达到三次，乙方须赔付应收咨询费的5‰的违约金；甲方有权在支付乙方服务款项中进行扣款，直至甲方项目竣工验收合格且通过GMP等相关认证。</w:t>
      </w:r>
    </w:p>
    <w:p>
      <w:pPr>
        <w:jc w:val="both"/>
      </w:pPr>
      <w:r>
        <w:rPr>
          <w:sz w:val="21"/>
        </w:rPr>
        <w:t>7．</w:t>
      </w:r>
      <w:r>
        <w:rPr>
          <w:sz w:val="21"/>
        </w:rPr>
        <w:t>甲方项目竣工验收后无法通过</w:t>
      </w:r>
      <w:r>
        <w:rPr>
          <w:sz w:val="21"/>
        </w:rPr>
        <w:t>GMP等相关认证，甲方有权单方面解除合同，乙方须赔付甲方本合同总金额20%的违约金，并向甲方返还全部已付合同款项。</w:t>
      </w:r>
    </w:p>
    <w:p>
      <w:pPr>
        <w:jc w:val="both"/>
      </w:pPr>
      <w:r>
        <w:rPr>
          <w:sz w:val="21"/>
        </w:rPr>
        <w:t>8．</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440501-2024-00064</w:t>
      </w:r>
    </w:p>
    <w:p>
      <w:pPr>
        <w:jc w:val="center"/>
      </w:pPr>
      <w:r>
        <w:rPr>
          <w:b/>
          <w:sz w:val="24"/>
        </w:rPr>
        <w:t>采购项目编号：</w:t>
      </w:r>
      <w:r>
        <w:rPr>
          <w:b/>
          <w:sz w:val="24"/>
        </w:rPr>
        <w:t>GZGK23P215C0717Z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化学与精细化工广东省实验室生物大分子中试基地建设全过程技术咨询服务项目</w:t>
      </w:r>
      <w:r>
        <w:rPr>
          <w:u w:val="single"/>
        </w:rPr>
        <w:t>”</w:t>
      </w:r>
      <w:r>
        <w:rPr/>
        <w:t>项目的招标[采购项目编号为：</w:t>
      </w:r>
      <w:r>
        <w:rPr>
          <w:u w:val="single"/>
        </w:rPr>
        <w:t>GZGK23P215C0717Z</w:t>
      </w:r>
      <w:r>
        <w:rPr/>
        <w:t>]，我方愿参与投标。</w:t>
      </w:r>
    </w:p>
    <w:p>
      <w:pPr>
        <w:ind w:firstLine="480"/>
      </w:pPr>
      <w:r>
        <w:rPr/>
        <w:t>我方确认收到贵方提供的</w:t>
      </w:r>
      <w:r>
        <w:rPr>
          <w:u w:val="single"/>
        </w:rPr>
        <w:t>“</w:t>
      </w:r>
      <w:r>
        <w:rPr>
          <w:u w:val="single"/>
        </w:rPr>
        <w:t>化学与精细化工广东省实验室生物大分子中试基地建设全过程技术咨询服务项目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从提交投标文件的截止之日起60日历天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化学与精细化工广东省实验室生物大分子中试基地建设全过程技术咨询服务项目</w:t>
      </w:r>
      <w:r>
        <w:rPr/>
        <w:t>”项目采购[采购项目编号为</w:t>
      </w:r>
      <w:r>
        <w:rPr/>
        <w:t>GZGK23P215C0717Z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化学与精细化工广东省实验室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化学与精细化工广东省实验室生物大分子中试基地建设全过程技术咨询服务项目</w:t>
      </w:r>
      <w:r>
        <w:rPr/>
        <w:t>招标中获中标（采购项目编号：</w:t>
      </w:r>
      <w:r>
        <w:rPr/>
        <w:t>GZGK23P215C0717Z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化学与精细化工广东省实验室生物大分子中试基地建设全过程技术咨询服务项目</w:t>
      </w:r>
      <w:r>
        <w:rPr/>
        <w:t>”项目（采购项目编号：</w:t>
      </w:r>
      <w:r>
        <w:rPr/>
        <w:t>GZGK23P215C0717Z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