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440113-2023-07139</w:t>
      </w:r>
    </w:p>
    <w:p>
      <w:pPr>
        <w:jc w:val="center"/>
      </w:pPr>
      <w:r>
        <w:rPr>
          <w:b/>
          <w:sz w:val="24"/>
        </w:rPr>
        <w:t>采购项目编号：</w:t>
      </w:r>
      <w:r>
        <w:rPr>
          <w:b/>
          <w:sz w:val="24"/>
        </w:rPr>
        <w:t>GZGK23D253A0792Z</w:t>
      </w:r>
    </w:p>
    <w:p>
      <w:pPr>
        <w:jc w:val="center"/>
      </w:pPr>
      <w:r>
        <w:rPr>
          <w:b/>
          <w:sz w:val="24"/>
        </w:rPr>
        <w:t>项目名称：</w:t>
      </w:r>
      <w:r>
        <w:rPr>
          <w:b/>
          <w:sz w:val="24"/>
        </w:rPr>
        <w:t>广州市番禺中心医院医疗设备采购项目（二）</w:t>
      </w:r>
    </w:p>
    <w:p>
      <w:pPr>
        <w:jc w:val="center"/>
      </w:pPr>
      <w:r>
        <w:rPr>
          <w:b/>
          <w:sz w:val="24"/>
        </w:rPr>
        <w:t>采购人：</w:t>
      </w:r>
      <w:r>
        <w:rPr>
          <w:b/>
          <w:sz w:val="24"/>
        </w:rPr>
        <w:t>广州市番禺区中心医院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广州市番禺区中心医院</w:t>
      </w:r>
      <w:r>
        <w:rPr/>
        <w:t>的委托，采用</w:t>
      </w:r>
      <w:r>
        <w:rPr/>
        <w:t>公开招标</w:t>
      </w:r>
      <w:r>
        <w:rPr/>
        <w:t>方式组织采购</w:t>
      </w:r>
      <w:r>
        <w:rPr/>
        <w:t>广州市番禺中心医院医疗设备采购项目（二）</w:t>
      </w:r>
      <w:r>
        <w:rPr/>
        <w:t>。欢迎符合资格条件的国内供应商参加投标。</w:t>
      </w:r>
    </w:p>
    <w:p>
      <w:r>
        <w:rPr>
          <w:b/>
          <w:sz w:val="28"/>
        </w:rPr>
        <w:t>一.项目概述</w:t>
      </w:r>
    </w:p>
    <w:p>
      <w:r>
        <w:rPr>
          <w:b/>
          <w:sz w:val="24"/>
        </w:rPr>
        <w:t>1.名称与编号</w:t>
      </w:r>
    </w:p>
    <w:p>
      <w:pPr>
        <w:ind w:firstLine="480"/>
      </w:pPr>
      <w:r>
        <w:rPr/>
        <w:t>项目名称：</w:t>
      </w:r>
      <w:r>
        <w:rPr/>
        <w:t>广州市番禺中心医院医疗设备采购项目（二）</w:t>
      </w:r>
    </w:p>
    <w:p>
      <w:pPr>
        <w:ind w:firstLine="480"/>
      </w:pPr>
      <w:r>
        <w:rPr/>
        <w:t>采购计划编号：</w:t>
      </w:r>
      <w:r>
        <w:rPr/>
        <w:t>440113-2023-07139</w:t>
      </w:r>
    </w:p>
    <w:p>
      <w:pPr>
        <w:ind w:firstLine="480"/>
      </w:pPr>
      <w:r>
        <w:rPr/>
        <w:t>采购项目编号：</w:t>
      </w:r>
      <w:r>
        <w:rPr/>
        <w:t>GZGK23D253A0792Z</w:t>
      </w:r>
    </w:p>
    <w:p>
      <w:pPr>
        <w:ind w:firstLine="480"/>
      </w:pPr>
      <w:r>
        <w:rPr/>
        <w:t>采购方式：</w:t>
      </w:r>
      <w:r>
        <w:rPr/>
        <w:t>公开招标</w:t>
      </w:r>
    </w:p>
    <w:p>
      <w:pPr>
        <w:ind w:firstLine="480"/>
      </w:pPr>
      <w:r>
        <w:rPr/>
        <w:t>预算金额：</w:t>
      </w:r>
      <w:r>
        <w:rPr/>
        <w:t>2,665,000.00</w:t>
      </w:r>
      <w:r>
        <w:rPr/>
        <w:t>元</w:t>
      </w:r>
    </w:p>
    <w:p>
      <w:r>
        <w:rPr>
          <w:b/>
          <w:sz w:val="24"/>
        </w:rPr>
        <w:t>2.项目内容及需求情况（采购项目技术规格、参数及要求）</w:t>
      </w:r>
    </w:p>
    <w:p>
      <w:pPr>
        <w:ind w:firstLine="480"/>
      </w:pPr>
    </w:p>
    <w:p/>
    <w:p>
      <w:r>
        <w:rPr/>
        <w:t>采购包1(广州市番禺中心医院医疗设备采购项目（二）):</w:t>
      </w:r>
    </w:p>
    <w:p>
      <w:r>
        <w:rPr/>
        <w:t>采购包预算金额：2,665,000.00元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医用内窥镜</w:t>
            </w:r>
          </w:p>
        </w:tc>
        <w:tc>
          <w:tcPr>
            <w:tcW w:type="dxa" w:w="2136"/>
          </w:tcPr>
          <w:p>
            <w:r>
              <w:rPr/>
              <w:t>腹腔镜系统（4K+荧光）</w:t>
            </w:r>
          </w:p>
        </w:tc>
        <w:tc>
          <w:tcPr>
            <w:tcW w:type="dxa" w:w="1187"/>
          </w:tcPr>
          <w:p>
            <w:r>
              <w:rPr/>
              <w:t>1.00(套)</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医用内窥镜</w:t>
            </w:r>
          </w:p>
        </w:tc>
        <w:tc>
          <w:tcPr>
            <w:tcW w:type="dxa" w:w="2136"/>
          </w:tcPr>
          <w:p>
            <w:r>
              <w:rPr/>
              <w:t>腔镜镜头</w:t>
            </w:r>
          </w:p>
        </w:tc>
        <w:tc>
          <w:tcPr>
            <w:tcW w:type="dxa" w:w="1187"/>
          </w:tcPr>
          <w:p>
            <w:r>
              <w:rPr/>
              <w:t>5.00(条)</w:t>
            </w:r>
          </w:p>
        </w:tc>
        <w:tc>
          <w:tcPr>
            <w:tcW w:type="dxa" w:w="1187"/>
          </w:tcPr>
          <w:p>
            <w:r>
              <w:rPr/>
              <w:t>详见第二章</w:t>
            </w:r>
          </w:p>
        </w:tc>
        <w:tc>
          <w:tcPr>
            <w:tcW w:type="dxa" w:w="1187"/>
          </w:tcPr>
          <w:p>
            <w:r>
              <w:rPr/>
              <w:t>是</w:t>
            </w:r>
          </w:p>
        </w:tc>
      </w:tr>
      <w:tr>
        <w:tc>
          <w:tcPr>
            <w:tcW w:type="dxa" w:w="1187"/>
          </w:tcPr>
          <w:p>
            <w:r>
              <w:rPr/>
              <w:t>1-3</w:t>
            </w:r>
          </w:p>
        </w:tc>
        <w:tc>
          <w:tcPr>
            <w:tcW w:type="dxa" w:w="1424"/>
          </w:tcPr>
          <w:p>
            <w:r>
              <w:rPr/>
              <w:t>医用内窥镜</w:t>
            </w:r>
          </w:p>
        </w:tc>
        <w:tc>
          <w:tcPr>
            <w:tcW w:type="dxa" w:w="2136"/>
          </w:tcPr>
          <w:p>
            <w:r>
              <w:rPr/>
              <w:t>关节镜、镜鞘</w:t>
            </w:r>
          </w:p>
        </w:tc>
        <w:tc>
          <w:tcPr>
            <w:tcW w:type="dxa" w:w="1187"/>
          </w:tcPr>
          <w:p>
            <w:r>
              <w:rPr/>
              <w:t>3.00(套)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采购包1（广州市番禺中心医院医疗设备采购项目（二））：</w:t>
      </w:r>
      <w:r>
        <w:rPr/>
        <w:t>本采购包不属于专门面向中小企业采购的项目。</w:t>
      </w:r>
    </w:p>
    <w:p/>
    <w:p>
      <w:r>
        <w:rPr>
          <w:b/>
          <w:sz w:val="24"/>
        </w:rPr>
        <w:t>3.本项目特定的资格要求：</w:t>
      </w:r>
    </w:p>
    <w:p>
      <w:pPr>
        <w:ind w:firstLine="480"/>
      </w:pPr>
    </w:p>
    <w:p/>
    <w:p>
      <w:r>
        <w:rPr/>
        <w:t>采购包1（广州市番禺中心医院医疗设备采购项目（二））：</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若投标人为设备生产厂家应具备《医疗器械生产许可证》；若为经销商或代理商须提供第二类医疗器械经营备案凭证（须在投标文件内提供证明文件复印件）。（或承诺签订合同前取得第二类医疗器械经营备案凭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广州市番禺区中心医院</w:t>
      </w:r>
    </w:p>
    <w:p>
      <w:pPr>
        <w:ind w:firstLine="480"/>
      </w:pPr>
      <w:r>
        <w:rPr/>
        <w:t>地址：</w:t>
      </w:r>
      <w:r>
        <w:rPr/>
        <w:t>广州市番禺区桥南街福愉东路8号</w:t>
      </w:r>
    </w:p>
    <w:p>
      <w:pPr>
        <w:ind w:firstLine="480"/>
      </w:pPr>
      <w:r>
        <w:rPr/>
        <w:t>联系方式：</w:t>
      </w:r>
      <w:r>
        <w:rPr/>
        <w:t>020-34858891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020-87684726，020-87688847</w:t>
      </w:r>
    </w:p>
    <w:p>
      <w:r>
        <w:rPr>
          <w:b/>
          <w:sz w:val="24"/>
        </w:rPr>
        <w:t>3.项目联系方式</w:t>
      </w:r>
    </w:p>
    <w:p>
      <w:pPr>
        <w:ind w:firstLine="480"/>
      </w:pPr>
      <w:r>
        <w:rPr/>
        <w:t>项目联系人：</w:t>
      </w:r>
      <w:r>
        <w:rPr/>
        <w:t>李玉霜、李年秀</w:t>
      </w:r>
    </w:p>
    <w:p>
      <w:pPr>
        <w:ind w:firstLine="480"/>
      </w:pPr>
      <w:r>
        <w:rPr/>
        <w:t>电话：</w:t>
      </w:r>
      <w:r>
        <w:rPr/>
        <w:t>020-87684726，020-87688847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GZGK23D253A0792Z</w:t>
      </w:r>
    </w:p>
    <w:p>
      <w:pPr>
        <w:jc w:val="both"/>
      </w:pPr>
      <w:r>
        <w:rPr>
          <w:b/>
          <w:sz w:val="21"/>
        </w:rPr>
        <w:t>（二）</w:t>
      </w:r>
      <w:r>
        <w:rPr>
          <w:b/>
          <w:sz w:val="21"/>
        </w:rPr>
        <w:t>项目名称：</w:t>
      </w:r>
      <w:r>
        <w:rPr>
          <w:sz w:val="21"/>
        </w:rPr>
        <w:t>广州市番禺中心医院医疗设备采购项目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投标人必须承诺提供厂商原装、全新的、符合国家及用户提出的有关质量标准的设备。</w:t>
      </w:r>
    </w:p>
    <w:p>
      <w:pPr>
        <w:jc w:val="both"/>
      </w:pPr>
      <w:r>
        <w:rPr>
          <w:sz w:val="21"/>
        </w:rPr>
        <w:t>3、</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5、</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6、</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7、</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8、</w:t>
      </w:r>
      <w:r>
        <w:rPr>
          <w:sz w:val="21"/>
        </w:rPr>
        <w:t>涉及到软件产品的，必须采购和使用正版软件，项目中涉及计算机办公产品的，必须预装正版操作系统软件。</w:t>
      </w:r>
    </w:p>
    <w:p>
      <w:pPr>
        <w:jc w:val="both"/>
      </w:pPr>
      <w:r>
        <w:rPr>
          <w:sz w:val="21"/>
        </w:rPr>
        <w:t>9、</w:t>
      </w:r>
      <w:r>
        <w:rPr>
          <w:sz w:val="21"/>
        </w:rPr>
        <w:t>投标人没有在投标文件中注明偏离（文字说明或在响应表注明）的参数、配置、条款视为被投标人完全接受。</w:t>
      </w:r>
    </w:p>
    <w:p>
      <w:pPr>
        <w:jc w:val="both"/>
      </w:pPr>
      <w:r>
        <w:rPr>
          <w:sz w:val="21"/>
        </w:rPr>
        <w:t>10、</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11、</w:t>
      </w:r>
      <w:r>
        <w:rPr>
          <w:sz w:val="21"/>
        </w:rPr>
        <w:t>如果投标产品是进口产品的，中标供应商协助办理所有的进口手续。</w:t>
      </w:r>
    </w:p>
    <w:p>
      <w:pPr>
        <w:jc w:val="both"/>
      </w:pPr>
      <w:r>
        <w:rPr>
          <w:sz w:val="21"/>
        </w:rPr>
        <w:t>12、</w:t>
      </w:r>
      <w:r>
        <w:rPr>
          <w:sz w:val="21"/>
        </w:rPr>
        <w:t>不允许中标供应商</w:t>
      </w:r>
      <w:r>
        <w:rPr>
          <w:sz w:val="21"/>
        </w:rPr>
        <w:t>转包、分包项目内容</w:t>
      </w:r>
      <w:r>
        <w:rPr>
          <w:sz w:val="21"/>
        </w:rPr>
        <w:t>。</w:t>
      </w:r>
    </w:p>
    <w:p>
      <w:pPr>
        <w:jc w:val="both"/>
      </w:pPr>
      <w:r>
        <w:rPr>
          <w:sz w:val="21"/>
        </w:rPr>
        <w:t>13、</w:t>
      </w:r>
      <w:r>
        <w:rPr>
          <w:sz w:val="21"/>
        </w:rPr>
        <w:t>小型和微型企业、监狱企业和残疾人福利性单位必须按照招标文件第三章内容提供相应的资料。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sz w:val="21"/>
        </w:rPr>
        <w:t>16、</w:t>
      </w:r>
      <w:r>
        <w:rPr>
          <w:sz w:val="21"/>
        </w:rPr>
        <w:t>本项目符合《政府采购促进中小企业发展管理办法》第六条第（二）项的情形，故不专门面向中小企业。</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1.投标报价包括：货款、设计、安装、随机零配件、标配工具、运输保险、调试、培训、质量保证期服务、各项税费及合同实施过程中不可预见费用等。</w:t>
      </w:r>
    </w:p>
    <w:p>
      <w:pPr>
        <w:ind w:firstLine="420"/>
        <w:jc w:val="both"/>
      </w:pPr>
      <w:r>
        <w:rPr>
          <w:sz w:val="21"/>
        </w:rPr>
        <w:t>2.</w:t>
      </w:r>
      <w:r>
        <w:rPr>
          <w:sz w:val="21"/>
        </w:rPr>
        <w:t>投标</w:t>
      </w:r>
      <w:r>
        <w:rPr>
          <w:sz w:val="21"/>
        </w:rPr>
        <w:t>报价要求：</w:t>
      </w:r>
    </w:p>
    <w:p>
      <w:pPr>
        <w:ind w:firstLine="420"/>
        <w:jc w:val="both"/>
      </w:pPr>
      <w:r>
        <w:rPr>
          <w:sz w:val="21"/>
        </w:rPr>
        <w:t>★</w:t>
      </w:r>
      <w:r>
        <w:rPr>
          <w:sz w:val="21"/>
        </w:rPr>
        <w:t>采购标的内容</w:t>
      </w:r>
      <w:r>
        <w:rPr>
          <w:sz w:val="21"/>
        </w:rPr>
        <w:t>及限价</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618"/>
        <w:gridCol w:w="617"/>
        <w:gridCol w:w="778"/>
        <w:gridCol w:w="758"/>
        <w:gridCol w:w="1103"/>
        <w:gridCol w:w="1574"/>
        <w:gridCol w:w="553"/>
        <w:gridCol w:w="530"/>
        <w:gridCol w:w="1772"/>
      </w:tblGrid>
      <w:tr>
        <w:tc>
          <w:tcPr>
            <w:tcW w:type="dxa" w:w="618"/>
            <w:tcBorders>
              <w:top w:val="single" w:color="000000" w:sz="4"/>
              <w:left w:val="single" w:color="000000" w:sz="4"/>
              <w:bottom w:val="single" w:color="000000" w:sz="4"/>
              <w:right w:val="single" w:color="000000" w:sz="4"/>
            </w:tcBorders>
            <w:vAlign w:val="top"/>
          </w:tcPr>
          <w:p>
            <w:pPr>
              <w:jc w:val="center"/>
            </w:pPr>
            <w:r>
              <w:rPr>
                <w:b/>
                <w:sz w:val="21"/>
              </w:rPr>
              <w:t>采购包</w:t>
            </w:r>
          </w:p>
        </w:tc>
        <w:tc>
          <w:tcPr>
            <w:tcW w:type="dxa" w:w="617"/>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778"/>
            <w:tcBorders>
              <w:top w:val="single" w:color="000000" w:sz="4"/>
              <w:left w:val="single" w:color="000000" w:sz="4"/>
              <w:bottom w:val="single" w:color="000000" w:sz="4"/>
              <w:right w:val="single" w:color="000000" w:sz="4"/>
            </w:tcBorders>
            <w:vAlign w:val="top"/>
          </w:tcPr>
          <w:p>
            <w:pPr>
              <w:jc w:val="center"/>
            </w:pPr>
            <w:r>
              <w:rPr>
                <w:b/>
                <w:sz w:val="21"/>
              </w:rPr>
              <w:t>是否核心产品</w:t>
            </w:r>
          </w:p>
        </w:tc>
        <w:tc>
          <w:tcPr>
            <w:tcW w:type="dxa" w:w="758"/>
            <w:tcBorders>
              <w:top w:val="single" w:color="000000" w:sz="4"/>
              <w:left w:val="single" w:color="000000" w:sz="4"/>
              <w:bottom w:val="single" w:color="000000" w:sz="4"/>
              <w:right w:val="single" w:color="000000" w:sz="4"/>
            </w:tcBorders>
            <w:vAlign w:val="top"/>
          </w:tcPr>
          <w:p>
            <w:pPr>
              <w:jc w:val="center"/>
            </w:pPr>
            <w:r>
              <w:rPr>
                <w:b/>
                <w:sz w:val="21"/>
              </w:rPr>
              <w:t>品目名称</w:t>
            </w:r>
          </w:p>
        </w:tc>
        <w:tc>
          <w:tcPr>
            <w:tcW w:type="dxa" w:w="1103"/>
            <w:tcBorders>
              <w:top w:val="single" w:color="000000" w:sz="4"/>
              <w:left w:val="single" w:color="000000" w:sz="4"/>
              <w:bottom w:val="single" w:color="000000" w:sz="4"/>
              <w:right w:val="single" w:color="000000" w:sz="4"/>
            </w:tcBorders>
            <w:vAlign w:val="top"/>
          </w:tcPr>
          <w:p>
            <w:pPr>
              <w:jc w:val="center"/>
            </w:pPr>
            <w:r>
              <w:rPr>
                <w:b/>
                <w:sz w:val="21"/>
              </w:rPr>
              <w:t>采购标的</w:t>
            </w:r>
          </w:p>
        </w:tc>
        <w:tc>
          <w:tcPr>
            <w:tcW w:type="dxa" w:w="1574"/>
            <w:tcBorders>
              <w:top w:val="single" w:color="000000" w:sz="4"/>
              <w:left w:val="single" w:color="000000" w:sz="4"/>
              <w:bottom w:val="single" w:color="000000" w:sz="4"/>
              <w:right w:val="single" w:color="000000" w:sz="4"/>
            </w:tcBorders>
            <w:vAlign w:val="top"/>
          </w:tcPr>
          <w:p>
            <w:pPr>
              <w:jc w:val="center"/>
            </w:pPr>
            <w:r>
              <w:rPr>
                <w:b/>
                <w:sz w:val="21"/>
              </w:rPr>
              <w:t>单价（元）</w:t>
            </w:r>
          </w:p>
        </w:tc>
        <w:tc>
          <w:tcPr>
            <w:tcW w:type="dxa" w:w="553"/>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530"/>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1772"/>
            <w:tcBorders>
              <w:top w:val="single" w:color="000000" w:sz="4"/>
              <w:left w:val="single" w:color="000000" w:sz="4"/>
              <w:bottom w:val="single" w:color="000000" w:sz="4"/>
              <w:right w:val="single" w:color="000000" w:sz="4"/>
            </w:tcBorders>
            <w:vAlign w:val="top"/>
          </w:tcPr>
          <w:p>
            <w:pPr>
              <w:jc w:val="center"/>
            </w:pPr>
            <w:r>
              <w:rPr>
                <w:b/>
                <w:sz w:val="21"/>
              </w:rPr>
              <w:t>品目预算（元）</w:t>
            </w:r>
          </w:p>
        </w:tc>
      </w:tr>
      <w:tr>
        <w:tc>
          <w:tcPr>
            <w:tcW w:type="dxa" w:w="6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是</w:t>
            </w:r>
          </w:p>
        </w:tc>
        <w:tc>
          <w:tcPr>
            <w:tcW w:type="dxa" w:w="758"/>
            <w:tcBorders>
              <w:top w:val="none" w:color="000000" w:sz="4"/>
              <w:left w:val="single" w:color="000000" w:sz="4"/>
              <w:bottom w:val="single" w:color="000000" w:sz="4"/>
              <w:right w:val="single" w:color="000000" w:sz="4"/>
            </w:tcBorders>
            <w:vAlign w:val="top"/>
          </w:tcPr>
          <w:p>
            <w:pPr>
              <w:jc w:val="center"/>
            </w:pPr>
            <w:r>
              <w:rPr>
                <w:sz w:val="21"/>
              </w:rPr>
              <w:t>医用内窥镜</w:t>
            </w:r>
          </w:p>
        </w:tc>
        <w:tc>
          <w:tcPr>
            <w:tcW w:type="dxa" w:w="1103"/>
            <w:tcBorders>
              <w:top w:val="none" w:color="000000" w:sz="4"/>
              <w:left w:val="single" w:color="000000" w:sz="4"/>
              <w:bottom w:val="single" w:color="000000" w:sz="4"/>
              <w:right w:val="single" w:color="000000" w:sz="4"/>
            </w:tcBorders>
            <w:vAlign w:val="top"/>
          </w:tcPr>
          <w:p>
            <w:pPr>
              <w:jc w:val="center"/>
            </w:pPr>
            <w:r>
              <w:rPr>
                <w:sz w:val="21"/>
              </w:rPr>
              <w:t>腹腔镜系统（</w:t>
            </w:r>
            <w:r>
              <w:rPr>
                <w:sz w:val="21"/>
              </w:rPr>
              <w:t>4K+荧光）</w:t>
            </w:r>
          </w:p>
        </w:tc>
        <w:tc>
          <w:tcPr>
            <w:tcW w:type="dxa" w:w="1574"/>
            <w:tcBorders>
              <w:top w:val="none" w:color="000000" w:sz="4"/>
              <w:left w:val="single" w:color="000000" w:sz="4"/>
              <w:bottom w:val="single" w:color="000000" w:sz="4"/>
              <w:right w:val="single" w:color="000000" w:sz="4"/>
            </w:tcBorders>
            <w:vAlign w:val="top"/>
          </w:tcPr>
          <w:p>
            <w:pPr>
              <w:jc w:val="center"/>
            </w:pPr>
            <w:r>
              <w:rPr>
                <w:sz w:val="21"/>
              </w:rPr>
              <w:t>2,250,000.00</w:t>
            </w:r>
          </w:p>
        </w:tc>
        <w:tc>
          <w:tcPr>
            <w:tcW w:type="dxa" w:w="55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772"/>
            <w:tcBorders>
              <w:top w:val="none" w:color="000000" w:sz="4"/>
              <w:left w:val="single" w:color="000000" w:sz="4"/>
              <w:bottom w:val="single" w:color="000000" w:sz="4"/>
              <w:right w:val="single" w:color="000000" w:sz="4"/>
            </w:tcBorders>
            <w:vAlign w:val="top"/>
          </w:tcPr>
          <w:p>
            <w:pPr>
              <w:jc w:val="center"/>
            </w:pPr>
            <w:r>
              <w:rPr>
                <w:sz w:val="21"/>
              </w:rPr>
              <w:t>2,250,000.00</w:t>
            </w:r>
          </w:p>
        </w:tc>
      </w:tr>
      <w:tr>
        <w:tc>
          <w:tcPr>
            <w:tcW w:type="dxa" w:w="6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778"/>
            <w:tcBorders>
              <w:top w:val="none" w:color="000000" w:sz="4"/>
              <w:left w:val="single" w:color="000000" w:sz="4"/>
              <w:bottom w:val="single" w:color="000000" w:sz="4"/>
              <w:right w:val="single" w:color="000000" w:sz="4"/>
            </w:tcBorders>
            <w:vAlign w:val="top"/>
          </w:tcPr>
          <w:p>
            <w:pPr>
              <w:jc w:val="center"/>
            </w:pPr>
          </w:p>
        </w:tc>
        <w:tc>
          <w:tcPr>
            <w:tcW w:type="dxa" w:w="758"/>
            <w:tcBorders>
              <w:top w:val="none" w:color="000000" w:sz="4"/>
              <w:left w:val="single" w:color="000000" w:sz="4"/>
              <w:bottom w:val="single" w:color="000000" w:sz="4"/>
              <w:right w:val="single" w:color="000000" w:sz="4"/>
            </w:tcBorders>
            <w:vAlign w:val="top"/>
          </w:tcPr>
          <w:p>
            <w:pPr>
              <w:jc w:val="center"/>
            </w:pPr>
            <w:r>
              <w:rPr>
                <w:sz w:val="21"/>
              </w:rPr>
              <w:t>医用内窥镜</w:t>
            </w:r>
          </w:p>
        </w:tc>
        <w:tc>
          <w:tcPr>
            <w:tcW w:type="dxa" w:w="1103"/>
            <w:tcBorders>
              <w:top w:val="none" w:color="000000" w:sz="4"/>
              <w:left w:val="single" w:color="000000" w:sz="4"/>
              <w:bottom w:val="single" w:color="000000" w:sz="4"/>
              <w:right w:val="single" w:color="000000" w:sz="4"/>
            </w:tcBorders>
            <w:vAlign w:val="top"/>
          </w:tcPr>
          <w:p>
            <w:pPr>
              <w:jc w:val="center"/>
            </w:pPr>
            <w:r>
              <w:rPr>
                <w:sz w:val="21"/>
              </w:rPr>
              <w:t>腔镜镜头</w:t>
            </w:r>
          </w:p>
        </w:tc>
        <w:tc>
          <w:tcPr>
            <w:tcW w:type="dxa" w:w="1574"/>
            <w:tcBorders>
              <w:top w:val="none" w:color="000000" w:sz="4"/>
              <w:left w:val="single" w:color="000000" w:sz="4"/>
              <w:bottom w:val="single" w:color="000000" w:sz="4"/>
              <w:right w:val="single" w:color="000000" w:sz="4"/>
            </w:tcBorders>
            <w:vAlign w:val="top"/>
          </w:tcPr>
          <w:p>
            <w:pPr>
              <w:jc w:val="center"/>
            </w:pPr>
            <w:r>
              <w:rPr>
                <w:sz w:val="21"/>
              </w:rPr>
              <w:t>5</w:t>
            </w:r>
            <w:r>
              <w:rPr>
                <w:sz w:val="21"/>
              </w:rPr>
              <w:t>0,000.00</w:t>
            </w:r>
          </w:p>
        </w:tc>
        <w:tc>
          <w:tcPr>
            <w:tcW w:type="dxa" w:w="5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1772"/>
            <w:tcBorders>
              <w:top w:val="none" w:color="000000" w:sz="4"/>
              <w:left w:val="single" w:color="000000" w:sz="4"/>
              <w:bottom w:val="single" w:color="000000" w:sz="4"/>
              <w:right w:val="single" w:color="000000" w:sz="4"/>
            </w:tcBorders>
            <w:vAlign w:val="top"/>
          </w:tcPr>
          <w:p>
            <w:pPr>
              <w:jc w:val="center"/>
            </w:pPr>
            <w:r>
              <w:rPr>
                <w:sz w:val="21"/>
              </w:rPr>
              <w:t>25</w:t>
            </w:r>
            <w:r>
              <w:rPr>
                <w:sz w:val="21"/>
              </w:rPr>
              <w:t>0,000.00</w:t>
            </w:r>
          </w:p>
        </w:tc>
      </w:tr>
      <w:tr>
        <w:tc>
          <w:tcPr>
            <w:tcW w:type="dxa" w:w="6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778"/>
            <w:tcBorders>
              <w:top w:val="none" w:color="000000" w:sz="4"/>
              <w:left w:val="single" w:color="000000" w:sz="4"/>
              <w:bottom w:val="single" w:color="000000" w:sz="4"/>
              <w:right w:val="single" w:color="000000" w:sz="4"/>
            </w:tcBorders>
            <w:vAlign w:val="top"/>
          </w:tcPr>
          <w:p>
            <w:pPr>
              <w:jc w:val="center"/>
            </w:pPr>
          </w:p>
        </w:tc>
        <w:tc>
          <w:tcPr>
            <w:tcW w:type="dxa" w:w="758"/>
            <w:tcBorders>
              <w:top w:val="none" w:color="000000" w:sz="4"/>
              <w:left w:val="single" w:color="000000" w:sz="4"/>
              <w:bottom w:val="single" w:color="000000" w:sz="4"/>
              <w:right w:val="single" w:color="000000" w:sz="4"/>
            </w:tcBorders>
            <w:vAlign w:val="top"/>
          </w:tcPr>
          <w:p>
            <w:pPr>
              <w:jc w:val="center"/>
            </w:pPr>
            <w:r>
              <w:rPr>
                <w:sz w:val="21"/>
              </w:rPr>
              <w:t>医用内窥镜</w:t>
            </w:r>
          </w:p>
        </w:tc>
        <w:tc>
          <w:tcPr>
            <w:tcW w:type="dxa" w:w="1103"/>
            <w:tcBorders>
              <w:top w:val="none" w:color="000000" w:sz="4"/>
              <w:left w:val="single" w:color="000000" w:sz="4"/>
              <w:bottom w:val="single" w:color="000000" w:sz="4"/>
              <w:right w:val="single" w:color="000000" w:sz="4"/>
            </w:tcBorders>
            <w:vAlign w:val="top"/>
          </w:tcPr>
          <w:p>
            <w:pPr>
              <w:jc w:val="center"/>
            </w:pPr>
            <w:r>
              <w:rPr>
                <w:sz w:val="21"/>
              </w:rPr>
              <w:t>关节镜、镜鞘</w:t>
            </w:r>
          </w:p>
        </w:tc>
        <w:tc>
          <w:tcPr>
            <w:tcW w:type="dxa" w:w="1574"/>
            <w:tcBorders>
              <w:top w:val="none" w:color="000000" w:sz="4"/>
              <w:left w:val="single" w:color="000000" w:sz="4"/>
              <w:bottom w:val="single" w:color="000000" w:sz="4"/>
              <w:right w:val="single" w:color="000000" w:sz="4"/>
            </w:tcBorders>
            <w:vAlign w:val="top"/>
          </w:tcPr>
          <w:p>
            <w:pPr>
              <w:jc w:val="center"/>
            </w:pPr>
            <w:r>
              <w:rPr>
                <w:sz w:val="21"/>
              </w:rPr>
              <w:t>5</w:t>
            </w:r>
            <w:r>
              <w:rPr>
                <w:sz w:val="21"/>
              </w:rPr>
              <w:t>5,000.00</w:t>
            </w:r>
          </w:p>
        </w:tc>
        <w:tc>
          <w:tcPr>
            <w:tcW w:type="dxa" w:w="55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3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772"/>
            <w:tcBorders>
              <w:top w:val="none" w:color="000000" w:sz="4"/>
              <w:left w:val="single" w:color="000000" w:sz="4"/>
              <w:bottom w:val="single" w:color="000000" w:sz="4"/>
              <w:right w:val="single" w:color="000000" w:sz="4"/>
            </w:tcBorders>
            <w:vAlign w:val="top"/>
          </w:tcPr>
          <w:p>
            <w:pPr>
              <w:jc w:val="center"/>
            </w:pPr>
            <w:r>
              <w:rPr>
                <w:sz w:val="21"/>
              </w:rPr>
              <w:t>165,000.00</w:t>
            </w:r>
          </w:p>
        </w:tc>
      </w:tr>
    </w:tbl>
    <w:p>
      <w:pPr>
        <w:ind w:firstLine="422"/>
        <w:jc w:val="both"/>
      </w:pPr>
      <w:r>
        <w:rPr>
          <w:b/>
          <w:sz w:val="21"/>
        </w:rPr>
        <w:t>注：投标人</w:t>
      </w:r>
      <w:r>
        <w:rPr>
          <w:b/>
          <w:sz w:val="21"/>
        </w:rPr>
        <w:t>须根据</w:t>
      </w:r>
      <w:r>
        <w:rPr>
          <w:b/>
          <w:sz w:val="21"/>
        </w:rPr>
        <w:t>每个采购标的对应的内容，在</w:t>
      </w:r>
      <w:r>
        <w:rPr>
          <w:b/>
          <w:sz w:val="21"/>
        </w:rPr>
        <w:t>投标文件中</w:t>
      </w:r>
      <w:r>
        <w:rPr>
          <w:b/>
          <w:sz w:val="21"/>
        </w:rPr>
        <w:t>分别</w:t>
      </w:r>
      <w:r>
        <w:rPr>
          <w:b/>
          <w:sz w:val="21"/>
        </w:rPr>
        <w:t>列</w:t>
      </w:r>
      <w:r>
        <w:rPr>
          <w:b/>
          <w:sz w:val="21"/>
        </w:rPr>
        <w:t>明以上</w:t>
      </w:r>
      <w:r>
        <w:rPr>
          <w:b/>
          <w:sz w:val="21"/>
        </w:rPr>
        <w:t>3个采购标的对应的分项报价</w:t>
      </w:r>
      <w:r>
        <w:rPr>
          <w:b/>
          <w:sz w:val="21"/>
        </w:rPr>
        <w:t>，</w:t>
      </w:r>
      <w:r>
        <w:rPr>
          <w:b/>
          <w:sz w:val="21"/>
        </w:rPr>
        <w:t>且每个采购标的报价不得超出招标文件</w:t>
      </w:r>
      <w:r>
        <w:rPr>
          <w:b/>
          <w:sz w:val="21"/>
        </w:rPr>
        <w:t>对应单价和品目预算</w:t>
      </w:r>
      <w:r>
        <w:rPr>
          <w:b/>
          <w:sz w:val="21"/>
        </w:rPr>
        <w:t>。</w:t>
      </w:r>
    </w:p>
    <w:p>
      <w:pPr>
        <w:jc w:val="both"/>
      </w:pPr>
      <w:r>
        <w:rPr>
          <w:b/>
          <w:sz w:val="21"/>
        </w:rPr>
        <w:t>（六）</w:t>
      </w:r>
      <w:r>
        <w:rPr>
          <w:b/>
          <w:sz w:val="21"/>
        </w:rPr>
        <w:t>实现的功能</w:t>
      </w:r>
    </w:p>
    <w:p>
      <w:pPr>
        <w:ind w:firstLine="420"/>
        <w:jc w:val="both"/>
      </w:pPr>
      <w:r>
        <w:rPr>
          <w:sz w:val="21"/>
        </w:rPr>
        <w:t>用于腹腔镜手术、宫腔镜手术、输尿管镜、膀胱镜手术、胆道镜手术以及、椎间孔镜、关节镜、鼻窦镜手术等。</w:t>
      </w:r>
    </w:p>
    <w:p>
      <w:pPr>
        <w:jc w:val="both"/>
      </w:pPr>
      <w:r>
        <w:rPr>
          <w:b/>
          <w:sz w:val="21"/>
        </w:rPr>
        <w:t>（七）</w:t>
      </w:r>
      <w:r>
        <w:rPr>
          <w:b/>
          <w:sz w:val="21"/>
        </w:rPr>
        <w:t>需执行国家相关标准、行业标准、地方标准或者其他标准、规范</w:t>
      </w:r>
    </w:p>
    <w:p/>
    <w:p>
      <w:pPr>
        <w:ind w:firstLine="480"/>
      </w:pPr>
    </w:p>
    <w:p/>
    <w:p>
      <w:r>
        <w:rPr/>
        <w:t>采购包1（广州市番禺中心医院医疗设备采购项目（二））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签订合同后60日历天内。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1期：支付比例100%,1.合同设备全部到指定地点交付并完成安装及验收合格后，中标供应商须向采购人提供以下相应资料和合同全额发票，采购人自收到发票后5个工作日内办理支付，支付合同金额的100%： （1）验收合格报告； （2）报关单或有效商检证明文件(如果合同设备为进口货物的情况下要求提供)。     2.若中标供应商为中小企业，则合同款分两期支付：     第一期：30%的预付款在合同签订后的5个工作日内办理支付； 第二期：合同设备全部到指定地点交付并完成安装及验收合格后，中标供应商须向采购人提供以下相应资料和合同全额发票，采购人自收到发票后5个工作日内办理支付，支付合同金额的70%： （1）验收合格报告；</w:t>
            </w:r>
          </w:p>
        </w:tc>
      </w:tr>
      <w:tr>
        <w:tc>
          <w:tcPr>
            <w:tcW w:type="dxa" w:w="4153"/>
          </w:tcPr>
          <w:p>
            <w:r>
              <w:rPr/>
              <w:t>验收要求</w:t>
            </w:r>
          </w:p>
        </w:tc>
        <w:tc>
          <w:tcPr>
            <w:tcW w:type="dxa" w:w="4153"/>
          </w:tcPr>
          <w:p/>
          <w:p/>
          <w:p/>
          <w:p>
            <w:r>
              <w:rPr/>
              <w:t>1期：1. 采购人按照采购合同规定的技术、服务、安全标准组织对中标供应商履约情况进行验收，并出具验收书。验收书应当包括每一项技术、服务、安全标准的履约情况。 2. 交付验收标准依次序对照适用标准为：①符合中华人民共和国国家安全质量标准、环保标准或行业标准；②符合招标文件和投标承诺中采购人认可的合理最佳配置、参数及各项要求；③货物来源国官方标准。 3. 货物为原厂商未启封全新包装，具有出厂合格证，序列号、包装箱号与出厂批号一致，并可追索查阅。所有随设备的附件必须齐全。 4. 中标供应商将货物的用户手册、保修手册、有关单证资料及备品备件、随机工具等交付给采购人，使用操作及安全须知等重要资料应附有中文说明。 5. 货物验收所发生的检验费用由中标供应商负担。 6. 设备到货并经中标供应商技术人员安装后，采购人有权委托中国有资格的单位对上述设备进行校准或检验，设备校准或检定所需的费用由中标供应商负担。 7. 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 中标产品如属国家强制计量产品，需由中标供应商完成首次计量强检。 9. 当出现不合格产品时，中标供应商要无条件更换合格产品。除采购人认可，否则不接受任何形式的降格处理。 10．自中标供应商提出验收申请之日起7个工作日内组织验收。</w:t>
            </w:r>
          </w:p>
        </w:tc>
      </w:tr>
      <w:tr>
        <w:tc>
          <w:tcPr>
            <w:tcW w:type="dxa" w:w="4153"/>
          </w:tcPr>
          <w:p>
            <w:r>
              <w:rPr/>
              <w:t>履约保证金</w:t>
            </w:r>
          </w:p>
        </w:tc>
        <w:tc>
          <w:tcPr>
            <w:tcW w:type="dxa" w:w="4153"/>
          </w:tcPr>
          <w:p/>
          <w:p/>
          <w:p/>
          <w:p/>
          <w:p>
            <w:r>
              <w:rPr/>
              <w:t>收取比例：3%,说明：1.履约保证金：合同完成签订后5个工作日内，中标供应商向采购人提交合同金额3%的履约保证金。验收合格后5个工作日内，采购人核实中标供应商履约响应情况，如无发生违约情况，采购人无息返还履约保证金给中标供应商。 2.履约保证金不予退还的情形： 2.1若在合同有效期内，凡因中标供应商责任，使采购人解除合同的，履约保证金不向中标供应商退还。 2.2如中标供应商出现违约行为，则不再返还履约保证金。 2.3出现了采购文件及合同约定的不予退还履约保证金情形的。 3.履约保证金缴纳形式：非现金形式，如：电汇、转账或担保机构出具的保函。 4.采购人逾期退还履约保证金的，按银行同期活期利率归还履约保证金本金及利息。</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供货要求，中标供应商应保证所提供的设备是制造日期距交货时间不能超过1年，是全新的、未使用过的设备，并符合国家有关标准、制造厂标准及合同技术标准要求。投标人需在投标文件中提供对应的供货服务方案，内容包含交货时间、到货保证措施、交货后售后服务、应急保障等。</w:t>
            </w:r>
          </w:p>
          <w:p/>
          <w:p>
            <w:r>
              <w:rPr/>
              <w:t>（二）安装与调试，1. 中标供应商必须按项目进度安排计划，派出适当的技术人员到安装现场负责安装和调试工作。在安装施工期间，严格遵守采购人的有关规定。 2. 中标供应商必须依照招标文件的要求和投标文件的承诺，将设备、系统安装并调试至正常运行的最佳状态。</w:t>
            </w:r>
          </w:p>
          <w:p/>
          <w:p>
            <w:r>
              <w:rPr/>
              <w:t>（三）技术培训，1. 中标供应商每台设备提供现场安装调试和培训。 2. 应提供完整的培训计划和方案，列明培训人员数量、达到的水平等，培训内容包括设备的操作、日常维修、简单故障的识别及排除等。培训所需全部费用均由中标供应商支付。</w:t>
            </w:r>
          </w:p>
          <w:p/>
          <w:p>
            <w:r>
              <w:rPr/>
              <w:t>（四）保修期，1. 腹腔镜系统（4K+荧光）项目验收合格之日起主机设备（整机含气腹机、光源等）保修期不少于36个月，内窥镜保修期不少于12个月。 1.1 保修期内必须保证95％以上日期（以每年365天计算）能正常工作，如未能达到，应按2倍时间相应延长保修期。 1.2保质保修期内，投标产品必须由中标供应商或原厂负责维修和售后服务（提供原厂售后服务承诺）。每年需对设备进行不少于2次的维护，且每次维护保养需出具维护保养记录。（所需费用均已包含在投标总价内）。 2. 保修期内，所有服务及配件全部包含在报价中。“技术要求”中另有要求的，以其中的要求为准。 3. 保修期自采购人和中标供应商代表在货物安装调试验收后的验收书上签字之日起计算。保修期内中标供应商对所供货物实行包修、包换、包退、包维护保养，保修期后设备维修配件更换只收取成本费用。 4. 保修期内，如设备或零部件因非人为因素出现故障而造成短期停用时，则保修期相应顺延。如停用时间累计超过60天则保修期重新计算。 5. 在保修期内，如货品非因采购人的人为原因而出现的问题由中标供应商负责保修、包换或包退，并承担修理、调换或退货的实际费用。 6. 保修期内，中标供应商负责对其提供的货物整机进行维修和系统维护，不再收取任何费用，但非中标供应商责任的人为因素、自然因素（如火灾、雷击等）造成的故障除外。 7. 保修期内,对采购人的服务通知，中标供应商在接报后2小时内响应，8小时内到达现场，24小时内处理完毕。若在24小时内仍未能有效解决，采购人有权要求中标供应商无偿提供同档次的设备予采购人临时使用。</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医用内窥镜</w:t>
            </w:r>
          </w:p>
        </w:tc>
        <w:tc>
          <w:tcPr>
            <w:tcW w:type="dxa" w:w="831"/>
          </w:tcPr>
          <w:p>
            <w:pPr>
              <w:jc w:val="left"/>
            </w:pPr>
            <w:r>
              <w:rPr/>
              <w:t>腹腔镜系统（4K+荧光）</w:t>
            </w:r>
          </w:p>
        </w:tc>
        <w:tc>
          <w:tcPr>
            <w:tcW w:type="dxa" w:w="831"/>
          </w:tcPr>
          <w:p>
            <w:pPr>
              <w:jc w:val="left"/>
            </w:pPr>
            <w:r>
              <w:rPr/>
              <w:t>套</w:t>
            </w:r>
          </w:p>
        </w:tc>
        <w:tc>
          <w:tcPr>
            <w:tcW w:type="dxa" w:w="831"/>
          </w:tcPr>
          <w:p>
            <w:pPr>
              <w:jc w:val="right"/>
            </w:pPr>
            <w:r>
              <w:rPr/>
              <w:t>1.00</w:t>
            </w:r>
          </w:p>
        </w:tc>
        <w:tc>
          <w:tcPr>
            <w:tcW w:type="dxa" w:w="831"/>
          </w:tcPr>
          <w:p>
            <w:pPr>
              <w:jc w:val="right"/>
            </w:pPr>
            <w:r>
              <w:rPr/>
              <w:t>2,250,000.00</w:t>
            </w:r>
          </w:p>
        </w:tc>
        <w:tc>
          <w:tcPr>
            <w:tcW w:type="dxa" w:w="831"/>
          </w:tcPr>
          <w:p>
            <w:pPr>
              <w:jc w:val="right"/>
            </w:pPr>
            <w:r>
              <w:rPr/>
              <w:t>2,250,000.00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医用内窥镜</w:t>
            </w:r>
          </w:p>
        </w:tc>
        <w:tc>
          <w:tcPr>
            <w:tcW w:type="dxa" w:w="831"/>
          </w:tcPr>
          <w:p>
            <w:pPr>
              <w:jc w:val="left"/>
            </w:pPr>
            <w:r>
              <w:rPr/>
              <w:t>腔镜镜头</w:t>
            </w:r>
          </w:p>
        </w:tc>
        <w:tc>
          <w:tcPr>
            <w:tcW w:type="dxa" w:w="831"/>
          </w:tcPr>
          <w:p>
            <w:pPr>
              <w:jc w:val="left"/>
            </w:pPr>
            <w:r>
              <w:rPr/>
              <w:t>条</w:t>
            </w:r>
          </w:p>
        </w:tc>
        <w:tc>
          <w:tcPr>
            <w:tcW w:type="dxa" w:w="831"/>
          </w:tcPr>
          <w:p>
            <w:pPr>
              <w:jc w:val="right"/>
            </w:pPr>
            <w:r>
              <w:rPr/>
              <w:t>5.00</w:t>
            </w:r>
          </w:p>
        </w:tc>
        <w:tc>
          <w:tcPr>
            <w:tcW w:type="dxa" w:w="831"/>
          </w:tcPr>
          <w:p>
            <w:pPr>
              <w:jc w:val="right"/>
            </w:pPr>
            <w:r>
              <w:rPr/>
              <w:t>50,000.00</w:t>
            </w:r>
          </w:p>
        </w:tc>
        <w:tc>
          <w:tcPr>
            <w:tcW w:type="dxa" w:w="831"/>
          </w:tcPr>
          <w:p>
            <w:pPr>
              <w:jc w:val="right"/>
            </w:pPr>
            <w:r>
              <w:rPr/>
              <w:t>250,000.00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医用内窥镜</w:t>
            </w:r>
          </w:p>
        </w:tc>
        <w:tc>
          <w:tcPr>
            <w:tcW w:type="dxa" w:w="831"/>
          </w:tcPr>
          <w:p>
            <w:pPr>
              <w:jc w:val="left"/>
            </w:pPr>
            <w:r>
              <w:rPr/>
              <w:t>关节镜、镜鞘</w:t>
            </w:r>
          </w:p>
        </w:tc>
        <w:tc>
          <w:tcPr>
            <w:tcW w:type="dxa" w:w="831"/>
          </w:tcPr>
          <w:p>
            <w:pPr>
              <w:jc w:val="left"/>
            </w:pPr>
            <w:r>
              <w:rPr/>
              <w:t>套</w:t>
            </w:r>
          </w:p>
        </w:tc>
        <w:tc>
          <w:tcPr>
            <w:tcW w:type="dxa" w:w="831"/>
          </w:tcPr>
          <w:p>
            <w:pPr>
              <w:jc w:val="right"/>
            </w:pPr>
            <w:r>
              <w:rPr/>
              <w:t>3.00</w:t>
            </w:r>
          </w:p>
        </w:tc>
        <w:tc>
          <w:tcPr>
            <w:tcW w:type="dxa" w:w="831"/>
          </w:tcPr>
          <w:p>
            <w:pPr>
              <w:jc w:val="right"/>
            </w:pPr>
            <w:r>
              <w:rPr/>
              <w:t>55,000.00</w:t>
            </w:r>
          </w:p>
        </w:tc>
        <w:tc>
          <w:tcPr>
            <w:tcW w:type="dxa" w:w="831"/>
          </w:tcPr>
          <w:p>
            <w:pPr>
              <w:jc w:val="right"/>
            </w:pPr>
            <w:r>
              <w:rPr/>
              <w:t>165,000.00</w:t>
            </w:r>
          </w:p>
        </w:tc>
        <w:tc>
          <w:tcPr>
            <w:tcW w:type="dxa" w:w="831"/>
          </w:tcPr>
          <w:p>
            <w:r>
              <w:rPr/>
              <w:t>工业</w:t>
            </w:r>
          </w:p>
        </w:tc>
        <w:tc>
          <w:tcPr>
            <w:tcW w:type="dxa" w:w="831"/>
          </w:tcPr>
          <w:p>
            <w:r>
              <w:rPr/>
              <w:t>详见附表三</w:t>
            </w:r>
          </w:p>
        </w:tc>
      </w:tr>
    </w:tbl>
    <w:p/>
    <w:p>
      <w:r>
        <w:rPr>
          <w:b/>
        </w:rPr>
        <w:t>附表</w:t>
      </w:r>
      <w:r>
        <w:rPr>
          <w:b/>
        </w:rPr>
        <w:t>一</w:t>
      </w:r>
      <w:r>
        <w:rPr>
          <w:b/>
        </w:rPr>
        <w:t>：</w:t>
      </w:r>
      <w:r>
        <w:rPr>
          <w:b/>
        </w:rPr>
        <w:t>腹腔镜系统（4K+荧光）</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（一）设备用途说明：</w:t>
            </w:r>
          </w:p>
          <w:p>
            <w:pPr>
              <w:ind w:firstLine="420"/>
              <w:jc w:val="both"/>
            </w:pPr>
            <w:r>
              <w:rPr>
                <w:sz w:val="21"/>
              </w:rPr>
              <w:t>用于腹腔镜手术、宫腔镜手术、输尿管镜、膀胱镜手术、胆道镜手术以及、椎间孔镜、关节镜、鼻窦镜手术等。</w:t>
            </w:r>
          </w:p>
          <w:p>
            <w:pPr>
              <w:jc w:val="both"/>
            </w:pPr>
            <w:r>
              <w:rPr>
                <w:sz w:val="21"/>
              </w:rPr>
              <w:t>（二）设备要求</w:t>
            </w:r>
          </w:p>
          <w:p>
            <w:pPr>
              <w:ind w:firstLine="210"/>
              <w:jc w:val="both"/>
            </w:pPr>
            <w:r>
              <w:rPr>
                <w:sz w:val="21"/>
              </w:rPr>
              <w:t>★腹腔镜系统（4K+荧光）</w:t>
            </w:r>
            <w:r>
              <w:rPr>
                <w:sz w:val="21"/>
              </w:rPr>
              <w:t>设备属于第二类医疗器械，应具备《医疗器械注册证》（无强制要求的除外，以国家药品监督管理局网上的数据库中查询的数据为准）。</w:t>
            </w:r>
          </w:p>
          <w:p>
            <w:pPr>
              <w:jc w:val="both"/>
            </w:pPr>
            <w:r>
              <w:rPr>
                <w:b/>
                <w:color w:val="000000"/>
                <w:sz w:val="21"/>
              </w:rPr>
              <w:t>（三）</w:t>
            </w:r>
            <w:r>
              <w:rPr>
                <w:b/>
                <w:sz w:val="21"/>
              </w:rPr>
              <w:t>设备主要规格、技术要求</w:t>
            </w:r>
            <w:r>
              <w:rPr>
                <w:b/>
                <w:color w:val="000000"/>
                <w:sz w:val="21"/>
              </w:rPr>
              <w:t>：</w:t>
            </w:r>
          </w:p>
          <w:p>
            <w:pPr>
              <w:ind w:firstLine="420"/>
              <w:jc w:val="both"/>
            </w:pPr>
            <w:r>
              <w:rPr>
                <w:sz w:val="21"/>
              </w:rPr>
              <w:t>1、摄像系统主机及摄像头：</w:t>
            </w:r>
          </w:p>
          <w:p>
            <w:pPr>
              <w:ind w:firstLine="420"/>
              <w:jc w:val="both"/>
            </w:pPr>
            <w:r>
              <w:rPr>
                <w:sz w:val="21"/>
              </w:rPr>
              <w:t>1.1分辨率≥3840X2160。</w:t>
            </w:r>
          </w:p>
          <w:p>
            <w:pPr>
              <w:jc w:val="both"/>
            </w:pPr>
            <w:r>
              <w:rPr>
                <w:sz w:val="21"/>
              </w:rPr>
              <w:t xml:space="preserve">    </w:t>
            </w:r>
            <w:r>
              <w:rPr>
                <w:sz w:val="21"/>
              </w:rPr>
              <w:t>1.2采用三晶片CMOS传感器。</w:t>
            </w:r>
            <w:r>
              <w:rPr>
                <w:sz w:val="21"/>
              </w:rPr>
              <w:t>（</w:t>
            </w:r>
            <w:r>
              <w:rPr>
                <w:sz w:val="21"/>
              </w:rPr>
              <w:t>彩页</w:t>
            </w:r>
            <w:r>
              <w:rPr>
                <w:sz w:val="21"/>
              </w:rPr>
              <w:t>或</w:t>
            </w:r>
            <w:r>
              <w:rPr>
                <w:sz w:val="21"/>
              </w:rPr>
              <w:t>厂家技术说明书</w:t>
            </w:r>
            <w:r>
              <w:rPr>
                <w:sz w:val="21"/>
              </w:rPr>
              <w:t>或</w:t>
            </w:r>
            <w:r>
              <w:rPr>
                <w:sz w:val="21"/>
              </w:rPr>
              <w:t>白皮书</w:t>
            </w:r>
            <w:r>
              <w:rPr>
                <w:sz w:val="21"/>
              </w:rPr>
              <w:t>或第三方出具的</w:t>
            </w:r>
            <w:r>
              <w:rPr>
                <w:sz w:val="21"/>
              </w:rPr>
              <w:t>检测报告</w:t>
            </w:r>
            <w:r>
              <w:rPr>
                <w:sz w:val="21"/>
              </w:rPr>
              <w:t>）</w:t>
            </w:r>
          </w:p>
          <w:p>
            <w:pPr>
              <w:ind w:firstLine="420"/>
              <w:jc w:val="both"/>
            </w:pPr>
            <w:r>
              <w:rPr>
                <w:sz w:val="21"/>
              </w:rPr>
              <w:t>1.3最低照度≤1.5Lux，信噪比＞55db。</w:t>
            </w:r>
          </w:p>
          <w:p>
            <w:pPr>
              <w:ind w:firstLine="420"/>
              <w:jc w:val="both"/>
            </w:pPr>
            <w:r>
              <w:rPr>
                <w:sz w:val="21"/>
              </w:rPr>
              <w:t>1.4具有色彩偏好设置。</w:t>
            </w:r>
          </w:p>
          <w:p>
            <w:pPr>
              <w:ind w:firstLine="420"/>
              <w:jc w:val="both"/>
            </w:pPr>
            <w:r>
              <w:rPr>
                <w:sz w:val="21"/>
              </w:rPr>
              <w:t>1.5内置菜单含黄增益/黄偏色，蓝增益/蓝偏色参数调节，优化色彩偏好设置；具有数码增强级别，图像锐度增强功能。</w:t>
            </w:r>
          </w:p>
          <w:p>
            <w:pPr>
              <w:ind w:firstLine="420"/>
              <w:jc w:val="both"/>
            </w:pPr>
            <w:r>
              <w:rPr>
                <w:sz w:val="21"/>
              </w:rPr>
              <w:t>1.6可自动调整光源上的光线设置以实现最佳光输出。</w:t>
            </w:r>
          </w:p>
          <w:p>
            <w:pPr>
              <w:jc w:val="both"/>
            </w:pPr>
            <w:r>
              <w:rPr>
                <w:sz w:val="21"/>
              </w:rPr>
              <w:t xml:space="preserve">    </w:t>
            </w:r>
            <w:r>
              <w:rPr>
                <w:sz w:val="21"/>
              </w:rPr>
              <w:t>1.7成像模式:有白光模式和近红外光成像模式。近红外光成像模式包括ICG近红外光模式和输尿管植入套件荧光模式。</w:t>
            </w:r>
            <w:r>
              <w:rPr>
                <w:sz w:val="21"/>
              </w:rPr>
              <w:t>（</w:t>
            </w:r>
            <w:r>
              <w:rPr>
                <w:sz w:val="21"/>
              </w:rPr>
              <w:t>彩页</w:t>
            </w:r>
            <w:r>
              <w:rPr>
                <w:sz w:val="21"/>
              </w:rPr>
              <w:t>或</w:t>
            </w:r>
            <w:r>
              <w:rPr>
                <w:sz w:val="21"/>
              </w:rPr>
              <w:t>厂家技术说明书</w:t>
            </w:r>
            <w:r>
              <w:rPr>
                <w:sz w:val="21"/>
              </w:rPr>
              <w:t>或</w:t>
            </w:r>
            <w:r>
              <w:rPr>
                <w:sz w:val="21"/>
              </w:rPr>
              <w:t>白皮书</w:t>
            </w:r>
            <w:r>
              <w:rPr>
                <w:sz w:val="21"/>
              </w:rPr>
              <w:t>或第三方出具的</w:t>
            </w:r>
            <w:r>
              <w:rPr>
                <w:sz w:val="21"/>
              </w:rPr>
              <w:t>检测报告</w:t>
            </w:r>
            <w:r>
              <w:rPr>
                <w:sz w:val="21"/>
              </w:rPr>
              <w:t>）</w:t>
            </w:r>
          </w:p>
          <w:p>
            <w:pPr>
              <w:ind w:firstLine="420"/>
              <w:jc w:val="both"/>
            </w:pPr>
            <w:r>
              <w:rPr>
                <w:sz w:val="21"/>
              </w:rPr>
              <w:t>1.8摄像头可直接控制光源。</w:t>
            </w:r>
          </w:p>
          <w:p>
            <w:pPr>
              <w:ind w:firstLine="420"/>
              <w:jc w:val="both"/>
            </w:pPr>
            <w:r>
              <w:rPr>
                <w:sz w:val="21"/>
              </w:rPr>
              <w:t>1.9具有摄像头按键编程功能，包括但不限于白平衡、图像的放大缩小、变焦、亮度增大减小、术野拍照及摄像功能。</w:t>
            </w:r>
          </w:p>
          <w:p>
            <w:pPr>
              <w:ind w:firstLine="420"/>
              <w:jc w:val="both"/>
            </w:pPr>
            <w:r>
              <w:rPr>
                <w:sz w:val="21"/>
              </w:rPr>
              <w:t>2、冷光源：</w:t>
            </w:r>
          </w:p>
          <w:p>
            <w:pPr>
              <w:ind w:firstLine="420"/>
              <w:jc w:val="both"/>
            </w:pPr>
            <w:r>
              <w:rPr>
                <w:sz w:val="21"/>
              </w:rPr>
              <w:t>2.1 LED光源类型。</w:t>
            </w:r>
          </w:p>
          <w:p>
            <w:pPr>
              <w:ind w:firstLine="420"/>
              <w:jc w:val="both"/>
            </w:pPr>
            <w:r>
              <w:rPr>
                <w:sz w:val="21"/>
              </w:rPr>
              <w:t>2.2 具备自动调光功能，实时调节光亮度输出。</w:t>
            </w:r>
          </w:p>
          <w:p>
            <w:pPr>
              <w:ind w:firstLine="420"/>
              <w:jc w:val="both"/>
            </w:pPr>
            <w:r>
              <w:rPr>
                <w:sz w:val="21"/>
              </w:rPr>
              <w:t>2.3具有电子窥镜感应技术，防止高强度光和意外灼伤。</w:t>
            </w:r>
          </w:p>
          <w:p>
            <w:pPr>
              <w:ind w:firstLine="420"/>
              <w:jc w:val="both"/>
            </w:pPr>
            <w:r>
              <w:rPr>
                <w:sz w:val="21"/>
              </w:rPr>
              <w:t>2.4简体中文操作界面，具有液晶显示操作屏。</w:t>
            </w:r>
          </w:p>
          <w:p>
            <w:pPr>
              <w:ind w:firstLine="420"/>
              <w:jc w:val="both"/>
            </w:pPr>
            <w:r>
              <w:rPr>
                <w:sz w:val="21"/>
              </w:rPr>
              <w:t>3、腹腔内窥镜：</w:t>
            </w:r>
          </w:p>
          <w:p>
            <w:pPr>
              <w:ind w:firstLine="420"/>
              <w:jc w:val="both"/>
            </w:pPr>
            <w:r>
              <w:rPr>
                <w:sz w:val="21"/>
              </w:rPr>
              <w:t>3.1直径两种，其中一种10mm，另一种5mm，工作长度≥320mm，视向角30度。</w:t>
            </w:r>
          </w:p>
          <w:p>
            <w:pPr>
              <w:ind w:firstLine="420"/>
              <w:jc w:val="both"/>
            </w:pPr>
            <w:r>
              <w:rPr>
                <w:sz w:val="21"/>
              </w:rPr>
              <w:t>3.2视场角≥75度，有效景深范围30—200mm。</w:t>
            </w:r>
          </w:p>
          <w:p>
            <w:pPr>
              <w:ind w:firstLine="420"/>
              <w:jc w:val="both"/>
            </w:pPr>
            <w:r>
              <w:rPr>
                <w:sz w:val="21"/>
              </w:rPr>
              <w:t>3.3可高温高压消毒。</w:t>
            </w:r>
          </w:p>
          <w:p>
            <w:pPr>
              <w:ind w:firstLine="420"/>
              <w:jc w:val="both"/>
            </w:pPr>
            <w:r>
              <w:rPr>
                <w:sz w:val="21"/>
              </w:rPr>
              <w:t>4、监视器：</w:t>
            </w:r>
          </w:p>
          <w:p>
            <w:pPr>
              <w:ind w:firstLine="420"/>
              <w:jc w:val="both"/>
            </w:pPr>
            <w:r>
              <w:rPr>
                <w:sz w:val="21"/>
              </w:rPr>
              <w:t>4.1  4K分辨率≥3840X2160。</w:t>
            </w:r>
          </w:p>
          <w:p>
            <w:pPr>
              <w:ind w:firstLine="420"/>
              <w:jc w:val="both"/>
            </w:pPr>
            <w:r>
              <w:rPr>
                <w:sz w:val="21"/>
              </w:rPr>
              <w:t>4.2  图像输入输出具有HDMI1.4、HDMI2.0、RGB（DVI）等数字接口，支持通过RS232端口和SDC端口进行串行通信。</w:t>
            </w:r>
          </w:p>
          <w:p>
            <w:pPr>
              <w:ind w:firstLine="420"/>
              <w:jc w:val="both"/>
            </w:pPr>
            <w:r>
              <w:rPr>
                <w:sz w:val="21"/>
              </w:rPr>
              <w:t>5、气腹机：</w:t>
            </w:r>
          </w:p>
          <w:p>
            <w:pPr>
              <w:ind w:firstLine="420"/>
              <w:jc w:val="both"/>
            </w:pPr>
            <w:r>
              <w:rPr>
                <w:sz w:val="21"/>
              </w:rPr>
              <w:t>5.1 最大充气流量约45升/分，最小充气流量约0.1升/分。</w:t>
            </w:r>
          </w:p>
          <w:p>
            <w:pPr>
              <w:ind w:firstLine="420"/>
              <w:jc w:val="both"/>
            </w:pPr>
            <w:r>
              <w:rPr>
                <w:sz w:val="21"/>
              </w:rPr>
              <w:t>5.2 具有实时压力监测功能、报警功能。</w:t>
            </w:r>
          </w:p>
          <w:p>
            <w:pPr>
              <w:ind w:firstLine="420"/>
              <w:jc w:val="both"/>
            </w:pPr>
            <w:r>
              <w:rPr>
                <w:sz w:val="21"/>
              </w:rPr>
              <w:t>5.3 具有</w:t>
            </w:r>
            <w:r>
              <w:rPr>
                <w:sz w:val="21"/>
              </w:rPr>
              <w:t>≥3</w:t>
            </w:r>
            <w:r>
              <w:rPr>
                <w:sz w:val="21"/>
              </w:rPr>
              <w:t>种充气模式</w:t>
            </w:r>
            <w:r>
              <w:rPr>
                <w:sz w:val="21"/>
              </w:rPr>
              <w:t>，如高流量专用充气模式、肥胖症专用充气模式等</w:t>
            </w:r>
            <w:r>
              <w:rPr>
                <w:sz w:val="21"/>
              </w:rPr>
              <w:t>。</w:t>
            </w:r>
          </w:p>
          <w:p>
            <w:pPr>
              <w:ind w:firstLine="420"/>
              <w:jc w:val="both"/>
            </w:pPr>
            <w:r>
              <w:rPr>
                <w:sz w:val="21"/>
              </w:rPr>
              <w:t>5.4 具有双路安全检测功能及压力过高感应及自动泄气功能。</w:t>
            </w:r>
          </w:p>
          <w:p>
            <w:pPr>
              <w:jc w:val="both"/>
            </w:pPr>
            <w:r>
              <w:rPr>
                <w:b/>
                <w:sz w:val="21"/>
              </w:rPr>
              <w:t>（四）主要配置要求：</w:t>
            </w:r>
          </w:p>
          <w:p>
            <w:pPr>
              <w:jc w:val="both"/>
            </w:pPr>
          </w:p>
          <w:tbl>
            <w:tblPr>
              <w:tblBorders>
                <w:top w:val="none" w:color="000000" w:sz="4"/>
                <w:left w:val="none" w:color="000000" w:sz="4"/>
                <w:bottom w:val="none" w:color="000000" w:sz="4"/>
                <w:right w:val="none" w:color="000000" w:sz="4"/>
                <w:insideH w:val="none"/>
                <w:insideV w:val="none"/>
              </w:tblBorders>
            </w:tblPr>
            <w:tblGrid>
              <w:gridCol w:w="813"/>
              <w:gridCol w:w="2325"/>
              <w:gridCol w:w="1365"/>
              <w:gridCol w:w="1094"/>
            </w:tblGrid>
            <w:tr>
              <w:tc>
                <w:tcPr>
                  <w:tcW w:type="dxa" w:w="5597"/>
                  <w:gridSpan w:val="4"/>
                  <w:tcBorders>
                    <w:top w:val="single" w:color="000000" w:sz="4"/>
                    <w:left w:val="single" w:color="000000" w:sz="4"/>
                    <w:bottom w:val="single" w:color="000000" w:sz="4"/>
                    <w:right w:val="single" w:color="000000" w:sz="4"/>
                  </w:tcBorders>
                  <w:shd w:fill="FFFFFF"/>
                  <w:vAlign w:val="top"/>
                </w:tcPr>
                <w:p>
                  <w:pPr>
                    <w:jc w:val="center"/>
                  </w:pPr>
                  <w:r>
                    <w:rPr>
                      <w:b/>
                      <w:sz w:val="21"/>
                    </w:rPr>
                    <w:t>每台机配置</w:t>
                  </w:r>
                </w:p>
              </w:tc>
            </w:tr>
            <w:tr>
              <w:tc>
                <w:tcPr>
                  <w:tcW w:type="dxa" w:w="5597"/>
                  <w:gridSpan w:val="4"/>
                  <w:tcBorders>
                    <w:top w:val="none" w:color="000000" w:sz="4"/>
                    <w:left w:val="single" w:color="000000" w:sz="4"/>
                    <w:bottom w:val="single" w:color="000000" w:sz="4"/>
                    <w:right w:val="single" w:color="000000" w:sz="4"/>
                  </w:tcBorders>
                  <w:shd w:fill="FFFFFF"/>
                  <w:vAlign w:val="top"/>
                </w:tcPr>
                <w:p>
                  <w:pPr>
                    <w:jc w:val="center"/>
                  </w:pPr>
                  <w:r>
                    <w:rPr>
                      <w:b/>
                      <w:sz w:val="21"/>
                    </w:rPr>
                    <w:t>腹腔镜系统（</w:t>
                  </w:r>
                  <w:r>
                    <w:rPr>
                      <w:b/>
                      <w:sz w:val="21"/>
                    </w:rPr>
                    <w:t>4K荧光）+腹腔镜头</w:t>
                  </w:r>
                </w:p>
              </w:tc>
            </w:tr>
            <w:tr>
              <w:tc>
                <w:tcPr>
                  <w:tcW w:type="dxa" w:w="813"/>
                  <w:tcBorders>
                    <w:top w:val="none" w:color="000000" w:sz="4"/>
                    <w:left w:val="single" w:color="000000" w:sz="4"/>
                    <w:bottom w:val="single" w:color="000000" w:sz="4"/>
                    <w:right w:val="single" w:color="000000" w:sz="4"/>
                  </w:tcBorders>
                  <w:shd w:fill="FFFFFF"/>
                  <w:vAlign w:val="top"/>
                </w:tcPr>
                <w:p>
                  <w:pPr>
                    <w:jc w:val="center"/>
                  </w:pPr>
                  <w:r>
                    <w:rPr>
                      <w:sz w:val="21"/>
                    </w:rPr>
                    <w:t>序号</w:t>
                  </w:r>
                </w:p>
              </w:tc>
              <w:tc>
                <w:tcPr>
                  <w:tcW w:type="dxa" w:w="2325"/>
                  <w:tcBorders>
                    <w:top w:val="single" w:color="000000" w:sz="4"/>
                    <w:left w:val="single" w:color="000000" w:sz="4"/>
                    <w:bottom w:val="single" w:color="000000" w:sz="4"/>
                    <w:right w:val="single" w:color="000000" w:sz="4"/>
                  </w:tcBorders>
                  <w:shd w:fill="FFFFFF"/>
                  <w:vAlign w:val="top"/>
                </w:tcPr>
                <w:p>
                  <w:pPr>
                    <w:ind w:firstLine="420"/>
                    <w:jc w:val="center"/>
                  </w:pPr>
                  <w:r>
                    <w:rPr>
                      <w:sz w:val="21"/>
                    </w:rPr>
                    <w:t>配件名称</w:t>
                  </w:r>
                </w:p>
              </w:tc>
              <w:tc>
                <w:tcPr>
                  <w:tcW w:type="dxa" w:w="1365"/>
                  <w:tcBorders>
                    <w:top w:val="single" w:color="000000" w:sz="4"/>
                    <w:left w:val="single" w:color="000000" w:sz="4"/>
                    <w:bottom w:val="single" w:color="000000" w:sz="4"/>
                    <w:right w:val="single" w:color="000000" w:sz="4"/>
                  </w:tcBorders>
                  <w:shd w:fill="FFFFFF"/>
                  <w:vAlign w:val="top"/>
                </w:tcPr>
                <w:p>
                  <w:pPr>
                    <w:ind w:firstLine="420"/>
                    <w:jc w:val="center"/>
                  </w:pPr>
                  <w:r>
                    <w:rPr>
                      <w:sz w:val="21"/>
                    </w:rPr>
                    <w:t>单位</w:t>
                  </w:r>
                </w:p>
              </w:tc>
              <w:tc>
                <w:tcPr>
                  <w:tcW w:type="dxa" w:w="1094"/>
                  <w:tcBorders>
                    <w:top w:val="single" w:color="000000" w:sz="4"/>
                    <w:left w:val="single" w:color="000000" w:sz="4"/>
                    <w:bottom w:val="single" w:color="000000" w:sz="4"/>
                    <w:right w:val="single" w:color="000000" w:sz="4"/>
                  </w:tcBorders>
                  <w:shd w:fill="FFFFFF"/>
                  <w:vAlign w:val="top"/>
                </w:tcPr>
                <w:p>
                  <w:pPr>
                    <w:ind w:firstLine="420"/>
                    <w:jc w:val="center"/>
                  </w:pPr>
                  <w:r>
                    <w:rPr>
                      <w:sz w:val="21"/>
                    </w:rPr>
                    <w:t>数量</w:t>
                  </w:r>
                </w:p>
              </w:tc>
            </w:tr>
            <w:tr>
              <w:tc>
                <w:tcPr>
                  <w:tcW w:type="dxa" w:w="813"/>
                  <w:tcBorders>
                    <w:top w:val="none" w:color="000000" w:sz="4"/>
                    <w:left w:val="single" w:color="000000" w:sz="4"/>
                    <w:bottom w:val="single" w:color="000000" w:sz="4"/>
                    <w:right w:val="single" w:color="000000" w:sz="4"/>
                  </w:tcBorders>
                  <w:vAlign w:val="top"/>
                </w:tcPr>
                <w:p>
                  <w:pPr>
                    <w:ind w:firstLine="170"/>
                    <w:jc w:val="center"/>
                  </w:pPr>
                  <w:r>
                    <w:rPr>
                      <w:sz w:val="21"/>
                    </w:rPr>
                    <w:t>1</w:t>
                  </w:r>
                </w:p>
              </w:tc>
              <w:tc>
                <w:tcPr>
                  <w:tcW w:type="dxa" w:w="2325"/>
                  <w:tcBorders>
                    <w:top w:val="none" w:color="000000" w:sz="4"/>
                    <w:left w:val="single" w:color="000000" w:sz="4"/>
                    <w:bottom w:val="single" w:color="000000" w:sz="4"/>
                    <w:right w:val="single" w:color="000000" w:sz="4"/>
                  </w:tcBorders>
                  <w:vAlign w:val="top"/>
                </w:tcPr>
                <w:p>
                  <w:pPr>
                    <w:ind w:firstLine="420"/>
                    <w:jc w:val="center"/>
                  </w:pPr>
                  <w:r>
                    <w:rPr>
                      <w:sz w:val="21"/>
                    </w:rPr>
                    <w:t>主机</w:t>
                  </w:r>
                </w:p>
              </w:tc>
              <w:tc>
                <w:tcPr>
                  <w:tcW w:type="dxa" w:w="1365"/>
                  <w:tcBorders>
                    <w:top w:val="none" w:color="000000" w:sz="4"/>
                    <w:left w:val="single" w:color="000000" w:sz="4"/>
                    <w:bottom w:val="single" w:color="000000" w:sz="4"/>
                    <w:right w:val="single" w:color="000000" w:sz="4"/>
                  </w:tcBorders>
                  <w:vAlign w:val="top"/>
                </w:tcPr>
                <w:p>
                  <w:pPr>
                    <w:ind w:firstLine="420"/>
                    <w:jc w:val="center"/>
                  </w:pPr>
                  <w:r>
                    <w:rPr>
                      <w:sz w:val="21"/>
                    </w:rPr>
                    <w:t>台</w:t>
                  </w:r>
                </w:p>
              </w:tc>
              <w:tc>
                <w:tcPr>
                  <w:tcW w:type="dxa" w:w="1094"/>
                  <w:tcBorders>
                    <w:top w:val="none" w:color="000000" w:sz="4"/>
                    <w:left w:val="single" w:color="000000" w:sz="4"/>
                    <w:bottom w:val="single" w:color="000000" w:sz="4"/>
                    <w:right w:val="single" w:color="000000" w:sz="4"/>
                  </w:tcBorders>
                  <w:vAlign w:val="top"/>
                </w:tcPr>
                <w:p>
                  <w:pPr>
                    <w:ind w:firstLine="420"/>
                    <w:jc w:val="center"/>
                  </w:pPr>
                  <w:r>
                    <w:rPr>
                      <w:sz w:val="21"/>
                    </w:rPr>
                    <w:t>1</w:t>
                  </w:r>
                </w:p>
              </w:tc>
            </w:tr>
            <w:tr>
              <w:tc>
                <w:tcPr>
                  <w:tcW w:type="dxa" w:w="813"/>
                  <w:tcBorders>
                    <w:top w:val="none" w:color="000000" w:sz="4"/>
                    <w:left w:val="single" w:color="000000" w:sz="4"/>
                    <w:bottom w:val="single" w:color="000000" w:sz="4"/>
                    <w:right w:val="single" w:color="000000" w:sz="4"/>
                  </w:tcBorders>
                  <w:vAlign w:val="top"/>
                </w:tcPr>
                <w:p>
                  <w:pPr>
                    <w:ind w:firstLine="170"/>
                    <w:jc w:val="center"/>
                  </w:pPr>
                  <w:r>
                    <w:rPr>
                      <w:sz w:val="21"/>
                    </w:rPr>
                    <w:t>2</w:t>
                  </w:r>
                </w:p>
              </w:tc>
              <w:tc>
                <w:tcPr>
                  <w:tcW w:type="dxa" w:w="2325"/>
                  <w:tcBorders>
                    <w:top w:val="none" w:color="000000" w:sz="4"/>
                    <w:left w:val="single" w:color="000000" w:sz="4"/>
                    <w:bottom w:val="single" w:color="000000" w:sz="4"/>
                    <w:right w:val="single" w:color="000000" w:sz="4"/>
                  </w:tcBorders>
                  <w:vAlign w:val="top"/>
                </w:tcPr>
                <w:p>
                  <w:pPr>
                    <w:ind w:firstLine="420"/>
                    <w:jc w:val="center"/>
                  </w:pPr>
                  <w:r>
                    <w:rPr>
                      <w:sz w:val="21"/>
                    </w:rPr>
                    <w:t>摄像头（</w:t>
                  </w:r>
                  <w:r>
                    <w:rPr>
                      <w:sz w:val="21"/>
                    </w:rPr>
                    <w:t>4K）</w:t>
                  </w:r>
                </w:p>
              </w:tc>
              <w:tc>
                <w:tcPr>
                  <w:tcW w:type="dxa" w:w="1365"/>
                  <w:tcBorders>
                    <w:top w:val="none" w:color="000000" w:sz="4"/>
                    <w:left w:val="single" w:color="000000" w:sz="4"/>
                    <w:bottom w:val="single" w:color="000000" w:sz="4"/>
                    <w:right w:val="single" w:color="000000" w:sz="4"/>
                  </w:tcBorders>
                  <w:vAlign w:val="top"/>
                </w:tcPr>
                <w:p>
                  <w:pPr>
                    <w:ind w:firstLine="420"/>
                    <w:jc w:val="center"/>
                  </w:pPr>
                  <w:r>
                    <w:rPr>
                      <w:sz w:val="21"/>
                    </w:rPr>
                    <w:t>个</w:t>
                  </w:r>
                </w:p>
              </w:tc>
              <w:tc>
                <w:tcPr>
                  <w:tcW w:type="dxa" w:w="1094"/>
                  <w:tcBorders>
                    <w:top w:val="none" w:color="000000" w:sz="4"/>
                    <w:left w:val="single" w:color="000000" w:sz="4"/>
                    <w:bottom w:val="single" w:color="000000" w:sz="4"/>
                    <w:right w:val="single" w:color="000000" w:sz="4"/>
                  </w:tcBorders>
                  <w:vAlign w:val="top"/>
                </w:tcPr>
                <w:p>
                  <w:pPr>
                    <w:ind w:firstLine="420"/>
                    <w:jc w:val="center"/>
                  </w:pPr>
                  <w:r>
                    <w:rPr>
                      <w:sz w:val="21"/>
                    </w:rPr>
                    <w:t>2</w:t>
                  </w:r>
                </w:p>
              </w:tc>
            </w:tr>
            <w:tr>
              <w:tc>
                <w:tcPr>
                  <w:tcW w:type="dxa" w:w="813"/>
                  <w:tcBorders>
                    <w:top w:val="none" w:color="000000" w:sz="4"/>
                    <w:left w:val="single" w:color="000000" w:sz="4"/>
                    <w:bottom w:val="single" w:color="000000" w:sz="4"/>
                    <w:right w:val="single" w:color="000000" w:sz="4"/>
                  </w:tcBorders>
                  <w:vAlign w:val="top"/>
                </w:tcPr>
                <w:p>
                  <w:pPr>
                    <w:ind w:firstLine="170"/>
                    <w:jc w:val="center"/>
                  </w:pPr>
                  <w:r>
                    <w:rPr>
                      <w:sz w:val="21"/>
                    </w:rPr>
                    <w:t>3</w:t>
                  </w:r>
                </w:p>
              </w:tc>
              <w:tc>
                <w:tcPr>
                  <w:tcW w:type="dxa" w:w="2325"/>
                  <w:tcBorders>
                    <w:top w:val="none" w:color="000000" w:sz="4"/>
                    <w:left w:val="single" w:color="000000" w:sz="4"/>
                    <w:bottom w:val="single" w:color="000000" w:sz="4"/>
                    <w:right w:val="single" w:color="000000" w:sz="4"/>
                  </w:tcBorders>
                  <w:vAlign w:val="top"/>
                </w:tcPr>
                <w:p>
                  <w:pPr>
                    <w:ind w:firstLine="420"/>
                    <w:jc w:val="center"/>
                  </w:pPr>
                  <w:r>
                    <w:rPr>
                      <w:sz w:val="21"/>
                    </w:rPr>
                    <w:t>转接器</w:t>
                  </w:r>
                </w:p>
              </w:tc>
              <w:tc>
                <w:tcPr>
                  <w:tcW w:type="dxa" w:w="1365"/>
                  <w:tcBorders>
                    <w:top w:val="none" w:color="000000" w:sz="4"/>
                    <w:left w:val="single" w:color="000000" w:sz="4"/>
                    <w:bottom w:val="single" w:color="000000" w:sz="4"/>
                    <w:right w:val="single" w:color="000000" w:sz="4"/>
                  </w:tcBorders>
                  <w:vAlign w:val="top"/>
                </w:tcPr>
                <w:p>
                  <w:pPr>
                    <w:ind w:firstLine="420"/>
                    <w:jc w:val="center"/>
                  </w:pPr>
                  <w:r>
                    <w:rPr>
                      <w:sz w:val="21"/>
                    </w:rPr>
                    <w:t>个</w:t>
                  </w:r>
                </w:p>
              </w:tc>
              <w:tc>
                <w:tcPr>
                  <w:tcW w:type="dxa" w:w="1094"/>
                  <w:tcBorders>
                    <w:top w:val="none" w:color="000000" w:sz="4"/>
                    <w:left w:val="single" w:color="000000" w:sz="4"/>
                    <w:bottom w:val="single" w:color="000000" w:sz="4"/>
                    <w:right w:val="single" w:color="000000" w:sz="4"/>
                  </w:tcBorders>
                  <w:vAlign w:val="top"/>
                </w:tcPr>
                <w:p>
                  <w:pPr>
                    <w:ind w:firstLine="420"/>
                    <w:jc w:val="center"/>
                  </w:pPr>
                  <w:r>
                    <w:rPr>
                      <w:sz w:val="21"/>
                    </w:rPr>
                    <w:t>2</w:t>
                  </w:r>
                </w:p>
              </w:tc>
            </w:tr>
            <w:tr>
              <w:tc>
                <w:tcPr>
                  <w:tcW w:type="dxa" w:w="813"/>
                  <w:tcBorders>
                    <w:top w:val="none" w:color="000000" w:sz="4"/>
                    <w:left w:val="single" w:color="000000" w:sz="4"/>
                    <w:bottom w:val="single" w:color="000000" w:sz="4"/>
                    <w:right w:val="single" w:color="000000" w:sz="4"/>
                  </w:tcBorders>
                  <w:vAlign w:val="top"/>
                </w:tcPr>
                <w:p>
                  <w:pPr>
                    <w:ind w:firstLine="170"/>
                    <w:jc w:val="center"/>
                  </w:pPr>
                  <w:r>
                    <w:rPr>
                      <w:sz w:val="21"/>
                    </w:rPr>
                    <w:t>4</w:t>
                  </w:r>
                </w:p>
              </w:tc>
              <w:tc>
                <w:tcPr>
                  <w:tcW w:type="dxa" w:w="2325"/>
                  <w:tcBorders>
                    <w:top w:val="none" w:color="000000" w:sz="4"/>
                    <w:left w:val="single" w:color="000000" w:sz="4"/>
                    <w:bottom w:val="single" w:color="000000" w:sz="4"/>
                    <w:right w:val="single" w:color="000000" w:sz="4"/>
                  </w:tcBorders>
                  <w:vAlign w:val="top"/>
                </w:tcPr>
                <w:p>
                  <w:pPr>
                    <w:ind w:firstLine="420"/>
                    <w:jc w:val="center"/>
                  </w:pPr>
                  <w:r>
                    <w:rPr>
                      <w:sz w:val="21"/>
                    </w:rPr>
                    <w:t>LED光源</w:t>
                  </w:r>
                </w:p>
              </w:tc>
              <w:tc>
                <w:tcPr>
                  <w:tcW w:type="dxa" w:w="1365"/>
                  <w:tcBorders>
                    <w:top w:val="none" w:color="000000" w:sz="4"/>
                    <w:left w:val="single" w:color="000000" w:sz="4"/>
                    <w:bottom w:val="single" w:color="000000" w:sz="4"/>
                    <w:right w:val="single" w:color="000000" w:sz="4"/>
                  </w:tcBorders>
                  <w:vAlign w:val="top"/>
                </w:tcPr>
                <w:p>
                  <w:pPr>
                    <w:ind w:firstLine="420"/>
                    <w:jc w:val="center"/>
                  </w:pPr>
                  <w:r>
                    <w:rPr>
                      <w:sz w:val="21"/>
                    </w:rPr>
                    <w:t>台</w:t>
                  </w:r>
                </w:p>
              </w:tc>
              <w:tc>
                <w:tcPr>
                  <w:tcW w:type="dxa" w:w="1094"/>
                  <w:tcBorders>
                    <w:top w:val="none" w:color="000000" w:sz="4"/>
                    <w:left w:val="single" w:color="000000" w:sz="4"/>
                    <w:bottom w:val="single" w:color="000000" w:sz="4"/>
                    <w:right w:val="single" w:color="000000" w:sz="4"/>
                  </w:tcBorders>
                  <w:vAlign w:val="top"/>
                </w:tcPr>
                <w:p>
                  <w:pPr>
                    <w:ind w:firstLine="420"/>
                    <w:jc w:val="center"/>
                  </w:pPr>
                  <w:r>
                    <w:rPr>
                      <w:sz w:val="21"/>
                    </w:rPr>
                    <w:t>1</w:t>
                  </w:r>
                </w:p>
              </w:tc>
            </w:tr>
            <w:tr>
              <w:tc>
                <w:tcPr>
                  <w:tcW w:type="dxa" w:w="813"/>
                  <w:tcBorders>
                    <w:top w:val="none" w:color="000000" w:sz="4"/>
                    <w:left w:val="single" w:color="000000" w:sz="4"/>
                    <w:bottom w:val="single" w:color="000000" w:sz="4"/>
                    <w:right w:val="single" w:color="000000" w:sz="4"/>
                  </w:tcBorders>
                  <w:vAlign w:val="top"/>
                </w:tcPr>
                <w:p>
                  <w:pPr>
                    <w:ind w:firstLine="170"/>
                    <w:jc w:val="center"/>
                  </w:pPr>
                  <w:r>
                    <w:rPr>
                      <w:sz w:val="21"/>
                    </w:rPr>
                    <w:t>5</w:t>
                  </w:r>
                </w:p>
              </w:tc>
              <w:tc>
                <w:tcPr>
                  <w:tcW w:type="dxa" w:w="2325"/>
                  <w:tcBorders>
                    <w:top w:val="none" w:color="000000" w:sz="4"/>
                    <w:left w:val="single" w:color="000000" w:sz="4"/>
                    <w:bottom w:val="single" w:color="000000" w:sz="4"/>
                    <w:right w:val="single" w:color="000000" w:sz="4"/>
                  </w:tcBorders>
                  <w:vAlign w:val="top"/>
                </w:tcPr>
                <w:p>
                  <w:pPr>
                    <w:ind w:firstLine="420"/>
                    <w:jc w:val="center"/>
                  </w:pPr>
                  <w:r>
                    <w:rPr>
                      <w:sz w:val="21"/>
                    </w:rPr>
                    <w:t>光纤</w:t>
                  </w:r>
                </w:p>
              </w:tc>
              <w:tc>
                <w:tcPr>
                  <w:tcW w:type="dxa" w:w="1365"/>
                  <w:tcBorders>
                    <w:top w:val="none" w:color="000000" w:sz="4"/>
                    <w:left w:val="single" w:color="000000" w:sz="4"/>
                    <w:bottom w:val="single" w:color="000000" w:sz="4"/>
                    <w:right w:val="single" w:color="000000" w:sz="4"/>
                  </w:tcBorders>
                  <w:vAlign w:val="top"/>
                </w:tcPr>
                <w:p>
                  <w:pPr>
                    <w:ind w:firstLine="420"/>
                    <w:jc w:val="center"/>
                  </w:pPr>
                  <w:r>
                    <w:rPr>
                      <w:sz w:val="21"/>
                    </w:rPr>
                    <w:t>条</w:t>
                  </w:r>
                </w:p>
              </w:tc>
              <w:tc>
                <w:tcPr>
                  <w:tcW w:type="dxa" w:w="1094"/>
                  <w:tcBorders>
                    <w:top w:val="none" w:color="000000" w:sz="4"/>
                    <w:left w:val="single" w:color="000000" w:sz="4"/>
                    <w:bottom w:val="single" w:color="000000" w:sz="4"/>
                    <w:right w:val="single" w:color="000000" w:sz="4"/>
                  </w:tcBorders>
                  <w:vAlign w:val="top"/>
                </w:tcPr>
                <w:p>
                  <w:pPr>
                    <w:ind w:firstLine="420"/>
                    <w:jc w:val="center"/>
                  </w:pPr>
                  <w:r>
                    <w:rPr>
                      <w:sz w:val="21"/>
                    </w:rPr>
                    <w:t>2</w:t>
                  </w:r>
                </w:p>
              </w:tc>
            </w:tr>
            <w:tr>
              <w:tc>
                <w:tcPr>
                  <w:tcW w:type="dxa" w:w="813"/>
                  <w:tcBorders>
                    <w:top w:val="none" w:color="000000" w:sz="4"/>
                    <w:left w:val="single" w:color="000000" w:sz="4"/>
                    <w:bottom w:val="single" w:color="000000" w:sz="4"/>
                    <w:right w:val="single" w:color="000000" w:sz="4"/>
                  </w:tcBorders>
                  <w:vAlign w:val="top"/>
                </w:tcPr>
                <w:p>
                  <w:pPr>
                    <w:ind w:firstLine="170"/>
                    <w:jc w:val="center"/>
                  </w:pPr>
                  <w:r>
                    <w:rPr>
                      <w:sz w:val="21"/>
                    </w:rPr>
                    <w:t>6</w:t>
                  </w:r>
                </w:p>
              </w:tc>
              <w:tc>
                <w:tcPr>
                  <w:tcW w:type="dxa" w:w="2325"/>
                  <w:tcBorders>
                    <w:top w:val="none" w:color="000000" w:sz="4"/>
                    <w:left w:val="single" w:color="000000" w:sz="4"/>
                    <w:bottom w:val="single" w:color="000000" w:sz="4"/>
                    <w:right w:val="single" w:color="000000" w:sz="4"/>
                  </w:tcBorders>
                  <w:vAlign w:val="top"/>
                </w:tcPr>
                <w:p>
                  <w:pPr>
                    <w:jc w:val="center"/>
                  </w:pPr>
                  <w:r>
                    <w:rPr>
                      <w:sz w:val="21"/>
                    </w:rPr>
                    <w:t>腹腔镜（直径</w:t>
                  </w:r>
                  <w:r>
                    <w:rPr>
                      <w:sz w:val="21"/>
                    </w:rPr>
                    <w:t>10mm、5mm各一条）（主机自带）</w:t>
                  </w:r>
                </w:p>
              </w:tc>
              <w:tc>
                <w:tcPr>
                  <w:tcW w:type="dxa" w:w="1365"/>
                  <w:tcBorders>
                    <w:top w:val="none" w:color="000000" w:sz="4"/>
                    <w:left w:val="single" w:color="000000" w:sz="4"/>
                    <w:bottom w:val="single" w:color="000000" w:sz="4"/>
                    <w:right w:val="single" w:color="000000" w:sz="4"/>
                  </w:tcBorders>
                  <w:vAlign w:val="top"/>
                </w:tcPr>
                <w:p>
                  <w:pPr>
                    <w:ind w:firstLine="420"/>
                    <w:jc w:val="center"/>
                  </w:pPr>
                  <w:r>
                    <w:rPr>
                      <w:sz w:val="21"/>
                    </w:rPr>
                    <w:t>条</w:t>
                  </w:r>
                </w:p>
              </w:tc>
              <w:tc>
                <w:tcPr>
                  <w:tcW w:type="dxa" w:w="1094"/>
                  <w:tcBorders>
                    <w:top w:val="none" w:color="000000" w:sz="4"/>
                    <w:left w:val="single" w:color="000000" w:sz="4"/>
                    <w:bottom w:val="single" w:color="000000" w:sz="4"/>
                    <w:right w:val="single" w:color="000000" w:sz="4"/>
                  </w:tcBorders>
                  <w:vAlign w:val="top"/>
                </w:tcPr>
                <w:p>
                  <w:pPr>
                    <w:ind w:firstLine="420"/>
                    <w:jc w:val="center"/>
                  </w:pPr>
                  <w:r>
                    <w:rPr>
                      <w:sz w:val="21"/>
                    </w:rPr>
                    <w:t>2</w:t>
                  </w:r>
                </w:p>
              </w:tc>
            </w:tr>
            <w:tr>
              <w:tc>
                <w:tcPr>
                  <w:tcW w:type="dxa" w:w="813"/>
                  <w:tcBorders>
                    <w:top w:val="none" w:color="000000" w:sz="4"/>
                    <w:left w:val="single" w:color="000000" w:sz="4"/>
                    <w:bottom w:val="single" w:color="000000" w:sz="4"/>
                    <w:right w:val="single" w:color="000000" w:sz="4"/>
                  </w:tcBorders>
                  <w:vAlign w:val="top"/>
                </w:tcPr>
                <w:p>
                  <w:pPr>
                    <w:ind w:firstLine="170"/>
                    <w:jc w:val="center"/>
                  </w:pPr>
                  <w:r>
                    <w:rPr>
                      <w:sz w:val="21"/>
                    </w:rPr>
                    <w:t>7</w:t>
                  </w:r>
                </w:p>
              </w:tc>
              <w:tc>
                <w:tcPr>
                  <w:tcW w:type="dxa" w:w="2325"/>
                  <w:tcBorders>
                    <w:top w:val="none" w:color="000000" w:sz="4"/>
                    <w:left w:val="single" w:color="000000" w:sz="4"/>
                    <w:bottom w:val="single" w:color="000000" w:sz="4"/>
                    <w:right w:val="single" w:color="000000" w:sz="4"/>
                  </w:tcBorders>
                  <w:vAlign w:val="top"/>
                </w:tcPr>
                <w:p>
                  <w:pPr>
                    <w:ind w:firstLine="420"/>
                    <w:jc w:val="center"/>
                  </w:pPr>
                  <w:r>
                    <w:rPr>
                      <w:sz w:val="21"/>
                    </w:rPr>
                    <w:t>气腹机</w:t>
                  </w:r>
                </w:p>
              </w:tc>
              <w:tc>
                <w:tcPr>
                  <w:tcW w:type="dxa" w:w="1365"/>
                  <w:tcBorders>
                    <w:top w:val="none" w:color="000000" w:sz="4"/>
                    <w:left w:val="single" w:color="000000" w:sz="4"/>
                    <w:bottom w:val="single" w:color="000000" w:sz="4"/>
                    <w:right w:val="single" w:color="000000" w:sz="4"/>
                  </w:tcBorders>
                  <w:vAlign w:val="top"/>
                </w:tcPr>
                <w:p>
                  <w:pPr>
                    <w:ind w:firstLine="420"/>
                    <w:jc w:val="center"/>
                  </w:pPr>
                  <w:r>
                    <w:rPr>
                      <w:sz w:val="21"/>
                    </w:rPr>
                    <w:t>台</w:t>
                  </w:r>
                </w:p>
              </w:tc>
              <w:tc>
                <w:tcPr>
                  <w:tcW w:type="dxa" w:w="1094"/>
                  <w:tcBorders>
                    <w:top w:val="none" w:color="000000" w:sz="4"/>
                    <w:left w:val="single" w:color="000000" w:sz="4"/>
                    <w:bottom w:val="single" w:color="000000" w:sz="4"/>
                    <w:right w:val="single" w:color="000000" w:sz="4"/>
                  </w:tcBorders>
                  <w:vAlign w:val="top"/>
                </w:tcPr>
                <w:p>
                  <w:pPr>
                    <w:ind w:firstLine="420"/>
                    <w:jc w:val="center"/>
                  </w:pPr>
                  <w:r>
                    <w:rPr>
                      <w:sz w:val="21"/>
                    </w:rPr>
                    <w:t>1</w:t>
                  </w:r>
                </w:p>
              </w:tc>
            </w:tr>
            <w:tr>
              <w:tc>
                <w:tcPr>
                  <w:tcW w:type="dxa" w:w="813"/>
                  <w:tcBorders>
                    <w:top w:val="none" w:color="000000" w:sz="4"/>
                    <w:left w:val="single" w:color="000000" w:sz="4"/>
                    <w:bottom w:val="single" w:color="000000" w:sz="4"/>
                    <w:right w:val="single" w:color="000000" w:sz="4"/>
                  </w:tcBorders>
                  <w:vAlign w:val="top"/>
                </w:tcPr>
                <w:p>
                  <w:pPr>
                    <w:ind w:firstLine="170"/>
                    <w:jc w:val="center"/>
                  </w:pPr>
                  <w:r>
                    <w:rPr>
                      <w:sz w:val="21"/>
                    </w:rPr>
                    <w:t>8</w:t>
                  </w:r>
                </w:p>
              </w:tc>
              <w:tc>
                <w:tcPr>
                  <w:tcW w:type="dxa" w:w="2325"/>
                  <w:tcBorders>
                    <w:top w:val="none" w:color="000000" w:sz="4"/>
                    <w:left w:val="single" w:color="000000" w:sz="4"/>
                    <w:bottom w:val="single" w:color="000000" w:sz="4"/>
                    <w:right w:val="single" w:color="000000" w:sz="4"/>
                  </w:tcBorders>
                  <w:vAlign w:val="top"/>
                </w:tcPr>
                <w:p>
                  <w:pPr>
                    <w:ind w:firstLine="420"/>
                    <w:jc w:val="center"/>
                  </w:pPr>
                  <w:r>
                    <w:rPr>
                      <w:sz w:val="21"/>
                    </w:rPr>
                    <w:t>适配器</w:t>
                  </w:r>
                </w:p>
              </w:tc>
              <w:tc>
                <w:tcPr>
                  <w:tcW w:type="dxa" w:w="1365"/>
                  <w:tcBorders>
                    <w:top w:val="none" w:color="000000" w:sz="4"/>
                    <w:left w:val="single" w:color="000000" w:sz="4"/>
                    <w:bottom w:val="single" w:color="000000" w:sz="4"/>
                    <w:right w:val="single" w:color="000000" w:sz="4"/>
                  </w:tcBorders>
                  <w:vAlign w:val="top"/>
                </w:tcPr>
                <w:p>
                  <w:pPr>
                    <w:ind w:firstLine="420"/>
                    <w:jc w:val="center"/>
                  </w:pPr>
                  <w:r>
                    <w:rPr>
                      <w:sz w:val="21"/>
                    </w:rPr>
                    <w:t>个</w:t>
                  </w:r>
                </w:p>
              </w:tc>
              <w:tc>
                <w:tcPr>
                  <w:tcW w:type="dxa" w:w="1094"/>
                  <w:tcBorders>
                    <w:top w:val="none" w:color="000000" w:sz="4"/>
                    <w:left w:val="single" w:color="000000" w:sz="4"/>
                    <w:bottom w:val="single" w:color="000000" w:sz="4"/>
                    <w:right w:val="single" w:color="000000" w:sz="4"/>
                  </w:tcBorders>
                  <w:vAlign w:val="top"/>
                </w:tcPr>
                <w:p>
                  <w:pPr>
                    <w:ind w:firstLine="420"/>
                    <w:jc w:val="center"/>
                  </w:pPr>
                  <w:r>
                    <w:rPr>
                      <w:sz w:val="21"/>
                    </w:rPr>
                    <w:t>1</w:t>
                  </w:r>
                </w:p>
              </w:tc>
            </w:tr>
            <w:tr>
              <w:tc>
                <w:tcPr>
                  <w:tcW w:type="dxa" w:w="813"/>
                  <w:tcBorders>
                    <w:top w:val="none" w:color="000000" w:sz="4"/>
                    <w:left w:val="single" w:color="000000" w:sz="4"/>
                    <w:bottom w:val="single" w:color="000000" w:sz="4"/>
                    <w:right w:val="single" w:color="000000" w:sz="4"/>
                  </w:tcBorders>
                  <w:vAlign w:val="top"/>
                </w:tcPr>
                <w:p>
                  <w:pPr>
                    <w:ind w:firstLine="170"/>
                    <w:jc w:val="center"/>
                  </w:pPr>
                  <w:r>
                    <w:rPr>
                      <w:sz w:val="21"/>
                    </w:rPr>
                    <w:t>9</w:t>
                  </w:r>
                </w:p>
              </w:tc>
              <w:tc>
                <w:tcPr>
                  <w:tcW w:type="dxa" w:w="2325"/>
                  <w:tcBorders>
                    <w:top w:val="none" w:color="000000" w:sz="4"/>
                    <w:left w:val="single" w:color="000000" w:sz="4"/>
                    <w:bottom w:val="single" w:color="000000" w:sz="4"/>
                    <w:right w:val="single" w:color="000000" w:sz="4"/>
                  </w:tcBorders>
                  <w:vAlign w:val="top"/>
                </w:tcPr>
                <w:p>
                  <w:pPr>
                    <w:ind w:firstLine="420"/>
                    <w:jc w:val="center"/>
                  </w:pPr>
                  <w:r>
                    <w:rPr>
                      <w:sz w:val="21"/>
                    </w:rPr>
                    <w:t>气腹管</w:t>
                  </w:r>
                </w:p>
              </w:tc>
              <w:tc>
                <w:tcPr>
                  <w:tcW w:type="dxa" w:w="1365"/>
                  <w:tcBorders>
                    <w:top w:val="none" w:color="000000" w:sz="4"/>
                    <w:left w:val="single" w:color="000000" w:sz="4"/>
                    <w:bottom w:val="single" w:color="000000" w:sz="4"/>
                    <w:right w:val="single" w:color="000000" w:sz="4"/>
                  </w:tcBorders>
                  <w:vAlign w:val="top"/>
                </w:tcPr>
                <w:p>
                  <w:pPr>
                    <w:ind w:firstLine="420"/>
                    <w:jc w:val="center"/>
                  </w:pPr>
                  <w:r>
                    <w:rPr>
                      <w:sz w:val="21"/>
                    </w:rPr>
                    <w:t>条</w:t>
                  </w:r>
                </w:p>
              </w:tc>
              <w:tc>
                <w:tcPr>
                  <w:tcW w:type="dxa" w:w="1094"/>
                  <w:tcBorders>
                    <w:top w:val="none" w:color="000000" w:sz="4"/>
                    <w:left w:val="single" w:color="000000" w:sz="4"/>
                    <w:bottom w:val="single" w:color="000000" w:sz="4"/>
                    <w:right w:val="single" w:color="000000" w:sz="4"/>
                  </w:tcBorders>
                  <w:vAlign w:val="top"/>
                </w:tcPr>
                <w:p>
                  <w:pPr>
                    <w:ind w:firstLine="420"/>
                    <w:jc w:val="center"/>
                  </w:pPr>
                  <w:r>
                    <w:rPr>
                      <w:sz w:val="21"/>
                    </w:rPr>
                    <w:t>1</w:t>
                  </w:r>
                </w:p>
              </w:tc>
            </w:tr>
            <w:tr>
              <w:tc>
                <w:tcPr>
                  <w:tcW w:type="dxa" w:w="813"/>
                  <w:tcBorders>
                    <w:top w:val="none" w:color="000000" w:sz="4"/>
                    <w:left w:val="single" w:color="000000" w:sz="4"/>
                    <w:bottom w:val="single" w:color="000000" w:sz="4"/>
                    <w:right w:val="single" w:color="000000" w:sz="4"/>
                  </w:tcBorders>
                  <w:vAlign w:val="top"/>
                </w:tcPr>
                <w:p>
                  <w:pPr>
                    <w:ind w:firstLine="210"/>
                    <w:jc w:val="center"/>
                  </w:pPr>
                  <w:r>
                    <w:rPr>
                      <w:sz w:val="21"/>
                    </w:rPr>
                    <w:t>10</w:t>
                  </w:r>
                </w:p>
              </w:tc>
              <w:tc>
                <w:tcPr>
                  <w:tcW w:type="dxa" w:w="2325"/>
                  <w:tcBorders>
                    <w:top w:val="none" w:color="000000" w:sz="4"/>
                    <w:left w:val="single" w:color="000000" w:sz="4"/>
                    <w:bottom w:val="single" w:color="000000" w:sz="4"/>
                    <w:right w:val="single" w:color="000000" w:sz="4"/>
                  </w:tcBorders>
                  <w:vAlign w:val="top"/>
                </w:tcPr>
                <w:p>
                  <w:pPr>
                    <w:ind w:firstLine="420"/>
                    <w:jc w:val="center"/>
                  </w:pPr>
                  <w:r>
                    <w:rPr>
                      <w:sz w:val="21"/>
                    </w:rPr>
                    <w:t>监视器</w:t>
                  </w:r>
                </w:p>
              </w:tc>
              <w:tc>
                <w:tcPr>
                  <w:tcW w:type="dxa" w:w="1365"/>
                  <w:tcBorders>
                    <w:top w:val="none" w:color="000000" w:sz="4"/>
                    <w:left w:val="single" w:color="000000" w:sz="4"/>
                    <w:bottom w:val="single" w:color="000000" w:sz="4"/>
                    <w:right w:val="single" w:color="000000" w:sz="4"/>
                  </w:tcBorders>
                  <w:vAlign w:val="top"/>
                </w:tcPr>
                <w:p>
                  <w:pPr>
                    <w:ind w:firstLine="420"/>
                    <w:jc w:val="center"/>
                  </w:pPr>
                  <w:r>
                    <w:rPr>
                      <w:sz w:val="21"/>
                    </w:rPr>
                    <w:t>台</w:t>
                  </w:r>
                </w:p>
              </w:tc>
              <w:tc>
                <w:tcPr>
                  <w:tcW w:type="dxa" w:w="1094"/>
                  <w:tcBorders>
                    <w:top w:val="none" w:color="000000" w:sz="4"/>
                    <w:left w:val="single" w:color="000000" w:sz="4"/>
                    <w:bottom w:val="single" w:color="000000" w:sz="4"/>
                    <w:right w:val="single" w:color="000000" w:sz="4"/>
                  </w:tcBorders>
                  <w:vAlign w:val="top"/>
                </w:tcPr>
                <w:p>
                  <w:pPr>
                    <w:ind w:firstLine="420"/>
                    <w:jc w:val="center"/>
                  </w:pPr>
                  <w:r>
                    <w:rPr>
                      <w:sz w:val="21"/>
                    </w:rPr>
                    <w:t>1</w:t>
                  </w:r>
                </w:p>
              </w:tc>
            </w:tr>
            <w:tr>
              <w:tc>
                <w:tcPr>
                  <w:tcW w:type="dxa" w:w="813"/>
                  <w:tcBorders>
                    <w:top w:val="none" w:color="000000" w:sz="4"/>
                    <w:left w:val="single" w:color="000000" w:sz="4"/>
                    <w:bottom w:val="single" w:color="000000" w:sz="4"/>
                    <w:right w:val="single" w:color="000000" w:sz="4"/>
                  </w:tcBorders>
                  <w:vAlign w:val="top"/>
                </w:tcPr>
                <w:p>
                  <w:pPr>
                    <w:ind w:firstLine="210"/>
                    <w:jc w:val="center"/>
                  </w:pPr>
                  <w:r>
                    <w:rPr>
                      <w:sz w:val="21"/>
                    </w:rPr>
                    <w:t>11</w:t>
                  </w:r>
                </w:p>
              </w:tc>
              <w:tc>
                <w:tcPr>
                  <w:tcW w:type="dxa" w:w="2325"/>
                  <w:tcBorders>
                    <w:top w:val="none" w:color="000000" w:sz="4"/>
                    <w:left w:val="single" w:color="000000" w:sz="4"/>
                    <w:bottom w:val="single" w:color="000000" w:sz="4"/>
                    <w:right w:val="single" w:color="000000" w:sz="4"/>
                  </w:tcBorders>
                  <w:vAlign w:val="top"/>
                </w:tcPr>
                <w:p>
                  <w:pPr>
                    <w:ind w:firstLine="420"/>
                    <w:jc w:val="center"/>
                  </w:pPr>
                  <w:r>
                    <w:rPr>
                      <w:sz w:val="21"/>
                    </w:rPr>
                    <w:t>工作站</w:t>
                  </w:r>
                </w:p>
              </w:tc>
              <w:tc>
                <w:tcPr>
                  <w:tcW w:type="dxa" w:w="1365"/>
                  <w:tcBorders>
                    <w:top w:val="none" w:color="000000" w:sz="4"/>
                    <w:left w:val="single" w:color="000000" w:sz="4"/>
                    <w:bottom w:val="single" w:color="000000" w:sz="4"/>
                    <w:right w:val="single" w:color="000000" w:sz="4"/>
                  </w:tcBorders>
                  <w:vAlign w:val="top"/>
                </w:tcPr>
                <w:p>
                  <w:pPr>
                    <w:ind w:firstLine="420"/>
                    <w:jc w:val="center"/>
                  </w:pPr>
                  <w:r>
                    <w:rPr>
                      <w:sz w:val="21"/>
                    </w:rPr>
                    <w:t>套</w:t>
                  </w:r>
                </w:p>
              </w:tc>
              <w:tc>
                <w:tcPr>
                  <w:tcW w:type="dxa" w:w="1094"/>
                  <w:tcBorders>
                    <w:top w:val="none" w:color="000000" w:sz="4"/>
                    <w:left w:val="single" w:color="000000" w:sz="4"/>
                    <w:bottom w:val="single" w:color="000000" w:sz="4"/>
                    <w:right w:val="single" w:color="000000" w:sz="4"/>
                  </w:tcBorders>
                  <w:vAlign w:val="top"/>
                </w:tcPr>
                <w:p>
                  <w:pPr>
                    <w:ind w:firstLine="420"/>
                    <w:jc w:val="center"/>
                  </w:pPr>
                  <w:r>
                    <w:rPr>
                      <w:sz w:val="21"/>
                    </w:rPr>
                    <w:t>1</w:t>
                  </w:r>
                </w:p>
              </w:tc>
            </w:tr>
            <w:tr>
              <w:tc>
                <w:tcPr>
                  <w:tcW w:type="dxa" w:w="813"/>
                  <w:tcBorders>
                    <w:top w:val="none" w:color="000000" w:sz="4"/>
                    <w:left w:val="single" w:color="000000" w:sz="4"/>
                    <w:bottom w:val="single" w:color="000000" w:sz="4"/>
                    <w:right w:val="single" w:color="000000" w:sz="4"/>
                  </w:tcBorders>
                  <w:vAlign w:val="top"/>
                </w:tcPr>
                <w:p>
                  <w:pPr>
                    <w:ind w:firstLine="210"/>
                    <w:jc w:val="center"/>
                  </w:pPr>
                  <w:r>
                    <w:rPr>
                      <w:sz w:val="21"/>
                    </w:rPr>
                    <w:t>12</w:t>
                  </w:r>
                </w:p>
              </w:tc>
              <w:tc>
                <w:tcPr>
                  <w:tcW w:type="dxa" w:w="2325"/>
                  <w:tcBorders>
                    <w:top w:val="none" w:color="000000" w:sz="4"/>
                    <w:left w:val="single" w:color="000000" w:sz="4"/>
                    <w:bottom w:val="single" w:color="000000" w:sz="4"/>
                    <w:right w:val="single" w:color="000000" w:sz="4"/>
                  </w:tcBorders>
                  <w:vAlign w:val="top"/>
                </w:tcPr>
                <w:p>
                  <w:pPr>
                    <w:ind w:firstLine="420"/>
                    <w:jc w:val="center"/>
                  </w:pPr>
                  <w:r>
                    <w:rPr>
                      <w:sz w:val="21"/>
                    </w:rPr>
                    <w:t>消毒盒</w:t>
                  </w:r>
                </w:p>
              </w:tc>
              <w:tc>
                <w:tcPr>
                  <w:tcW w:type="dxa" w:w="1365"/>
                  <w:tcBorders>
                    <w:top w:val="none" w:color="000000" w:sz="4"/>
                    <w:left w:val="single" w:color="000000" w:sz="4"/>
                    <w:bottom w:val="single" w:color="000000" w:sz="4"/>
                    <w:right w:val="single" w:color="000000" w:sz="4"/>
                  </w:tcBorders>
                  <w:vAlign w:val="top"/>
                </w:tcPr>
                <w:p>
                  <w:pPr>
                    <w:ind w:firstLine="420"/>
                    <w:jc w:val="center"/>
                  </w:pPr>
                  <w:r>
                    <w:rPr>
                      <w:sz w:val="21"/>
                    </w:rPr>
                    <w:t>个</w:t>
                  </w:r>
                </w:p>
              </w:tc>
              <w:tc>
                <w:tcPr>
                  <w:tcW w:type="dxa" w:w="1094"/>
                  <w:tcBorders>
                    <w:top w:val="none" w:color="000000" w:sz="4"/>
                    <w:left w:val="single" w:color="000000" w:sz="4"/>
                    <w:bottom w:val="single" w:color="000000" w:sz="4"/>
                    <w:right w:val="single" w:color="000000" w:sz="4"/>
                  </w:tcBorders>
                  <w:vAlign w:val="top"/>
                </w:tcPr>
                <w:p>
                  <w:pPr>
                    <w:ind w:firstLine="420"/>
                    <w:jc w:val="center"/>
                  </w:pPr>
                  <w:r>
                    <w:rPr>
                      <w:sz w:val="21"/>
                    </w:rPr>
                    <w:t>2</w:t>
                  </w:r>
                </w:p>
              </w:tc>
            </w:tr>
            <w:tr>
              <w:tc>
                <w:tcPr>
                  <w:tcW w:type="dxa" w:w="813"/>
                  <w:tcBorders>
                    <w:top w:val="none" w:color="000000" w:sz="4"/>
                    <w:left w:val="single" w:color="000000" w:sz="4"/>
                    <w:bottom w:val="single" w:color="000000" w:sz="4"/>
                    <w:right w:val="single" w:color="000000" w:sz="4"/>
                  </w:tcBorders>
                  <w:vAlign w:val="top"/>
                </w:tcPr>
                <w:p>
                  <w:pPr>
                    <w:ind w:firstLine="210"/>
                    <w:jc w:val="center"/>
                  </w:pPr>
                  <w:r>
                    <w:rPr>
                      <w:sz w:val="21"/>
                    </w:rPr>
                    <w:t>13</w:t>
                  </w:r>
                </w:p>
              </w:tc>
              <w:tc>
                <w:tcPr>
                  <w:tcW w:type="dxa" w:w="2325"/>
                  <w:tcBorders>
                    <w:top w:val="none" w:color="000000" w:sz="4"/>
                    <w:left w:val="single" w:color="000000" w:sz="4"/>
                    <w:bottom w:val="single" w:color="000000" w:sz="4"/>
                    <w:right w:val="single" w:color="000000" w:sz="4"/>
                  </w:tcBorders>
                  <w:vAlign w:val="top"/>
                </w:tcPr>
                <w:p>
                  <w:pPr>
                    <w:ind w:firstLine="420"/>
                    <w:jc w:val="center"/>
                  </w:pPr>
                  <w:r>
                    <w:rPr>
                      <w:sz w:val="21"/>
                    </w:rPr>
                    <w:t>台车</w:t>
                  </w:r>
                </w:p>
              </w:tc>
              <w:tc>
                <w:tcPr>
                  <w:tcW w:type="dxa" w:w="1365"/>
                  <w:tcBorders>
                    <w:top w:val="none" w:color="000000" w:sz="4"/>
                    <w:left w:val="single" w:color="000000" w:sz="4"/>
                    <w:bottom w:val="single" w:color="000000" w:sz="4"/>
                    <w:right w:val="single" w:color="000000" w:sz="4"/>
                  </w:tcBorders>
                  <w:vAlign w:val="top"/>
                </w:tcPr>
                <w:p>
                  <w:pPr>
                    <w:ind w:firstLine="420"/>
                    <w:jc w:val="center"/>
                  </w:pPr>
                  <w:r>
                    <w:rPr>
                      <w:sz w:val="21"/>
                    </w:rPr>
                    <w:t>台</w:t>
                  </w:r>
                </w:p>
              </w:tc>
              <w:tc>
                <w:tcPr>
                  <w:tcW w:type="dxa" w:w="1094"/>
                  <w:tcBorders>
                    <w:top w:val="none" w:color="000000" w:sz="4"/>
                    <w:left w:val="single" w:color="000000" w:sz="4"/>
                    <w:bottom w:val="single" w:color="000000" w:sz="4"/>
                    <w:right w:val="single" w:color="000000" w:sz="4"/>
                  </w:tcBorders>
                  <w:vAlign w:val="top"/>
                </w:tcPr>
                <w:p>
                  <w:pPr>
                    <w:ind w:firstLine="420"/>
                    <w:jc w:val="center"/>
                  </w:pPr>
                  <w:r>
                    <w:rPr>
                      <w:sz w:val="21"/>
                    </w:rPr>
                    <w:t>1</w:t>
                  </w: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腔镜镜头</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b/>
                <w:sz w:val="21"/>
              </w:rPr>
              <w:t>设备主要规格、技术要求</w:t>
            </w:r>
            <w:r>
              <w:rPr>
                <w:b/>
                <w:color w:val="000000"/>
                <w:sz w:val="21"/>
              </w:rPr>
              <w:t>：</w:t>
            </w:r>
          </w:p>
          <w:p>
            <w:pPr>
              <w:ind w:firstLine="420"/>
              <w:jc w:val="both"/>
            </w:pPr>
            <w:r>
              <w:rPr>
                <w:sz w:val="21"/>
              </w:rPr>
              <w:t>1、直径两种，其中一种10mm，另一种5mm，工作长度≥320mm，视向角30度。</w:t>
            </w:r>
          </w:p>
          <w:p>
            <w:pPr>
              <w:ind w:firstLine="420"/>
              <w:jc w:val="both"/>
            </w:pPr>
            <w:r>
              <w:rPr>
                <w:sz w:val="21"/>
              </w:rPr>
              <w:t>2、视场角≥75度，有效景深范围30—200mm。</w:t>
            </w:r>
          </w:p>
          <w:p>
            <w:pPr>
              <w:ind w:firstLine="420"/>
              <w:jc w:val="both"/>
            </w:pPr>
            <w:r>
              <w:rPr>
                <w:sz w:val="21"/>
              </w:rPr>
              <w:t>3、可高温高压消毒。</w:t>
            </w:r>
          </w:p>
          <w:p>
            <w:pPr>
              <w:jc w:val="both"/>
            </w:pPr>
            <w:r>
              <w:rPr>
                <w:b/>
                <w:sz w:val="21"/>
              </w:rPr>
              <w:t>（二）主要配置要求：</w:t>
            </w:r>
          </w:p>
          <w:p>
            <w:pPr>
              <w:jc w:val="both"/>
            </w:pPr>
          </w:p>
          <w:tbl>
            <w:tblPr>
              <w:tblInd w:type="dxa" w:w="120"/>
              <w:tblBorders>
                <w:top w:val="none" w:color="000000" w:sz="4"/>
                <w:left w:val="none" w:color="000000" w:sz="4"/>
                <w:bottom w:val="none" w:color="000000" w:sz="4"/>
                <w:right w:val="none" w:color="000000" w:sz="4"/>
                <w:insideH w:val="none"/>
                <w:insideV w:val="none"/>
              </w:tblBorders>
            </w:tblPr>
            <w:tblGrid>
              <w:gridCol w:w="813"/>
              <w:gridCol w:w="2325"/>
              <w:gridCol w:w="1365"/>
              <w:gridCol w:w="1094"/>
            </w:tblGrid>
            <w:tr>
              <w:tc>
                <w:tcPr>
                  <w:tcW w:type="dxa" w:w="5597"/>
                  <w:gridSpan w:val="4"/>
                  <w:tcBorders>
                    <w:top w:val="single" w:color="000000" w:sz="4"/>
                    <w:left w:val="single" w:color="000000" w:sz="4"/>
                    <w:bottom w:val="single" w:color="000000" w:sz="4"/>
                    <w:right w:val="single" w:color="000000" w:sz="4"/>
                  </w:tcBorders>
                  <w:vAlign w:val="top"/>
                </w:tcPr>
                <w:p>
                  <w:pPr>
                    <w:jc w:val="center"/>
                  </w:pPr>
                  <w:r>
                    <w:rPr>
                      <w:b/>
                      <w:sz w:val="21"/>
                    </w:rPr>
                    <w:t>腹腔镜头</w:t>
                  </w:r>
                </w:p>
              </w:tc>
            </w:tr>
            <w:tr>
              <w:tc>
                <w:tcPr>
                  <w:tcW w:type="dxa" w:w="813"/>
                  <w:tcBorders>
                    <w:top w:val="none" w:color="000000" w:sz="4"/>
                    <w:left w:val="single" w:color="000000" w:sz="4"/>
                    <w:bottom w:val="single" w:color="000000" w:sz="4"/>
                    <w:right w:val="single" w:color="000000" w:sz="4"/>
                  </w:tcBorders>
                  <w:vAlign w:val="top"/>
                </w:tcPr>
                <w:p>
                  <w:pPr>
                    <w:ind w:firstLine="170"/>
                    <w:jc w:val="left"/>
                  </w:pPr>
                  <w:r>
                    <w:rPr>
                      <w:sz w:val="21"/>
                    </w:rPr>
                    <w:t>1</w:t>
                  </w:r>
                </w:p>
              </w:tc>
              <w:tc>
                <w:tcPr>
                  <w:tcW w:type="dxa" w:w="2325"/>
                  <w:tcBorders>
                    <w:top w:val="single" w:color="000000" w:sz="4"/>
                    <w:left w:val="single" w:color="000000" w:sz="4"/>
                    <w:bottom w:val="single" w:color="000000" w:sz="4"/>
                    <w:right w:val="single" w:color="000000" w:sz="4"/>
                  </w:tcBorders>
                  <w:vAlign w:val="top"/>
                </w:tcPr>
                <w:p>
                  <w:pPr>
                    <w:jc w:val="left"/>
                  </w:pPr>
                  <w:r>
                    <w:rPr>
                      <w:sz w:val="21"/>
                    </w:rPr>
                    <w:t>腹腔镜（直径</w:t>
                  </w:r>
                  <w:r>
                    <w:rPr>
                      <w:sz w:val="21"/>
                    </w:rPr>
                    <w:t>10mm3条、5mm2条）</w:t>
                  </w:r>
                </w:p>
              </w:tc>
              <w:tc>
                <w:tcPr>
                  <w:tcW w:type="dxa" w:w="1365"/>
                  <w:tcBorders>
                    <w:top w:val="single" w:color="000000" w:sz="4"/>
                    <w:left w:val="single" w:color="000000" w:sz="4"/>
                    <w:bottom w:val="single" w:color="000000" w:sz="4"/>
                    <w:right w:val="single" w:color="000000" w:sz="4"/>
                  </w:tcBorders>
                  <w:vAlign w:val="top"/>
                </w:tcPr>
                <w:p>
                  <w:pPr>
                    <w:ind w:firstLine="420"/>
                    <w:jc w:val="left"/>
                  </w:pPr>
                  <w:r>
                    <w:rPr>
                      <w:sz w:val="21"/>
                    </w:rPr>
                    <w:t>条</w:t>
                  </w:r>
                </w:p>
              </w:tc>
              <w:tc>
                <w:tcPr>
                  <w:tcW w:type="dxa" w:w="1094"/>
                  <w:tcBorders>
                    <w:top w:val="single" w:color="000000" w:sz="4"/>
                    <w:left w:val="single" w:color="000000" w:sz="4"/>
                    <w:bottom w:val="single" w:color="000000" w:sz="4"/>
                    <w:right w:val="single" w:color="000000" w:sz="4"/>
                  </w:tcBorders>
                  <w:vAlign w:val="top"/>
                </w:tcPr>
                <w:p>
                  <w:pPr>
                    <w:ind w:firstLine="420"/>
                    <w:jc w:val="left"/>
                  </w:pPr>
                  <w:r>
                    <w:rPr>
                      <w:sz w:val="21"/>
                    </w:rPr>
                    <w:t>5</w:t>
                  </w:r>
                </w:p>
              </w:tc>
            </w:tr>
            <w:tr>
              <w:tc>
                <w:tcPr>
                  <w:tcW w:type="dxa" w:w="813"/>
                  <w:tcBorders>
                    <w:top w:val="none" w:color="000000" w:sz="4"/>
                    <w:left w:val="single" w:color="000000" w:sz="4"/>
                    <w:bottom w:val="single" w:color="000000" w:sz="4"/>
                    <w:right w:val="single" w:color="000000" w:sz="4"/>
                  </w:tcBorders>
                  <w:vAlign w:val="top"/>
                </w:tcPr>
                <w:p>
                  <w:pPr>
                    <w:ind w:firstLine="170"/>
                    <w:jc w:val="left"/>
                  </w:pPr>
                  <w:r>
                    <w:rPr>
                      <w:sz w:val="21"/>
                    </w:rPr>
                    <w:t>2</w:t>
                  </w:r>
                </w:p>
              </w:tc>
              <w:tc>
                <w:tcPr>
                  <w:tcW w:type="dxa" w:w="2325"/>
                  <w:tcBorders>
                    <w:top w:val="none" w:color="000000" w:sz="4"/>
                    <w:left w:val="single" w:color="000000" w:sz="4"/>
                    <w:bottom w:val="single" w:color="000000" w:sz="4"/>
                    <w:right w:val="single" w:color="000000" w:sz="4"/>
                  </w:tcBorders>
                  <w:vAlign w:val="top"/>
                </w:tcPr>
                <w:p>
                  <w:pPr>
                    <w:ind w:firstLine="420"/>
                    <w:jc w:val="left"/>
                  </w:pPr>
                  <w:r>
                    <w:rPr>
                      <w:sz w:val="21"/>
                    </w:rPr>
                    <w:t>消毒盒</w:t>
                  </w:r>
                </w:p>
              </w:tc>
              <w:tc>
                <w:tcPr>
                  <w:tcW w:type="dxa" w:w="1365"/>
                  <w:tcBorders>
                    <w:top w:val="none" w:color="000000" w:sz="4"/>
                    <w:left w:val="single" w:color="000000" w:sz="4"/>
                    <w:bottom w:val="single" w:color="000000" w:sz="4"/>
                    <w:right w:val="single" w:color="000000" w:sz="4"/>
                  </w:tcBorders>
                  <w:vAlign w:val="top"/>
                </w:tcPr>
                <w:p>
                  <w:pPr>
                    <w:ind w:firstLine="420"/>
                    <w:jc w:val="left"/>
                  </w:pPr>
                  <w:r>
                    <w:rPr>
                      <w:sz w:val="21"/>
                    </w:rPr>
                    <w:t>个</w:t>
                  </w:r>
                </w:p>
              </w:tc>
              <w:tc>
                <w:tcPr>
                  <w:tcW w:type="dxa" w:w="1094"/>
                  <w:tcBorders>
                    <w:top w:val="none" w:color="000000" w:sz="4"/>
                    <w:left w:val="single" w:color="000000" w:sz="4"/>
                    <w:bottom w:val="single" w:color="000000" w:sz="4"/>
                    <w:right w:val="single" w:color="000000" w:sz="4"/>
                  </w:tcBorders>
                  <w:vAlign w:val="top"/>
                </w:tcPr>
                <w:p>
                  <w:pPr>
                    <w:ind w:firstLine="420"/>
                    <w:jc w:val="left"/>
                  </w:pPr>
                  <w:r>
                    <w:rPr>
                      <w:sz w:val="21"/>
                    </w:rPr>
                    <w:t>5</w:t>
                  </w: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关节镜、镜鞘</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（一）</w:t>
            </w:r>
            <w:r>
              <w:rPr>
                <w:b/>
                <w:sz w:val="21"/>
              </w:rPr>
              <w:t>设备主要规格、技术要求</w:t>
            </w:r>
            <w:r>
              <w:rPr>
                <w:b/>
                <w:color w:val="000000"/>
                <w:sz w:val="21"/>
              </w:rPr>
              <w:t>：</w:t>
            </w:r>
          </w:p>
          <w:p>
            <w:pPr>
              <w:ind w:firstLine="420"/>
              <w:jc w:val="both"/>
            </w:pPr>
            <w:r>
              <w:rPr>
                <w:sz w:val="21"/>
              </w:rPr>
              <w:t>1、有效景深范围约3-100mm。</w:t>
            </w:r>
          </w:p>
          <w:p>
            <w:pPr>
              <w:ind w:firstLine="420"/>
              <w:jc w:val="both"/>
            </w:pPr>
            <w:r>
              <w:rPr>
                <w:sz w:val="21"/>
              </w:rPr>
              <w:t>2、内窥镜直径约4mm。</w:t>
            </w:r>
          </w:p>
          <w:p>
            <w:pPr>
              <w:ind w:firstLine="420"/>
              <w:jc w:val="both"/>
            </w:pPr>
            <w:r>
              <w:rPr>
                <w:sz w:val="21"/>
              </w:rPr>
              <w:t>3、视向角度30°。</w:t>
            </w:r>
          </w:p>
          <w:p>
            <w:pPr>
              <w:ind w:firstLine="420"/>
              <w:jc w:val="both"/>
            </w:pPr>
            <w:r>
              <w:rPr>
                <w:sz w:val="21"/>
              </w:rPr>
              <w:t>4、视野角度≥105°（广角）。</w:t>
            </w:r>
          </w:p>
          <w:p>
            <w:pPr>
              <w:ind w:firstLine="420"/>
              <w:jc w:val="both"/>
            </w:pPr>
            <w:r>
              <w:rPr>
                <w:sz w:val="21"/>
              </w:rPr>
              <w:t>5、有效工作长度约140mm-175mm。</w:t>
            </w:r>
          </w:p>
          <w:p>
            <w:pPr>
              <w:ind w:firstLine="420"/>
              <w:jc w:val="both"/>
            </w:pPr>
            <w:r>
              <w:rPr>
                <w:sz w:val="21"/>
              </w:rPr>
              <w:t>6、可高温高压消毒。</w:t>
            </w:r>
          </w:p>
          <w:p>
            <w:pPr>
              <w:ind w:firstLine="420"/>
              <w:jc w:val="both"/>
            </w:pPr>
            <w:r>
              <w:rPr>
                <w:sz w:val="21"/>
              </w:rPr>
              <w:t>7、关节镜套管:配套使用的套管，带2个旋转阀门；穿刺锥，配合套管使用；闭孔器，配合套管使用。</w:t>
            </w:r>
          </w:p>
          <w:p>
            <w:pPr>
              <w:ind w:firstLine="420"/>
              <w:jc w:val="both"/>
            </w:pPr>
            <w:r>
              <w:rPr>
                <w:sz w:val="21"/>
              </w:rPr>
              <w:t>8、采用符合国家标准的不锈钢。</w:t>
            </w:r>
          </w:p>
          <w:p>
            <w:pPr>
              <w:jc w:val="both"/>
            </w:pPr>
            <w:r>
              <w:rPr>
                <w:b/>
                <w:sz w:val="21"/>
              </w:rPr>
              <w:t>（二）主要配置要求：</w:t>
            </w:r>
          </w:p>
          <w:p>
            <w:pPr>
              <w:jc w:val="both"/>
            </w:pPr>
          </w:p>
          <w:tbl>
            <w:tblPr>
              <w:tblInd w:type="dxa" w:w="120"/>
              <w:tblBorders>
                <w:top w:val="none" w:color="000000" w:sz="4"/>
                <w:left w:val="none" w:color="000000" w:sz="4"/>
                <w:bottom w:val="none" w:color="000000" w:sz="4"/>
                <w:right w:val="none" w:color="000000" w:sz="4"/>
                <w:insideH w:val="none"/>
                <w:insideV w:val="none"/>
              </w:tblBorders>
            </w:tblPr>
            <w:tblGrid>
              <w:gridCol w:w="813"/>
              <w:gridCol w:w="2325"/>
              <w:gridCol w:w="1365"/>
              <w:gridCol w:w="1094"/>
            </w:tblGrid>
            <w:tr>
              <w:tc>
                <w:tcPr>
                  <w:tcW w:type="dxa" w:w="5597"/>
                  <w:gridSpan w:val="4"/>
                  <w:tcBorders>
                    <w:top w:val="single" w:color="000000" w:sz="4"/>
                    <w:left w:val="single" w:color="000000" w:sz="4"/>
                    <w:bottom w:val="single" w:color="000000" w:sz="4"/>
                    <w:right w:val="single" w:color="000000" w:sz="4"/>
                  </w:tcBorders>
                  <w:vAlign w:val="top"/>
                </w:tcPr>
                <w:p>
                  <w:pPr>
                    <w:jc w:val="center"/>
                  </w:pPr>
                  <w:r>
                    <w:rPr>
                      <w:b/>
                      <w:sz w:val="21"/>
                    </w:rPr>
                    <w:t>关节镜、镜鞘</w:t>
                  </w:r>
                </w:p>
              </w:tc>
            </w:tr>
            <w:tr>
              <w:tc>
                <w:tcPr>
                  <w:tcW w:type="dxa" w:w="813"/>
                  <w:tcBorders>
                    <w:top w:val="none" w:color="000000" w:sz="4"/>
                    <w:left w:val="single" w:color="000000" w:sz="4"/>
                    <w:bottom w:val="single" w:color="000000" w:sz="4"/>
                    <w:right w:val="single" w:color="000000" w:sz="4"/>
                  </w:tcBorders>
                  <w:vAlign w:val="top"/>
                </w:tcPr>
                <w:p>
                  <w:pPr>
                    <w:ind w:firstLine="170"/>
                    <w:jc w:val="left"/>
                  </w:pPr>
                  <w:r>
                    <w:rPr>
                      <w:sz w:val="21"/>
                    </w:rPr>
                    <w:t>1</w:t>
                  </w:r>
                </w:p>
              </w:tc>
              <w:tc>
                <w:tcPr>
                  <w:tcW w:type="dxa" w:w="2325"/>
                  <w:tcBorders>
                    <w:top w:val="single" w:color="000000" w:sz="4"/>
                    <w:left w:val="single" w:color="000000" w:sz="4"/>
                    <w:bottom w:val="single" w:color="000000" w:sz="4"/>
                    <w:right w:val="single" w:color="000000" w:sz="4"/>
                  </w:tcBorders>
                  <w:vAlign w:val="top"/>
                </w:tcPr>
                <w:p>
                  <w:pPr>
                    <w:ind w:firstLine="420"/>
                    <w:jc w:val="left"/>
                  </w:pPr>
                  <w:r>
                    <w:rPr>
                      <w:sz w:val="21"/>
                    </w:rPr>
                    <w:t>关节镜</w:t>
                  </w:r>
                </w:p>
              </w:tc>
              <w:tc>
                <w:tcPr>
                  <w:tcW w:type="dxa" w:w="1365"/>
                  <w:tcBorders>
                    <w:top w:val="single" w:color="000000" w:sz="4"/>
                    <w:left w:val="single" w:color="000000" w:sz="4"/>
                    <w:bottom w:val="single" w:color="000000" w:sz="4"/>
                    <w:right w:val="single" w:color="000000" w:sz="4"/>
                  </w:tcBorders>
                  <w:vAlign w:val="top"/>
                </w:tcPr>
                <w:p>
                  <w:pPr>
                    <w:ind w:firstLine="420"/>
                    <w:jc w:val="left"/>
                  </w:pPr>
                  <w:r>
                    <w:rPr>
                      <w:sz w:val="21"/>
                    </w:rPr>
                    <w:t>条</w:t>
                  </w:r>
                </w:p>
              </w:tc>
              <w:tc>
                <w:tcPr>
                  <w:tcW w:type="dxa" w:w="1094"/>
                  <w:tcBorders>
                    <w:top w:val="single" w:color="000000" w:sz="4"/>
                    <w:left w:val="single" w:color="000000" w:sz="4"/>
                    <w:bottom w:val="single" w:color="000000" w:sz="4"/>
                    <w:right w:val="single" w:color="000000" w:sz="4"/>
                  </w:tcBorders>
                  <w:vAlign w:val="top"/>
                </w:tcPr>
                <w:p>
                  <w:pPr>
                    <w:ind w:firstLine="420"/>
                    <w:jc w:val="left"/>
                  </w:pPr>
                  <w:r>
                    <w:rPr>
                      <w:sz w:val="21"/>
                    </w:rPr>
                    <w:t>3</w:t>
                  </w:r>
                </w:p>
              </w:tc>
            </w:tr>
            <w:tr>
              <w:tc>
                <w:tcPr>
                  <w:tcW w:type="dxa" w:w="813"/>
                  <w:tcBorders>
                    <w:top w:val="none" w:color="000000" w:sz="4"/>
                    <w:left w:val="single" w:color="000000" w:sz="4"/>
                    <w:bottom w:val="single" w:color="000000" w:sz="4"/>
                    <w:right w:val="single" w:color="000000" w:sz="4"/>
                  </w:tcBorders>
                  <w:vAlign w:val="top"/>
                </w:tcPr>
                <w:p>
                  <w:pPr>
                    <w:ind w:firstLine="170"/>
                    <w:jc w:val="left"/>
                  </w:pPr>
                  <w:r>
                    <w:rPr>
                      <w:sz w:val="21"/>
                    </w:rPr>
                    <w:t>2</w:t>
                  </w:r>
                </w:p>
              </w:tc>
              <w:tc>
                <w:tcPr>
                  <w:tcW w:type="dxa" w:w="2325"/>
                  <w:tcBorders>
                    <w:top w:val="none" w:color="000000" w:sz="4"/>
                    <w:left w:val="single" w:color="000000" w:sz="4"/>
                    <w:bottom w:val="single" w:color="000000" w:sz="4"/>
                    <w:right w:val="single" w:color="000000" w:sz="4"/>
                  </w:tcBorders>
                  <w:vAlign w:val="top"/>
                </w:tcPr>
                <w:p>
                  <w:pPr>
                    <w:jc w:val="left"/>
                  </w:pPr>
                  <w:r>
                    <w:rPr>
                      <w:sz w:val="21"/>
                    </w:rPr>
                    <w:t>套管（带</w:t>
                  </w:r>
                  <w:r>
                    <w:rPr>
                      <w:sz w:val="21"/>
                    </w:rPr>
                    <w:t>2个旋转阀门）</w:t>
                  </w:r>
                </w:p>
              </w:tc>
              <w:tc>
                <w:tcPr>
                  <w:tcW w:type="dxa" w:w="1365"/>
                  <w:tcBorders>
                    <w:top w:val="none" w:color="000000" w:sz="4"/>
                    <w:left w:val="single" w:color="000000" w:sz="4"/>
                    <w:bottom w:val="single" w:color="000000" w:sz="4"/>
                    <w:right w:val="single" w:color="000000" w:sz="4"/>
                  </w:tcBorders>
                  <w:vAlign w:val="top"/>
                </w:tcPr>
                <w:p>
                  <w:pPr>
                    <w:ind w:firstLine="420"/>
                    <w:jc w:val="left"/>
                  </w:pPr>
                  <w:r>
                    <w:rPr>
                      <w:sz w:val="21"/>
                    </w:rPr>
                    <w:t>个</w:t>
                  </w:r>
                </w:p>
              </w:tc>
              <w:tc>
                <w:tcPr>
                  <w:tcW w:type="dxa" w:w="1094"/>
                  <w:tcBorders>
                    <w:top w:val="none" w:color="000000" w:sz="4"/>
                    <w:left w:val="single" w:color="000000" w:sz="4"/>
                    <w:bottom w:val="single" w:color="000000" w:sz="4"/>
                    <w:right w:val="single" w:color="000000" w:sz="4"/>
                  </w:tcBorders>
                  <w:vAlign w:val="top"/>
                </w:tcPr>
                <w:p>
                  <w:pPr>
                    <w:ind w:firstLine="420"/>
                    <w:jc w:val="left"/>
                  </w:pPr>
                  <w:r>
                    <w:rPr>
                      <w:sz w:val="21"/>
                    </w:rPr>
                    <w:t>3</w:t>
                  </w:r>
                </w:p>
              </w:tc>
            </w:tr>
            <w:tr>
              <w:tc>
                <w:tcPr>
                  <w:tcW w:type="dxa" w:w="813"/>
                  <w:tcBorders>
                    <w:top w:val="none" w:color="000000" w:sz="4"/>
                    <w:left w:val="single" w:color="000000" w:sz="4"/>
                    <w:bottom w:val="single" w:color="000000" w:sz="4"/>
                    <w:right w:val="single" w:color="000000" w:sz="4"/>
                  </w:tcBorders>
                  <w:vAlign w:val="top"/>
                </w:tcPr>
                <w:p>
                  <w:pPr>
                    <w:ind w:firstLine="170"/>
                    <w:jc w:val="left"/>
                  </w:pPr>
                  <w:r>
                    <w:rPr>
                      <w:sz w:val="21"/>
                    </w:rPr>
                    <w:t>3</w:t>
                  </w:r>
                </w:p>
              </w:tc>
              <w:tc>
                <w:tcPr>
                  <w:tcW w:type="dxa" w:w="2325"/>
                  <w:tcBorders>
                    <w:top w:val="none" w:color="000000" w:sz="4"/>
                    <w:left w:val="single" w:color="000000" w:sz="4"/>
                    <w:bottom w:val="single" w:color="000000" w:sz="4"/>
                    <w:right w:val="single" w:color="000000" w:sz="4"/>
                  </w:tcBorders>
                  <w:vAlign w:val="top"/>
                </w:tcPr>
                <w:p>
                  <w:pPr>
                    <w:ind w:firstLine="420"/>
                    <w:jc w:val="left"/>
                  </w:pPr>
                  <w:r>
                    <w:rPr>
                      <w:sz w:val="21"/>
                    </w:rPr>
                    <w:t>闭孔器</w:t>
                  </w:r>
                </w:p>
              </w:tc>
              <w:tc>
                <w:tcPr>
                  <w:tcW w:type="dxa" w:w="1365"/>
                  <w:tcBorders>
                    <w:top w:val="none" w:color="000000" w:sz="4"/>
                    <w:left w:val="single" w:color="000000" w:sz="4"/>
                    <w:bottom w:val="single" w:color="000000" w:sz="4"/>
                    <w:right w:val="single" w:color="000000" w:sz="4"/>
                  </w:tcBorders>
                  <w:vAlign w:val="top"/>
                </w:tcPr>
                <w:p>
                  <w:pPr>
                    <w:ind w:firstLine="420"/>
                    <w:jc w:val="left"/>
                  </w:pPr>
                  <w:r>
                    <w:rPr>
                      <w:sz w:val="21"/>
                    </w:rPr>
                    <w:t>个</w:t>
                  </w:r>
                </w:p>
              </w:tc>
              <w:tc>
                <w:tcPr>
                  <w:tcW w:type="dxa" w:w="1094"/>
                  <w:tcBorders>
                    <w:top w:val="none" w:color="000000" w:sz="4"/>
                    <w:left w:val="single" w:color="000000" w:sz="4"/>
                    <w:bottom w:val="single" w:color="000000" w:sz="4"/>
                    <w:right w:val="single" w:color="000000" w:sz="4"/>
                  </w:tcBorders>
                  <w:vAlign w:val="top"/>
                </w:tcPr>
                <w:p>
                  <w:pPr>
                    <w:ind w:firstLine="420"/>
                    <w:jc w:val="left"/>
                  </w:pPr>
                  <w:r>
                    <w:rPr>
                      <w:sz w:val="21"/>
                    </w:rPr>
                    <w:t>3</w:t>
                  </w:r>
                </w:p>
              </w:tc>
            </w:tr>
            <w:tr>
              <w:tc>
                <w:tcPr>
                  <w:tcW w:type="dxa" w:w="813"/>
                  <w:tcBorders>
                    <w:top w:val="none" w:color="000000" w:sz="4"/>
                    <w:left w:val="single" w:color="000000" w:sz="4"/>
                    <w:bottom w:val="single" w:color="000000" w:sz="4"/>
                    <w:right w:val="single" w:color="000000" w:sz="4"/>
                  </w:tcBorders>
                  <w:vAlign w:val="top"/>
                </w:tcPr>
                <w:p>
                  <w:pPr>
                    <w:ind w:firstLine="170"/>
                    <w:jc w:val="left"/>
                  </w:pPr>
                  <w:r>
                    <w:rPr>
                      <w:sz w:val="21"/>
                    </w:rPr>
                    <w:t>4</w:t>
                  </w:r>
                </w:p>
              </w:tc>
              <w:tc>
                <w:tcPr>
                  <w:tcW w:type="dxa" w:w="2325"/>
                  <w:tcBorders>
                    <w:top w:val="none" w:color="000000" w:sz="4"/>
                    <w:left w:val="single" w:color="000000" w:sz="4"/>
                    <w:bottom w:val="single" w:color="000000" w:sz="4"/>
                    <w:right w:val="single" w:color="000000" w:sz="4"/>
                  </w:tcBorders>
                  <w:vAlign w:val="top"/>
                </w:tcPr>
                <w:p>
                  <w:pPr>
                    <w:ind w:firstLine="420"/>
                    <w:jc w:val="left"/>
                  </w:pPr>
                  <w:r>
                    <w:rPr>
                      <w:sz w:val="21"/>
                    </w:rPr>
                    <w:t>穿刺锥</w:t>
                  </w:r>
                </w:p>
              </w:tc>
              <w:tc>
                <w:tcPr>
                  <w:tcW w:type="dxa" w:w="1365"/>
                  <w:tcBorders>
                    <w:top w:val="none" w:color="000000" w:sz="4"/>
                    <w:left w:val="single" w:color="000000" w:sz="4"/>
                    <w:bottom w:val="single" w:color="000000" w:sz="4"/>
                    <w:right w:val="single" w:color="000000" w:sz="4"/>
                  </w:tcBorders>
                  <w:vAlign w:val="top"/>
                </w:tcPr>
                <w:p>
                  <w:pPr>
                    <w:ind w:firstLine="420"/>
                    <w:jc w:val="left"/>
                  </w:pPr>
                  <w:r>
                    <w:rPr>
                      <w:sz w:val="21"/>
                    </w:rPr>
                    <w:t>个</w:t>
                  </w:r>
                </w:p>
              </w:tc>
              <w:tc>
                <w:tcPr>
                  <w:tcW w:type="dxa" w:w="1094"/>
                  <w:tcBorders>
                    <w:top w:val="none" w:color="000000" w:sz="4"/>
                    <w:left w:val="single" w:color="000000" w:sz="4"/>
                    <w:bottom w:val="single" w:color="000000" w:sz="4"/>
                    <w:right w:val="single" w:color="000000" w:sz="4"/>
                  </w:tcBorders>
                  <w:vAlign w:val="top"/>
                </w:tcPr>
                <w:p>
                  <w:pPr>
                    <w:ind w:firstLine="420"/>
                    <w:jc w:val="left"/>
                  </w:pPr>
                  <w:r>
                    <w:rPr>
                      <w:sz w:val="21"/>
                    </w:rPr>
                    <w:t>3</w:t>
                  </w:r>
                </w:p>
              </w:tc>
            </w:tr>
            <w:tr>
              <w:tc>
                <w:tcPr>
                  <w:tcW w:type="dxa" w:w="813"/>
                  <w:tcBorders>
                    <w:top w:val="none" w:color="000000" w:sz="4"/>
                    <w:left w:val="single" w:color="000000" w:sz="4"/>
                    <w:bottom w:val="single" w:color="000000" w:sz="4"/>
                    <w:right w:val="single" w:color="000000" w:sz="4"/>
                  </w:tcBorders>
                  <w:vAlign w:val="top"/>
                </w:tcPr>
                <w:p>
                  <w:pPr>
                    <w:ind w:firstLine="170"/>
                    <w:jc w:val="left"/>
                  </w:pPr>
                  <w:r>
                    <w:rPr>
                      <w:sz w:val="21"/>
                    </w:rPr>
                    <w:t>5</w:t>
                  </w:r>
                </w:p>
              </w:tc>
              <w:tc>
                <w:tcPr>
                  <w:tcW w:type="dxa" w:w="2325"/>
                  <w:tcBorders>
                    <w:top w:val="none" w:color="000000" w:sz="4"/>
                    <w:left w:val="single" w:color="000000" w:sz="4"/>
                    <w:bottom w:val="single" w:color="000000" w:sz="4"/>
                    <w:right w:val="single" w:color="000000" w:sz="4"/>
                  </w:tcBorders>
                  <w:vAlign w:val="top"/>
                </w:tcPr>
                <w:p>
                  <w:pPr>
                    <w:ind w:firstLine="420"/>
                    <w:jc w:val="left"/>
                  </w:pPr>
                  <w:r>
                    <w:rPr>
                      <w:sz w:val="21"/>
                    </w:rPr>
                    <w:t>消毒盒</w:t>
                  </w:r>
                </w:p>
              </w:tc>
              <w:tc>
                <w:tcPr>
                  <w:tcW w:type="dxa" w:w="1365"/>
                  <w:tcBorders>
                    <w:top w:val="none" w:color="000000" w:sz="4"/>
                    <w:left w:val="single" w:color="000000" w:sz="4"/>
                    <w:bottom w:val="single" w:color="000000" w:sz="4"/>
                    <w:right w:val="single" w:color="000000" w:sz="4"/>
                  </w:tcBorders>
                  <w:vAlign w:val="top"/>
                </w:tcPr>
                <w:p>
                  <w:pPr>
                    <w:ind w:firstLine="420"/>
                    <w:jc w:val="left"/>
                  </w:pPr>
                  <w:r>
                    <w:rPr>
                      <w:sz w:val="21"/>
                    </w:rPr>
                    <w:t>个</w:t>
                  </w:r>
                </w:p>
              </w:tc>
              <w:tc>
                <w:tcPr>
                  <w:tcW w:type="dxa" w:w="1094"/>
                  <w:tcBorders>
                    <w:top w:val="none" w:color="000000" w:sz="4"/>
                    <w:left w:val="single" w:color="000000" w:sz="4"/>
                    <w:bottom w:val="single" w:color="000000" w:sz="4"/>
                    <w:right w:val="single" w:color="000000" w:sz="4"/>
                  </w:tcBorders>
                  <w:vAlign w:val="top"/>
                </w:tcPr>
                <w:p>
                  <w:pPr>
                    <w:ind w:firstLine="420"/>
                    <w:jc w:val="left"/>
                  </w:pPr>
                  <w:r>
                    <w:rPr>
                      <w:sz w:val="21"/>
                    </w:rPr>
                    <w:t>3</w:t>
                  </w: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广州市番禺区中心医院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代理服务费由中标供应商在领取《中标通知书》前一次性向采购代理机构交纳。本项目的招标代理服务费收费标准以采购预算金额为计算基数，按差额定率累进法计算，具体收费按以下标准计算：采购金额（万元）100以下，费率：1.5%；采购金额（万元）100－500，费率：1.1%。</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李玉霜、李年秀</w:t>
      </w:r>
    </w:p>
    <w:p>
      <w:pPr>
        <w:ind w:firstLine="480"/>
      </w:pPr>
      <w:r>
        <w:rPr/>
        <w:t>电话：</w:t>
      </w:r>
      <w:r>
        <w:rPr/>
        <w:t>020-87684726，020-87688847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政府采购监督管理机构名称：广州市番禺区财政局（政府采购管理办公室）</w:t>
      </w:r>
    </w:p>
    <w:p>
      <w:r>
        <w:rPr/>
        <w:t>地  址：广州市番禺区广场西路83号601室</w:t>
      </w:r>
    </w:p>
    <w:p>
      <w:r>
        <w:rPr/>
        <w:t>电  话：020-39300309</w:t>
      </w:r>
    </w:p>
    <w:p>
      <w:r>
        <w:rPr/>
        <w:t>邮  编：511400</w:t>
      </w:r>
    </w:p>
    <w:p>
      <w:r>
        <w:rPr/>
        <w:t>传  真：020-39300303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番禺中心医院医疗设备采购项目（二）)：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采购包1（广州市番禺中心医院医疗设备采购项目（二））：</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采购包1（广州市番禺中心医院医疗设备采购项目（二））：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特定资格要求（1）</w:t>
            </w:r>
          </w:p>
        </w:tc>
        <w:tc>
          <w:tcPr>
            <w:tcW w:type="dxa" w:w="4238"/>
          </w:tcPr>
          <w:p>
            <w:r>
              <w:rPr/>
              <w:t>若投标人为设备生产厂家应具备《医疗器械生产许可证》；若为经销商或代理商须提供第二类医疗器械经营备案凭证（须在投标文件内提供证明文件复印件）。（或承诺签订合同前取得第二类医疗器械经营备案凭证）</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采购包1（广州市番禺中心医院医疗设备采购项目（二））：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带“★”号条款</w:t>
            </w:r>
          </w:p>
        </w:tc>
        <w:tc>
          <w:tcPr>
            <w:tcW w:type="dxa" w:w="4238"/>
          </w:tcPr>
          <w:p>
            <w:r>
              <w:rPr/>
              <w:t>能满足采购需求的主要参数（带“★”号条款）</w:t>
            </w:r>
          </w:p>
        </w:tc>
      </w:tr>
      <w:tr>
        <w:tc>
          <w:tcPr>
            <w:tcW w:type="dxa" w:w="890"/>
          </w:tcPr>
          <w:p>
            <w:r>
              <w:rPr/>
              <w:t>6</w:t>
            </w:r>
          </w:p>
        </w:tc>
        <w:tc>
          <w:tcPr>
            <w:tcW w:type="dxa" w:w="3178"/>
          </w:tcPr>
          <w:p>
            <w:r>
              <w:rPr/>
              <w:t>投标报价</w:t>
            </w:r>
          </w:p>
        </w:tc>
        <w:tc>
          <w:tcPr>
            <w:tcW w:type="dxa" w:w="4238"/>
          </w:tcPr>
          <w:p>
            <w:r>
              <w:rPr/>
              <w:t>投标报价是固定唯一价且未超过本项目采购预算</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采购包1(广州市番禺中心医院医疗设备采购项目（二）):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技术部分55.0分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技术条款响应程度（参数条款按照最小一级序号进行计算） (33.0分)</w:t>
            </w:r>
          </w:p>
        </w:tc>
        <w:tc>
          <w:tcPr>
            <w:tcW w:type="dxa" w:w="5076"/>
          </w:tcPr>
          <w:p>
            <w:pPr>
              <w:jc w:val="left"/>
            </w:pPr>
            <w:r>
              <w:rPr/>
              <w:t>根据投标人对招标文件采购标的“设备主要规格、技术要求”中参数（共33项）的响应程度进行评审，每有一个满足要求或优于得1分，最高得33分。   备注：（1）投标人必须提供投标产品的生产厂家使用说明书（如生产厂家的使用说明书为英文版，请同时提供中文版），或经生产厂家盖章的技术证明文件以证明其满足采购需求中技术要求。否则评标委员会有权视相应的投标产品不满足技术要求进行评分。 （2）“具体技术(参数)要求”中要求提供相关证明材料的，需按要求提供，否则视为负偏离。评标委员会在评审过程中，如发现投标人技术条款响应情况与提供的彩页等证明材料不一致的，以证明材料为准。</w:t>
            </w:r>
          </w:p>
        </w:tc>
      </w:tr>
      <w:tr>
        <w:tc>
          <w:tcPr>
            <w:tcW w:type="dxa" w:w="922"/>
            <w:gridSpan w:val="2"/>
            <w:vMerge/>
          </w:tcPr>
          <w:p/>
        </w:tc>
        <w:tc>
          <w:tcPr>
            <w:tcW w:type="dxa" w:w="2307"/>
          </w:tcPr>
          <w:p>
            <w:pPr>
              <w:jc w:val="left"/>
            </w:pPr>
            <w:r>
              <w:rPr/>
              <w:t>投标产品技术先进性和可靠性1 (1.5分)</w:t>
            </w:r>
          </w:p>
        </w:tc>
        <w:tc>
          <w:tcPr>
            <w:tcW w:type="dxa" w:w="5076"/>
          </w:tcPr>
          <w:p>
            <w:pPr>
              <w:jc w:val="left"/>
            </w:pPr>
            <w:r>
              <w:rPr/>
              <w:t>评标委员会根据投标人提供的投标产品技术先进性和可靠性进行评价，投标产品技术先进性和可靠性说明应包括（投标文件中方案标题应以下列方案名称命名）： (1)使用的材料； (2)配套设备； (3)生产技术。  提供全部内容得1.5分，每缺1项扣0.5分。</w:t>
            </w:r>
          </w:p>
        </w:tc>
      </w:tr>
      <w:tr>
        <w:tc>
          <w:tcPr>
            <w:tcW w:type="dxa" w:w="922"/>
            <w:gridSpan w:val="2"/>
            <w:vMerge/>
          </w:tcPr>
          <w:p/>
        </w:tc>
        <w:tc>
          <w:tcPr>
            <w:tcW w:type="dxa" w:w="2307"/>
          </w:tcPr>
          <w:p>
            <w:pPr>
              <w:jc w:val="left"/>
            </w:pPr>
            <w:r>
              <w:rPr/>
              <w:t>投标产品技术先进性和可靠性2 (7.0分)</w:t>
            </w:r>
            <w:r>
              <w:rPr/>
              <w:t>，（等次分值选择：</w:t>
            </w:r>
            <w:r>
              <w:rPr/>
              <w:t>0.0;</w:t>
            </w:r>
            <w:r>
              <w:rPr/>
              <w:t>1.0;</w:t>
            </w:r>
            <w:r>
              <w:rPr/>
              <w:t>3.0;</w:t>
            </w:r>
            <w:r>
              <w:rPr/>
              <w:t>5.0;</w:t>
            </w:r>
            <w:r>
              <w:rPr/>
              <w:t>7.0;</w:t>
            </w:r>
            <w:r>
              <w:rPr/>
              <w:t>）</w:t>
            </w:r>
          </w:p>
        </w:tc>
        <w:tc>
          <w:tcPr>
            <w:tcW w:type="dxa" w:w="5076"/>
          </w:tcPr>
          <w:p>
            <w:pPr>
              <w:jc w:val="left"/>
            </w:pPr>
            <w:r>
              <w:rPr/>
              <w:t>根据各投标人投标产品的技术先进性和可靠性的详细内容进行评审：   （1）投标产品的技术先进性、可靠性高，货物制造技术、制造设备、生产工艺达到行业内高水平，使用材料与部件等方面达到行业高质量，完全满足本项目需求的，得7分；   （2）投标产品的技术具有一定的先进性和可靠性，货物制造技术、制造设备、生产工艺为行业内较高水平，使用材料与部件等方面达到行业较高质量，基本满足本项目需求的，得5分；   （3）投标产品的技术先进性、可靠性一般，货物制造技术、制造设备、生产工艺为业内一般水平，使用材料与部件等方面质量一般，部分满足本项目需求的，得3分；   （4）投标产品的技术先进性、可靠性较差，货物制造技术、制造设备、生产工艺较差，使用材料与部件等方面质量较差，不满足本项目需求的，得1分； （5）不提供不得分。</w:t>
            </w:r>
          </w:p>
        </w:tc>
      </w:tr>
      <w:tr>
        <w:tc>
          <w:tcPr>
            <w:tcW w:type="dxa" w:w="922"/>
            <w:gridSpan w:val="2"/>
            <w:vMerge/>
          </w:tcPr>
          <w:p/>
        </w:tc>
        <w:tc>
          <w:tcPr>
            <w:tcW w:type="dxa" w:w="2307"/>
          </w:tcPr>
          <w:p>
            <w:pPr>
              <w:jc w:val="left"/>
            </w:pPr>
            <w:r>
              <w:rPr/>
              <w:t>供货服务方案1 (2.0分)</w:t>
            </w:r>
          </w:p>
        </w:tc>
        <w:tc>
          <w:tcPr>
            <w:tcW w:type="dxa" w:w="5076"/>
          </w:tcPr>
          <w:p>
            <w:pPr>
              <w:jc w:val="left"/>
            </w:pPr>
            <w:r>
              <w:rPr/>
              <w:t>评标委员会根据投标人提供的供货服务方案评价，方案应包括（投标文件中方案标题应以下列方案名称命名）： （1）交货期； （2）到货保证措施；  （3）售后服务； （4）应急保障方案。 提供全部内容得2分，每缺1项扣0.5分。</w:t>
            </w:r>
          </w:p>
        </w:tc>
      </w:tr>
      <w:tr>
        <w:tc>
          <w:tcPr>
            <w:tcW w:type="dxa" w:w="922"/>
            <w:gridSpan w:val="2"/>
            <w:vMerge/>
          </w:tcPr>
          <w:p/>
        </w:tc>
        <w:tc>
          <w:tcPr>
            <w:tcW w:type="dxa" w:w="2307"/>
          </w:tcPr>
          <w:p>
            <w:pPr>
              <w:jc w:val="left"/>
            </w:pPr>
            <w:r>
              <w:rPr/>
              <w:t>供货服务方案2 (3.0分)</w:t>
            </w:r>
            <w:r>
              <w:rPr/>
              <w:t>，（等次分值选择：</w:t>
            </w:r>
            <w:r>
              <w:rPr/>
              <w:t>0.0;</w:t>
            </w:r>
            <w:r>
              <w:rPr/>
              <w:t>1.0;</w:t>
            </w:r>
            <w:r>
              <w:rPr/>
              <w:t>2.0;</w:t>
            </w:r>
            <w:r>
              <w:rPr/>
              <w:t>3.0;</w:t>
            </w:r>
            <w:r>
              <w:rPr/>
              <w:t>）</w:t>
            </w:r>
          </w:p>
        </w:tc>
        <w:tc>
          <w:tcPr>
            <w:tcW w:type="dxa" w:w="5076"/>
          </w:tcPr>
          <w:p>
            <w:pPr>
              <w:jc w:val="left"/>
            </w:pPr>
            <w:r>
              <w:rPr/>
              <w:t>根据投标人提供的供货服务方案的详细内容进行评审：   （1）响应时间快、交货期优于商务要求，售后服务方案、到货的保证措施完善可行及应急保障方案详细完整，完全符合并优于招标文件要求的得3分；   （2）响应时间、交货期满足商务要求，售后服方案、到货的保证措施可行、应急保障方案完整，能基本保障本项目实施，基本符合招标文件要求的得2分；   （3）响应时间、交货期满足商务要求，售后服务要求、到货的保证措施不可行、应急保障方案不完整，与招标文件要求有偏差的得1分。 （4）未提供供货服务方案的不得分。</w:t>
            </w:r>
          </w:p>
        </w:tc>
      </w:tr>
      <w:tr>
        <w:tc>
          <w:tcPr>
            <w:tcW w:type="dxa" w:w="922"/>
            <w:gridSpan w:val="2"/>
            <w:vMerge/>
          </w:tcPr>
          <w:p/>
        </w:tc>
        <w:tc>
          <w:tcPr>
            <w:tcW w:type="dxa" w:w="2307"/>
          </w:tcPr>
          <w:p>
            <w:pPr>
              <w:jc w:val="left"/>
            </w:pPr>
            <w:r>
              <w:rPr/>
              <w:t>安装、调试、技术培训、验收方案1 (1.5分)</w:t>
            </w:r>
          </w:p>
        </w:tc>
        <w:tc>
          <w:tcPr>
            <w:tcW w:type="dxa" w:w="5076"/>
          </w:tcPr>
          <w:p>
            <w:pPr>
              <w:jc w:val="left"/>
            </w:pPr>
            <w:r>
              <w:rPr/>
              <w:t>评标委员会根据投标人提供的安装、调试、技术培训、验收方案进行评价，方案应包括（投标文件中方案标题应以下列方案名称命名）： (1)安装、调试方案； (2)技术培训； (3)验收方案。 提供全部内容得1.5分，每缺1项扣0.5分。</w:t>
            </w:r>
          </w:p>
        </w:tc>
      </w:tr>
      <w:tr>
        <w:tc>
          <w:tcPr>
            <w:tcW w:type="dxa" w:w="922"/>
            <w:gridSpan w:val="2"/>
            <w:vMerge/>
          </w:tcPr>
          <w:p/>
        </w:tc>
        <w:tc>
          <w:tcPr>
            <w:tcW w:type="dxa" w:w="2307"/>
          </w:tcPr>
          <w:p>
            <w:pPr>
              <w:jc w:val="left"/>
            </w:pPr>
            <w:r>
              <w:rPr/>
              <w:t>安装、调试、技术培训、验收方案2 (3.0分)</w:t>
            </w:r>
            <w:r>
              <w:rPr/>
              <w:t>，（等次分值选择：</w:t>
            </w:r>
            <w:r>
              <w:rPr/>
              <w:t>0.0;</w:t>
            </w:r>
            <w:r>
              <w:rPr/>
              <w:t>1.0;</w:t>
            </w:r>
            <w:r>
              <w:rPr/>
              <w:t>2.0;</w:t>
            </w:r>
            <w:r>
              <w:rPr/>
              <w:t>3.0;</w:t>
            </w:r>
            <w:r>
              <w:rPr/>
              <w:t>）</w:t>
            </w:r>
          </w:p>
        </w:tc>
        <w:tc>
          <w:tcPr>
            <w:tcW w:type="dxa" w:w="5076"/>
          </w:tcPr>
          <w:p>
            <w:pPr>
              <w:jc w:val="left"/>
            </w:pPr>
            <w:r>
              <w:rPr/>
              <w:t>根据投标人提供的安装与调试、技术培训与验收方案的详细内容进行评审：   （1）针对本项目交货、安装与调试和验收方案详细具体、可行性、 针对性强，完全符合并优于招标文件要求的得3分；  （2） 针对本项目交货、安装与调试和验收方案一般，可行性、针对性一般，基本符合招标文件要求的得2分；    （3）针对本项目交货、安装与调试和验收方案简单，不具有可行性、针对性，与招标文件要求有偏差的得1分。 （4）未提供安装与调试、技术培训与验收方案的不得分。</w:t>
            </w:r>
          </w:p>
        </w:tc>
      </w:tr>
      <w:tr>
        <w:tc>
          <w:tcPr>
            <w:tcW w:type="dxa" w:w="922"/>
            <w:gridSpan w:val="2"/>
            <w:vMerge/>
          </w:tcPr>
          <w:p/>
        </w:tc>
        <w:tc>
          <w:tcPr>
            <w:tcW w:type="dxa" w:w="2307"/>
          </w:tcPr>
          <w:p>
            <w:pPr>
              <w:jc w:val="left"/>
            </w:pPr>
            <w:r>
              <w:rPr/>
              <w:t>质量保证方案1 (1.0分)</w:t>
            </w:r>
          </w:p>
        </w:tc>
        <w:tc>
          <w:tcPr>
            <w:tcW w:type="dxa" w:w="5076"/>
          </w:tcPr>
          <w:p>
            <w:pPr>
              <w:jc w:val="left"/>
            </w:pPr>
            <w:r>
              <w:rPr/>
              <w:t>评标委员会根据投标人提供的质量保证方案进行评价，方案应包括（投标文件中方案标题应以下列方案名称命名）： (1)保修方案； (2)维护保养方案。 提供全部内容得1分，每缺1项扣0.5分。</w:t>
            </w:r>
          </w:p>
        </w:tc>
      </w:tr>
      <w:tr>
        <w:tc>
          <w:tcPr>
            <w:tcW w:type="dxa" w:w="922"/>
            <w:gridSpan w:val="2"/>
            <w:vMerge/>
          </w:tcPr>
          <w:p/>
        </w:tc>
        <w:tc>
          <w:tcPr>
            <w:tcW w:type="dxa" w:w="2307"/>
          </w:tcPr>
          <w:p>
            <w:pPr>
              <w:jc w:val="left"/>
            </w:pPr>
            <w:r>
              <w:rPr/>
              <w:t>质量保证方案2 (3.0分)</w:t>
            </w:r>
            <w:r>
              <w:rPr/>
              <w:t>，（等次分值选择：</w:t>
            </w:r>
            <w:r>
              <w:rPr/>
              <w:t>0.0;</w:t>
            </w:r>
            <w:r>
              <w:rPr/>
              <w:t>1.0;</w:t>
            </w:r>
            <w:r>
              <w:rPr/>
              <w:t>2.0;</w:t>
            </w:r>
            <w:r>
              <w:rPr/>
              <w:t>3.0;</w:t>
            </w:r>
            <w:r>
              <w:rPr/>
              <w:t>）</w:t>
            </w:r>
          </w:p>
        </w:tc>
        <w:tc>
          <w:tcPr>
            <w:tcW w:type="dxa" w:w="5076"/>
          </w:tcPr>
          <w:p>
            <w:pPr>
              <w:jc w:val="left"/>
            </w:pPr>
            <w:r>
              <w:rPr/>
              <w:t>根据投标人编制的具体质量保证方案进行评审:   （1）投标人提供的质量保证方案完整性、合理性、可行性高的，完全符合招标文件要求的得3分；   （2）投标人提供的质量保证方案具有一定的合理性和可行性，基本符合招标文件要求的得2分；  （3）投标人提供的质量保证方案完整性、合理性、可行性差，与招标文件要求有偏差的得1分。  （4）未提供质量保证方案的不得分。</w:t>
            </w:r>
          </w:p>
        </w:tc>
      </w:tr>
      <w:tr>
        <w:tc>
          <w:tcPr>
            <w:tcW w:type="dxa" w:w="922"/>
            <w:gridSpan w:val="2"/>
            <w:vMerge w:val="restart"/>
          </w:tcPr>
          <w:p>
            <w:pPr>
              <w:jc w:val="center"/>
            </w:pPr>
            <w:r>
              <w:rPr/>
              <w:t>商务部分</w:t>
            </w:r>
          </w:p>
        </w:tc>
        <w:tc>
          <w:tcPr>
            <w:tcW w:type="dxa" w:w="2307"/>
          </w:tcPr>
          <w:p>
            <w:pPr>
              <w:jc w:val="left"/>
            </w:pPr>
            <w:r>
              <w:rPr/>
              <w:t>同类项目经验 (2.5分)</w:t>
            </w:r>
          </w:p>
        </w:tc>
        <w:tc>
          <w:tcPr>
            <w:tcW w:type="dxa" w:w="5076"/>
          </w:tcPr>
          <w:p>
            <w:pPr>
              <w:jc w:val="left"/>
            </w:pPr>
            <w:r>
              <w:rPr/>
              <w:t>投标人2020年1月1日至今签订的同类产品业绩：每项得0.5分，最高2.5分。  注：（提供业绩合同的复印件并加盖投标人公章，以合同签订时间为准，未提供或专家无法认定的不得分）</w:t>
            </w:r>
          </w:p>
        </w:tc>
      </w:tr>
      <w:tr>
        <w:tc>
          <w:tcPr>
            <w:tcW w:type="dxa" w:w="922"/>
            <w:gridSpan w:val="2"/>
            <w:vMerge/>
          </w:tcPr>
          <w:p/>
        </w:tc>
        <w:tc>
          <w:tcPr>
            <w:tcW w:type="dxa" w:w="2307"/>
          </w:tcPr>
          <w:p>
            <w:pPr>
              <w:jc w:val="left"/>
            </w:pPr>
            <w:r>
              <w:rPr/>
              <w:t>所投货物质保期 (4.0分)</w:t>
            </w:r>
          </w:p>
        </w:tc>
        <w:tc>
          <w:tcPr>
            <w:tcW w:type="dxa" w:w="5076"/>
          </w:tcPr>
          <w:p>
            <w:pPr>
              <w:jc w:val="left"/>
            </w:pPr>
            <w:r>
              <w:rPr/>
              <w:t>1.投标人所投产品主机设备（整机含气腹机、光源等）质保期满足采购需求的得1分，每增加1年，加1分，本小项最高得2分； 2. 投标人所投产品内窥镜质保期满足采购需求的得1分，每增加1年，加1分，本小项最高得2分。 注：投标人须提供承诺函并加盖投标人公章。</w:t>
            </w:r>
          </w:p>
        </w:tc>
      </w:tr>
      <w:tr>
        <w:tc>
          <w:tcPr>
            <w:tcW w:type="dxa" w:w="922"/>
            <w:gridSpan w:val="2"/>
            <w:vMerge/>
          </w:tcPr>
          <w:p/>
        </w:tc>
        <w:tc>
          <w:tcPr>
            <w:tcW w:type="dxa" w:w="2307"/>
          </w:tcPr>
          <w:p>
            <w:pPr>
              <w:jc w:val="left"/>
            </w:pPr>
            <w:r>
              <w:rPr/>
              <w:t>投标产品授权情况 (3.5分)</w:t>
            </w:r>
          </w:p>
        </w:tc>
        <w:tc>
          <w:tcPr>
            <w:tcW w:type="dxa" w:w="5076"/>
          </w:tcPr>
          <w:p>
            <w:pPr>
              <w:jc w:val="left"/>
            </w:pPr>
            <w:r>
              <w:rPr/>
              <w:t>若投标人非生产厂家或制造商的，提供腹腔镜系统（4K+荧光）生产厂家或制造商出具的有效授权证明书，得3.5分，不提供或专家无法判定不得分。   注：若投标人为制造商或生产厂家，提供生产厂家声明函则视为符合要求，取得相应分值。</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b/>
          <w:sz w:val="28"/>
        </w:rPr>
        <w:t>合同编号（医院填写）</w:t>
      </w:r>
      <w:r>
        <w:rPr>
          <w:b/>
          <w:sz w:val="21"/>
          <w:u w:val="single"/>
        </w:rPr>
        <w:t xml:space="preserve">          </w:t>
      </w:r>
      <w:r>
        <w:rPr>
          <w:b/>
          <w:sz w:val="21"/>
        </w:rPr>
        <w:t xml:space="preserve">            </w:t>
      </w:r>
    </w:p>
    <w:p>
      <w:pPr>
        <w:jc w:val="both"/>
      </w:pPr>
      <w:r>
        <w:rPr>
          <w:b/>
          <w:sz w:val="21"/>
        </w:rPr>
        <w:t xml:space="preserve">                         </w:t>
      </w:r>
    </w:p>
    <w:p>
      <w:pPr>
        <w:jc w:val="center"/>
      </w:pPr>
    </w:p>
    <w:p>
      <w:pPr>
        <w:jc w:val="center"/>
      </w:pPr>
    </w:p>
    <w:p>
      <w:pPr>
        <w:jc w:val="center"/>
      </w:pPr>
      <w:r>
        <w:rPr>
          <w:b/>
          <w:sz w:val="48"/>
        </w:rPr>
        <w:t>番禺区中心医院</w:t>
      </w:r>
    </w:p>
    <w:p>
      <w:pPr>
        <w:jc w:val="center"/>
      </w:pPr>
      <w:r>
        <w:rPr>
          <w:b/>
          <w:sz w:val="48"/>
        </w:rPr>
        <w:t>医疗设备采购合同书</w:t>
      </w:r>
    </w:p>
    <w:p>
      <w:pPr>
        <w:jc w:val="center"/>
      </w:pPr>
      <w:r>
        <w:rPr/>
        <w:t xml:space="preserve"> </w:t>
      </w:r>
    </w:p>
    <w:p>
      <w:pPr>
        <w:jc w:val="both"/>
      </w:pPr>
    </w:p>
    <w:p>
      <w:pPr>
        <w:jc w:val="center"/>
      </w:pPr>
    </w:p>
    <w:p>
      <w:pPr>
        <w:jc w:val="center"/>
      </w:pPr>
    </w:p>
    <w:p>
      <w:pPr>
        <w:ind w:firstLine="991"/>
        <w:jc w:val="both"/>
      </w:pPr>
      <w:r>
        <w:rPr>
          <w:b/>
          <w:sz w:val="30"/>
        </w:rPr>
        <w:t>采购设备名称：</w:t>
      </w:r>
      <w:r>
        <w:rPr>
          <w:b/>
          <w:sz w:val="21"/>
          <w:u w:val="single"/>
        </w:rPr>
        <w:t xml:space="preserve">                 </w:t>
      </w:r>
    </w:p>
    <w:p>
      <w:pPr>
        <w:jc w:val="both"/>
      </w:pPr>
    </w:p>
    <w:p>
      <w:pPr>
        <w:ind w:firstLine="991"/>
        <w:jc w:val="both"/>
      </w:pPr>
      <w:r>
        <w:rPr>
          <w:b/>
          <w:sz w:val="30"/>
        </w:rPr>
        <w:t>合</w:t>
      </w:r>
      <w:r>
        <w:rPr>
          <w:b/>
          <w:sz w:val="30"/>
        </w:rPr>
        <w:t>同</w:t>
      </w:r>
      <w:r>
        <w:rPr>
          <w:b/>
          <w:sz w:val="30"/>
        </w:rPr>
        <w:t>公</w:t>
      </w:r>
      <w:r>
        <w:rPr>
          <w:b/>
          <w:sz w:val="30"/>
        </w:rPr>
        <w:t>司：</w:t>
      </w:r>
      <w:r>
        <w:rPr>
          <w:b/>
          <w:sz w:val="21"/>
          <w:u w:val="single"/>
        </w:rPr>
        <w:t xml:space="preserve">                 </w:t>
      </w:r>
    </w:p>
    <w:p>
      <w:pPr>
        <w:jc w:val="both"/>
      </w:pPr>
    </w:p>
    <w:p>
      <w:pPr>
        <w:ind w:firstLine="991"/>
        <w:jc w:val="both"/>
      </w:pPr>
      <w:r>
        <w:rPr>
          <w:b/>
          <w:sz w:val="30"/>
        </w:rPr>
        <w:t>签</w:t>
      </w:r>
      <w:r>
        <w:rPr>
          <w:b/>
          <w:sz w:val="30"/>
        </w:rPr>
        <w:t>订</w:t>
      </w:r>
      <w:r>
        <w:rPr>
          <w:b/>
          <w:sz w:val="30"/>
        </w:rPr>
        <w:t>时</w:t>
      </w:r>
      <w:r>
        <w:rPr>
          <w:b/>
          <w:sz w:val="30"/>
        </w:rPr>
        <w:t>间：</w:t>
      </w:r>
      <w:r>
        <w:rPr>
          <w:b/>
          <w:sz w:val="30"/>
          <w:u w:val="single"/>
        </w:rPr>
        <w:t>_    _</w:t>
      </w:r>
      <w:r>
        <w:rPr>
          <w:b/>
          <w:sz w:val="30"/>
        </w:rPr>
        <w:t>年</w:t>
      </w:r>
      <w:r>
        <w:rPr>
          <w:b/>
          <w:sz w:val="30"/>
          <w:u w:val="single"/>
        </w:rPr>
        <w:t xml:space="preserve">_     </w:t>
      </w:r>
      <w:r>
        <w:rPr>
          <w:b/>
          <w:sz w:val="30"/>
        </w:rPr>
        <w:t>月</w:t>
      </w:r>
      <w:r>
        <w:rPr>
          <w:b/>
          <w:sz w:val="30"/>
          <w:u w:val="single"/>
        </w:rPr>
        <w:t xml:space="preserve">_     </w:t>
      </w:r>
      <w:r>
        <w:rPr>
          <w:b/>
          <w:sz w:val="30"/>
        </w:rPr>
        <w:t>日</w:t>
      </w:r>
    </w:p>
    <w:p>
      <w:pPr>
        <w:jc w:val="center"/>
      </w:pPr>
    </w:p>
    <w:p>
      <w:pPr>
        <w:jc w:val="center"/>
      </w:pPr>
    </w:p>
    <w:p>
      <w:pPr>
        <w:jc w:val="center"/>
      </w:pPr>
    </w:p>
    <w:p>
      <w:pPr>
        <w:jc w:val="center"/>
      </w:pPr>
      <w:r>
        <w:rPr/>
        <w:t xml:space="preserve"> </w:t>
      </w:r>
    </w:p>
    <w:p>
      <w:pPr>
        <w:jc w:val="center"/>
      </w:pPr>
      <w:r>
        <w:rPr/>
        <w:t xml:space="preserve"> </w:t>
      </w:r>
    </w:p>
    <w:p>
      <w:pPr>
        <w:jc w:val="center"/>
      </w:pPr>
      <w:r>
        <w:rPr>
          <w:b/>
          <w:sz w:val="30"/>
        </w:rPr>
        <w:t>番禺区中心医院（番禺区人民医院）</w:t>
      </w:r>
    </w:p>
    <w:p>
      <w:pPr>
        <w:jc w:val="center"/>
      </w:pPr>
    </w:p>
    <w:p>
      <w:pPr>
        <w:jc w:val="center"/>
      </w:pPr>
    </w:p>
    <w:p>
      <w:pPr>
        <w:jc w:val="both"/>
      </w:pPr>
    </w:p>
    <w:p>
      <w:pPr>
        <w:jc w:val="both"/>
      </w:pPr>
    </w:p>
    <w:p>
      <w:pPr>
        <w:jc w:val="both"/>
      </w:pPr>
    </w:p>
    <w:p>
      <w:pPr>
        <w:jc w:val="center"/>
      </w:pPr>
      <w:r>
        <w:rPr/>
        <w:t xml:space="preserve"> </w:t>
      </w:r>
    </w:p>
    <w:p>
      <w:pPr>
        <w:jc w:val="center"/>
      </w:pPr>
      <w:r>
        <w:rPr>
          <w:b/>
          <w:sz w:val="32"/>
        </w:rPr>
        <w:t>采</w:t>
      </w:r>
      <w:r>
        <w:rPr>
          <w:b/>
          <w:sz w:val="21"/>
        </w:rPr>
        <w:t xml:space="preserve"> </w:t>
      </w:r>
      <w:r>
        <w:rPr>
          <w:b/>
          <w:sz w:val="32"/>
        </w:rPr>
        <w:t>购</w:t>
      </w:r>
      <w:r>
        <w:rPr>
          <w:b/>
          <w:sz w:val="21"/>
        </w:rPr>
        <w:t xml:space="preserve"> </w:t>
      </w:r>
      <w:r>
        <w:rPr>
          <w:b/>
          <w:sz w:val="32"/>
        </w:rPr>
        <w:t>合</w:t>
      </w:r>
      <w:r>
        <w:rPr>
          <w:b/>
          <w:sz w:val="21"/>
        </w:rPr>
        <w:t xml:space="preserve"> </w:t>
      </w:r>
      <w:r>
        <w:rPr>
          <w:b/>
          <w:sz w:val="32"/>
        </w:rPr>
        <w:t>同</w:t>
      </w:r>
    </w:p>
    <w:p>
      <w:pPr>
        <w:jc w:val="right"/>
      </w:pPr>
    </w:p>
    <w:p>
      <w:pPr>
        <w:jc w:val="both"/>
      </w:pPr>
      <w:r>
        <w:rPr/>
        <w:t xml:space="preserve"> </w:t>
      </w:r>
    </w:p>
    <w:p>
      <w:pPr>
        <w:jc w:val="both"/>
      </w:pPr>
      <w:r>
        <w:rPr>
          <w:b/>
          <w:sz w:val="24"/>
        </w:rPr>
        <w:t>甲</w:t>
      </w:r>
      <w:r>
        <w:rPr>
          <w:b/>
          <w:sz w:val="21"/>
        </w:rPr>
        <w:t xml:space="preserve">  </w:t>
      </w:r>
      <w:r>
        <w:rPr>
          <w:b/>
          <w:sz w:val="24"/>
        </w:rPr>
        <w:t>方：广州市番禺区中心医院</w:t>
      </w:r>
    </w:p>
    <w:p>
      <w:pPr>
        <w:jc w:val="both"/>
      </w:pPr>
      <w:r>
        <w:rPr>
          <w:b/>
          <w:sz w:val="24"/>
        </w:rPr>
        <w:t>乙</w:t>
      </w:r>
      <w:r>
        <w:rPr>
          <w:b/>
          <w:sz w:val="21"/>
        </w:rPr>
        <w:t xml:space="preserve">  </w:t>
      </w:r>
      <w:r>
        <w:rPr>
          <w:b/>
          <w:sz w:val="24"/>
        </w:rPr>
        <w:t>方：</w:t>
      </w:r>
    </w:p>
    <w:p>
      <w:pPr>
        <w:jc w:val="both"/>
      </w:pPr>
    </w:p>
    <w:p>
      <w:pPr>
        <w:ind w:firstLine="480"/>
        <w:jc w:val="both"/>
      </w:pPr>
      <w:r>
        <w:rPr>
          <w:sz w:val="24"/>
        </w:rPr>
        <w:t>根据《中华人民共和国民法典》及广州市番禺区中心医院医疗设备采购项目的招标结果和招标文件（项目编号：</w:t>
      </w:r>
      <w:r>
        <w:rPr>
          <w:sz w:val="21"/>
          <w:u w:val="single"/>
        </w:rPr>
        <w:t xml:space="preserve">         </w:t>
      </w:r>
      <w:r>
        <w:rPr>
          <w:sz w:val="24"/>
        </w:rPr>
        <w:t>）的要求，甲、乙双方经协商确定，甲方向乙方订购</w:t>
      </w:r>
      <w:r>
        <w:rPr>
          <w:b/>
          <w:sz w:val="21"/>
          <w:u w:val="single"/>
        </w:rPr>
        <w:t xml:space="preserve">               </w:t>
      </w:r>
      <w:r>
        <w:rPr>
          <w:sz w:val="24"/>
        </w:rPr>
        <w:t>及安装保修等服务，为明确双方权利和义务，特签订本合同，共同遵守。具体条款如下：</w:t>
      </w:r>
    </w:p>
    <w:p>
      <w:pPr>
        <w:jc w:val="both"/>
      </w:pPr>
    </w:p>
    <w:p>
      <w:pPr>
        <w:jc w:val="both"/>
      </w:pPr>
      <w:r>
        <w:rPr>
          <w:b/>
          <w:sz w:val="24"/>
        </w:rPr>
        <w:t>1.</w:t>
      </w:r>
      <w:r>
        <w:rPr>
          <w:b/>
          <w:sz w:val="24"/>
        </w:rPr>
        <w:t>合同设备</w:t>
      </w:r>
    </w:p>
    <w:p>
      <w:pPr>
        <w:ind w:firstLine="24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844"/>
        <w:gridCol w:w="759"/>
        <w:gridCol w:w="680"/>
        <w:gridCol w:w="326"/>
        <w:gridCol w:w="405"/>
        <w:gridCol w:w="1117"/>
        <w:gridCol w:w="1087"/>
        <w:gridCol w:w="618"/>
        <w:gridCol w:w="869"/>
        <w:gridCol w:w="798"/>
        <w:gridCol w:w="798"/>
      </w:tblGrid>
      <w:tr>
        <w:tc>
          <w:tcPr>
            <w:tcW w:type="dxa" w:w="844"/>
            <w:tcBorders>
              <w:top w:val="single" w:color="000000" w:sz="4"/>
              <w:left w:val="single" w:color="000000" w:sz="4"/>
              <w:bottom w:val="single" w:color="000000" w:sz="4"/>
              <w:right w:val="single" w:color="000000" w:sz="4"/>
            </w:tcBorders>
            <w:vAlign w:val="top"/>
          </w:tcPr>
          <w:p>
            <w:pPr>
              <w:ind w:firstLine="2"/>
              <w:jc w:val="center"/>
            </w:pPr>
            <w:r>
              <w:rPr>
                <w:sz w:val="24"/>
              </w:rPr>
              <w:t>品名</w:t>
            </w:r>
          </w:p>
        </w:tc>
        <w:tc>
          <w:tcPr>
            <w:tcW w:type="dxa" w:w="759"/>
            <w:tcBorders>
              <w:top w:val="single" w:color="000000" w:sz="4"/>
              <w:left w:val="none" w:color="000000" w:sz="4"/>
              <w:bottom w:val="single" w:color="000000" w:sz="4"/>
              <w:right w:val="single" w:color="000000" w:sz="4"/>
            </w:tcBorders>
            <w:vAlign w:val="top"/>
          </w:tcPr>
          <w:p>
            <w:pPr>
              <w:jc w:val="center"/>
            </w:pPr>
            <w:r>
              <w:rPr>
                <w:sz w:val="24"/>
              </w:rPr>
              <w:t>规格</w:t>
            </w:r>
          </w:p>
          <w:p>
            <w:pPr>
              <w:jc w:val="center"/>
            </w:pPr>
            <w:r>
              <w:rPr>
                <w:sz w:val="24"/>
              </w:rPr>
              <w:t>型号</w:t>
            </w:r>
          </w:p>
        </w:tc>
        <w:tc>
          <w:tcPr>
            <w:tcW w:type="dxa" w:w="680"/>
            <w:tcBorders>
              <w:top w:val="single" w:color="000000" w:sz="4"/>
              <w:left w:val="none" w:color="000000" w:sz="4"/>
              <w:bottom w:val="single" w:color="000000" w:sz="4"/>
              <w:right w:val="single" w:color="000000" w:sz="4"/>
            </w:tcBorders>
            <w:vAlign w:val="top"/>
          </w:tcPr>
          <w:p>
            <w:pPr>
              <w:jc w:val="center"/>
            </w:pPr>
            <w:r>
              <w:rPr>
                <w:sz w:val="24"/>
              </w:rPr>
              <w:t>产地</w:t>
            </w:r>
          </w:p>
          <w:p>
            <w:pPr>
              <w:jc w:val="center"/>
            </w:pPr>
            <w:r>
              <w:rPr>
                <w:sz w:val="24"/>
              </w:rPr>
              <w:t>厂家</w:t>
            </w:r>
          </w:p>
        </w:tc>
        <w:tc>
          <w:tcPr>
            <w:tcW w:type="dxa" w:w="326"/>
            <w:tcBorders>
              <w:top w:val="single" w:color="000000" w:sz="4"/>
              <w:left w:val="none" w:color="000000" w:sz="4"/>
              <w:bottom w:val="single" w:color="000000" w:sz="4"/>
              <w:right w:val="single" w:color="000000" w:sz="4"/>
            </w:tcBorders>
            <w:vAlign w:val="top"/>
          </w:tcPr>
          <w:p>
            <w:pPr>
              <w:jc w:val="center"/>
            </w:pPr>
            <w:r>
              <w:rPr>
                <w:sz w:val="24"/>
              </w:rPr>
              <w:t>单位</w:t>
            </w:r>
          </w:p>
        </w:tc>
        <w:tc>
          <w:tcPr>
            <w:tcW w:type="dxa" w:w="405"/>
            <w:tcBorders>
              <w:top w:val="single" w:color="000000" w:sz="4"/>
              <w:left w:val="none" w:color="000000" w:sz="4"/>
              <w:bottom w:val="single" w:color="000000" w:sz="4"/>
              <w:right w:val="single" w:color="000000" w:sz="4"/>
            </w:tcBorders>
            <w:vAlign w:val="top"/>
          </w:tcPr>
          <w:p>
            <w:pPr>
              <w:jc w:val="center"/>
            </w:pPr>
            <w:r>
              <w:rPr>
                <w:sz w:val="24"/>
              </w:rPr>
              <w:t>数量</w:t>
            </w:r>
          </w:p>
        </w:tc>
        <w:tc>
          <w:tcPr>
            <w:tcW w:type="dxa" w:w="1117"/>
            <w:tcBorders>
              <w:top w:val="single" w:color="000000" w:sz="4"/>
              <w:left w:val="none" w:color="000000" w:sz="4"/>
              <w:bottom w:val="single" w:color="000000" w:sz="4"/>
              <w:right w:val="single" w:color="000000" w:sz="4"/>
            </w:tcBorders>
            <w:vAlign w:val="top"/>
          </w:tcPr>
          <w:p>
            <w:pPr>
              <w:jc w:val="center"/>
            </w:pPr>
            <w:r>
              <w:rPr>
                <w:sz w:val="24"/>
              </w:rPr>
              <w:t>单价（元）</w:t>
            </w:r>
          </w:p>
        </w:tc>
        <w:tc>
          <w:tcPr>
            <w:tcW w:type="dxa" w:w="1087"/>
            <w:tcBorders>
              <w:top w:val="single" w:color="000000" w:sz="4"/>
              <w:left w:val="none" w:color="000000" w:sz="4"/>
              <w:bottom w:val="single" w:color="000000" w:sz="4"/>
              <w:right w:val="single" w:color="000000" w:sz="4"/>
            </w:tcBorders>
            <w:vAlign w:val="top"/>
          </w:tcPr>
          <w:p>
            <w:pPr>
              <w:jc w:val="center"/>
            </w:pPr>
            <w:r>
              <w:rPr>
                <w:sz w:val="24"/>
              </w:rPr>
              <w:t>总价（元）</w:t>
            </w:r>
          </w:p>
        </w:tc>
        <w:tc>
          <w:tcPr>
            <w:tcW w:type="dxa" w:w="618"/>
            <w:tcBorders>
              <w:top w:val="single" w:color="000000" w:sz="4"/>
              <w:left w:val="none" w:color="000000" w:sz="4"/>
              <w:bottom w:val="single" w:color="000000" w:sz="4"/>
              <w:right w:val="single" w:color="000000" w:sz="4"/>
            </w:tcBorders>
            <w:vAlign w:val="top"/>
          </w:tcPr>
          <w:p>
            <w:pPr>
              <w:jc w:val="center"/>
            </w:pPr>
            <w:r>
              <w:rPr>
                <w:sz w:val="24"/>
              </w:rPr>
              <w:t>随机配件</w:t>
            </w:r>
          </w:p>
        </w:tc>
        <w:tc>
          <w:tcPr>
            <w:tcW w:type="dxa" w:w="869"/>
            <w:tcBorders>
              <w:top w:val="single" w:color="000000" w:sz="4"/>
              <w:left w:val="none" w:color="000000" w:sz="4"/>
              <w:bottom w:val="single" w:color="000000" w:sz="4"/>
              <w:right w:val="single" w:color="000000" w:sz="4"/>
            </w:tcBorders>
            <w:vAlign w:val="top"/>
          </w:tcPr>
          <w:p>
            <w:pPr>
              <w:jc w:val="center"/>
            </w:pPr>
            <w:r>
              <w:rPr>
                <w:sz w:val="24"/>
              </w:rPr>
              <w:t>交货</w:t>
            </w:r>
          </w:p>
          <w:p>
            <w:pPr>
              <w:jc w:val="center"/>
            </w:pPr>
            <w:r>
              <w:rPr>
                <w:sz w:val="24"/>
              </w:rPr>
              <w:t>地点</w:t>
            </w:r>
          </w:p>
        </w:tc>
        <w:tc>
          <w:tcPr>
            <w:tcW w:type="dxa" w:w="798"/>
            <w:tcBorders>
              <w:top w:val="single" w:color="000000" w:sz="4"/>
              <w:left w:val="none" w:color="000000" w:sz="4"/>
              <w:bottom w:val="single" w:color="000000" w:sz="4"/>
              <w:right w:val="single" w:color="000000" w:sz="4"/>
            </w:tcBorders>
            <w:vAlign w:val="top"/>
          </w:tcPr>
          <w:p>
            <w:pPr>
              <w:jc w:val="center"/>
            </w:pPr>
            <w:r>
              <w:rPr>
                <w:sz w:val="24"/>
              </w:rPr>
              <w:t>交货</w:t>
            </w:r>
          </w:p>
          <w:p>
            <w:pPr>
              <w:jc w:val="center"/>
            </w:pPr>
            <w:r>
              <w:rPr>
                <w:sz w:val="24"/>
              </w:rPr>
              <w:t>时间</w:t>
            </w:r>
          </w:p>
        </w:tc>
        <w:tc>
          <w:tcPr>
            <w:tcW w:type="dxa" w:w="798"/>
            <w:tcBorders>
              <w:top w:val="single" w:color="000000" w:sz="4"/>
              <w:left w:val="none" w:color="000000" w:sz="4"/>
              <w:bottom w:val="single" w:color="000000" w:sz="4"/>
              <w:right w:val="single" w:color="000000" w:sz="4"/>
            </w:tcBorders>
            <w:vAlign w:val="top"/>
          </w:tcPr>
          <w:p>
            <w:pPr>
              <w:jc w:val="center"/>
            </w:pPr>
            <w:r>
              <w:rPr>
                <w:sz w:val="24"/>
              </w:rPr>
              <w:t>备注</w:t>
            </w:r>
          </w:p>
        </w:tc>
      </w:tr>
      <w:tr>
        <w:tc>
          <w:tcPr>
            <w:tcW w:type="dxa" w:w="844"/>
            <w:tcBorders>
              <w:top w:val="none" w:color="000000" w:sz="4"/>
              <w:left w:val="single" w:color="000000" w:sz="4"/>
              <w:bottom w:val="single" w:color="000000" w:sz="4"/>
              <w:right w:val="single" w:color="000000" w:sz="4"/>
            </w:tcBorders>
            <w:vAlign w:val="top"/>
          </w:tcPr>
          <w:p>
            <w:pPr>
              <w:ind w:firstLine="2"/>
              <w:jc w:val="center"/>
            </w:pPr>
          </w:p>
        </w:tc>
        <w:tc>
          <w:tcPr>
            <w:tcW w:type="dxa" w:w="759"/>
            <w:tcBorders>
              <w:top w:val="none" w:color="000000" w:sz="4"/>
              <w:left w:val="none" w:color="000000" w:sz="4"/>
              <w:bottom w:val="single" w:color="000000" w:sz="4"/>
              <w:right w:val="single" w:color="000000" w:sz="4"/>
            </w:tcBorders>
            <w:vAlign w:val="top"/>
          </w:tcPr>
          <w:p>
            <w:pPr>
              <w:jc w:val="center"/>
            </w:pPr>
          </w:p>
        </w:tc>
        <w:tc>
          <w:tcPr>
            <w:tcW w:type="dxa" w:w="680"/>
            <w:tcBorders>
              <w:top w:val="none" w:color="000000" w:sz="4"/>
              <w:left w:val="none" w:color="000000" w:sz="4"/>
              <w:bottom w:val="single" w:color="000000" w:sz="4"/>
              <w:right w:val="single" w:color="000000" w:sz="4"/>
            </w:tcBorders>
            <w:vAlign w:val="top"/>
          </w:tcPr>
          <w:p>
            <w:pPr>
              <w:jc w:val="center"/>
            </w:pP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405"/>
            <w:tcBorders>
              <w:top w:val="none" w:color="000000" w:sz="4"/>
              <w:left w:val="none" w:color="000000" w:sz="4"/>
              <w:bottom w:val="single" w:color="000000" w:sz="4"/>
              <w:right w:val="single" w:color="000000" w:sz="4"/>
            </w:tcBorders>
            <w:vAlign w:val="top"/>
          </w:tcPr>
          <w:p>
            <w:pPr>
              <w:jc w:val="center"/>
            </w:pPr>
          </w:p>
        </w:tc>
        <w:tc>
          <w:tcPr>
            <w:tcW w:type="dxa" w:w="1117"/>
            <w:tcBorders>
              <w:top w:val="none" w:color="000000" w:sz="4"/>
              <w:left w:val="none" w:color="000000" w:sz="4"/>
              <w:bottom w:val="single" w:color="000000" w:sz="4"/>
              <w:right w:val="single" w:color="000000" w:sz="4"/>
            </w:tcBorders>
            <w:vAlign w:val="top"/>
          </w:tcPr>
          <w:p>
            <w:pPr>
              <w:jc w:val="center"/>
            </w:pPr>
          </w:p>
        </w:tc>
        <w:tc>
          <w:tcPr>
            <w:tcW w:type="dxa" w:w="1087"/>
            <w:tcBorders>
              <w:top w:val="none" w:color="000000" w:sz="4"/>
              <w:left w:val="none" w:color="000000" w:sz="4"/>
              <w:bottom w:val="single" w:color="000000" w:sz="4"/>
              <w:right w:val="single" w:color="000000" w:sz="4"/>
            </w:tcBorders>
            <w:vAlign w:val="top"/>
          </w:tcPr>
          <w:p>
            <w:pPr>
              <w:jc w:val="center"/>
            </w:pPr>
          </w:p>
        </w:tc>
        <w:tc>
          <w:tcPr>
            <w:tcW w:type="dxa" w:w="618"/>
            <w:tcBorders>
              <w:top w:val="none" w:color="000000" w:sz="4"/>
              <w:left w:val="none" w:color="000000" w:sz="4"/>
              <w:bottom w:val="single" w:color="000000" w:sz="4"/>
              <w:right w:val="single" w:color="000000" w:sz="4"/>
            </w:tcBorders>
            <w:vAlign w:val="top"/>
          </w:tcPr>
          <w:p>
            <w:r>
              <w:rPr>
                <w:sz w:val="19"/>
              </w:rPr>
              <w:t xml:space="preserve"> </w:t>
            </w:r>
          </w:p>
          <w:p>
            <w:pPr>
              <w:jc w:val="center"/>
            </w:pPr>
          </w:p>
        </w:tc>
        <w:tc>
          <w:tcPr>
            <w:tcW w:type="dxa" w:w="869"/>
            <w:tcBorders>
              <w:top w:val="none" w:color="000000" w:sz="4"/>
              <w:left w:val="none" w:color="000000" w:sz="4"/>
              <w:bottom w:val="single" w:color="000000" w:sz="4"/>
              <w:right w:val="single" w:color="000000" w:sz="4"/>
            </w:tcBorders>
            <w:vAlign w:val="top"/>
          </w:tcPr>
          <w:p>
            <w:pPr>
              <w:jc w:val="center"/>
            </w:pPr>
          </w:p>
        </w:tc>
        <w:tc>
          <w:tcPr>
            <w:tcW w:type="dxa" w:w="798"/>
            <w:tcBorders>
              <w:top w:val="none" w:color="000000" w:sz="4"/>
              <w:left w:val="none" w:color="000000" w:sz="4"/>
              <w:bottom w:val="single" w:color="000000" w:sz="4"/>
              <w:right w:val="single" w:color="000000" w:sz="4"/>
            </w:tcBorders>
            <w:vAlign w:val="top"/>
          </w:tcPr>
          <w:p>
            <w:pPr>
              <w:jc w:val="center"/>
            </w:pPr>
          </w:p>
        </w:tc>
        <w:tc>
          <w:tcPr>
            <w:tcW w:type="dxa" w:w="798"/>
            <w:tcBorders>
              <w:top w:val="none" w:color="000000" w:sz="4"/>
              <w:left w:val="none" w:color="000000" w:sz="4"/>
              <w:bottom w:val="single" w:color="000000" w:sz="4"/>
              <w:right w:val="single" w:color="000000" w:sz="4"/>
            </w:tcBorders>
            <w:vAlign w:val="top"/>
          </w:tcPr>
          <w:p>
            <w:pPr>
              <w:jc w:val="center"/>
            </w:pPr>
          </w:p>
        </w:tc>
      </w:tr>
      <w:tr>
        <w:tc>
          <w:tcPr>
            <w:tcW w:type="dxa" w:w="844"/>
            <w:tcBorders>
              <w:top w:val="none" w:color="000000" w:sz="4"/>
              <w:left w:val="single" w:color="000000" w:sz="4"/>
              <w:bottom w:val="single" w:color="000000" w:sz="4"/>
              <w:right w:val="single" w:color="000000" w:sz="4"/>
            </w:tcBorders>
            <w:vAlign w:val="top"/>
          </w:tcPr>
          <w:p>
            <w:pPr>
              <w:ind w:firstLine="2"/>
              <w:jc w:val="center"/>
            </w:pPr>
          </w:p>
        </w:tc>
        <w:tc>
          <w:tcPr>
            <w:tcW w:type="dxa" w:w="759"/>
            <w:tcBorders>
              <w:top w:val="none" w:color="000000" w:sz="4"/>
              <w:left w:val="none" w:color="000000" w:sz="4"/>
              <w:bottom w:val="single" w:color="000000" w:sz="4"/>
              <w:right w:val="single" w:color="000000" w:sz="4"/>
            </w:tcBorders>
            <w:vAlign w:val="top"/>
          </w:tcPr>
          <w:p>
            <w:pPr>
              <w:jc w:val="center"/>
            </w:pPr>
          </w:p>
        </w:tc>
        <w:tc>
          <w:tcPr>
            <w:tcW w:type="dxa" w:w="680"/>
            <w:tcBorders>
              <w:top w:val="none" w:color="000000" w:sz="4"/>
              <w:left w:val="none" w:color="000000" w:sz="4"/>
              <w:bottom w:val="single" w:color="000000" w:sz="4"/>
              <w:right w:val="single" w:color="000000" w:sz="4"/>
            </w:tcBorders>
            <w:vAlign w:val="top"/>
          </w:tcPr>
          <w:p>
            <w:pPr>
              <w:jc w:val="center"/>
            </w:pPr>
          </w:p>
        </w:tc>
        <w:tc>
          <w:tcPr>
            <w:tcW w:type="dxa" w:w="326"/>
            <w:tcBorders>
              <w:top w:val="none" w:color="000000" w:sz="4"/>
              <w:left w:val="none" w:color="000000" w:sz="4"/>
              <w:bottom w:val="single" w:color="000000" w:sz="4"/>
              <w:right w:val="single" w:color="000000" w:sz="4"/>
            </w:tcBorders>
            <w:vAlign w:val="top"/>
          </w:tcPr>
          <w:p>
            <w:pPr>
              <w:jc w:val="center"/>
            </w:pPr>
          </w:p>
        </w:tc>
        <w:tc>
          <w:tcPr>
            <w:tcW w:type="dxa" w:w="405"/>
            <w:tcBorders>
              <w:top w:val="none" w:color="000000" w:sz="4"/>
              <w:left w:val="none" w:color="000000" w:sz="4"/>
              <w:bottom w:val="single" w:color="000000" w:sz="4"/>
              <w:right w:val="single" w:color="000000" w:sz="4"/>
            </w:tcBorders>
            <w:vAlign w:val="top"/>
          </w:tcPr>
          <w:p>
            <w:pPr>
              <w:jc w:val="center"/>
            </w:pPr>
          </w:p>
        </w:tc>
        <w:tc>
          <w:tcPr>
            <w:tcW w:type="dxa" w:w="1117"/>
            <w:tcBorders>
              <w:top w:val="none" w:color="000000" w:sz="4"/>
              <w:left w:val="none" w:color="000000" w:sz="4"/>
              <w:bottom w:val="single" w:color="000000" w:sz="4"/>
              <w:right w:val="single" w:color="000000" w:sz="4"/>
            </w:tcBorders>
            <w:vAlign w:val="top"/>
          </w:tcPr>
          <w:p>
            <w:pPr>
              <w:jc w:val="center"/>
            </w:pPr>
          </w:p>
        </w:tc>
        <w:tc>
          <w:tcPr>
            <w:tcW w:type="dxa" w:w="1087"/>
            <w:tcBorders>
              <w:top w:val="none" w:color="000000" w:sz="4"/>
              <w:left w:val="none" w:color="000000" w:sz="4"/>
              <w:bottom w:val="single" w:color="000000" w:sz="4"/>
              <w:right w:val="single" w:color="000000" w:sz="4"/>
            </w:tcBorders>
            <w:vAlign w:val="top"/>
          </w:tcPr>
          <w:p>
            <w:r>
              <w:rPr>
                <w:sz w:val="19"/>
              </w:rPr>
              <w:t xml:space="preserve"> </w:t>
            </w:r>
          </w:p>
          <w:p>
            <w:pPr>
              <w:jc w:val="center"/>
            </w:pPr>
          </w:p>
        </w:tc>
        <w:tc>
          <w:tcPr>
            <w:tcW w:type="dxa" w:w="618"/>
            <w:tcBorders>
              <w:top w:val="none" w:color="000000" w:sz="4"/>
              <w:left w:val="none" w:color="000000" w:sz="4"/>
              <w:bottom w:val="single" w:color="000000" w:sz="4"/>
              <w:right w:val="single" w:color="000000" w:sz="4"/>
            </w:tcBorders>
            <w:vAlign w:val="top"/>
          </w:tcPr>
          <w:p>
            <w:pPr>
              <w:jc w:val="center"/>
            </w:pPr>
          </w:p>
        </w:tc>
        <w:tc>
          <w:tcPr>
            <w:tcW w:type="dxa" w:w="869"/>
            <w:tcBorders>
              <w:top w:val="none" w:color="000000" w:sz="4"/>
              <w:left w:val="none" w:color="000000" w:sz="4"/>
              <w:bottom w:val="single" w:color="000000" w:sz="4"/>
              <w:right w:val="single" w:color="000000" w:sz="4"/>
            </w:tcBorders>
            <w:vAlign w:val="top"/>
          </w:tcPr>
          <w:p>
            <w:pPr>
              <w:jc w:val="center"/>
            </w:pPr>
          </w:p>
        </w:tc>
        <w:tc>
          <w:tcPr>
            <w:tcW w:type="dxa" w:w="798"/>
            <w:tcBorders>
              <w:top w:val="none" w:color="000000" w:sz="4"/>
              <w:left w:val="none" w:color="000000" w:sz="4"/>
              <w:bottom w:val="single" w:color="000000" w:sz="4"/>
              <w:right w:val="single" w:color="000000" w:sz="4"/>
            </w:tcBorders>
            <w:vAlign w:val="top"/>
          </w:tcPr>
          <w:p>
            <w:pPr>
              <w:jc w:val="center"/>
            </w:pPr>
          </w:p>
        </w:tc>
        <w:tc>
          <w:tcPr>
            <w:tcW w:type="dxa" w:w="798"/>
            <w:tcBorders>
              <w:top w:val="none" w:color="000000" w:sz="4"/>
              <w:left w:val="none" w:color="000000" w:sz="4"/>
              <w:bottom w:val="single" w:color="000000" w:sz="4"/>
              <w:right w:val="single" w:color="000000" w:sz="4"/>
            </w:tcBorders>
            <w:vAlign w:val="top"/>
          </w:tcPr>
          <w:p>
            <w:pPr>
              <w:jc w:val="center"/>
            </w:pPr>
          </w:p>
        </w:tc>
      </w:tr>
    </w:tbl>
    <w:p>
      <w:pPr>
        <w:jc w:val="both"/>
      </w:pPr>
      <w:r>
        <w:rPr>
          <w:sz w:val="21"/>
        </w:rPr>
        <w:t xml:space="preserve">    </w:t>
      </w:r>
      <w:r>
        <w:rPr>
          <w:b/>
          <w:sz w:val="24"/>
        </w:rPr>
        <w:t xml:space="preserve">  2.</w:t>
      </w:r>
      <w:r>
        <w:rPr>
          <w:b/>
          <w:sz w:val="24"/>
        </w:rPr>
        <w:t>合同总价</w:t>
      </w:r>
    </w:p>
    <w:p>
      <w:pPr>
        <w:ind w:firstLine="523"/>
        <w:jc w:val="both"/>
      </w:pPr>
      <w:r>
        <w:rPr>
          <w:sz w:val="24"/>
        </w:rPr>
        <w:t>合同总价</w:t>
      </w:r>
      <w:r>
        <w:rPr>
          <w:b/>
          <w:sz w:val="24"/>
        </w:rPr>
        <w:t>（含税价）</w:t>
      </w:r>
      <w:r>
        <w:rPr>
          <w:sz w:val="24"/>
        </w:rPr>
        <w:t>为：</w:t>
      </w:r>
      <w:r>
        <w:rPr>
          <w:b/>
          <w:sz w:val="24"/>
        </w:rPr>
        <w:t>人民币</w:t>
      </w:r>
      <w:r>
        <w:rPr>
          <w:b/>
          <w:sz w:val="24"/>
          <w:u w:val="single"/>
        </w:rPr>
        <w:t xml:space="preserve">             </w:t>
      </w:r>
      <w:r>
        <w:rPr>
          <w:b/>
          <w:sz w:val="24"/>
          <w:u w:val="single"/>
        </w:rPr>
        <w:t>元</w:t>
      </w:r>
      <w:r>
        <w:rPr>
          <w:b/>
          <w:sz w:val="24"/>
        </w:rPr>
        <w:t>，即</w:t>
      </w:r>
      <w:r>
        <w:rPr>
          <w:b/>
          <w:sz w:val="24"/>
          <w:u w:val="single"/>
        </w:rPr>
        <w:t>¥</w:t>
      </w:r>
      <w:r>
        <w:rPr>
          <w:b/>
          <w:sz w:val="21"/>
          <w:u w:val="single"/>
        </w:rPr>
        <w:t xml:space="preserve">            </w:t>
      </w:r>
      <w:r>
        <w:rPr>
          <w:sz w:val="24"/>
        </w:rPr>
        <w:t>，税率</w:t>
      </w:r>
      <w:r>
        <w:rPr>
          <w:sz w:val="21"/>
          <w:u w:val="single"/>
        </w:rPr>
        <w:t xml:space="preserve">  </w:t>
      </w:r>
      <w:r>
        <w:rPr>
          <w:sz w:val="24"/>
        </w:rPr>
        <w:t>%</w:t>
      </w:r>
      <w:r>
        <w:rPr>
          <w:sz w:val="24"/>
        </w:rPr>
        <w:t>，不含税价</w:t>
      </w:r>
      <w:r>
        <w:rPr>
          <w:b/>
          <w:sz w:val="24"/>
          <w:u w:val="single"/>
        </w:rPr>
        <w:t xml:space="preserve">      </w:t>
      </w:r>
      <w:r>
        <w:rPr>
          <w:b/>
          <w:sz w:val="24"/>
          <w:u w:val="single"/>
        </w:rPr>
        <w:t>元</w:t>
      </w:r>
      <w:r>
        <w:rPr>
          <w:sz w:val="24"/>
        </w:rPr>
        <w:t>，该合同总金额是设计、设备制造、包装、仓储、运输、安装、培训及验收合格之前及保修期间包括备品备件及合同内所有设备配件和耗材发生的所有含税费用。本合同执行期间合同总金额不变。</w:t>
      </w:r>
    </w:p>
    <w:p>
      <w:pPr>
        <w:jc w:val="both"/>
      </w:pPr>
    </w:p>
    <w:p>
      <w:pPr>
        <w:jc w:val="both"/>
      </w:pPr>
      <w:r>
        <w:rPr>
          <w:b/>
          <w:sz w:val="24"/>
        </w:rPr>
        <w:t>3.</w:t>
      </w:r>
      <w:r>
        <w:rPr>
          <w:b/>
          <w:sz w:val="24"/>
        </w:rPr>
        <w:t>合同组成</w:t>
      </w:r>
    </w:p>
    <w:p>
      <w:pPr>
        <w:ind w:firstLine="607"/>
        <w:jc w:val="both"/>
      </w:pPr>
      <w:r>
        <w:rPr>
          <w:sz w:val="24"/>
        </w:rPr>
        <w:t>详细价格、技术说明及其它有关合同设备的特定信息由合同附件说明。采购项目的招标文件、中标通知、乙方投标文件、所有合同附件及本项目的会议纪要、协议、澄清等均为本合同不可分割之一部分。</w:t>
      </w:r>
    </w:p>
    <w:p>
      <w:pPr>
        <w:jc w:val="both"/>
      </w:pPr>
    </w:p>
    <w:p>
      <w:pPr>
        <w:ind w:firstLine="240"/>
        <w:jc w:val="both"/>
      </w:pPr>
      <w:r>
        <w:rPr>
          <w:b/>
          <w:sz w:val="24"/>
        </w:rPr>
        <w:t>4.</w:t>
      </w:r>
      <w:r>
        <w:rPr>
          <w:b/>
          <w:sz w:val="24"/>
        </w:rPr>
        <w:t>技术要求</w:t>
      </w:r>
    </w:p>
    <w:p>
      <w:pPr>
        <w:ind w:firstLine="597"/>
        <w:jc w:val="both"/>
      </w:pPr>
      <w:r>
        <w:rPr>
          <w:sz w:val="24"/>
        </w:rPr>
        <w:t>乙方所提供设备，必须符合国家有关规范和环保要求及甲方的技术要求，并提供设备的检测报告。</w:t>
      </w:r>
    </w:p>
    <w:p>
      <w:pPr>
        <w:ind w:firstLine="600"/>
        <w:jc w:val="both"/>
      </w:pPr>
    </w:p>
    <w:p>
      <w:pPr>
        <w:ind w:firstLine="180"/>
        <w:jc w:val="both"/>
      </w:pPr>
      <w:r>
        <w:rPr>
          <w:b/>
          <w:sz w:val="24"/>
        </w:rPr>
        <w:t>5.</w:t>
      </w:r>
      <w:r>
        <w:rPr>
          <w:b/>
          <w:sz w:val="21"/>
        </w:rPr>
        <w:t xml:space="preserve"> </w:t>
      </w:r>
      <w:r>
        <w:rPr>
          <w:b/>
          <w:sz w:val="24"/>
        </w:rPr>
        <w:t>合同设备包装、交货、安装、培训及验收</w:t>
      </w:r>
    </w:p>
    <w:p>
      <w:pPr>
        <w:ind w:firstLine="240"/>
        <w:jc w:val="both"/>
      </w:pPr>
      <w:r>
        <w:rPr>
          <w:sz w:val="24"/>
        </w:rPr>
        <w:t>5.1</w:t>
      </w:r>
      <w:r>
        <w:rPr>
          <w:sz w:val="24"/>
        </w:rPr>
        <w:t>合同设备的包装</w:t>
      </w:r>
    </w:p>
    <w:p>
      <w:pPr>
        <w:ind w:firstLine="628"/>
        <w:jc w:val="both"/>
      </w:pPr>
      <w:r>
        <w:rPr>
          <w:sz w:val="24"/>
        </w:rPr>
        <w:t>设备的包装均应有良好的防湿、防锈、防潮、防雨、防腐及防碰撞的措施。凡由于包装不良造成的损失和由此产生的费用均由乙方承担。</w:t>
      </w:r>
    </w:p>
    <w:p>
      <w:pPr>
        <w:jc w:val="both"/>
      </w:pPr>
      <w:r>
        <w:rPr>
          <w:sz w:val="24"/>
        </w:rPr>
        <w:t xml:space="preserve">  5.2  </w:t>
      </w:r>
      <w:r>
        <w:rPr>
          <w:sz w:val="24"/>
        </w:rPr>
        <w:t>合同设备的交货</w:t>
      </w:r>
    </w:p>
    <w:p>
      <w:pPr>
        <w:jc w:val="both"/>
      </w:pPr>
      <w:r>
        <w:rPr>
          <w:sz w:val="24"/>
        </w:rPr>
        <w:t>5.2.1</w:t>
      </w:r>
      <w:r>
        <w:rPr>
          <w:sz w:val="24"/>
        </w:rPr>
        <w:t>乙方交货时间：</w:t>
      </w:r>
      <w:r>
        <w:rPr>
          <w:b/>
          <w:sz w:val="24"/>
          <w:u w:val="single"/>
        </w:rPr>
        <w:t>签订合同后</w:t>
      </w:r>
      <w:r>
        <w:rPr>
          <w:b/>
          <w:sz w:val="24"/>
          <w:u w:val="single"/>
        </w:rPr>
        <w:t xml:space="preserve">  </w:t>
      </w:r>
      <w:r>
        <w:rPr>
          <w:b/>
          <w:sz w:val="24"/>
          <w:u w:val="single"/>
        </w:rPr>
        <w:t>个工作日内</w:t>
      </w:r>
      <w:r>
        <w:rPr>
          <w:sz w:val="21"/>
        </w:rPr>
        <w:t xml:space="preserve"> </w:t>
      </w:r>
      <w:r>
        <w:rPr>
          <w:b/>
          <w:sz w:val="21"/>
        </w:rPr>
        <w:t xml:space="preserve"> </w:t>
      </w:r>
    </w:p>
    <w:p>
      <w:pPr>
        <w:jc w:val="both"/>
      </w:pPr>
      <w:r>
        <w:rPr>
          <w:sz w:val="24"/>
        </w:rPr>
        <w:t>5.2.2</w:t>
      </w:r>
      <w:r>
        <w:rPr>
          <w:sz w:val="24"/>
        </w:rPr>
        <w:t>乙方交货地点：</w:t>
      </w:r>
      <w:r>
        <w:rPr>
          <w:b/>
          <w:sz w:val="24"/>
        </w:rPr>
        <w:t>广州市番禺区中心医院</w:t>
      </w:r>
    </w:p>
    <w:p>
      <w:pPr>
        <w:ind w:firstLine="240"/>
        <w:jc w:val="both"/>
      </w:pPr>
      <w:r>
        <w:rPr>
          <w:sz w:val="24"/>
        </w:rPr>
        <w:t xml:space="preserve">5.3  </w:t>
      </w:r>
      <w:r>
        <w:rPr>
          <w:sz w:val="24"/>
        </w:rPr>
        <w:t>合同设备的安装、培训</w:t>
      </w:r>
    </w:p>
    <w:p>
      <w:pPr>
        <w:ind w:firstLine="240"/>
        <w:jc w:val="both"/>
      </w:pPr>
      <w:r>
        <w:rPr>
          <w:sz w:val="24"/>
        </w:rPr>
        <w:t>5.3.1</w:t>
      </w:r>
      <w:r>
        <w:rPr>
          <w:sz w:val="24"/>
        </w:rPr>
        <w:t>乙方负责合同项下的安装，提供数字输出端口格式文件并输出数字信息，配合甲方与信息管理系统连接，所产生的一切费用由乙方负责。</w:t>
      </w:r>
    </w:p>
    <w:p>
      <w:pPr>
        <w:ind w:firstLine="240"/>
        <w:jc w:val="both"/>
      </w:pPr>
      <w:r>
        <w:rPr>
          <w:sz w:val="24"/>
        </w:rPr>
        <w:t>5.3.2</w:t>
      </w:r>
      <w:r>
        <w:rPr>
          <w:sz w:val="24"/>
        </w:rPr>
        <w:t>乙方安装时须对各安装场地内的其他设备、设施、货物、人员有良好保护措施。</w:t>
      </w:r>
    </w:p>
    <w:p>
      <w:pPr>
        <w:ind w:firstLine="240"/>
        <w:jc w:val="both"/>
      </w:pPr>
      <w:r>
        <w:rPr>
          <w:sz w:val="24"/>
        </w:rPr>
        <w:t>5.3.3</w:t>
      </w:r>
      <w:r>
        <w:rPr>
          <w:sz w:val="24"/>
        </w:rPr>
        <w:t>设备</w:t>
      </w:r>
      <w:r>
        <w:rPr>
          <w:sz w:val="24"/>
        </w:rPr>
        <w:t>安装过程中</w:t>
      </w:r>
      <w:r>
        <w:rPr>
          <w:sz w:val="24"/>
        </w:rPr>
        <w:t>，</w:t>
      </w:r>
      <w:r>
        <w:rPr>
          <w:sz w:val="24"/>
        </w:rPr>
        <w:t>甲方</w:t>
      </w:r>
      <w:r>
        <w:rPr>
          <w:sz w:val="24"/>
        </w:rPr>
        <w:t>可</w:t>
      </w:r>
      <w:r>
        <w:rPr>
          <w:sz w:val="24"/>
        </w:rPr>
        <w:t>提供必要的水、电设施等，相关费用由乙方承担。物品存放期间由乙方负责看护，丢失、损坏由乙方承担损失。</w:t>
      </w:r>
    </w:p>
    <w:p>
      <w:pPr>
        <w:ind w:firstLine="240"/>
        <w:jc w:val="both"/>
      </w:pPr>
      <w:r>
        <w:rPr>
          <w:sz w:val="24"/>
        </w:rPr>
        <w:t>5.3.</w:t>
      </w:r>
      <w:r>
        <w:rPr>
          <w:sz w:val="24"/>
        </w:rPr>
        <w:t>4</w:t>
      </w:r>
      <w:r>
        <w:rPr>
          <w:sz w:val="24"/>
        </w:rPr>
        <w:t>乙方负责对甲方进行操作、保养、维护及简易维修培训。</w:t>
      </w:r>
    </w:p>
    <w:p>
      <w:pPr>
        <w:ind w:firstLine="240"/>
        <w:jc w:val="both"/>
      </w:pPr>
      <w:r>
        <w:rPr>
          <w:sz w:val="24"/>
        </w:rPr>
        <w:t xml:space="preserve">5.4  </w:t>
      </w:r>
      <w:r>
        <w:rPr>
          <w:sz w:val="24"/>
        </w:rPr>
        <w:t>设备的验收</w:t>
      </w:r>
    </w:p>
    <w:p>
      <w:pPr>
        <w:jc w:val="both"/>
      </w:pPr>
      <w:r>
        <w:rPr>
          <w:sz w:val="24"/>
        </w:rPr>
        <w:t>5.4.1</w:t>
      </w:r>
      <w:r>
        <w:rPr>
          <w:sz w:val="24"/>
        </w:rPr>
        <w:t>合同设备安装完成后</w:t>
      </w:r>
      <w:r>
        <w:rPr>
          <w:sz w:val="24"/>
        </w:rPr>
        <w:t xml:space="preserve">  </w:t>
      </w:r>
      <w:r>
        <w:rPr>
          <w:sz w:val="24"/>
        </w:rPr>
        <w:t>个工作日内验收，验收应在甲乙双方共同参加下进行。</w:t>
      </w:r>
    </w:p>
    <w:p>
      <w:pPr>
        <w:jc w:val="both"/>
      </w:pPr>
      <w:r>
        <w:rPr>
          <w:sz w:val="24"/>
        </w:rPr>
        <w:t>5.4.2</w:t>
      </w:r>
      <w:r>
        <w:rPr>
          <w:sz w:val="24"/>
        </w:rPr>
        <w:t>甲方按照采购合同规定的技术、服务、安全标准组织对乙方履约情况进行验收，并出具验收书。验收书应当包括每一项技术、服务、安全标准的履约情况。</w:t>
      </w:r>
    </w:p>
    <w:p>
      <w:pPr>
        <w:jc w:val="both"/>
      </w:pPr>
      <w:r>
        <w:rPr>
          <w:sz w:val="24"/>
        </w:rPr>
        <w:t>5.4.3</w:t>
      </w:r>
      <w:r>
        <w:rPr>
          <w:sz w:val="24"/>
        </w:rPr>
        <w:t>交付验收标准依次序对照适用标准为：①符合中华人民共和国国家安全质量标准、环保标准或行业标准；②符合招标文件和投标承诺中甲方认可的合理最佳配置、参数及各项要求；③货物来源国官方标准。</w:t>
      </w:r>
    </w:p>
    <w:p>
      <w:pPr>
        <w:jc w:val="both"/>
      </w:pPr>
      <w:r>
        <w:rPr>
          <w:sz w:val="24"/>
        </w:rPr>
        <w:t>5.4.4</w:t>
      </w:r>
      <w:r>
        <w:rPr>
          <w:sz w:val="24"/>
        </w:rPr>
        <w:t>货物为原厂商未启封全新包装，具有出厂合格证，序列号、包装箱号与出厂批号一致，并可追索查阅。所有随设备的附件必须齐全。</w:t>
      </w:r>
    </w:p>
    <w:p>
      <w:pPr>
        <w:jc w:val="both"/>
      </w:pPr>
      <w:r>
        <w:rPr>
          <w:sz w:val="24"/>
        </w:rPr>
        <w:t>5.4.5</w:t>
      </w:r>
      <w:r>
        <w:rPr>
          <w:sz w:val="24"/>
        </w:rPr>
        <w:t>乙方将货物的用户手册、保修手册、有关单证资料及备品备件、随机工具等交付给甲方，使用操作及安全须知等重要资料应附有中文说明。</w:t>
      </w:r>
    </w:p>
    <w:p>
      <w:pPr>
        <w:jc w:val="both"/>
      </w:pPr>
      <w:r>
        <w:rPr>
          <w:sz w:val="24"/>
        </w:rPr>
        <w:t>5.4.6</w:t>
      </w:r>
      <w:r>
        <w:rPr>
          <w:sz w:val="24"/>
        </w:rPr>
        <w:t>货物验收所发生的检验费用由乙方负担。</w:t>
      </w:r>
    </w:p>
    <w:p>
      <w:pPr>
        <w:jc w:val="both"/>
      </w:pPr>
      <w:r>
        <w:rPr>
          <w:sz w:val="24"/>
        </w:rPr>
        <w:t>5.4.7</w:t>
      </w:r>
      <w:r>
        <w:rPr>
          <w:sz w:val="24"/>
        </w:rPr>
        <w:t>设备到货并经乙方技术人员安装后，甲方有权委托中国有资格的单位对上述设备进行校准或检验，设备校准或检定所需的费用由乙方负担。</w:t>
      </w:r>
    </w:p>
    <w:p>
      <w:pPr>
        <w:jc w:val="both"/>
      </w:pPr>
      <w:r>
        <w:rPr>
          <w:sz w:val="24"/>
        </w:rPr>
        <w:t>5.4.8</w:t>
      </w:r>
      <w:r>
        <w:rPr>
          <w:sz w:val="24"/>
        </w:rPr>
        <w:t>甲方组成验收小组，按照采购合同规定的技术、服务、安全标准组织对中标供应商履约情况进行验收。因货物质量问题发生争议时，由甲方本地质量技术监督部门鉴定。货物符合质量技术标准的，鉴定费由甲方承担；否则鉴定费由乙方承担。</w:t>
      </w:r>
    </w:p>
    <w:p>
      <w:pPr>
        <w:jc w:val="both"/>
      </w:pPr>
      <w:r>
        <w:rPr>
          <w:sz w:val="24"/>
        </w:rPr>
        <w:t>5.4.9</w:t>
      </w:r>
      <w:r>
        <w:rPr>
          <w:sz w:val="24"/>
        </w:rPr>
        <w:t>中标产品如属国家强制计量产品，需由乙方完成首次计量强检。</w:t>
      </w:r>
    </w:p>
    <w:p>
      <w:pPr>
        <w:jc w:val="both"/>
      </w:pPr>
      <w:r>
        <w:rPr>
          <w:sz w:val="24"/>
        </w:rPr>
        <w:t>5.4.10</w:t>
      </w:r>
      <w:r>
        <w:rPr>
          <w:sz w:val="24"/>
        </w:rPr>
        <w:t>当出现不合格产品时，乙方要无条件更换合格产品。除甲方认可，否则不接受任何形式的降格处理</w:t>
      </w:r>
      <w:r>
        <w:rPr>
          <w:sz w:val="24"/>
        </w:rPr>
        <w:t>。</w:t>
      </w:r>
    </w:p>
    <w:p>
      <w:pPr>
        <w:jc w:val="both"/>
      </w:pPr>
      <w:r>
        <w:rPr>
          <w:sz w:val="24"/>
        </w:rPr>
        <w:t>5.5</w:t>
      </w:r>
      <w:r>
        <w:rPr>
          <w:sz w:val="24"/>
        </w:rPr>
        <w:t>乙方保证合同项下提供的设备不侵犯任何第三方的专利、商标或版权。否则，乙方须承担对第三方的专利或版权的侵权责任并承担因此而发生的所有费用。</w:t>
      </w:r>
    </w:p>
    <w:p>
      <w:pPr>
        <w:jc w:val="both"/>
      </w:pPr>
    </w:p>
    <w:p>
      <w:pPr>
        <w:ind w:firstLine="182"/>
        <w:jc w:val="both"/>
      </w:pPr>
      <w:r>
        <w:rPr>
          <w:b/>
          <w:sz w:val="24"/>
        </w:rPr>
        <w:t>6.</w:t>
      </w:r>
      <w:r>
        <w:rPr>
          <w:b/>
          <w:sz w:val="24"/>
        </w:rPr>
        <w:t>质量保证及售后服务</w:t>
      </w:r>
    </w:p>
    <w:p>
      <w:pPr>
        <w:jc w:val="both"/>
      </w:pPr>
      <w:r>
        <w:rPr>
          <w:sz w:val="24"/>
        </w:rPr>
        <w:t>6.1</w:t>
      </w:r>
      <w:r>
        <w:rPr>
          <w:sz w:val="24"/>
        </w:rPr>
        <w:t>乙方保证合同设备是全新、未曾使用过的，其质量、规格及技术特征符合合同附件的要求，同时提供机型必须同档次的最高端机型，配置最新版本的软件，且具备终身免费升级功能。并保证设备符合国家相关质量标准。设备必须提供出厂合格证</w:t>
      </w:r>
      <w:r>
        <w:rPr>
          <w:sz w:val="24"/>
        </w:rPr>
        <w:t>,</w:t>
      </w:r>
      <w:r>
        <w:rPr>
          <w:sz w:val="24"/>
        </w:rPr>
        <w:t>及根据医疗行业管理法规规定必须具备的其他证照（产品注册证、经营企业许可证、生产企业许可证等证件，复印件必须加盖经销单位公章）。</w:t>
      </w:r>
    </w:p>
    <w:p>
      <w:pPr>
        <w:jc w:val="both"/>
      </w:pPr>
      <w:r>
        <w:rPr>
          <w:sz w:val="24"/>
        </w:rPr>
        <w:t>6.2</w:t>
      </w:r>
      <w:r>
        <w:rPr>
          <w:sz w:val="24"/>
        </w:rPr>
        <w:t>合同设备保质保用期为本项目有关部门验收并在《医院验收表》完成全部签字之日起不少于</w:t>
      </w:r>
      <w:r>
        <w:rPr>
          <w:b/>
          <w:sz w:val="21"/>
          <w:u w:val="single"/>
        </w:rPr>
        <w:t xml:space="preserve">   </w:t>
      </w:r>
      <w:r>
        <w:rPr>
          <w:sz w:val="24"/>
        </w:rPr>
        <w:t>个月，且不少于</w:t>
      </w:r>
      <w:r>
        <w:rPr>
          <w:sz w:val="21"/>
          <w:u w:val="single"/>
        </w:rPr>
        <w:t xml:space="preserve">   </w:t>
      </w:r>
      <w:r>
        <w:rPr>
          <w:sz w:val="24"/>
        </w:rPr>
        <w:t>次</w:t>
      </w:r>
      <w:r>
        <w:rPr>
          <w:sz w:val="24"/>
        </w:rPr>
        <w:t>/</w:t>
      </w:r>
      <w:r>
        <w:rPr>
          <w:sz w:val="24"/>
        </w:rPr>
        <w:t>年的维护保养，每次维护保养需出具保养记录，经甲方工程师现场监管并签字确认。</w:t>
      </w:r>
    </w:p>
    <w:p>
      <w:pPr>
        <w:jc w:val="both"/>
      </w:pPr>
      <w:r>
        <w:rPr>
          <w:sz w:val="24"/>
        </w:rPr>
        <w:t>保质保用期内非因甲方的人为原因而出现产品质量及安装问题，由乙方负责包修、包换或包退，并承担因此而产生的一切费用。乙方应在收到甲方故障通知后</w:t>
      </w:r>
      <w:r>
        <w:rPr>
          <w:sz w:val="21"/>
          <w:u w:val="single"/>
        </w:rPr>
        <w:t xml:space="preserve">  </w:t>
      </w:r>
      <w:r>
        <w:rPr>
          <w:sz w:val="24"/>
        </w:rPr>
        <w:t>小时内响应；</w:t>
      </w:r>
      <w:r>
        <w:rPr>
          <w:sz w:val="24"/>
        </w:rPr>
        <w:t xml:space="preserve"> </w:t>
      </w:r>
      <w:r>
        <w:rPr>
          <w:sz w:val="21"/>
          <w:u w:val="single"/>
        </w:rPr>
        <w:t xml:space="preserve">  </w:t>
      </w:r>
      <w:r>
        <w:rPr>
          <w:b/>
          <w:sz w:val="24"/>
          <w:u w:val="single"/>
        </w:rPr>
        <w:t>小时内到达维修现场</w:t>
      </w:r>
      <w:r>
        <w:rPr>
          <w:sz w:val="24"/>
        </w:rPr>
        <w:t>，保修期内必须保证</w:t>
      </w:r>
      <w:r>
        <w:rPr>
          <w:sz w:val="21"/>
          <w:u w:val="single"/>
        </w:rPr>
        <w:t xml:space="preserve">   </w:t>
      </w:r>
      <w:r>
        <w:rPr>
          <w:sz w:val="24"/>
        </w:rPr>
        <w:t>%</w:t>
      </w:r>
      <w:r>
        <w:rPr>
          <w:sz w:val="24"/>
        </w:rPr>
        <w:t>以上工作日正常工作（以每年</w:t>
      </w:r>
      <w:r>
        <w:rPr>
          <w:sz w:val="24"/>
        </w:rPr>
        <w:t>365</w:t>
      </w:r>
      <w:r>
        <w:rPr>
          <w:sz w:val="24"/>
        </w:rPr>
        <w:t>天计算），如未达到，应按</w:t>
      </w:r>
      <w:r>
        <w:rPr>
          <w:sz w:val="21"/>
          <w:u w:val="single"/>
        </w:rPr>
        <w:t xml:space="preserve">  </w:t>
      </w:r>
      <w:r>
        <w:rPr>
          <w:sz w:val="24"/>
        </w:rPr>
        <w:t>倍时间相应延长保修期。需提供生产厂家售后服务机构提供售后服务承诺，提供免费咨询电话。乙方或厂家负责设备运输及到货或安装调试工作，整机由原厂技术人员提供设备免费应用、操作培训及售后服务。</w:t>
      </w:r>
    </w:p>
    <w:p>
      <w:pPr>
        <w:jc w:val="both"/>
      </w:pPr>
      <w:r>
        <w:rPr>
          <w:sz w:val="24"/>
        </w:rPr>
        <w:t>设备故障需返厂维修时，乙方提供技术、性能指标不低于本合同要求的备用机型，提供维修替换使用。</w:t>
      </w:r>
    </w:p>
    <w:p>
      <w:pPr>
        <w:jc w:val="both"/>
      </w:pPr>
      <w:r>
        <w:rPr>
          <w:sz w:val="24"/>
        </w:rPr>
        <w:t>保质保用期后对乙方合同货物提供终身免费保修服务，如需更换零配件，乙方只收取零配件费。在硬件无改变的情况下，软件终身免费维护、升级。</w:t>
      </w:r>
    </w:p>
    <w:p>
      <w:pPr>
        <w:jc w:val="both"/>
      </w:pPr>
      <w:r>
        <w:rPr>
          <w:sz w:val="24"/>
        </w:rPr>
        <w:t>下列情况乙方不负责免费保修：</w:t>
      </w:r>
    </w:p>
    <w:p>
      <w:pPr>
        <w:ind w:firstLine="567"/>
        <w:jc w:val="both"/>
      </w:pPr>
      <w:r>
        <w:rPr>
          <w:sz w:val="24"/>
        </w:rPr>
        <w:t>（</w:t>
      </w:r>
      <w:r>
        <w:rPr>
          <w:sz w:val="24"/>
        </w:rPr>
        <w:t>1</w:t>
      </w:r>
      <w:r>
        <w:rPr>
          <w:sz w:val="24"/>
        </w:rPr>
        <w:t>）</w:t>
      </w:r>
      <w:r>
        <w:rPr>
          <w:sz w:val="24"/>
        </w:rPr>
        <w:t>不按照乙方提供的正确使用方法而引致设备故障损坏；</w:t>
      </w:r>
    </w:p>
    <w:p>
      <w:pPr>
        <w:ind w:firstLine="600"/>
        <w:jc w:val="both"/>
      </w:pPr>
      <w:r>
        <w:rPr>
          <w:sz w:val="24"/>
        </w:rPr>
        <w:t>（</w:t>
      </w:r>
      <w:r>
        <w:rPr>
          <w:sz w:val="24"/>
        </w:rPr>
        <w:t>2</w:t>
      </w:r>
      <w:r>
        <w:rPr>
          <w:sz w:val="24"/>
        </w:rPr>
        <w:t>）</w:t>
      </w:r>
      <w:r>
        <w:rPr>
          <w:sz w:val="21"/>
        </w:rPr>
        <w:t xml:space="preserve"> </w:t>
      </w:r>
      <w:r>
        <w:rPr>
          <w:sz w:val="24"/>
        </w:rPr>
        <w:t>擅自改装设备；</w:t>
      </w:r>
    </w:p>
    <w:p>
      <w:pPr>
        <w:jc w:val="both"/>
      </w:pPr>
      <w:r>
        <w:rPr>
          <w:sz w:val="24"/>
        </w:rPr>
        <w:t>6.3</w:t>
      </w:r>
      <w:r>
        <w:rPr>
          <w:sz w:val="24"/>
        </w:rPr>
        <w:t>因设备的质量问题而发生争议，由广东省质检部门进行质量鉴定。设备符合质量标准的，鉴定费用由甲方承担；设备不符合质量标准的，鉴定费用由乙方承担。</w:t>
      </w:r>
    </w:p>
    <w:p>
      <w:pPr>
        <w:jc w:val="both"/>
      </w:pPr>
      <w:r>
        <w:rPr>
          <w:sz w:val="24"/>
        </w:rPr>
        <w:t>6.4</w:t>
      </w:r>
      <w:r>
        <w:rPr>
          <w:sz w:val="24"/>
        </w:rPr>
        <w:t>乙方无偿培训甲方维修人员，主要内容为设备的基本结构、性能、主要部件的构造及修理，日常使用保养与管理，常见故障的排除，紧急情况的处理等，培训地点主要在设备安装现场或按甲方安排。</w:t>
      </w:r>
    </w:p>
    <w:p>
      <w:pPr>
        <w:jc w:val="both"/>
      </w:pPr>
      <w:r>
        <w:rPr>
          <w:sz w:val="24"/>
        </w:rPr>
        <w:t>6.5</w:t>
      </w:r>
      <w:r>
        <w:rPr>
          <w:sz w:val="24"/>
        </w:rPr>
        <w:t>产品必须由卖方负责完成首次计量强制检定。</w:t>
      </w:r>
    </w:p>
    <w:p>
      <w:pPr>
        <w:jc w:val="both"/>
      </w:pPr>
    </w:p>
    <w:p>
      <w:pPr>
        <w:ind w:firstLine="180"/>
        <w:jc w:val="both"/>
      </w:pPr>
      <w:r>
        <w:rPr>
          <w:b/>
          <w:sz w:val="24"/>
        </w:rPr>
        <w:t>7.</w:t>
      </w:r>
      <w:r>
        <w:rPr>
          <w:b/>
          <w:sz w:val="21"/>
        </w:rPr>
        <w:t xml:space="preserve"> </w:t>
      </w:r>
      <w:r>
        <w:rPr>
          <w:b/>
          <w:sz w:val="24"/>
        </w:rPr>
        <w:t>付款办法</w:t>
      </w:r>
    </w:p>
    <w:p>
      <w:pPr>
        <w:jc w:val="both"/>
      </w:pPr>
      <w:r>
        <w:rPr>
          <w:sz w:val="24"/>
        </w:rPr>
        <w:t>7.1</w:t>
      </w:r>
      <w:r>
        <w:rPr>
          <w:sz w:val="24"/>
        </w:rPr>
        <w:t>本合同的每笔款项以银行转账方式支付，支付的时间和金额如下：</w:t>
      </w:r>
    </w:p>
    <w:p>
      <w:pPr>
        <w:jc w:val="both"/>
      </w:pPr>
      <w:r>
        <w:rPr>
          <w:sz w:val="24"/>
        </w:rPr>
        <w:t>7.2</w:t>
      </w:r>
      <w:r>
        <w:rPr>
          <w:sz w:val="24"/>
        </w:rPr>
        <w:t>合同设备全部到指定地点交付并完成安装及验收合格后，乙方向甲方提供以下相应资料：</w:t>
      </w:r>
    </w:p>
    <w:p>
      <w:pPr>
        <w:jc w:val="both"/>
      </w:pPr>
      <w:r>
        <w:rPr>
          <w:sz w:val="24"/>
        </w:rPr>
        <w:t>（</w:t>
      </w:r>
      <w:r>
        <w:rPr>
          <w:sz w:val="24"/>
        </w:rPr>
        <w:t>1</w:t>
      </w:r>
      <w:r>
        <w:rPr>
          <w:sz w:val="24"/>
        </w:rPr>
        <w:t>）</w:t>
      </w:r>
      <w:r>
        <w:rPr>
          <w:sz w:val="24"/>
        </w:rPr>
        <w:t>乙方开具的正式全额发票；</w:t>
      </w:r>
    </w:p>
    <w:p>
      <w:pPr>
        <w:jc w:val="both"/>
      </w:pPr>
      <w:r>
        <w:rPr>
          <w:sz w:val="24"/>
        </w:rPr>
        <w:t>（</w:t>
      </w:r>
      <w:r>
        <w:rPr>
          <w:sz w:val="24"/>
        </w:rPr>
        <w:t>2</w:t>
      </w:r>
      <w:r>
        <w:rPr>
          <w:sz w:val="24"/>
        </w:rPr>
        <w:t>）</w:t>
      </w:r>
      <w:r>
        <w:rPr>
          <w:sz w:val="24"/>
        </w:rPr>
        <w:t>调试验收使用意见</w:t>
      </w:r>
    </w:p>
    <w:p>
      <w:pPr>
        <w:jc w:val="both"/>
      </w:pPr>
      <w:r>
        <w:rPr>
          <w:sz w:val="24"/>
        </w:rPr>
        <w:t>（</w:t>
      </w:r>
      <w:r>
        <w:rPr>
          <w:sz w:val="24"/>
        </w:rPr>
        <w:t>3</w:t>
      </w:r>
      <w:r>
        <w:rPr>
          <w:sz w:val="24"/>
        </w:rPr>
        <w:t>）</w:t>
      </w:r>
      <w:r>
        <w:rPr>
          <w:sz w:val="24"/>
        </w:rPr>
        <w:t>报关单或有效商检证明文件</w:t>
      </w:r>
      <w:r>
        <w:rPr>
          <w:sz w:val="24"/>
        </w:rPr>
        <w:t>(</w:t>
      </w:r>
      <w:r>
        <w:rPr>
          <w:sz w:val="24"/>
        </w:rPr>
        <w:t>如果合同设备为进口货物的情况下要求提供</w:t>
      </w:r>
      <w:r>
        <w:rPr>
          <w:sz w:val="24"/>
        </w:rPr>
        <w:t>)</w:t>
      </w:r>
    </w:p>
    <w:p>
      <w:pPr>
        <w:ind w:firstLine="720"/>
        <w:jc w:val="both"/>
      </w:pPr>
      <w:r>
        <w:rPr>
          <w:sz w:val="24"/>
        </w:rPr>
        <w:t>甲方收到上述资料并核实无误后的</w:t>
      </w:r>
      <w:r>
        <w:rPr>
          <w:sz w:val="24"/>
        </w:rPr>
        <w:t>5</w:t>
      </w:r>
      <w:r>
        <w:rPr>
          <w:sz w:val="24"/>
        </w:rPr>
        <w:t>个工作日内办理支付，支付合同总金额的</w:t>
      </w:r>
      <w:r>
        <w:rPr>
          <w:sz w:val="24"/>
          <w:u w:val="single"/>
        </w:rPr>
        <w:t>100</w:t>
      </w:r>
      <w:r>
        <w:rPr>
          <w:sz w:val="24"/>
        </w:rPr>
        <w:t>%</w:t>
      </w:r>
      <w:r>
        <w:rPr>
          <w:sz w:val="24"/>
        </w:rPr>
        <w:t>，即</w:t>
      </w:r>
      <w:r>
        <w:rPr>
          <w:b/>
          <w:sz w:val="24"/>
          <w:u w:val="single"/>
        </w:rPr>
        <w:t>¥</w:t>
      </w:r>
      <w:r>
        <w:rPr>
          <w:b/>
          <w:sz w:val="21"/>
          <w:u w:val="single"/>
        </w:rPr>
        <w:t xml:space="preserve">            </w:t>
      </w:r>
      <w:r>
        <w:rPr>
          <w:sz w:val="24"/>
        </w:rPr>
        <w:t>。</w:t>
      </w:r>
    </w:p>
    <w:p>
      <w:pPr>
        <w:jc w:val="both"/>
      </w:pPr>
      <w:r>
        <w:rPr>
          <w:sz w:val="24"/>
        </w:rPr>
        <w:t>7.3</w:t>
      </w:r>
      <w:r>
        <w:rPr>
          <w:sz w:val="21"/>
        </w:rPr>
        <w:t xml:space="preserve"> </w:t>
      </w:r>
      <w:r>
        <w:rPr>
          <w:sz w:val="24"/>
        </w:rPr>
        <w:t>若乙方为中小企业，</w:t>
      </w:r>
      <w:r>
        <w:rPr>
          <w:sz w:val="24"/>
        </w:rPr>
        <w:t>则合同款分两期支付：</w:t>
      </w:r>
    </w:p>
    <w:p>
      <w:pPr>
        <w:jc w:val="both"/>
      </w:pPr>
      <w:r>
        <w:rPr>
          <w:sz w:val="24"/>
        </w:rPr>
        <w:t xml:space="preserve">    </w:t>
      </w:r>
      <w:r>
        <w:rPr>
          <w:sz w:val="24"/>
        </w:rPr>
        <w:t>第一期：</w:t>
      </w:r>
      <w:r>
        <w:rPr>
          <w:sz w:val="24"/>
        </w:rPr>
        <w:t>30%的预付款</w:t>
      </w:r>
      <w:r>
        <w:rPr>
          <w:sz w:val="24"/>
        </w:rPr>
        <w:t>在</w:t>
      </w:r>
      <w:r>
        <w:rPr>
          <w:sz w:val="24"/>
        </w:rPr>
        <w:t>合同签订后</w:t>
      </w:r>
      <w:r>
        <w:rPr>
          <w:sz w:val="24"/>
        </w:rPr>
        <w:t>的</w:t>
      </w:r>
      <w:r>
        <w:rPr>
          <w:sz w:val="24"/>
        </w:rPr>
        <w:t>5个工作日内办理支付</w:t>
      </w:r>
      <w:r>
        <w:rPr>
          <w:sz w:val="24"/>
        </w:rPr>
        <w:t>；</w:t>
      </w:r>
    </w:p>
    <w:p>
      <w:pPr>
        <w:ind w:firstLine="480"/>
        <w:jc w:val="both"/>
      </w:pPr>
      <w:r>
        <w:rPr>
          <w:sz w:val="24"/>
        </w:rPr>
        <w:t>第二期：</w:t>
      </w:r>
      <w:r>
        <w:rPr>
          <w:sz w:val="24"/>
        </w:rPr>
        <w:t>合同设备全部到指定地点交付并完成安装及验收合格后，乙方须向甲方提供以下相应资料和合同全额发票，甲方自收到发票后</w:t>
      </w:r>
      <w:r>
        <w:rPr>
          <w:sz w:val="24"/>
        </w:rPr>
        <w:t>5个工作日内办理支付，支付合同金额的</w:t>
      </w:r>
      <w:r>
        <w:rPr>
          <w:sz w:val="24"/>
        </w:rPr>
        <w:t>70</w:t>
      </w:r>
      <w:r>
        <w:rPr>
          <w:sz w:val="24"/>
        </w:rPr>
        <w:t>%：</w:t>
      </w:r>
    </w:p>
    <w:p>
      <w:pPr>
        <w:ind w:firstLine="480"/>
        <w:jc w:val="both"/>
      </w:pPr>
      <w:r>
        <w:rPr>
          <w:sz w:val="24"/>
        </w:rPr>
        <w:t>（</w:t>
      </w:r>
      <w:r>
        <w:rPr>
          <w:sz w:val="24"/>
        </w:rPr>
        <w:t>1）验收合格报告。</w:t>
      </w:r>
    </w:p>
    <w:p>
      <w:pPr>
        <w:jc w:val="both"/>
      </w:pPr>
      <w:r>
        <w:rPr>
          <w:sz w:val="24"/>
        </w:rPr>
        <w:t>7.4</w:t>
      </w:r>
      <w:r>
        <w:rPr>
          <w:sz w:val="24"/>
        </w:rPr>
        <w:t>合同签订后</w:t>
      </w:r>
      <w:r>
        <w:rPr>
          <w:sz w:val="21"/>
          <w:u w:val="single"/>
        </w:rPr>
        <w:t xml:space="preserve">  </w:t>
      </w:r>
      <w:r>
        <w:rPr>
          <w:sz w:val="24"/>
        </w:rPr>
        <w:t>个工作日内向甲方提交合同金额</w:t>
      </w:r>
      <w:r>
        <w:rPr>
          <w:sz w:val="21"/>
          <w:u w:val="single"/>
        </w:rPr>
        <w:t xml:space="preserve">  </w:t>
      </w:r>
      <w:r>
        <w:rPr>
          <w:sz w:val="24"/>
        </w:rPr>
        <w:t>%</w:t>
      </w:r>
      <w:r>
        <w:rPr>
          <w:sz w:val="24"/>
        </w:rPr>
        <w:t>的履约保证金，即</w:t>
      </w:r>
      <w:r>
        <w:rPr>
          <w:b/>
          <w:sz w:val="24"/>
          <w:u w:val="single"/>
        </w:rPr>
        <w:t>¥</w:t>
      </w:r>
      <w:r>
        <w:rPr>
          <w:b/>
          <w:sz w:val="21"/>
          <w:u w:val="single"/>
        </w:rPr>
        <w:t xml:space="preserve">        </w:t>
      </w:r>
      <w:r>
        <w:rPr>
          <w:sz w:val="24"/>
        </w:rPr>
        <w:t>。合同设备验收合格后</w:t>
      </w:r>
      <w:r>
        <w:rPr>
          <w:sz w:val="24"/>
        </w:rPr>
        <w:t>5</w:t>
      </w:r>
      <w:r>
        <w:rPr>
          <w:sz w:val="24"/>
        </w:rPr>
        <w:t>个工作日内，甲方核实乙方的履约响应情况，如无违约情况发生，甲方无息退还履约保证金给乙方。</w:t>
      </w:r>
    </w:p>
    <w:p>
      <w:pPr>
        <w:jc w:val="both"/>
      </w:pPr>
    </w:p>
    <w:p>
      <w:pPr>
        <w:ind w:firstLine="282"/>
        <w:jc w:val="both"/>
      </w:pPr>
      <w:r>
        <w:rPr>
          <w:b/>
          <w:sz w:val="24"/>
        </w:rPr>
        <w:t>8.</w:t>
      </w:r>
      <w:r>
        <w:rPr>
          <w:b/>
          <w:sz w:val="24"/>
        </w:rPr>
        <w:t>技术服务</w:t>
      </w:r>
    </w:p>
    <w:p>
      <w:pPr>
        <w:jc w:val="both"/>
      </w:pPr>
      <w:r>
        <w:rPr>
          <w:sz w:val="24"/>
        </w:rPr>
        <w:t xml:space="preserve">   8.1</w:t>
      </w:r>
      <w:r>
        <w:rPr>
          <w:sz w:val="24"/>
        </w:rPr>
        <w:t>乙方应派员到甲方指定地点配合工作。</w:t>
      </w:r>
    </w:p>
    <w:p>
      <w:pPr>
        <w:jc w:val="both"/>
      </w:pPr>
      <w:r>
        <w:rPr>
          <w:sz w:val="24"/>
        </w:rPr>
        <w:t>8.2</w:t>
      </w:r>
      <w:r>
        <w:rPr>
          <w:sz w:val="24"/>
        </w:rPr>
        <w:t>乙方按甲方提供的合同执行进度计划，再配合甲方及有关单位，以此做好合同执行进度上的配合工作。</w:t>
      </w:r>
    </w:p>
    <w:p>
      <w:pPr>
        <w:jc w:val="both"/>
      </w:pPr>
    </w:p>
    <w:p>
      <w:pPr>
        <w:jc w:val="both"/>
      </w:pPr>
      <w:r>
        <w:rPr>
          <w:b/>
          <w:sz w:val="24"/>
        </w:rPr>
        <w:t>9.</w:t>
      </w:r>
      <w:r>
        <w:rPr>
          <w:b/>
          <w:sz w:val="24"/>
        </w:rPr>
        <w:t>不可抗力</w:t>
      </w:r>
    </w:p>
    <w:p>
      <w:pPr>
        <w:jc w:val="both"/>
      </w:pPr>
      <w:r>
        <w:rPr>
          <w:sz w:val="24"/>
        </w:rPr>
        <w:t>9.1</w:t>
      </w:r>
      <w:r>
        <w:rPr>
          <w:sz w:val="24"/>
        </w:rPr>
        <w:t>不可抗力指战争、严重火灾、洪水、台风、地震等或其它双方认定的不可抗力事件。</w:t>
      </w:r>
    </w:p>
    <w:p>
      <w:pPr>
        <w:jc w:val="both"/>
      </w:pPr>
      <w:r>
        <w:rPr>
          <w:sz w:val="24"/>
        </w:rPr>
        <w:t>9.2</w:t>
      </w:r>
      <w:r>
        <w:rPr>
          <w:sz w:val="24"/>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both"/>
      </w:pPr>
    </w:p>
    <w:p>
      <w:pPr>
        <w:jc w:val="both"/>
      </w:pPr>
      <w:r>
        <w:rPr>
          <w:b/>
          <w:sz w:val="24"/>
        </w:rPr>
        <w:t>10.</w:t>
      </w:r>
      <w:r>
        <w:rPr>
          <w:b/>
          <w:sz w:val="24"/>
        </w:rPr>
        <w:t>索赔</w:t>
      </w:r>
    </w:p>
    <w:p>
      <w:pPr>
        <w:jc w:val="both"/>
      </w:pPr>
      <w:r>
        <w:rPr>
          <w:sz w:val="24"/>
        </w:rPr>
        <w:t>10.1</w:t>
      </w:r>
      <w:r>
        <w:rPr>
          <w:sz w:val="24"/>
        </w:rPr>
        <w:t>如有异议，甲方有权根据有关政府部门的检验结果向乙方提出索赔。</w:t>
      </w:r>
    </w:p>
    <w:p>
      <w:pPr>
        <w:jc w:val="both"/>
      </w:pPr>
      <w:r>
        <w:rPr>
          <w:sz w:val="24"/>
        </w:rPr>
        <w:t>10.2</w:t>
      </w:r>
      <w:r>
        <w:rPr>
          <w:sz w:val="24"/>
        </w:rPr>
        <w:t>在合同执行期间，如果乙方对甲方提出的索赔和差异负有责任，乙方应按照甲方同意的下列一种或多种方式解决索赔事宜：</w:t>
      </w:r>
    </w:p>
    <w:p>
      <w:pPr>
        <w:jc w:val="both"/>
      </w:pPr>
      <w:r>
        <w:rPr>
          <w:sz w:val="24"/>
        </w:rPr>
        <w:t>（</w:t>
      </w:r>
      <w:r>
        <w:rPr>
          <w:sz w:val="24"/>
        </w:rPr>
        <w:t>1</w:t>
      </w:r>
      <w:r>
        <w:rPr>
          <w:sz w:val="24"/>
        </w:rPr>
        <w:t>）</w:t>
      </w:r>
      <w:r>
        <w:rPr>
          <w:sz w:val="24"/>
        </w:rPr>
        <w:t>乙方同意退货，并按合同规定的同种货币将货款退还给甲方，并承担由此发生的一切损失和费用。</w:t>
      </w:r>
    </w:p>
    <w:p>
      <w:pPr>
        <w:jc w:val="both"/>
      </w:pPr>
      <w:r>
        <w:rPr>
          <w:sz w:val="24"/>
        </w:rPr>
        <w:t>（</w:t>
      </w:r>
      <w:r>
        <w:rPr>
          <w:sz w:val="24"/>
        </w:rPr>
        <w:t>2</w:t>
      </w:r>
      <w:r>
        <w:rPr>
          <w:sz w:val="24"/>
        </w:rPr>
        <w:t>）</w:t>
      </w:r>
      <w:r>
        <w:rPr>
          <w:sz w:val="24"/>
        </w:rPr>
        <w:t>根据货物低劣程度、损坏程度以及甲方所遭受损失的数额甲乙双方商定降低货物的价格。</w:t>
      </w:r>
    </w:p>
    <w:p>
      <w:pPr>
        <w:jc w:val="both"/>
      </w:pPr>
      <w:r>
        <w:rPr>
          <w:sz w:val="24"/>
        </w:rPr>
        <w:t>（</w:t>
      </w:r>
      <w:r>
        <w:rPr>
          <w:sz w:val="24"/>
        </w:rPr>
        <w:t>3</w:t>
      </w:r>
      <w:r>
        <w:rPr>
          <w:sz w:val="24"/>
        </w:rPr>
        <w:t>）</w:t>
      </w:r>
      <w:r>
        <w:rPr>
          <w:sz w:val="24"/>
        </w:rPr>
        <w:t>用符合规格、质量和性能要求的新零件、部件或货物来更换有缺陷的部分或修补缺陷的部分，乙方应承担一切费用和风险并负担甲方所发生的一切直接费用。同时，相应延长质量保证期。</w:t>
      </w:r>
    </w:p>
    <w:p>
      <w:pPr>
        <w:jc w:val="both"/>
      </w:pPr>
      <w:r>
        <w:rPr>
          <w:sz w:val="24"/>
        </w:rPr>
        <w:t>10.3</w:t>
      </w:r>
      <w:r>
        <w:rPr>
          <w:sz w:val="24"/>
        </w:rPr>
        <w:t>如果在甲方发出索赔通知后</w:t>
      </w:r>
      <w:r>
        <w:rPr>
          <w:sz w:val="24"/>
        </w:rPr>
        <w:t>30</w:t>
      </w:r>
      <w:r>
        <w:rPr>
          <w:sz w:val="24"/>
        </w:rPr>
        <w:t>天内，乙方未作答复，上述索赔应视为已被乙方接受。甲方将从合同款项中扣回索赔金额。如果这些金额不足以补偿索赔金额，甲方有权向乙方提出不足部分的补偿。</w:t>
      </w:r>
    </w:p>
    <w:p>
      <w:pPr>
        <w:jc w:val="both"/>
      </w:pPr>
    </w:p>
    <w:p>
      <w:pPr>
        <w:jc w:val="both"/>
      </w:pPr>
      <w:r>
        <w:rPr>
          <w:sz w:val="21"/>
        </w:rPr>
        <w:t xml:space="preserve">  </w:t>
      </w:r>
      <w:r>
        <w:rPr>
          <w:b/>
          <w:sz w:val="24"/>
        </w:rPr>
        <w:t>11.</w:t>
      </w:r>
      <w:r>
        <w:rPr>
          <w:b/>
          <w:sz w:val="24"/>
        </w:rPr>
        <w:t>违约与处罚</w:t>
      </w:r>
    </w:p>
    <w:p>
      <w:pPr>
        <w:jc w:val="both"/>
      </w:pPr>
      <w:r>
        <w:rPr>
          <w:sz w:val="24"/>
        </w:rPr>
        <w:t>11.1</w:t>
      </w:r>
      <w:r>
        <w:rPr>
          <w:sz w:val="24"/>
        </w:rPr>
        <w:t>甲方应依合同规定时间内，向乙方支付货款，每拖延一天乙方可向甲方加收合同金额的</w:t>
      </w:r>
      <w:r>
        <w:rPr>
          <w:sz w:val="24"/>
        </w:rPr>
        <w:t>3</w:t>
      </w:r>
      <w:r>
        <w:rPr>
          <w:sz w:val="24"/>
        </w:rPr>
        <w:t>‰的违约金，累计不超过合同金额的</w:t>
      </w:r>
      <w:r>
        <w:rPr>
          <w:sz w:val="24"/>
        </w:rPr>
        <w:t>3%</w:t>
      </w:r>
      <w:r>
        <w:rPr>
          <w:sz w:val="24"/>
        </w:rPr>
        <w:t>。</w:t>
      </w:r>
    </w:p>
    <w:p>
      <w:pPr>
        <w:jc w:val="both"/>
      </w:pPr>
      <w:r>
        <w:rPr>
          <w:sz w:val="24"/>
        </w:rPr>
        <w:t>11.2</w:t>
      </w:r>
      <w:r>
        <w:rPr>
          <w:sz w:val="24"/>
        </w:rPr>
        <w:t xml:space="preserve"> </w:t>
      </w:r>
      <w:r>
        <w:rPr>
          <w:sz w:val="24"/>
        </w:rPr>
        <w:t>乙方未能按本合同规定的交货时间交付货物的，从逾期之日起每日按本合同总价</w:t>
      </w:r>
      <w:r>
        <w:rPr>
          <w:sz w:val="24"/>
        </w:rPr>
        <w:t>3</w:t>
      </w:r>
      <w:r>
        <w:rPr>
          <w:sz w:val="24"/>
        </w:rPr>
        <w:t>‰的数额向甲方支付违约金；逾期半个月以上的，甲方有权终止合同，乙方须支付甲方合同总价</w:t>
      </w:r>
      <w:r>
        <w:rPr>
          <w:sz w:val="24"/>
        </w:rPr>
        <w:t>20%</w:t>
      </w:r>
      <w:r>
        <w:rPr>
          <w:sz w:val="24"/>
        </w:rPr>
        <w:t>的违约金，由此造成的甲方经济损失由乙方承担。</w:t>
      </w:r>
    </w:p>
    <w:p>
      <w:pPr>
        <w:jc w:val="both"/>
      </w:pPr>
      <w:r>
        <w:rPr>
          <w:sz w:val="24"/>
        </w:rPr>
        <w:t>11.3</w:t>
      </w:r>
      <w:r>
        <w:rPr>
          <w:sz w:val="24"/>
        </w:rPr>
        <w:t>乙方交付的货物不符合合同规定的，甲方有权拒收，乙方向甲方支付合同金额的</w:t>
      </w:r>
      <w:r>
        <w:rPr>
          <w:sz w:val="24"/>
        </w:rPr>
        <w:t>5%</w:t>
      </w:r>
      <w:r>
        <w:rPr>
          <w:sz w:val="24"/>
        </w:rPr>
        <w:t>的违约金。</w:t>
      </w:r>
    </w:p>
    <w:p>
      <w:pPr>
        <w:jc w:val="both"/>
      </w:pPr>
      <w:r>
        <w:rPr>
          <w:sz w:val="24"/>
        </w:rPr>
        <w:t>11.4</w:t>
      </w:r>
      <w:r>
        <w:rPr>
          <w:sz w:val="24"/>
        </w:rPr>
        <w:t>甲方无正当理由拒收货物的，甲方向乙方支付合同金额的</w:t>
      </w:r>
      <w:r>
        <w:rPr>
          <w:sz w:val="24"/>
        </w:rPr>
        <w:t>5%</w:t>
      </w:r>
      <w:r>
        <w:rPr>
          <w:sz w:val="24"/>
        </w:rPr>
        <w:t>的违约金。</w:t>
      </w:r>
    </w:p>
    <w:p>
      <w:pPr>
        <w:jc w:val="both"/>
      </w:pPr>
      <w:r>
        <w:rPr>
          <w:sz w:val="24"/>
        </w:rPr>
        <w:t>11.5</w:t>
      </w:r>
      <w:r>
        <w:rPr>
          <w:sz w:val="24"/>
        </w:rPr>
        <w:t>乙方未能交付货物，则向甲方支付合同金额的</w:t>
      </w:r>
      <w:r>
        <w:rPr>
          <w:sz w:val="24"/>
        </w:rPr>
        <w:t>7.5%</w:t>
      </w:r>
      <w:r>
        <w:rPr>
          <w:sz w:val="24"/>
        </w:rPr>
        <w:t>的违约金。所造成的甲方损失超过违约金的，乙方应该补偿损失部分。</w:t>
      </w:r>
    </w:p>
    <w:p>
      <w:pPr>
        <w:jc w:val="left"/>
      </w:pPr>
      <w:r>
        <w:rPr>
          <w:sz w:val="24"/>
        </w:rPr>
        <w:t xml:space="preserve">11.6  </w:t>
      </w:r>
      <w:r>
        <w:rPr>
          <w:sz w:val="24"/>
        </w:rPr>
        <w:t>因货物质量问题或维修、维护不及时造成甲方或第三方财产或人身损害的一切损失，由乙方承担赔偿责任。</w:t>
      </w:r>
    </w:p>
    <w:p>
      <w:pPr>
        <w:jc w:val="left"/>
      </w:pPr>
    </w:p>
    <w:p>
      <w:pPr>
        <w:jc w:val="both"/>
      </w:pPr>
      <w:r>
        <w:rPr>
          <w:b/>
          <w:sz w:val="24"/>
        </w:rPr>
        <w:t>12</w:t>
      </w:r>
      <w:r>
        <w:rPr>
          <w:b/>
          <w:sz w:val="24"/>
        </w:rPr>
        <w:t>合同终止</w:t>
      </w:r>
    </w:p>
    <w:p>
      <w:pPr>
        <w:jc w:val="both"/>
      </w:pPr>
      <w:r>
        <w:rPr>
          <w:sz w:val="24"/>
        </w:rPr>
        <w:t>如果一方严重违反合同，并在收到对方违约通知书后在</w:t>
      </w:r>
      <w:r>
        <w:rPr>
          <w:sz w:val="24"/>
        </w:rPr>
        <w:t>30</w:t>
      </w:r>
      <w:r>
        <w:rPr>
          <w:sz w:val="24"/>
        </w:rPr>
        <w:t>天内仍未能改正违约的另一方可立即终止本合同。</w:t>
      </w:r>
    </w:p>
    <w:p>
      <w:pPr>
        <w:jc w:val="both"/>
      </w:pPr>
    </w:p>
    <w:p>
      <w:pPr>
        <w:ind w:firstLine="207"/>
        <w:jc w:val="both"/>
      </w:pPr>
      <w:r>
        <w:rPr>
          <w:b/>
          <w:sz w:val="24"/>
        </w:rPr>
        <w:t>13.</w:t>
      </w:r>
      <w:r>
        <w:rPr>
          <w:b/>
          <w:sz w:val="24"/>
        </w:rPr>
        <w:t>法律诉讼</w:t>
      </w:r>
    </w:p>
    <w:p>
      <w:pPr>
        <w:jc w:val="both"/>
      </w:pPr>
      <w:r>
        <w:rPr>
          <w:sz w:val="24"/>
        </w:rPr>
        <w:t>签约双方在履约中发生争执和分歧，双方应通过友好协商解决，若经协商不能达成协议时，则可向甲方所在地人民法院提起诉讼。受理期间，双方应继续执行合同其余部分。</w:t>
      </w:r>
    </w:p>
    <w:p>
      <w:pPr>
        <w:jc w:val="both"/>
      </w:pPr>
    </w:p>
    <w:p>
      <w:pPr>
        <w:ind w:firstLine="240"/>
        <w:jc w:val="both"/>
      </w:pPr>
      <w:r>
        <w:rPr>
          <w:b/>
          <w:sz w:val="24"/>
        </w:rPr>
        <w:t>14.</w:t>
      </w:r>
      <w:r>
        <w:rPr>
          <w:b/>
          <w:sz w:val="24"/>
        </w:rPr>
        <w:t>其他</w:t>
      </w:r>
    </w:p>
    <w:p>
      <w:pPr>
        <w:jc w:val="both"/>
      </w:pPr>
      <w:r>
        <w:rPr>
          <w:sz w:val="21"/>
        </w:rPr>
        <w:t>14.1</w:t>
      </w:r>
      <w:r>
        <w:rPr>
          <w:sz w:val="24"/>
        </w:rPr>
        <w:t>本合同正本一式</w:t>
      </w:r>
      <w:r>
        <w:rPr>
          <w:sz w:val="21"/>
          <w:u w:val="single"/>
        </w:rPr>
        <w:t xml:space="preserve">   </w:t>
      </w:r>
      <w:r>
        <w:rPr>
          <w:sz w:val="24"/>
        </w:rPr>
        <w:t>份，具有同等法律效力，甲方</w:t>
      </w:r>
      <w:r>
        <w:rPr>
          <w:sz w:val="21"/>
          <w:u w:val="single"/>
        </w:rPr>
        <w:t xml:space="preserve">  </w:t>
      </w:r>
      <w:r>
        <w:rPr>
          <w:sz w:val="24"/>
        </w:rPr>
        <w:t>份、乙方及招标代理机构各</w:t>
      </w:r>
      <w:r>
        <w:rPr>
          <w:sz w:val="21"/>
          <w:u w:val="single"/>
        </w:rPr>
        <w:t xml:space="preserve">  </w:t>
      </w:r>
      <w:r>
        <w:rPr>
          <w:sz w:val="24"/>
        </w:rPr>
        <w:t>份。合同自双方签字盖章之日起生效。</w:t>
      </w:r>
    </w:p>
    <w:p>
      <w:pPr>
        <w:ind w:firstLine="227"/>
        <w:jc w:val="both"/>
      </w:pPr>
      <w:r>
        <w:rPr>
          <w:sz w:val="24"/>
        </w:rPr>
        <w:t>14.2</w:t>
      </w:r>
      <w:r>
        <w:rPr>
          <w:sz w:val="24"/>
        </w:rPr>
        <w:t>本合同未尽事宜，由双方协商处理，可达成书面补充协议。</w:t>
      </w:r>
    </w:p>
    <w:p>
      <w:pPr>
        <w:jc w:val="both"/>
      </w:pPr>
      <w:r>
        <w:rPr>
          <w:b/>
          <w:sz w:val="21"/>
        </w:rPr>
        <w:t>甲方：</w:t>
      </w:r>
      <w:r>
        <w:rPr>
          <w:b/>
          <w:sz w:val="21"/>
        </w:rPr>
        <w:t xml:space="preserve">                               </w:t>
      </w:r>
      <w:r>
        <w:rPr>
          <w:b/>
          <w:sz w:val="21"/>
        </w:rPr>
        <w:t xml:space="preserve">              </w:t>
      </w:r>
      <w:r>
        <w:rPr>
          <w:b/>
          <w:sz w:val="21"/>
        </w:rPr>
        <w:t>乙方：</w:t>
      </w:r>
    </w:p>
    <w:p>
      <w:pPr>
        <w:jc w:val="left"/>
      </w:pPr>
      <w:r>
        <w:rPr>
          <w:b/>
          <w:sz w:val="21"/>
        </w:rPr>
        <w:t>广州市番禺区中心医院</w:t>
      </w:r>
      <w:r>
        <w:rPr>
          <w:b/>
          <w:sz w:val="21"/>
        </w:rPr>
        <w:t xml:space="preserve">                          </w:t>
      </w:r>
      <w:r>
        <w:rPr>
          <w:b/>
          <w:sz w:val="21"/>
        </w:rPr>
        <w:t xml:space="preserve"> </w:t>
      </w:r>
    </w:p>
    <w:p>
      <w:pPr>
        <w:jc w:val="both"/>
      </w:pPr>
      <w:r>
        <w:rPr>
          <w:b/>
          <w:sz w:val="21"/>
        </w:rPr>
        <w:t>法人代表：</w:t>
      </w:r>
      <w:r>
        <w:rPr>
          <w:b/>
          <w:sz w:val="21"/>
        </w:rPr>
        <w:t xml:space="preserve">                         </w:t>
      </w:r>
      <w:r>
        <w:rPr>
          <w:b/>
          <w:sz w:val="21"/>
        </w:rPr>
        <w:t>法人代表：</w:t>
      </w:r>
      <w:r>
        <w:rPr>
          <w:b/>
          <w:sz w:val="21"/>
        </w:rPr>
        <w:t xml:space="preserve"> </w:t>
      </w:r>
    </w:p>
    <w:p>
      <w:pPr>
        <w:jc w:val="both"/>
      </w:pPr>
      <w:r>
        <w:rPr>
          <w:b/>
          <w:sz w:val="21"/>
        </w:rPr>
        <w:t>签约代表</w:t>
      </w:r>
      <w:r>
        <w:rPr>
          <w:b/>
          <w:sz w:val="21"/>
        </w:rPr>
        <w:t xml:space="preserve"> </w:t>
      </w:r>
      <w:r>
        <w:rPr>
          <w:b/>
          <w:sz w:val="21"/>
        </w:rPr>
        <w:t>：</w:t>
      </w:r>
      <w:r>
        <w:rPr>
          <w:b/>
          <w:sz w:val="21"/>
        </w:rPr>
        <w:t xml:space="preserve">                         </w:t>
      </w:r>
      <w:r>
        <w:rPr>
          <w:b/>
          <w:sz w:val="21"/>
        </w:rPr>
        <w:t xml:space="preserve">            </w:t>
      </w:r>
      <w:r>
        <w:rPr>
          <w:b/>
          <w:sz w:val="21"/>
        </w:rPr>
        <w:t>签约代表：</w:t>
      </w:r>
      <w:r>
        <w:rPr>
          <w:b/>
          <w:sz w:val="21"/>
        </w:rPr>
        <w:t xml:space="preserve"> </w:t>
      </w:r>
    </w:p>
    <w:p>
      <w:pPr>
        <w:jc w:val="both"/>
      </w:pPr>
      <w:r>
        <w:rPr>
          <w:b/>
          <w:sz w:val="21"/>
        </w:rPr>
        <w:t>地址：广州市番禺区桥南街福愉东路</w:t>
      </w:r>
      <w:r>
        <w:rPr>
          <w:b/>
          <w:sz w:val="21"/>
        </w:rPr>
        <w:t>8</w:t>
      </w:r>
      <w:r>
        <w:rPr>
          <w:b/>
          <w:sz w:val="21"/>
        </w:rPr>
        <w:t>号</w:t>
      </w:r>
      <w:r>
        <w:rPr>
          <w:b/>
          <w:sz w:val="21"/>
        </w:rPr>
        <w:t xml:space="preserve">        </w:t>
      </w:r>
      <w:r>
        <w:rPr>
          <w:b/>
          <w:sz w:val="21"/>
        </w:rPr>
        <w:t>地址：</w:t>
      </w:r>
      <w:r>
        <w:rPr>
          <w:b/>
          <w:sz w:val="21"/>
        </w:rPr>
        <w:t xml:space="preserve"> </w:t>
      </w:r>
    </w:p>
    <w:p>
      <w:pPr>
        <w:jc w:val="both"/>
      </w:pPr>
      <w:r>
        <w:rPr>
          <w:b/>
          <w:sz w:val="21"/>
        </w:rPr>
        <w:t>电话：</w:t>
      </w:r>
      <w:r>
        <w:rPr>
          <w:b/>
          <w:sz w:val="21"/>
        </w:rPr>
        <w:t>020-3485822</w:t>
      </w:r>
      <w:r>
        <w:rPr>
          <w:b/>
          <w:sz w:val="21"/>
        </w:rPr>
        <w:t>3</w:t>
      </w:r>
      <w:r>
        <w:rPr>
          <w:b/>
          <w:sz w:val="21"/>
        </w:rPr>
        <w:t xml:space="preserve">                 </w:t>
      </w:r>
      <w:r>
        <w:rPr>
          <w:b/>
          <w:sz w:val="21"/>
        </w:rPr>
        <w:t>电话：</w:t>
      </w:r>
    </w:p>
    <w:p>
      <w:pPr>
        <w:jc w:val="both"/>
      </w:pPr>
      <w:r>
        <w:rPr>
          <w:b/>
          <w:sz w:val="21"/>
        </w:rPr>
        <w:t>传真</w:t>
      </w:r>
      <w:r>
        <w:rPr>
          <w:b/>
          <w:sz w:val="21"/>
        </w:rPr>
        <w:t xml:space="preserve">:  020-34858220                        </w:t>
      </w:r>
      <w:r>
        <w:rPr>
          <w:b/>
          <w:sz w:val="21"/>
        </w:rPr>
        <w:t xml:space="preserve">     </w:t>
      </w:r>
      <w:r>
        <w:rPr>
          <w:b/>
          <w:sz w:val="21"/>
        </w:rPr>
        <w:t>传真：</w:t>
      </w:r>
    </w:p>
    <w:p>
      <w:pPr>
        <w:jc w:val="both"/>
      </w:pP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 xml:space="preserve">      </w:t>
      </w:r>
      <w:r>
        <w:rPr>
          <w:b/>
          <w:sz w:val="21"/>
        </w:rPr>
        <w:t xml:space="preserve">        </w:t>
      </w:r>
      <w:r>
        <w:rPr>
          <w:b/>
          <w:sz w:val="21"/>
        </w:rPr>
        <w:t>签约日期：</w:t>
      </w:r>
      <w:r>
        <w:rPr>
          <w:b/>
          <w:sz w:val="21"/>
        </w:rPr>
        <w:t xml:space="preserve">  </w:t>
      </w:r>
      <w:r>
        <w:rPr>
          <w:b/>
          <w:sz w:val="21"/>
        </w:rPr>
        <w:t xml:space="preserve">   </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jc w:val="both"/>
      </w:pPr>
      <w:r>
        <w:rPr>
          <w:b/>
          <w:sz w:val="21"/>
        </w:rPr>
        <w:t xml:space="preserve">                                         </w:t>
      </w:r>
      <w:r>
        <w:rPr>
          <w:b/>
          <w:sz w:val="21"/>
        </w:rPr>
        <w:t xml:space="preserve">  </w:t>
      </w:r>
      <w:r>
        <w:rPr>
          <w:b/>
          <w:sz w:val="21"/>
        </w:rPr>
        <w:t xml:space="preserve">             </w:t>
      </w:r>
      <w:r>
        <w:rPr>
          <w:b/>
          <w:sz w:val="21"/>
        </w:rPr>
        <w:t>开户银行：</w:t>
      </w:r>
      <w:r>
        <w:rPr>
          <w:b/>
          <w:sz w:val="21"/>
        </w:rPr>
        <w:t xml:space="preserve"> </w:t>
      </w:r>
    </w:p>
    <w:p>
      <w:pPr>
        <w:jc w:val="both"/>
      </w:pPr>
      <w:r>
        <w:rPr>
          <w:sz w:val="21"/>
        </w:rPr>
        <w:t xml:space="preserve">                                   </w:t>
      </w:r>
      <w:r>
        <w:rPr>
          <w:b/>
          <w:sz w:val="21"/>
        </w:rPr>
        <w:t>账</w:t>
      </w:r>
      <w:r>
        <w:rPr>
          <w:b/>
          <w:sz w:val="21"/>
        </w:rPr>
        <w:t xml:space="preserve"> </w:t>
      </w:r>
      <w:r>
        <w:rPr>
          <w:b/>
          <w:sz w:val="21"/>
        </w:rPr>
        <w:t>号：</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440113-2023-07139</w:t>
      </w:r>
    </w:p>
    <w:p>
      <w:pPr>
        <w:jc w:val="center"/>
      </w:pPr>
      <w:r>
        <w:rPr>
          <w:b/>
          <w:sz w:val="24"/>
        </w:rPr>
        <w:t>采购项目编号：</w:t>
      </w:r>
      <w:r>
        <w:rPr>
          <w:b/>
          <w:sz w:val="24"/>
        </w:rPr>
        <w:t>GZGK23D253A0792Z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广州市番禺中心医院医疗设备采购项目（二）</w:t>
      </w:r>
      <w:r>
        <w:rPr>
          <w:u w:val="single"/>
        </w:rPr>
        <w:t>”</w:t>
      </w:r>
      <w:r>
        <w:rPr/>
        <w:t>项目的招标[采购项目编号为：</w:t>
      </w:r>
      <w:r>
        <w:rPr>
          <w:u w:val="single"/>
        </w:rPr>
        <w:t>GZGK23D253A0792Z</w:t>
      </w:r>
      <w:r>
        <w:rPr/>
        <w:t>]，我方愿参与投标。</w:t>
      </w:r>
    </w:p>
    <w:p>
      <w:pPr>
        <w:ind w:firstLine="480"/>
      </w:pPr>
      <w:r>
        <w:rPr/>
        <w:t>我方确认收到贵方提供的</w:t>
      </w:r>
      <w:r>
        <w:rPr>
          <w:u w:val="single"/>
        </w:rPr>
        <w:t>“</w:t>
      </w:r>
      <w:r>
        <w:rPr>
          <w:u w:val="single"/>
        </w:rPr>
        <w:t>广州市番禺中心医院医疗设备采购项目（二）</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广州市番禺中心医院医疗设备采购项目（二）</w:t>
      </w:r>
      <w:r>
        <w:rPr/>
        <w:t>”项目采购[采购项目编号为</w:t>
      </w:r>
      <w:r>
        <w:rPr/>
        <w:t>GZGK23D253A0792Z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广州市番禺区中心医院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广州市番禺中心医院医疗设备采购项目（二）</w:t>
      </w:r>
      <w:r>
        <w:rPr/>
        <w:t>招标中获中标（采购项目编号：</w:t>
      </w:r>
      <w:r>
        <w:rPr/>
        <w:t>GZGK23D253A0792Z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