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440001-2023-50183</w:t>
      </w:r>
    </w:p>
    <w:p>
      <w:pPr>
        <w:jc w:val="center"/>
      </w:pPr>
      <w:r>
        <w:rPr>
          <w:b/>
          <w:sz w:val="24"/>
        </w:rPr>
        <w:t>采购项目编号：</w:t>
      </w:r>
      <w:r>
        <w:rPr>
          <w:b/>
          <w:sz w:val="24"/>
        </w:rPr>
        <w:t>GZGK23P251C0823Z</w:t>
      </w:r>
    </w:p>
    <w:p>
      <w:pPr>
        <w:jc w:val="center"/>
      </w:pPr>
      <w:r>
        <w:rPr>
          <w:b/>
          <w:sz w:val="24"/>
        </w:rPr>
        <w:t>项目名称：</w:t>
      </w:r>
      <w:r>
        <w:rPr>
          <w:b/>
          <w:sz w:val="24"/>
        </w:rPr>
        <w:t>汕头大学医学院第二附属医院HIS信息系统维护服务项目</w:t>
      </w:r>
    </w:p>
    <w:p>
      <w:pPr>
        <w:jc w:val="center"/>
      </w:pPr>
      <w:r>
        <w:rPr>
          <w:b/>
          <w:sz w:val="24"/>
        </w:rPr>
        <w:t>采购人：</w:t>
      </w:r>
      <w:r>
        <w:rPr>
          <w:b/>
          <w:sz w:val="24"/>
        </w:rPr>
        <w:t>汕头大学医学院第二附属医院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汕头大学医学院第二附属医院</w:t>
      </w:r>
      <w:r>
        <w:rPr/>
        <w:t>的委托，采用</w:t>
      </w:r>
      <w:r>
        <w:rPr/>
        <w:t>公开招标</w:t>
      </w:r>
      <w:r>
        <w:rPr/>
        <w:t>方式组织采购</w:t>
      </w:r>
      <w:r>
        <w:rPr/>
        <w:t>汕头大学医学院第二附属医院HIS信息系统维护服务项目</w:t>
      </w:r>
      <w:r>
        <w:rPr/>
        <w:t>。欢迎符合资格条件的国内供应商参加投标。</w:t>
      </w:r>
    </w:p>
    <w:p>
      <w:r>
        <w:rPr>
          <w:b/>
          <w:sz w:val="28"/>
        </w:rPr>
        <w:t>一.项目概述</w:t>
      </w:r>
    </w:p>
    <w:p>
      <w:r>
        <w:rPr>
          <w:b/>
          <w:sz w:val="24"/>
        </w:rPr>
        <w:t>1.名称与编号</w:t>
      </w:r>
    </w:p>
    <w:p>
      <w:pPr>
        <w:ind w:firstLine="480"/>
      </w:pPr>
      <w:r>
        <w:rPr/>
        <w:t>项目名称：</w:t>
      </w:r>
      <w:r>
        <w:rPr/>
        <w:t>汕头大学医学院第二附属医院HIS信息系统维护服务项目</w:t>
      </w:r>
    </w:p>
    <w:p>
      <w:pPr>
        <w:ind w:firstLine="480"/>
      </w:pPr>
      <w:r>
        <w:rPr/>
        <w:t>采购计划编号：</w:t>
      </w:r>
      <w:r>
        <w:rPr/>
        <w:t>440001-2023-50183</w:t>
      </w:r>
    </w:p>
    <w:p>
      <w:pPr>
        <w:ind w:firstLine="480"/>
      </w:pPr>
      <w:r>
        <w:rPr/>
        <w:t>采购项目编号：</w:t>
      </w:r>
      <w:r>
        <w:rPr/>
        <w:t>GZGK23P251C0823Z</w:t>
      </w:r>
    </w:p>
    <w:p>
      <w:pPr>
        <w:ind w:firstLine="480"/>
      </w:pPr>
      <w:r>
        <w:rPr/>
        <w:t>采购方式：</w:t>
      </w:r>
      <w:r>
        <w:rPr/>
        <w:t>公开招标</w:t>
      </w:r>
    </w:p>
    <w:p>
      <w:pPr>
        <w:ind w:firstLine="480"/>
      </w:pPr>
      <w:r>
        <w:rPr/>
        <w:t>预算金额：</w:t>
      </w:r>
      <w:r>
        <w:rPr/>
        <w:t>1,296,600.00</w:t>
      </w:r>
      <w:r>
        <w:rPr/>
        <w:t>元</w:t>
      </w:r>
    </w:p>
    <w:p>
      <w:r>
        <w:rPr>
          <w:b/>
          <w:sz w:val="24"/>
        </w:rPr>
        <w:t>2.项目内容及需求情况（采购项目技术规格、参数及要求）</w:t>
      </w:r>
    </w:p>
    <w:p>
      <w:pPr>
        <w:ind w:firstLine="480"/>
      </w:pPr>
    </w:p>
    <w:p/>
    <w:p>
      <w:r>
        <w:rPr/>
        <w:t>采购包1(HIS信息系统维护服务):</w:t>
      </w:r>
    </w:p>
    <w:p>
      <w:r>
        <w:rPr/>
        <w:t>采购包预算金额：1,296,600.00元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其他运行维护服务</w:t>
            </w:r>
          </w:p>
        </w:tc>
        <w:tc>
          <w:tcPr>
            <w:tcW w:type="dxa" w:w="2136"/>
          </w:tcPr>
          <w:p>
            <w:r>
              <w:rPr/>
              <w:t>HIS信息系统维护服务</w:t>
            </w:r>
          </w:p>
        </w:tc>
        <w:tc>
          <w:tcPr>
            <w:tcW w:type="dxa" w:w="1187"/>
          </w:tcPr>
          <w:p>
            <w:r>
              <w:rPr/>
              <w:t>3.00(年)</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3）具有良好的商业信誉和健全的财务会计制度：供应商必须具有良好的商业信誉和健全的财务会计制度（提供2022年度财务状况报告或基本开户行出具的资信证明）。</w:t>
      </w:r>
    </w:p>
    <w:p/>
    <w:p>
      <w:r>
        <w:rPr/>
        <w:t>4）履行合同所必需的设备和专业技术能力：提供书面承诺声明函（格式自拟）或具有履行合同所必须的设备和专业技术能力的其他证明材料。</w:t>
      </w:r>
    </w:p>
    <w:p/>
    <w:p>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采购包1（HIS信息系统维护服务）：</w:t>
      </w:r>
      <w:r>
        <w:rPr/>
        <w:t>本采购包不属于专门面向中小企业采购的项目。</w:t>
      </w:r>
    </w:p>
    <w:p/>
    <w:p>
      <w:r>
        <w:rPr>
          <w:b/>
          <w:sz w:val="24"/>
        </w:rPr>
        <w:t>3.本项目特定的资格要求：</w:t>
      </w:r>
    </w:p>
    <w:p>
      <w:pPr>
        <w:ind w:firstLine="480"/>
      </w:pPr>
    </w:p>
    <w:p/>
    <w:p>
      <w:r>
        <w:rPr/>
        <w:t>采购包1（HIS信息系统维护服务）：</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为本项目提供整体设计、规范编制或者项目管理、监理、检测等服务的供应商，不得再参与本项目投标。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汕头大学医学院第二附属医院</w:t>
      </w:r>
    </w:p>
    <w:p>
      <w:pPr>
        <w:ind w:firstLine="480"/>
      </w:pPr>
      <w:r>
        <w:rPr/>
        <w:t>地址：</w:t>
      </w:r>
      <w:r>
        <w:rPr/>
        <w:t>汕头市东厦北路北段</w:t>
      </w:r>
    </w:p>
    <w:p>
      <w:pPr>
        <w:ind w:firstLine="480"/>
      </w:pPr>
      <w:r>
        <w:rPr/>
        <w:t>联系方式：</w:t>
      </w:r>
      <w:r>
        <w:rPr/>
        <w:t>0754-88915625</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0754-87230486、020-87687817</w:t>
      </w:r>
    </w:p>
    <w:p>
      <w:r>
        <w:rPr>
          <w:b/>
          <w:sz w:val="24"/>
        </w:rPr>
        <w:t>3.项目联系方式</w:t>
      </w:r>
    </w:p>
    <w:p>
      <w:pPr>
        <w:ind w:firstLine="480"/>
      </w:pPr>
      <w:r>
        <w:rPr/>
        <w:t>项目联系人：</w:t>
      </w:r>
      <w:r>
        <w:rPr/>
        <w:t>郑淇筠、梁思瑶</w:t>
      </w:r>
    </w:p>
    <w:p>
      <w:pPr>
        <w:ind w:firstLine="480"/>
      </w:pPr>
      <w:r>
        <w:rPr/>
        <w:t>电话：</w:t>
      </w:r>
      <w:r>
        <w:rPr/>
        <w:t>0754-87230486、020-87687817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GZGK23P251C0823Z</w:t>
      </w:r>
    </w:p>
    <w:p>
      <w:pPr>
        <w:jc w:val="both"/>
      </w:pPr>
      <w:r>
        <w:rPr>
          <w:b/>
          <w:sz w:val="21"/>
        </w:rPr>
        <w:t>（二）</w:t>
      </w:r>
      <w:r>
        <w:rPr>
          <w:b/>
          <w:sz w:val="21"/>
        </w:rPr>
        <w:t>项目名称：</w:t>
      </w:r>
      <w:r>
        <w:rPr>
          <w:sz w:val="21"/>
        </w:rPr>
        <w:t>汕头大学医学院第二附属医院</w:t>
      </w:r>
      <w:r>
        <w:rPr>
          <w:sz w:val="21"/>
        </w:rPr>
        <w:t>HIS信息系统维护服务项目</w:t>
      </w:r>
    </w:p>
    <w:p>
      <w:pPr>
        <w:jc w:val="both"/>
      </w:pPr>
      <w:r>
        <w:rPr>
          <w:b/>
          <w:sz w:val="21"/>
        </w:rPr>
        <w:t>（三）</w:t>
      </w:r>
      <w:r>
        <w:rPr>
          <w:b/>
          <w:sz w:val="21"/>
        </w:rPr>
        <w:t>总体要求说明：</w:t>
      </w:r>
    </w:p>
    <w:p>
      <w:pPr>
        <w:jc w:val="both"/>
      </w:pPr>
      <w:r>
        <w:rPr>
          <w:color w:val="000000"/>
          <w:sz w:val="21"/>
        </w:rPr>
        <w:t>1、</w:t>
      </w:r>
      <w:r>
        <w:rPr>
          <w:color w:val="000000"/>
          <w:sz w:val="21"/>
        </w:rPr>
        <w:t>标有</w:t>
      </w:r>
      <w:r>
        <w:rPr>
          <w:color w:val="000000"/>
          <w:sz w:val="21"/>
        </w:rPr>
        <w:t>“★”的条款</w:t>
      </w:r>
      <w:r>
        <w:rPr>
          <w:color w:val="000000"/>
          <w:sz w:val="21"/>
        </w:rPr>
        <w:t>为必须完全满足的实质性要求</w:t>
      </w:r>
      <w:r>
        <w:rPr>
          <w:color w:val="000000"/>
          <w:sz w:val="21"/>
        </w:rPr>
        <w:t>，投标人如有一项带</w:t>
      </w:r>
      <w:r>
        <w:rPr>
          <w:color w:val="000000"/>
          <w:sz w:val="21"/>
        </w:rPr>
        <w:t>“★”的条款未响应或负偏离，将按无效投标处理。</w:t>
      </w:r>
    </w:p>
    <w:p>
      <w:pPr>
        <w:jc w:val="both"/>
      </w:pPr>
      <w:r>
        <w:rPr>
          <w:color w:val="000000"/>
          <w:sz w:val="21"/>
        </w:rPr>
        <w:t>2、</w:t>
      </w:r>
      <w:r>
        <w:rPr>
          <w:color w:val="000000"/>
          <w:sz w:val="21"/>
        </w:rPr>
        <w:t>标有</w:t>
      </w:r>
      <w:r>
        <w:rPr>
          <w:color w:val="000000"/>
          <w:sz w:val="21"/>
        </w:rPr>
        <w:t>“▲”的条款为重要性要求，投标人如有“▲”的条款未响应或负偏离的将被严重扣分。</w:t>
      </w:r>
    </w:p>
    <w:p>
      <w:pPr>
        <w:jc w:val="both"/>
      </w:pPr>
      <w:r>
        <w:rPr>
          <w:color w:val="000000"/>
          <w:sz w:val="21"/>
        </w:rPr>
        <w:t>3、</w:t>
      </w:r>
      <w:r>
        <w:rPr>
          <w:color w:val="000000"/>
          <w:sz w:val="21"/>
        </w:rPr>
        <w:t>投标人应对采购需求中的服务指标在响应详细内容中列出明确承诺。如果投标人只注明</w:t>
      </w:r>
      <w:r>
        <w:rPr>
          <w:color w:val="000000"/>
          <w:sz w:val="21"/>
        </w:rPr>
        <w:t>“正偏离”或“无偏离”，将</w:t>
      </w:r>
      <w:r>
        <w:rPr>
          <w:color w:val="000000"/>
          <w:sz w:val="21"/>
        </w:rPr>
        <w:t>可能</w:t>
      </w:r>
      <w:r>
        <w:rPr>
          <w:color w:val="000000"/>
          <w:sz w:val="21"/>
        </w:rPr>
        <w:t>被视为</w:t>
      </w:r>
      <w:r>
        <w:rPr>
          <w:color w:val="000000"/>
          <w:sz w:val="21"/>
        </w:rPr>
        <w:t>“负偏离”，从而可能导致严重影响评标结果。</w:t>
      </w:r>
    </w:p>
    <w:p>
      <w:pPr>
        <w:jc w:val="both"/>
      </w:pPr>
      <w:r>
        <w:rPr>
          <w:color w:val="000000"/>
          <w:sz w:val="21"/>
        </w:rPr>
        <w:t>4、</w:t>
      </w:r>
      <w:r>
        <w:rPr>
          <w:color w:val="000000"/>
          <w:sz w:val="21"/>
        </w:rPr>
        <w:t>涉及到软件产品的，必须采购和使用正版软件，项目中涉及计算机办公产品的，必须预装正版操作系统软件。</w:t>
      </w:r>
    </w:p>
    <w:p>
      <w:pPr>
        <w:jc w:val="both"/>
      </w:pPr>
      <w:r>
        <w:rPr>
          <w:color w:val="000000"/>
          <w:sz w:val="21"/>
        </w:rPr>
        <w:t>5、</w:t>
      </w:r>
      <w:r>
        <w:rPr>
          <w:color w:val="000000"/>
          <w:sz w:val="21"/>
        </w:rPr>
        <w:t>投标人没有在投标文件中注明偏离（文字说明或在响应表注明）的参数、配置、条款视为被投标人完全接受。</w:t>
      </w:r>
    </w:p>
    <w:p>
      <w:pPr>
        <w:jc w:val="both"/>
      </w:pPr>
      <w:r>
        <w:rPr>
          <w:color w:val="000000"/>
          <w:sz w:val="21"/>
        </w:rPr>
        <w:t>6、</w:t>
      </w:r>
      <w:r>
        <w:rPr>
          <w:color w:val="000000"/>
          <w:sz w:val="21"/>
        </w:rPr>
        <w:t>投标人应保证，采购人在中华人民共和国使用该</w:t>
      </w:r>
      <w:r>
        <w:rPr>
          <w:color w:val="000000"/>
          <w:sz w:val="21"/>
        </w:rPr>
        <w:t>服务</w:t>
      </w:r>
      <w:r>
        <w:rPr>
          <w:color w:val="000000"/>
          <w:sz w:val="21"/>
        </w:rPr>
        <w:t>或</w:t>
      </w:r>
      <w:r>
        <w:rPr>
          <w:color w:val="000000"/>
          <w:sz w:val="21"/>
        </w:rPr>
        <w:t>服务</w:t>
      </w:r>
      <w:r>
        <w:rPr>
          <w:color w:val="000000"/>
          <w:sz w:val="21"/>
        </w:rPr>
        <w:t>的任何一部分时，免受第三方提出的侵犯其专利权、商标权、著作权或其它知识产权的起诉。</w:t>
      </w:r>
    </w:p>
    <w:p>
      <w:pPr>
        <w:jc w:val="both"/>
      </w:pPr>
      <w:r>
        <w:rPr>
          <w:color w:val="000000"/>
          <w:sz w:val="21"/>
        </w:rPr>
        <w:t>7、</w:t>
      </w:r>
      <w:r>
        <w:rPr>
          <w:color w:val="000000"/>
          <w:sz w:val="21"/>
        </w:rPr>
        <w:t>不允许中标供应商</w:t>
      </w:r>
      <w:r>
        <w:rPr>
          <w:color w:val="000000"/>
          <w:sz w:val="21"/>
        </w:rPr>
        <w:t>转包、分包项目内容</w:t>
      </w:r>
      <w:r>
        <w:rPr>
          <w:color w:val="000000"/>
          <w:sz w:val="21"/>
        </w:rPr>
        <w:t>。</w:t>
      </w:r>
    </w:p>
    <w:p>
      <w:pPr>
        <w:jc w:val="both"/>
      </w:pPr>
      <w:r>
        <w:rPr>
          <w:color w:val="000000"/>
          <w:sz w:val="21"/>
        </w:rPr>
        <w:t>8、</w:t>
      </w:r>
      <w:r>
        <w:rPr>
          <w:color w:val="000000"/>
          <w:sz w:val="21"/>
        </w:rPr>
        <w:t>小型和微型企业、监狱企业和残疾人福利性单位必须按照投标须知的内容提供相应的资料。</w:t>
      </w:r>
    </w:p>
    <w:p>
      <w:pPr>
        <w:jc w:val="both"/>
      </w:pPr>
      <w:r>
        <w:rPr>
          <w:color w:val="000000"/>
          <w:sz w:val="21"/>
        </w:rPr>
        <w:t>9、</w:t>
      </w:r>
      <w:r>
        <w:rPr>
          <w:color w:val="000000"/>
          <w:sz w:val="21"/>
        </w:rPr>
        <w:t>需落实政府采购政策为：促进中小企业发展政策、支持监狱企业发展政策、支持残疾人福利性单位发展政策、</w:t>
      </w:r>
      <w:r>
        <w:rPr>
          <w:color w:val="000000"/>
          <w:sz w:val="21"/>
        </w:rPr>
        <w:t>优先</w:t>
      </w:r>
      <w:r>
        <w:rPr>
          <w:color w:val="000000"/>
          <w:sz w:val="21"/>
        </w:rPr>
        <w:t>采购节能产品、环境标志产品相关政策等。</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盘及纸质投标文件前往开标现场进行签到、解密。</w:t>
      </w:r>
    </w:p>
    <w:p>
      <w:pPr>
        <w:jc w:val="both"/>
      </w:pPr>
      <w:r>
        <w:rPr>
          <w:sz w:val="21"/>
        </w:rPr>
        <w:t>2、</w:t>
      </w:r>
      <w:r>
        <w:rPr>
          <w:sz w:val="21"/>
        </w:rPr>
        <w:t>纸质投标文件邮寄地址（邮寄地址：</w:t>
      </w:r>
      <w:r>
        <w:rPr>
          <w:sz w:val="21"/>
        </w:rPr>
        <w:t>广东省汕头市金霞街道高新区科技中路</w:t>
      </w:r>
      <w:r>
        <w:rPr>
          <w:sz w:val="21"/>
        </w:rPr>
        <w:t>25号聚盛大厦B座511</w:t>
      </w:r>
      <w:r>
        <w:rPr>
          <w:sz w:val="21"/>
        </w:rPr>
        <w:t>，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w:t>
      </w:r>
      <w:r>
        <w:rPr>
          <w:b/>
          <w:sz w:val="21"/>
        </w:rPr>
        <w:t>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color w:val="000000"/>
          <w:sz w:val="21"/>
        </w:rPr>
        <w:t>投标报价包括：安全管理、安全服务咨询、信息安全技术支持、网络安全日常维护及优化、管理人员工资、售后服务及其他合同实施过程中不可预见的全部费用。</w:t>
      </w:r>
    </w:p>
    <w:p>
      <w:pPr>
        <w:jc w:val="left"/>
      </w:pPr>
      <w:r>
        <w:rPr>
          <w:b/>
          <w:color w:val="000000"/>
          <w:sz w:val="21"/>
        </w:rPr>
        <w:t>（六）</w:t>
      </w:r>
      <w:r>
        <w:rPr>
          <w:b/>
          <w:color w:val="000000"/>
          <w:sz w:val="21"/>
        </w:rPr>
        <w:t>实现的目标</w:t>
      </w:r>
      <w:r>
        <w:br/>
      </w:r>
      <w:r>
        <w:rPr>
          <w:b/>
          <w:sz w:val="21"/>
        </w:rPr>
        <w:t xml:space="preserve">    </w:t>
      </w:r>
      <w:r>
        <w:rPr>
          <w:color w:val="000000"/>
          <w:sz w:val="21"/>
        </w:rPr>
        <w:t>汕头大学医学院第二附属医院在用的</w:t>
      </w:r>
      <w:r>
        <w:rPr>
          <w:color w:val="000000"/>
          <w:sz w:val="21"/>
        </w:rPr>
        <w:t>HIS系统是集管理和临床业务的综合性医院信息系统，涵盖了门诊、住院、收费、药品、医技、检验、手术等方面的管理，包括门诊业务系统、住院业务系统等。</w:t>
      </w:r>
    </w:p>
    <w:p>
      <w:pPr>
        <w:ind w:firstLine="420"/>
        <w:jc w:val="both"/>
      </w:pPr>
      <w:r>
        <w:rPr>
          <w:color w:val="000000"/>
          <w:sz w:val="21"/>
        </w:rPr>
        <w:t>HIS系统为医院的管理和持续发展做出了巨大贡献，已经成为医院业务运行的必备信息化基础系统。HIS是医院目前最复杂的信息系统之一，医院数字化建设的关键在于应用软件的不断设计和开发，与时俱进完成更新。HIS系统需不断开发</w:t>
      </w:r>
      <w:r>
        <w:rPr>
          <w:sz w:val="21"/>
        </w:rPr>
        <w:t>新功能、新模块，不断进行结构和性能优化，不断依据各种需求变化进行相应软件调整。</w:t>
      </w:r>
    </w:p>
    <w:p>
      <w:pPr>
        <w:jc w:val="both"/>
      </w:pPr>
      <w:r>
        <w:rPr>
          <w:b/>
          <w:sz w:val="21"/>
        </w:rPr>
        <w:t>（七）</w:t>
      </w:r>
      <w:r>
        <w:rPr>
          <w:b/>
          <w:sz w:val="21"/>
        </w:rPr>
        <w:t>需执行国家相关标准、行业标准、地方标准或者其他标准、规范</w:t>
      </w:r>
    </w:p>
    <w:p/>
    <w:p>
      <w:pPr>
        <w:ind w:firstLine="480"/>
      </w:pPr>
    </w:p>
    <w:p/>
    <w:p>
      <w:r>
        <w:rPr/>
        <w:t>采购包1（HIS信息系统维护服务）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自合同签订之日起3年。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1期：支付比例100%,本项目服务期限共3年，按年度支付服务费用。 1、合同签订后5个工作日内，凭中标人提供的等额发票，采购人按合同第一年度总价的30%向中标人支付预付款。 2、合同签订后第二年的5个工作日内，采购人按合同第二年总价的30%向中标人支付款项；合同签订后第二年自收到中标人发票后15日内，凭经网络中心确认的维护报告，采购人按合同第一年度总价的70%向中标人支付款项。 3、合同签订后第三年的5个工作日内，采购人按合同第二年总价的30%向中标人支付款项；合同签订后第二年自收到中标人发票后15日内，凭经网络中心确认的维护报告，采购人按合同第二年度总价的70%向中标人支付款项。 4、项目服务期满三年验收后，凭中标人提供的等额发票及经网络中心确认的维护报告，采购人在收到发票后15日内向中标人支付合同第三年度总价的70%。</w:t>
            </w:r>
          </w:p>
        </w:tc>
      </w:tr>
      <w:tr>
        <w:tc>
          <w:tcPr>
            <w:tcW w:type="dxa" w:w="4153"/>
          </w:tcPr>
          <w:p>
            <w:r>
              <w:rPr/>
              <w:t>验收要求</w:t>
            </w:r>
          </w:p>
        </w:tc>
        <w:tc>
          <w:tcPr>
            <w:tcW w:type="dxa" w:w="4153"/>
          </w:tcPr>
          <w:p/>
          <w:p/>
          <w:p/>
          <w:p>
            <w:r>
              <w:rPr/>
              <w:t>1期：1、采购人按照采购合同规定的服务、安全标准组织对中标供应商履约情况每年进行一次验收，并出具验收书。验收书应当包括每一项服务、安全标准的履约情况。  2、采购人组成验收小组，按照采购合同规定的技术、服务、安全标准组织对中标供应商履约情况进行验收。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其他运行维护服务</w:t>
            </w:r>
          </w:p>
        </w:tc>
        <w:tc>
          <w:tcPr>
            <w:tcW w:type="dxa" w:w="933"/>
          </w:tcPr>
          <w:p>
            <w:pPr>
              <w:jc w:val="left"/>
            </w:pPr>
            <w:r>
              <w:rPr/>
              <w:t>HIS信息系统维护服务</w:t>
            </w:r>
          </w:p>
        </w:tc>
        <w:tc>
          <w:tcPr>
            <w:tcW w:type="dxa" w:w="933"/>
          </w:tcPr>
          <w:p>
            <w:pPr>
              <w:jc w:val="left"/>
            </w:pPr>
            <w:r>
              <w:rPr/>
              <w:t>年</w:t>
            </w:r>
          </w:p>
        </w:tc>
        <w:tc>
          <w:tcPr>
            <w:tcW w:type="dxa" w:w="933"/>
          </w:tcPr>
          <w:p>
            <w:pPr>
              <w:jc w:val="right"/>
            </w:pPr>
            <w:r>
              <w:rPr/>
              <w:t>3.00</w:t>
            </w:r>
          </w:p>
        </w:tc>
        <w:tc>
          <w:tcPr>
            <w:tcW w:type="dxa" w:w="933"/>
          </w:tcPr>
          <w:p>
            <w:pPr>
              <w:jc w:val="right"/>
            </w:pPr>
            <w:r>
              <w:rPr/>
              <w:t>432,200.00</w:t>
            </w:r>
          </w:p>
        </w:tc>
        <w:tc>
          <w:tcPr>
            <w:tcW w:type="dxa" w:w="933"/>
          </w:tcPr>
          <w:p>
            <w:pPr>
              <w:jc w:val="right"/>
            </w:pPr>
            <w:r>
              <w:rPr/>
              <w:t>1,296,600.00</w:t>
            </w:r>
          </w:p>
        </w:tc>
        <w:tc>
          <w:tcPr>
            <w:tcW w:type="dxa" w:w="840"/>
          </w:tcPr>
          <w:p>
            <w:r>
              <w:rPr/>
              <w:t>软件和信息技术服务业</w:t>
            </w:r>
          </w:p>
        </w:tc>
        <w:tc>
          <w:tcPr>
            <w:tcW w:type="dxa" w:w="933"/>
          </w:tcPr>
          <w:p>
            <w:r>
              <w:rPr/>
              <w:t>详见附表一</w:t>
            </w:r>
          </w:p>
        </w:tc>
      </w:tr>
    </w:tbl>
    <w:p/>
    <w:p>
      <w:r>
        <w:rPr>
          <w:b/>
        </w:rPr>
        <w:t>附表</w:t>
      </w:r>
      <w:r>
        <w:rPr>
          <w:b/>
        </w:rPr>
        <w:t>一</w:t>
      </w:r>
      <w:r>
        <w:rPr>
          <w:b/>
        </w:rPr>
        <w:t>：</w:t>
      </w:r>
      <w:r>
        <w:rPr>
          <w:b/>
        </w:rPr>
        <w:t>HIS信息系统维护服务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w:t>
            </w:r>
            <w:r>
              <w:rPr>
                <w:sz w:val="21"/>
              </w:rPr>
              <w:t>、</w:t>
            </w:r>
            <w:r>
              <w:rPr>
                <w:sz w:val="21"/>
              </w:rPr>
              <w:t>标的名称</w:t>
            </w:r>
          </w:p>
          <w:tbl>
            <w:tblPr>
              <w:tblBorders>
                <w:top w:val="none" w:color="000000" w:sz="4"/>
                <w:left w:val="none" w:color="000000" w:sz="4"/>
                <w:bottom w:val="none" w:color="000000" w:sz="4"/>
                <w:right w:val="none" w:color="000000" w:sz="4"/>
                <w:insideH w:val="none"/>
                <w:insideV w:val="none"/>
              </w:tblBorders>
            </w:tblPr>
            <w:tblGrid>
              <w:gridCol w:w="642"/>
              <w:gridCol w:w="3171"/>
              <w:gridCol w:w="866"/>
              <w:gridCol w:w="897"/>
            </w:tblGrid>
            <w:tr>
              <w:tc>
                <w:tcPr>
                  <w:tcW w:type="dxa" w:w="642"/>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3171"/>
                  <w:tcBorders>
                    <w:top w:val="single" w:color="000000" w:sz="4"/>
                    <w:left w:val="single" w:color="000000" w:sz="4"/>
                    <w:bottom w:val="single" w:color="000000" w:sz="4"/>
                    <w:right w:val="single" w:color="000000" w:sz="4"/>
                  </w:tcBorders>
                  <w:vAlign w:val="top"/>
                </w:tcPr>
                <w:p>
                  <w:pPr>
                    <w:jc w:val="center"/>
                  </w:pPr>
                  <w:r>
                    <w:rPr>
                      <w:b/>
                      <w:sz w:val="21"/>
                    </w:rPr>
                    <w:t>项目名称</w:t>
                  </w:r>
                </w:p>
              </w:tc>
              <w:tc>
                <w:tcPr>
                  <w:tcW w:type="dxa" w:w="866"/>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897"/>
                  <w:tcBorders>
                    <w:top w:val="single" w:color="000000" w:sz="4"/>
                    <w:left w:val="single" w:color="000000" w:sz="4"/>
                    <w:bottom w:val="single" w:color="000000" w:sz="4"/>
                    <w:right w:val="single" w:color="000000" w:sz="4"/>
                  </w:tcBorders>
                  <w:vAlign w:val="top"/>
                </w:tcPr>
                <w:p>
                  <w:pPr>
                    <w:jc w:val="center"/>
                  </w:pPr>
                  <w:r>
                    <w:rPr>
                      <w:b/>
                      <w:sz w:val="21"/>
                    </w:rPr>
                    <w:t>单位</w:t>
                  </w:r>
                </w:p>
              </w:tc>
            </w:tr>
            <w:tr>
              <w:tc>
                <w:tcPr>
                  <w:tcW w:type="dxa" w:w="64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71"/>
                  <w:tcBorders>
                    <w:top w:val="none" w:color="000000" w:sz="4"/>
                    <w:left w:val="single" w:color="000000" w:sz="4"/>
                    <w:bottom w:val="single" w:color="000000" w:sz="4"/>
                    <w:right w:val="single" w:color="000000" w:sz="4"/>
                  </w:tcBorders>
                  <w:vAlign w:val="top"/>
                </w:tcPr>
                <w:p>
                  <w:pPr>
                    <w:jc w:val="center"/>
                  </w:pPr>
                  <w:r>
                    <w:rPr>
                      <w:sz w:val="21"/>
                    </w:rPr>
                    <w:t>医院信息系统(HIS)年度维护</w:t>
                  </w:r>
                </w:p>
              </w:tc>
              <w:tc>
                <w:tcPr>
                  <w:tcW w:type="dxa" w:w="86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7"/>
                  <w:tcBorders>
                    <w:top w:val="none" w:color="000000" w:sz="4"/>
                    <w:left w:val="single" w:color="000000" w:sz="4"/>
                    <w:bottom w:val="single" w:color="000000" w:sz="4"/>
                    <w:right w:val="single" w:color="000000" w:sz="4"/>
                  </w:tcBorders>
                  <w:vAlign w:val="top"/>
                </w:tcPr>
                <w:p>
                  <w:pPr>
                    <w:jc w:val="center"/>
                  </w:pPr>
                  <w:r>
                    <w:rPr>
                      <w:sz w:val="21"/>
                    </w:rPr>
                    <w:t>年</w:t>
                  </w:r>
                </w:p>
              </w:tc>
            </w:tr>
          </w:tbl>
          <w:p>
            <w:pPr>
              <w:jc w:val="left"/>
            </w:pPr>
            <w:r>
              <w:rPr>
                <w:sz w:val="21"/>
              </w:rPr>
              <w:t>2</w:t>
            </w:r>
            <w:r>
              <w:rPr>
                <w:sz w:val="21"/>
              </w:rPr>
              <w:t>、</w:t>
            </w:r>
            <w:r>
              <w:rPr>
                <w:sz w:val="21"/>
              </w:rPr>
              <w:t>维护内容</w:t>
            </w:r>
          </w:p>
          <w:p>
            <w:pPr>
              <w:ind w:firstLine="420"/>
              <w:jc w:val="both"/>
            </w:pPr>
            <w:r>
              <w:rPr>
                <w:sz w:val="21"/>
              </w:rPr>
              <w:t>（</w:t>
            </w:r>
            <w:r>
              <w:rPr>
                <w:sz w:val="21"/>
              </w:rPr>
              <w:t>1）稳定运行保障：保证现用HIS各子系统</w:t>
            </w:r>
            <w:r>
              <w:rPr>
                <w:sz w:val="21"/>
              </w:rPr>
              <w:t>（</w:t>
            </w:r>
            <w:r>
              <w:rPr>
                <w:sz w:val="21"/>
              </w:rPr>
              <w:t>用友医疗信息系统（HIS）V5.5</w:t>
            </w:r>
            <w:r>
              <w:rPr>
                <w:sz w:val="21"/>
              </w:rPr>
              <w:t>）</w:t>
            </w:r>
            <w:r>
              <w:rPr>
                <w:sz w:val="21"/>
              </w:rPr>
              <w:t>及其功能的完整及正确性，能承受不断增</w:t>
            </w:r>
            <w:r>
              <w:rPr>
                <w:sz w:val="21"/>
              </w:rPr>
              <w:t>加的业务和数据</w:t>
            </w:r>
            <w:r>
              <w:rPr>
                <w:sz w:val="21"/>
              </w:rPr>
              <w:t>压力，保证系统运行的高效、稳定</w:t>
            </w:r>
            <w:r>
              <w:rPr>
                <w:sz w:val="21"/>
              </w:rPr>
              <w:t>。</w:t>
            </w:r>
          </w:p>
          <w:p>
            <w:pPr>
              <w:ind w:firstLine="420"/>
              <w:jc w:val="both"/>
            </w:pPr>
            <w:r>
              <w:rPr>
                <w:sz w:val="21"/>
              </w:rPr>
              <w:t>（</w:t>
            </w:r>
            <w:r>
              <w:rPr>
                <w:sz w:val="21"/>
              </w:rPr>
              <w:t>2）系统错误修复：发现信息系统在使用过程中的错误及</w:t>
            </w:r>
            <w:r>
              <w:rPr>
                <w:sz w:val="21"/>
              </w:rPr>
              <w:t>时完成修复。</w:t>
            </w:r>
          </w:p>
          <w:p>
            <w:pPr>
              <w:ind w:firstLine="420"/>
              <w:jc w:val="both"/>
            </w:pPr>
            <w:r>
              <w:rPr>
                <w:sz w:val="21"/>
              </w:rPr>
              <w:t>（</w:t>
            </w:r>
            <w:r>
              <w:rPr>
                <w:sz w:val="21"/>
              </w:rPr>
              <w:t>3）系统数据修复：系统使用过程中，因用户误操作等原因导致的数据错误，查明原</w:t>
            </w:r>
            <w:r>
              <w:rPr>
                <w:sz w:val="21"/>
              </w:rPr>
              <w:t>因和进行数据修复。</w:t>
            </w:r>
          </w:p>
          <w:p>
            <w:pPr>
              <w:ind w:firstLine="420"/>
              <w:jc w:val="both"/>
            </w:pPr>
            <w:r>
              <w:rPr>
                <w:sz w:val="21"/>
              </w:rPr>
              <w:t>（4）HIS系统新增需求开发</w:t>
            </w:r>
            <w:r>
              <w:rPr>
                <w:sz w:val="21"/>
              </w:rPr>
              <w:t>：</w:t>
            </w:r>
            <w:r>
              <w:rPr>
                <w:sz w:val="21"/>
              </w:rPr>
              <w:t>为满足政策变化或管理需求而引起的新需求开发，对新功能的应用场景及业务流程，经</w:t>
            </w:r>
            <w:r>
              <w:rPr>
                <w:sz w:val="21"/>
              </w:rPr>
              <w:t>采购人</w:t>
            </w:r>
            <w:r>
              <w:rPr>
                <w:sz w:val="21"/>
              </w:rPr>
              <w:t>确认工作量低于25人天，由</w:t>
            </w:r>
            <w:r>
              <w:rPr>
                <w:sz w:val="21"/>
              </w:rPr>
              <w:t>中标供应商</w:t>
            </w:r>
            <w:r>
              <w:rPr>
                <w:sz w:val="21"/>
              </w:rPr>
              <w:t>完成新功能的设计、开发、上线。</w:t>
            </w:r>
          </w:p>
          <w:p>
            <w:pPr>
              <w:ind w:firstLine="420"/>
              <w:jc w:val="both"/>
            </w:pPr>
            <w:r>
              <w:rPr>
                <w:sz w:val="21"/>
              </w:rPr>
              <w:t>（5）HIS数据库优化、协助</w:t>
            </w:r>
            <w:r>
              <w:rPr>
                <w:sz w:val="21"/>
              </w:rPr>
              <w:t>采购人</w:t>
            </w:r>
            <w:r>
              <w:rPr>
                <w:sz w:val="21"/>
              </w:rPr>
              <w:t>做数据迁移</w:t>
            </w:r>
          </w:p>
          <w:p>
            <w:pPr>
              <w:ind w:firstLine="420"/>
              <w:jc w:val="both"/>
            </w:pPr>
            <w:r>
              <w:rPr>
                <w:sz w:val="21"/>
              </w:rPr>
              <w:t>HIS数据库巡检和优化，安排专业的人员，对数据库进行巡检和优化，保证</w:t>
            </w:r>
            <w:r>
              <w:rPr>
                <w:sz w:val="21"/>
              </w:rPr>
              <w:t>采购人</w:t>
            </w:r>
            <w:r>
              <w:rPr>
                <w:sz w:val="21"/>
              </w:rPr>
              <w:t>HIS系统运行。</w:t>
            </w:r>
          </w:p>
          <w:p>
            <w:pPr>
              <w:ind w:firstLine="420"/>
              <w:jc w:val="both"/>
            </w:pPr>
            <w:r>
              <w:rPr>
                <w:sz w:val="21"/>
              </w:rPr>
              <w:t>（6）保证HIS系统与</w:t>
            </w:r>
            <w:r>
              <w:rPr>
                <w:sz w:val="21"/>
              </w:rPr>
              <w:t>采购人</w:t>
            </w:r>
            <w:r>
              <w:rPr>
                <w:sz w:val="21"/>
              </w:rPr>
              <w:t>现有集成平台对接及数据稳定性。</w:t>
            </w:r>
          </w:p>
          <w:p>
            <w:pPr>
              <w:jc w:val="both"/>
            </w:pPr>
            <w:r>
              <w:rPr>
                <w:sz w:val="21"/>
              </w:rPr>
              <w:t xml:space="preserve">    </w:t>
            </w:r>
            <w:r>
              <w:rPr>
                <w:sz w:val="21"/>
              </w:rPr>
              <w:t>（</w:t>
            </w:r>
            <w:r>
              <w:rPr>
                <w:sz w:val="21"/>
              </w:rPr>
              <w:t>7</w:t>
            </w:r>
            <w:r>
              <w:rPr>
                <w:sz w:val="21"/>
              </w:rPr>
              <w:t>）</w:t>
            </w:r>
            <w:r>
              <w:rPr>
                <w:sz w:val="21"/>
              </w:rPr>
              <w:t>需至少有一位现场驻场工程师为系统提供保障。</w:t>
            </w:r>
          </w:p>
          <w:p>
            <w:pPr>
              <w:ind w:firstLine="420"/>
              <w:jc w:val="both"/>
            </w:pPr>
            <w:r>
              <w:rPr>
                <w:sz w:val="21"/>
              </w:rPr>
              <w:t>项目维护范围包含</w:t>
            </w:r>
            <w:r>
              <w:rPr>
                <w:sz w:val="21"/>
              </w:rPr>
              <w:t>采购人</w:t>
            </w:r>
            <w:r>
              <w:rPr>
                <w:sz w:val="21"/>
              </w:rPr>
              <w:t>在用的HIS系统及其功能，详见如下：</w:t>
            </w:r>
          </w:p>
          <w:tbl>
            <w:tblPr>
              <w:tblBorders>
                <w:top w:val="none" w:color="000000" w:sz="4"/>
                <w:left w:val="none" w:color="000000" w:sz="4"/>
                <w:bottom w:val="none" w:color="000000" w:sz="4"/>
                <w:right w:val="none" w:color="000000" w:sz="4"/>
                <w:insideH w:val="none"/>
                <w:insideV w:val="none"/>
              </w:tblBorders>
            </w:tblPr>
            <w:tblGrid>
              <w:gridCol w:w="547"/>
              <w:gridCol w:w="1767"/>
              <w:gridCol w:w="3272"/>
            </w:tblGrid>
            <w:tr>
              <w:tc>
                <w:tcPr>
                  <w:tcW w:type="dxa" w:w="547"/>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767"/>
                  <w:tcBorders>
                    <w:top w:val="single" w:color="000000" w:sz="4"/>
                    <w:left w:val="single" w:color="000000" w:sz="4"/>
                    <w:bottom w:val="single" w:color="000000" w:sz="4"/>
                    <w:right w:val="single" w:color="000000" w:sz="4"/>
                  </w:tcBorders>
                  <w:vAlign w:val="top"/>
                </w:tcPr>
                <w:p>
                  <w:pPr>
                    <w:jc w:val="center"/>
                  </w:pPr>
                  <w:r>
                    <w:rPr>
                      <w:sz w:val="21"/>
                    </w:rPr>
                    <w:t>系统</w:t>
                  </w:r>
                </w:p>
              </w:tc>
              <w:tc>
                <w:tcPr>
                  <w:tcW w:type="dxa" w:w="3272"/>
                  <w:tcBorders>
                    <w:top w:val="single" w:color="000000" w:sz="4"/>
                    <w:left w:val="single" w:color="000000" w:sz="4"/>
                    <w:bottom w:val="single" w:color="000000" w:sz="4"/>
                    <w:right w:val="single" w:color="000000" w:sz="4"/>
                  </w:tcBorders>
                  <w:vAlign w:val="top"/>
                </w:tcPr>
                <w:p>
                  <w:pPr>
                    <w:jc w:val="center"/>
                  </w:pPr>
                  <w:r>
                    <w:rPr>
                      <w:sz w:val="21"/>
                    </w:rPr>
                    <w:t>模块</w:t>
                  </w:r>
                </w:p>
              </w:tc>
            </w:tr>
            <w:tr>
              <w:tc>
                <w:tcPr>
                  <w:tcW w:type="dxa" w:w="547"/>
                  <w:vMerge w:val="restart"/>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767"/>
                  <w:vMerge w:val="restart"/>
                  <w:tcBorders>
                    <w:top w:val="none" w:color="000000" w:sz="4"/>
                    <w:left w:val="single" w:color="000000" w:sz="4"/>
                    <w:bottom w:val="single" w:color="000000" w:sz="4"/>
                    <w:right w:val="single" w:color="000000" w:sz="4"/>
                  </w:tcBorders>
                  <w:vAlign w:val="top"/>
                </w:tcPr>
                <w:p>
                  <w:pPr>
                    <w:jc w:val="center"/>
                  </w:pPr>
                  <w:r>
                    <w:rPr>
                      <w:sz w:val="21"/>
                    </w:rPr>
                    <w:t>门诊系统</w:t>
                  </w:r>
                </w:p>
              </w:tc>
              <w:tc>
                <w:tcPr>
                  <w:tcW w:type="dxa" w:w="3272"/>
                  <w:tcBorders>
                    <w:top w:val="none" w:color="000000" w:sz="4"/>
                    <w:left w:val="single" w:color="000000" w:sz="4"/>
                    <w:bottom w:val="single" w:color="000000" w:sz="4"/>
                    <w:right w:val="single" w:color="000000" w:sz="4"/>
                  </w:tcBorders>
                  <w:vAlign w:val="top"/>
                </w:tcPr>
                <w:p>
                  <w:pPr>
                    <w:jc w:val="both"/>
                  </w:pPr>
                  <w:r>
                    <w:rPr>
                      <w:sz w:val="21"/>
                    </w:rPr>
                    <w:t>门诊收费</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门诊医生工作站</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门诊药房发药、配药</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门诊信息查询系统</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门诊注射工作站</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财务管理和统计报表</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门诊药房实时库存管理</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门诊药房刷卡扣费</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取药排队管理</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分诊及候诊叫号管理</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预约号源管理</w:t>
                  </w:r>
                </w:p>
              </w:tc>
            </w:tr>
            <w:tr>
              <w:tc>
                <w:tcPr>
                  <w:tcW w:type="dxa" w:w="547"/>
                  <w:vMerge w:val="restart"/>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767"/>
                  <w:vMerge w:val="restart"/>
                  <w:tcBorders>
                    <w:top w:val="none" w:color="000000" w:sz="4"/>
                    <w:left w:val="single" w:color="000000" w:sz="4"/>
                    <w:bottom w:val="single" w:color="000000" w:sz="4"/>
                    <w:right w:val="single" w:color="000000" w:sz="4"/>
                  </w:tcBorders>
                  <w:vAlign w:val="top"/>
                </w:tcPr>
                <w:p>
                  <w:pPr>
                    <w:jc w:val="center"/>
                  </w:pPr>
                  <w:r>
                    <w:rPr>
                      <w:sz w:val="21"/>
                    </w:rPr>
                    <w:t>住院系统</w:t>
                  </w:r>
                </w:p>
              </w:tc>
              <w:tc>
                <w:tcPr>
                  <w:tcW w:type="dxa" w:w="3272"/>
                  <w:tcBorders>
                    <w:top w:val="none" w:color="000000" w:sz="4"/>
                    <w:left w:val="single" w:color="000000" w:sz="4"/>
                    <w:bottom w:val="single" w:color="000000" w:sz="4"/>
                    <w:right w:val="single" w:color="000000" w:sz="4"/>
                  </w:tcBorders>
                  <w:vAlign w:val="top"/>
                </w:tcPr>
                <w:p>
                  <w:pPr>
                    <w:jc w:val="both"/>
                  </w:pPr>
                  <w:r>
                    <w:rPr>
                      <w:sz w:val="21"/>
                    </w:rPr>
                    <w:t>入院登记管理子系统</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出院结算管理子系统</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住院药房管理子系统</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住院医生工作站</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护士工作站</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手术室收费管理子系统</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住院费用财务管理和统计报表</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住院系统维护系统</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住院报表统计子系统</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住院费用自助查询子系统</w:t>
                  </w:r>
                </w:p>
              </w:tc>
            </w:tr>
            <w:tr>
              <w:tc>
                <w:tcPr>
                  <w:tcW w:type="dxa" w:w="547"/>
                  <w:vMerge w:val="restart"/>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767"/>
                  <w:vMerge w:val="restart"/>
                  <w:tcBorders>
                    <w:top w:val="none" w:color="000000" w:sz="4"/>
                    <w:left w:val="single" w:color="000000" w:sz="4"/>
                    <w:bottom w:val="single" w:color="000000" w:sz="4"/>
                    <w:right w:val="single" w:color="000000" w:sz="4"/>
                  </w:tcBorders>
                  <w:vAlign w:val="top"/>
                </w:tcPr>
                <w:p>
                  <w:pPr>
                    <w:jc w:val="center"/>
                  </w:pPr>
                  <w:r>
                    <w:rPr>
                      <w:sz w:val="21"/>
                    </w:rPr>
                    <w:t>系统配置及综合查询</w:t>
                  </w:r>
                </w:p>
              </w:tc>
              <w:tc>
                <w:tcPr>
                  <w:tcW w:type="dxa" w:w="3272"/>
                  <w:tcBorders>
                    <w:top w:val="none" w:color="000000" w:sz="4"/>
                    <w:left w:val="single" w:color="000000" w:sz="4"/>
                    <w:bottom w:val="single" w:color="000000" w:sz="4"/>
                    <w:right w:val="single" w:color="000000" w:sz="4"/>
                  </w:tcBorders>
                  <w:vAlign w:val="top"/>
                </w:tcPr>
                <w:p>
                  <w:pPr>
                    <w:jc w:val="both"/>
                  </w:pPr>
                  <w:r>
                    <w:rPr>
                      <w:sz w:val="21"/>
                    </w:rPr>
                    <w:t>系统配置及字典管理</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院长查询系统</w:t>
                  </w:r>
                </w:p>
              </w:tc>
            </w:tr>
            <w:tr>
              <w:tc>
                <w:tcPr>
                  <w:tcW w:type="dxa" w:w="547"/>
                  <w:vMerge w:val="restart"/>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767"/>
                  <w:vMerge w:val="restart"/>
                  <w:tcBorders>
                    <w:top w:val="none" w:color="000000" w:sz="4"/>
                    <w:left w:val="single" w:color="000000" w:sz="4"/>
                    <w:bottom w:val="single" w:color="000000" w:sz="4"/>
                    <w:right w:val="single" w:color="000000" w:sz="4"/>
                  </w:tcBorders>
                  <w:vAlign w:val="top"/>
                </w:tcPr>
                <w:p>
                  <w:pPr>
                    <w:jc w:val="center"/>
                  </w:pPr>
                  <w:r>
                    <w:rPr>
                      <w:sz w:val="21"/>
                    </w:rPr>
                    <w:t>HIS与其他系统的接口</w:t>
                  </w:r>
                </w:p>
                <w:p>
                  <w:pPr>
                    <w:jc w:val="center"/>
                  </w:pPr>
                  <w:r>
                    <w:rPr>
                      <w:sz w:val="21"/>
                    </w:rPr>
                    <w:t>(仅限HIS端接口工作)</w:t>
                  </w:r>
                </w:p>
              </w:tc>
              <w:tc>
                <w:tcPr>
                  <w:tcW w:type="dxa" w:w="3272"/>
                  <w:tcBorders>
                    <w:top w:val="none" w:color="000000" w:sz="4"/>
                    <w:left w:val="single" w:color="000000" w:sz="4"/>
                    <w:bottom w:val="single" w:color="000000" w:sz="4"/>
                    <w:right w:val="single" w:color="000000" w:sz="4"/>
                  </w:tcBorders>
                  <w:vAlign w:val="top"/>
                </w:tcPr>
                <w:p>
                  <w:pPr>
                    <w:jc w:val="both"/>
                  </w:pPr>
                  <w:r>
                    <w:rPr>
                      <w:sz w:val="21"/>
                    </w:rPr>
                    <w:t>药房自动发药系统接口</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合理用药接口</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医保系统接口</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急诊信息系统接口</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超声系统接口</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心电图系统接口</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动态心电系统接口</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病理图文分析信息管理系统接口</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输血管理系统接口</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检验信息管理系统接口</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微创中心管理系统接口</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供应室追溯管理系统接口</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麻醉临床信息系统接口</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单病种及不良事件报告系统接口</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医院感染管理信息系统接口</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医院运营管理(HRP)系统接口</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临床护理系统接口</w:t>
                  </w:r>
                </w:p>
              </w:tc>
            </w:tr>
            <w:tr>
              <w:tc>
                <w:tcPr>
                  <w:tcW w:type="dxa" w:w="547"/>
                  <w:vMerge/>
                  <w:tcBorders>
                    <w:top w:val="none" w:color="000000" w:sz="4"/>
                    <w:left w:val="single" w:color="000000" w:sz="4"/>
                    <w:bottom w:val="single" w:color="000000" w:sz="4"/>
                    <w:right w:val="single" w:color="000000" w:sz="4"/>
                  </w:tcBorders>
                </w:tcPr>
                <w:p/>
              </w:tc>
              <w:tc>
                <w:tcPr>
                  <w:tcW w:type="dxa" w:w="1767"/>
                  <w:vMerge/>
                  <w:tcBorders>
                    <w:top w:val="none" w:color="000000" w:sz="4"/>
                    <w:left w:val="single" w:color="000000" w:sz="4"/>
                    <w:bottom w:val="single" w:color="000000" w:sz="4"/>
                    <w:right w:val="single" w:color="000000" w:sz="4"/>
                  </w:tcBorders>
                </w:tcPr>
                <w:p/>
              </w:tc>
              <w:tc>
                <w:tcPr>
                  <w:tcW w:type="dxa" w:w="3272"/>
                  <w:tcBorders>
                    <w:top w:val="none" w:color="000000" w:sz="4"/>
                    <w:left w:val="single" w:color="000000" w:sz="4"/>
                    <w:bottom w:val="single" w:color="000000" w:sz="4"/>
                    <w:right w:val="single" w:color="000000" w:sz="4"/>
                  </w:tcBorders>
                  <w:vAlign w:val="top"/>
                </w:tcPr>
                <w:p>
                  <w:pPr>
                    <w:jc w:val="both"/>
                  </w:pPr>
                  <w:r>
                    <w:rPr>
                      <w:sz w:val="21"/>
                    </w:rPr>
                    <w:t>PACS系统接口</w:t>
                  </w:r>
                </w:p>
              </w:tc>
            </w:tr>
          </w:tbl>
          <w:p>
            <w:r>
              <w:rPr>
                <w:sz w:val="21"/>
              </w:rPr>
              <w:t>3、</w:t>
            </w:r>
            <w:r>
              <w:rPr>
                <w:sz w:val="21"/>
              </w:rPr>
              <w:t>采购人</w:t>
            </w:r>
            <w:r>
              <w:rPr>
                <w:sz w:val="21"/>
              </w:rPr>
              <w:t>每</w:t>
            </w:r>
            <w:r>
              <w:rPr>
                <w:sz w:val="21"/>
              </w:rPr>
              <w:t>年</w:t>
            </w:r>
            <w:r>
              <w:rPr>
                <w:sz w:val="21"/>
              </w:rPr>
              <w:t>对中标人服务质量进行考核评价，考核评价结果将作为是否终止合同的依据。</w:t>
            </w:r>
            <w:r>
              <w:rPr>
                <w:sz w:val="21"/>
              </w:rPr>
              <w:t>根据日常巡检、运维完成率、系统完好率、安全事故情况4个方面进行评分。</w:t>
            </w:r>
          </w:p>
          <w:p>
            <w:r>
              <w:rPr>
                <w:sz w:val="21"/>
              </w:rPr>
              <w:t>(1)</w:t>
            </w:r>
            <w:r>
              <w:rPr>
                <w:sz w:val="21"/>
              </w:rPr>
              <w:t>日常巡检</w:t>
            </w:r>
            <w:r>
              <w:rPr>
                <w:sz w:val="21"/>
              </w:rPr>
              <w:t>：每季度至少一次，巡检次数/4*30，满分30分。</w:t>
            </w:r>
          </w:p>
          <w:p>
            <w:r>
              <w:rPr>
                <w:sz w:val="21"/>
              </w:rPr>
              <w:t>(2)</w:t>
            </w:r>
            <w:r>
              <w:rPr>
                <w:sz w:val="21"/>
              </w:rPr>
              <w:t>运维完成率：完成需求数/提出需求数*30，满分30分。</w:t>
            </w:r>
          </w:p>
          <w:p>
            <w:r>
              <w:rPr>
                <w:sz w:val="21"/>
              </w:rPr>
              <w:t>(3)</w:t>
            </w:r>
            <w:r>
              <w:rPr>
                <w:sz w:val="21"/>
              </w:rPr>
              <w:t>系统完好率：满分20分，</w:t>
            </w:r>
            <w:r>
              <w:rPr>
                <w:sz w:val="21"/>
              </w:rPr>
              <w:t>因维护工作不到位造成系统虽正常运行但数据质量不佳的，每次问题扣1分</w:t>
            </w:r>
            <w:r>
              <w:rPr>
                <w:sz w:val="21"/>
              </w:rPr>
              <w:t>，扣完20分为止。</w:t>
            </w:r>
          </w:p>
          <w:p>
            <w:r>
              <w:rPr>
                <w:sz w:val="21"/>
              </w:rPr>
              <w:t>(4)</w:t>
            </w:r>
            <w:r>
              <w:rPr>
                <w:sz w:val="21"/>
              </w:rPr>
              <w:t>安全事故：满分20分，若</w:t>
            </w:r>
            <w:r>
              <w:rPr>
                <w:sz w:val="21"/>
              </w:rPr>
              <w:t>发生安全事故并造成</w:t>
            </w:r>
            <w:r>
              <w:rPr>
                <w:sz w:val="21"/>
              </w:rPr>
              <w:t>上级部门通报等</w:t>
            </w:r>
            <w:r>
              <w:rPr>
                <w:sz w:val="21"/>
              </w:rPr>
              <w:t>严重后果的</w:t>
            </w:r>
            <w:r>
              <w:rPr>
                <w:sz w:val="21"/>
              </w:rPr>
              <w:t>不得分</w:t>
            </w:r>
            <w:r>
              <w:rPr>
                <w:sz w:val="21"/>
              </w:rPr>
              <w:t>。</w:t>
            </w:r>
          </w:p>
          <w:p>
            <w:r>
              <w:rPr>
                <w:sz w:val="21"/>
              </w:rPr>
              <w:t>考核分数≥85分，采购人按时支付全额服务费；若考核分数≥7</w:t>
            </w:r>
            <w:r>
              <w:rPr>
                <w:sz w:val="21"/>
              </w:rPr>
              <w:t>5</w:t>
            </w:r>
            <w:r>
              <w:rPr>
                <w:sz w:val="21"/>
              </w:rPr>
              <w:t>分，但＜85分的，扣除</w:t>
            </w:r>
            <w:r>
              <w:rPr>
                <w:sz w:val="21"/>
              </w:rPr>
              <w:t>当年</w:t>
            </w:r>
            <w:r>
              <w:rPr>
                <w:sz w:val="21"/>
              </w:rPr>
              <w:t>服务费金额</w:t>
            </w:r>
            <w:r>
              <w:rPr>
                <w:sz w:val="21"/>
              </w:rPr>
              <w:t>10%</w:t>
            </w:r>
            <w:r>
              <w:rPr>
                <w:sz w:val="21"/>
              </w:rPr>
              <w:t>；若考核分数≥</w:t>
            </w:r>
            <w:r>
              <w:rPr>
                <w:sz w:val="21"/>
              </w:rPr>
              <w:t>60</w:t>
            </w:r>
            <w:r>
              <w:rPr>
                <w:sz w:val="21"/>
              </w:rPr>
              <w:t>分，但＜</w:t>
            </w:r>
            <w:r>
              <w:rPr>
                <w:sz w:val="21"/>
              </w:rPr>
              <w:t>75</w:t>
            </w:r>
            <w:r>
              <w:rPr>
                <w:sz w:val="21"/>
              </w:rPr>
              <w:t>分的，扣除</w:t>
            </w:r>
            <w:r>
              <w:rPr>
                <w:sz w:val="21"/>
              </w:rPr>
              <w:t>当年</w:t>
            </w:r>
            <w:r>
              <w:rPr>
                <w:sz w:val="21"/>
              </w:rPr>
              <w:t>服务费金额</w:t>
            </w:r>
            <w:r>
              <w:rPr>
                <w:sz w:val="21"/>
              </w:rPr>
              <w:t>20%</w:t>
            </w:r>
            <w:r>
              <w:rPr>
                <w:sz w:val="21"/>
              </w:rPr>
              <w:t>；若考核分数＜</w:t>
            </w:r>
            <w:r>
              <w:rPr>
                <w:sz w:val="21"/>
              </w:rPr>
              <w:t>60</w:t>
            </w:r>
            <w:r>
              <w:rPr>
                <w:sz w:val="21"/>
              </w:rPr>
              <w:t>分的，采购人有权解除</w:t>
            </w:r>
            <w:r>
              <w:rPr>
                <w:sz w:val="21"/>
              </w:rPr>
              <w:t>服务</w:t>
            </w:r>
            <w:r>
              <w:rPr>
                <w:sz w:val="21"/>
              </w:rPr>
              <w:t>合同</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汕头大学医学院第二附属医院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广东省物价局粤价函〔2013〕1233号》规定的标准费率下浮20%收取，由中标人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具体情况根据开标(开启)时现场代理机构人员设置为准。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郑淇筠、梁思瑶</w:t>
      </w:r>
    </w:p>
    <w:p>
      <w:pPr>
        <w:ind w:firstLine="480"/>
      </w:pPr>
      <w:r>
        <w:rPr/>
        <w:t>电话：</w:t>
      </w:r>
      <w:r>
        <w:rPr/>
        <w:t>0754-87230486、020-87687817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采购包1(HIS信息系统维护服务)：综合评分法,是指投标文件满足招标文件全部实质性要求，且按照评审因素的量化指标评审得分最高的投标人为中标候选人的评标方法。（最低报价不是中标的唯一依据。）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采购包1（HIS信息系统维护服务）：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响应供应商）提供的货物全部由符合政策要求的小型或微型企业制造（工程的施工单位全部为符合政策要求的小型、微型企业，或者服务全部由符合政策要求的小型、微型企业承接），对投标人（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采购包1（HIS信息系统维护服务）：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提供书面承诺声明函（格式自拟）或具有履行合同所必须的设备和专业技术能力的其他证明材料。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采购包1（HIS信息系统维护服务）：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采购包1(HIS信息系统维护服务):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维护服务方案（一） (2.0分)</w:t>
            </w:r>
          </w:p>
        </w:tc>
        <w:tc>
          <w:tcPr>
            <w:tcW w:type="dxa" w:w="5076"/>
          </w:tcPr>
          <w:p>
            <w:pPr>
              <w:jc w:val="left"/>
            </w:pPr>
            <w:r>
              <w:rPr/>
              <w:t>评标委员会根据投标人提供的服务方案（一）进行综合评审，方案应包括（投标文件中方案标题应以下列方案名称命名）： (1)工作流程； (2)服务内容； (3)服务方式； (4)故障应急措施。 提供全部内容得2分，每缺1项扣0.5分。</w:t>
            </w:r>
          </w:p>
        </w:tc>
      </w:tr>
      <w:tr>
        <w:tc>
          <w:tcPr>
            <w:tcW w:type="dxa" w:w="922"/>
            <w:gridSpan w:val="2"/>
            <w:vMerge/>
          </w:tcPr>
          <w:p/>
        </w:tc>
        <w:tc>
          <w:tcPr>
            <w:tcW w:type="dxa" w:w="2307"/>
          </w:tcPr>
          <w:p>
            <w:pPr>
              <w:jc w:val="left"/>
            </w:pPr>
            <w:r>
              <w:rPr/>
              <w:t>维护服务方案（二） (15.0分)</w:t>
            </w:r>
          </w:p>
        </w:tc>
        <w:tc>
          <w:tcPr>
            <w:tcW w:type="dxa" w:w="5076"/>
          </w:tcPr>
          <w:p>
            <w:pPr>
              <w:jc w:val="left"/>
            </w:pPr>
            <w:r>
              <w:rPr/>
              <w:t>评标委员会根据投标人提供服务方案（一）的详细内容进行综合评审： （1）服务方案对需求充分响应，对需求全面剖析，针对重点、难点、要点需求全面理解，分别提出具备专业性、实用性的实施方案并有合理可行保障措施，有效保障本项目实施，有利于实现服务效果，得15分； （2）服务方案对需求充分响应，对部分需求进行剖析，针对部分重点、难点、要点需求进行理解，提出部分具备专业性、实用性的实施方案或者部分合理可行保障措施，基本保障本项目服务实施，部分满足服务效果，得8分； （3）服务方案对需求响应不充分，没有对需求进行理解进行剖析，没有提出体现专业性或针对性的措施，或者措施方案不合理不可行的，无法保障本项目服务实施，达不到服务效果，得1分； （4）无提供的得0分。</w:t>
            </w:r>
          </w:p>
        </w:tc>
      </w:tr>
      <w:tr>
        <w:tc>
          <w:tcPr>
            <w:tcW w:type="dxa" w:w="922"/>
            <w:gridSpan w:val="2"/>
            <w:vMerge/>
          </w:tcPr>
          <w:p/>
        </w:tc>
        <w:tc>
          <w:tcPr>
            <w:tcW w:type="dxa" w:w="2307"/>
          </w:tcPr>
          <w:p>
            <w:pPr>
              <w:jc w:val="left"/>
            </w:pPr>
            <w:r>
              <w:rPr/>
              <w:t>系统安全保障服务方案（一） (2.0分)</w:t>
            </w:r>
          </w:p>
        </w:tc>
        <w:tc>
          <w:tcPr>
            <w:tcW w:type="dxa" w:w="5076"/>
          </w:tcPr>
          <w:p>
            <w:pPr>
              <w:jc w:val="left"/>
            </w:pPr>
            <w:r>
              <w:rPr/>
              <w:t>评标委员会根据投标人提供的系统安全保障服务方案（一）进行综合评审，方案应包括（投标文件中方案标题应以下列方案名称命名）： （1）项目重点难点分析； （2）保障服务措施； （3）方案实施流程； （4）合理化建议。 提供全部内容得2分，每缺1项扣0.5分。</w:t>
            </w:r>
          </w:p>
        </w:tc>
      </w:tr>
      <w:tr>
        <w:tc>
          <w:tcPr>
            <w:tcW w:type="dxa" w:w="922"/>
            <w:gridSpan w:val="2"/>
            <w:vMerge/>
          </w:tcPr>
          <w:p/>
        </w:tc>
        <w:tc>
          <w:tcPr>
            <w:tcW w:type="dxa" w:w="2307"/>
          </w:tcPr>
          <w:p>
            <w:pPr>
              <w:jc w:val="left"/>
            </w:pPr>
            <w:r>
              <w:rPr/>
              <w:t>系统安全保障服务方案（二） (11.0分)</w:t>
            </w:r>
          </w:p>
        </w:tc>
        <w:tc>
          <w:tcPr>
            <w:tcW w:type="dxa" w:w="5076"/>
          </w:tcPr>
          <w:p>
            <w:pPr>
              <w:jc w:val="left"/>
            </w:pPr>
            <w:r>
              <w:rPr/>
              <w:t>评标委员会根据投标人提供系统安全保障服务方案（二）详细内容进行综合评审： （1）针对系统安全保障有全面理解，能全面把握项目的重点难点问题，并针对全部重点难点问题提出具体可行的保障措施和合理化的建议，措施建议细致可行，有利于项目的需求全面满足，得11分； （2）针对系统安全保障有全面理解，针对部分重点难点进行分析，提出针对项目部分重点难点提出具体可行的保障措施或者合理化建议，措施建议基本可行，基本上能满足项目的需求，得6分； （3）只针对部分系统安全保障进行理解分析或者没有分析项目需求，不理解项目额重点难点，提出建议不合理或者不具备操作性，无法满足项目需求的，得1分； （4）无提供的得0分。</w:t>
            </w:r>
          </w:p>
        </w:tc>
      </w:tr>
      <w:tr>
        <w:tc>
          <w:tcPr>
            <w:tcW w:type="dxa" w:w="922"/>
            <w:gridSpan w:val="2"/>
            <w:vMerge/>
          </w:tcPr>
          <w:p/>
        </w:tc>
        <w:tc>
          <w:tcPr>
            <w:tcW w:type="dxa" w:w="2307"/>
          </w:tcPr>
          <w:p>
            <w:pPr>
              <w:jc w:val="left"/>
            </w:pPr>
            <w:r>
              <w:rPr/>
              <w:t>现状分析方案（一） (2.0分)</w:t>
            </w:r>
          </w:p>
        </w:tc>
        <w:tc>
          <w:tcPr>
            <w:tcW w:type="dxa" w:w="5076"/>
          </w:tcPr>
          <w:p>
            <w:pPr>
              <w:jc w:val="left"/>
            </w:pPr>
            <w:r>
              <w:rPr/>
              <w:t>评标委员会根据投标人提供的现状分析方案（一）进行综合评审，方案应包括（投标文件中方案标题应以下列方案名称命名）： （1）需求的分析； （2）验收不通过的解决方案。 提供全部内容 得2分，每缺1项扣1分。</w:t>
            </w:r>
          </w:p>
        </w:tc>
      </w:tr>
      <w:tr>
        <w:tc>
          <w:tcPr>
            <w:tcW w:type="dxa" w:w="922"/>
            <w:gridSpan w:val="2"/>
            <w:vMerge/>
          </w:tcPr>
          <w:p/>
        </w:tc>
        <w:tc>
          <w:tcPr>
            <w:tcW w:type="dxa" w:w="2307"/>
          </w:tcPr>
          <w:p>
            <w:pPr>
              <w:jc w:val="left"/>
            </w:pPr>
            <w:r>
              <w:rPr/>
              <w:t>现状分析方案（二） (8.0分)</w:t>
            </w:r>
          </w:p>
        </w:tc>
        <w:tc>
          <w:tcPr>
            <w:tcW w:type="dxa" w:w="5076"/>
          </w:tcPr>
          <w:p>
            <w:pPr>
              <w:jc w:val="left"/>
            </w:pPr>
            <w:r>
              <w:rPr/>
              <w:t>评标委员会根据投标人提供现状分析方案（二）的详细内容进行综合评审： （1）分析方案完善详细，完全符合采购人的实际情况，得8分； （2）分析方案基本完整，基本符合采购人的实际情况，得4分； （3）分析方案不完整，不符合采购人实际情况，得1分。 注：不提供者不得分。</w:t>
            </w:r>
          </w:p>
        </w:tc>
      </w:tr>
      <w:tr>
        <w:tc>
          <w:tcPr>
            <w:tcW w:type="dxa" w:w="922"/>
            <w:gridSpan w:val="2"/>
            <w:vMerge w:val="restart"/>
          </w:tcPr>
          <w:p>
            <w:pPr>
              <w:jc w:val="center"/>
            </w:pPr>
            <w:r>
              <w:rPr/>
              <w:t>商务部分</w:t>
            </w:r>
          </w:p>
        </w:tc>
        <w:tc>
          <w:tcPr>
            <w:tcW w:type="dxa" w:w="2307"/>
          </w:tcPr>
          <w:p>
            <w:pPr>
              <w:jc w:val="left"/>
            </w:pPr>
            <w:r>
              <w:rPr/>
              <w:t>服务支撑能力 (5.0分)</w:t>
            </w:r>
          </w:p>
        </w:tc>
        <w:tc>
          <w:tcPr>
            <w:tcW w:type="dxa" w:w="5076"/>
          </w:tcPr>
          <w:p>
            <w:pPr>
              <w:jc w:val="left"/>
            </w:pPr>
            <w:r>
              <w:rPr/>
              <w:t>投标人承诺中标后能够在采购人所在地设置服务机构的，得5分，不提供承诺函不得分。 注：承诺函格式自拟并加盖投标人公章。</w:t>
            </w:r>
          </w:p>
        </w:tc>
      </w:tr>
      <w:tr>
        <w:tc>
          <w:tcPr>
            <w:tcW w:type="dxa" w:w="922"/>
            <w:gridSpan w:val="2"/>
            <w:vMerge/>
          </w:tcPr>
          <w:p/>
        </w:tc>
        <w:tc>
          <w:tcPr>
            <w:tcW w:type="dxa" w:w="2307"/>
          </w:tcPr>
          <w:p>
            <w:pPr>
              <w:jc w:val="left"/>
            </w:pPr>
            <w:r>
              <w:rPr/>
              <w:t>企业认证 (6.0分)</w:t>
            </w:r>
          </w:p>
        </w:tc>
        <w:tc>
          <w:tcPr>
            <w:tcW w:type="dxa" w:w="5076"/>
          </w:tcPr>
          <w:p>
            <w:pPr>
              <w:jc w:val="left"/>
            </w:pPr>
            <w:r>
              <w:rPr/>
              <w:t>投标人具备以下有效证书的，每提供一项得2分，最高得6分。 （1）具有信息安全管理体系认证证书； （2）具有隐私保护体系认证证书； （3）具有云服务信息安全体系认证证书； 注：1）投标人需提供与公司名称一致的有效证明文件复印件，并加盖投标人公章；2）上述证书的发证机构须为国家认证认可监督管理委员会认可的机构；否则不得分。</w:t>
            </w:r>
          </w:p>
        </w:tc>
      </w:tr>
      <w:tr>
        <w:tc>
          <w:tcPr>
            <w:tcW w:type="dxa" w:w="922"/>
            <w:gridSpan w:val="2"/>
            <w:vMerge/>
          </w:tcPr>
          <w:p/>
        </w:tc>
        <w:tc>
          <w:tcPr>
            <w:tcW w:type="dxa" w:w="2307"/>
          </w:tcPr>
          <w:p>
            <w:pPr>
              <w:jc w:val="left"/>
            </w:pPr>
            <w:r>
              <w:rPr/>
              <w:t>同类项目业绩 (6.0分)</w:t>
            </w:r>
          </w:p>
        </w:tc>
        <w:tc>
          <w:tcPr>
            <w:tcW w:type="dxa" w:w="5076"/>
          </w:tcPr>
          <w:p>
            <w:pPr>
              <w:jc w:val="left"/>
            </w:pPr>
            <w:r>
              <w:rPr/>
              <w:t>投标人具有HIS系统实施或者运维的项目案例，根据提供2020年1月1日（以合同签订日期为准）以来的同类项目业绩评分，每提供1个业绩得3分，最多得6分。 注：提供合同复印件或合同发票作为评审依据，不提供或专家无法认定的不得分。</w:t>
            </w:r>
          </w:p>
        </w:tc>
      </w:tr>
      <w:tr>
        <w:tc>
          <w:tcPr>
            <w:tcW w:type="dxa" w:w="922"/>
            <w:gridSpan w:val="2"/>
            <w:vMerge/>
          </w:tcPr>
          <w:p/>
        </w:tc>
        <w:tc>
          <w:tcPr>
            <w:tcW w:type="dxa" w:w="2307"/>
          </w:tcPr>
          <w:p>
            <w:pPr>
              <w:jc w:val="left"/>
            </w:pPr>
            <w:r>
              <w:rPr/>
              <w:t>自主软件研发能力 (10.0分)</w:t>
            </w:r>
          </w:p>
        </w:tc>
        <w:tc>
          <w:tcPr>
            <w:tcW w:type="dxa" w:w="5076"/>
          </w:tcPr>
          <w:p>
            <w:pPr>
              <w:jc w:val="left"/>
            </w:pPr>
            <w:r>
              <w:rPr/>
              <w:t>投标人具有以下著作权的，每个得2分，最高得10分： （1）具有HIS软件相关的著作权； （2）具有集成平台软件相关的著作权； （3）具有电子病历系统软件相关的著作权； （4）具有CDR软件相关的著作权； （5）具有区域卫生平台软件相关的著作权； 注：提供计算机软件著作权登记证书复印件作为评审依据，不提供或专家无法认定的不得分。</w:t>
            </w:r>
          </w:p>
        </w:tc>
      </w:tr>
      <w:tr>
        <w:tc>
          <w:tcPr>
            <w:tcW w:type="dxa" w:w="922"/>
            <w:gridSpan w:val="2"/>
            <w:vMerge/>
          </w:tcPr>
          <w:p/>
        </w:tc>
        <w:tc>
          <w:tcPr>
            <w:tcW w:type="dxa" w:w="2307"/>
          </w:tcPr>
          <w:p>
            <w:pPr>
              <w:jc w:val="left"/>
            </w:pPr>
            <w:r>
              <w:rPr/>
              <w:t>项目团队专业能力 (3.0分)</w:t>
            </w:r>
          </w:p>
        </w:tc>
        <w:tc>
          <w:tcPr>
            <w:tcW w:type="dxa" w:w="5076"/>
          </w:tcPr>
          <w:p>
            <w:pPr>
              <w:jc w:val="left"/>
            </w:pPr>
            <w:r>
              <w:rPr/>
              <w:t>根据投标人本项目投入人员的资质进行综合评分： （1）项目负责人具有PMP证书或高级项目管理师证书的，得2分； （2）团队人员（除项目负责人外）具备中级或高级工程师证书的，得1分； 注:投标人须提供上述人员有效的证书复印件，以及在本公司任职的外部证明材料（如加盖政府有关部门印章的打印日期在本项目投标截止日之前六个月内任意月份的《投保单》或《社会保险参保人员证明》，或单位代缴个人所得税税单等，否则无效。</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r>
        <w:rPr>
          <w:b/>
          <w:sz w:val="21"/>
        </w:rPr>
        <w:t>合同具体事项须根据采购文件的约定及乙方投标文件的承诺执行；</w:t>
      </w:r>
    </w:p>
    <w:p>
      <w:pPr>
        <w:jc w:val="center"/>
      </w:pPr>
    </w:p>
    <w:p>
      <w:pPr>
        <w:jc w:val="center"/>
      </w:pPr>
      <w:r>
        <w:rPr>
          <w:b/>
          <w:sz w:val="21"/>
        </w:rPr>
        <w:t>医院信息系统</w:t>
      </w:r>
      <w:r>
        <w:rPr>
          <w:b/>
          <w:sz w:val="21"/>
        </w:rPr>
        <w:t>(HIS)年度维护服务协议</w:t>
      </w:r>
    </w:p>
    <w:p>
      <w:pPr>
        <w:jc w:val="both"/>
      </w:pPr>
      <w:r>
        <w:rPr>
          <w:color w:val="000000"/>
          <w:sz w:val="21"/>
        </w:rPr>
        <w:t>甲方（使用单位）：汕头大学医学院第二附属医院</w:t>
      </w:r>
    </w:p>
    <w:p>
      <w:pPr>
        <w:jc w:val="both"/>
      </w:pPr>
      <w:r>
        <w:rPr>
          <w:color w:val="000000"/>
          <w:sz w:val="21"/>
        </w:rPr>
        <w:t>乙方（服务单位）：</w:t>
      </w:r>
    </w:p>
    <w:p>
      <w:pPr>
        <w:ind w:firstLine="420"/>
        <w:jc w:val="both"/>
      </w:pPr>
      <w:r>
        <w:rPr>
          <w:sz w:val="21"/>
        </w:rPr>
        <w:t>根据《中华人民共和国民法典》及号汕头大学医学院第二附属医院采购</w:t>
      </w:r>
      <w:r>
        <w:rPr>
          <w:sz w:val="21"/>
          <w:u w:val="single"/>
        </w:rPr>
        <w:t xml:space="preserve"> </w:t>
      </w:r>
      <w:r>
        <w:rPr>
          <w:sz w:val="21"/>
          <w:u w:val="single"/>
        </w:rPr>
        <w:t>XXXXXXXXXXXX</w:t>
      </w:r>
      <w:r>
        <w:rPr>
          <w:sz w:val="21"/>
        </w:rPr>
        <w:t>招标项目的招标结果和招标文件的要求，</w:t>
      </w:r>
      <w:r>
        <w:rPr>
          <w:sz w:val="21"/>
        </w:rPr>
        <w:t>乙方为汕头大学医学院第二附属医院</w:t>
      </w:r>
      <w:r>
        <w:rPr>
          <w:sz w:val="21"/>
        </w:rPr>
        <w:t>提</w:t>
      </w:r>
      <w:r>
        <w:rPr>
          <w:sz w:val="21"/>
        </w:rPr>
        <w:t>供</w:t>
      </w:r>
      <w:r>
        <w:rPr>
          <w:sz w:val="21"/>
          <w:u w:val="single"/>
        </w:rPr>
        <w:t>XXXXXX系统</w:t>
      </w:r>
      <w:r>
        <w:rPr>
          <w:sz w:val="21"/>
        </w:rPr>
        <w:t>。经甲乙双方协商一致，签定本合同，共同遵守如下条款</w:t>
      </w:r>
      <w:r>
        <w:rPr>
          <w:sz w:val="21"/>
        </w:rPr>
        <w:t>：</w:t>
      </w:r>
    </w:p>
    <w:p>
      <w:pPr>
        <w:jc w:val="both"/>
      </w:pPr>
      <w:r>
        <w:rPr>
          <w:b/>
          <w:color w:val="000000"/>
          <w:sz w:val="21"/>
        </w:rPr>
        <w:t>一、服务范围及内容：</w:t>
      </w:r>
    </w:p>
    <w:p>
      <w:pPr>
        <w:ind w:firstLine="420"/>
        <w:jc w:val="left"/>
      </w:pPr>
      <w:r>
        <w:rPr>
          <w:color w:val="000000"/>
          <w:sz w:val="21"/>
        </w:rPr>
        <w:t>1、服务范围：</w:t>
      </w:r>
      <w:r>
        <w:rPr>
          <w:sz w:val="21"/>
        </w:rPr>
        <w:t>乙方向甲方提供</w:t>
      </w:r>
      <w:r>
        <w:rPr>
          <w:sz w:val="21"/>
        </w:rPr>
        <w:t>XXXXX维护服务。</w:t>
      </w:r>
    </w:p>
    <w:p>
      <w:pPr>
        <w:ind w:firstLine="420"/>
        <w:jc w:val="both"/>
      </w:pPr>
      <w:r>
        <w:rPr>
          <w:color w:val="000000"/>
          <w:sz w:val="21"/>
        </w:rPr>
        <w:t>2、服务内容见附件。</w:t>
      </w:r>
    </w:p>
    <w:p>
      <w:pPr>
        <w:jc w:val="both"/>
      </w:pPr>
      <w:r>
        <w:rPr>
          <w:b/>
          <w:sz w:val="21"/>
        </w:rPr>
        <w:t>二、服务费用：</w:t>
      </w:r>
    </w:p>
    <w:p>
      <w:pPr>
        <w:ind w:firstLine="420"/>
        <w:jc w:val="both"/>
      </w:pPr>
      <w:r>
        <w:rPr>
          <w:sz w:val="21"/>
        </w:rPr>
        <w:t>1、根据双方友好协商，本项目服务费用总计为__，本协议服务期自合同签订起__年。</w:t>
      </w:r>
    </w:p>
    <w:p>
      <w:pPr>
        <w:ind w:firstLine="420"/>
        <w:jc w:val="both"/>
      </w:pPr>
      <w:r>
        <w:rPr>
          <w:color w:val="000000"/>
          <w:sz w:val="21"/>
        </w:rPr>
        <w:t>2、付款条件：</w:t>
      </w:r>
      <w:r>
        <w:br/>
      </w:r>
      <w:r>
        <w:rPr>
          <w:color w:val="000000"/>
          <w:sz w:val="21"/>
        </w:rPr>
        <w:t>本项目服务期限共</w:t>
      </w:r>
      <w:r>
        <w:rPr>
          <w:color w:val="000000"/>
          <w:sz w:val="21"/>
        </w:rPr>
        <w:t>3年，按年度支付服务费用。</w:t>
      </w:r>
    </w:p>
    <w:p>
      <w:pPr>
        <w:ind w:firstLine="420"/>
        <w:jc w:val="both"/>
      </w:pPr>
      <w:r>
        <w:rPr>
          <w:color w:val="000000"/>
          <w:sz w:val="21"/>
        </w:rPr>
        <w:t>合同签</w:t>
      </w:r>
      <w:r>
        <w:rPr>
          <w:sz w:val="21"/>
        </w:rPr>
        <w:t>订后</w:t>
      </w:r>
      <w:r>
        <w:rPr>
          <w:sz w:val="21"/>
        </w:rPr>
        <w:t>5</w:t>
      </w:r>
      <w:r>
        <w:rPr>
          <w:sz w:val="21"/>
        </w:rPr>
        <w:t>个工作日内，凭</w:t>
      </w:r>
      <w:r>
        <w:rPr>
          <w:sz w:val="21"/>
        </w:rPr>
        <w:t>乙方</w:t>
      </w:r>
      <w:r>
        <w:rPr>
          <w:sz w:val="21"/>
        </w:rPr>
        <w:t>提供的等额发票，</w:t>
      </w:r>
      <w:r>
        <w:rPr>
          <w:sz w:val="21"/>
        </w:rPr>
        <w:t>甲方</w:t>
      </w:r>
      <w:r>
        <w:rPr>
          <w:sz w:val="21"/>
        </w:rPr>
        <w:t>按合同第一年度总价的</w:t>
      </w:r>
      <w:r>
        <w:rPr>
          <w:sz w:val="21"/>
        </w:rPr>
        <w:t>30%向</w:t>
      </w:r>
      <w:r>
        <w:rPr>
          <w:sz w:val="21"/>
        </w:rPr>
        <w:t>乙方</w:t>
      </w:r>
      <w:r>
        <w:rPr>
          <w:sz w:val="21"/>
        </w:rPr>
        <w:t>支付预付款，即人民币</w:t>
      </w:r>
      <w:r>
        <w:rPr>
          <w:sz w:val="21"/>
          <w:u w:val="single"/>
        </w:rPr>
        <w:t xml:space="preserve">         </w:t>
      </w:r>
      <w:r>
        <w:rPr>
          <w:sz w:val="21"/>
        </w:rPr>
        <w:t>元整（￥</w:t>
      </w:r>
      <w:r>
        <w:rPr>
          <w:sz w:val="21"/>
          <w:u w:val="single"/>
        </w:rPr>
        <w:t xml:space="preserve">         </w:t>
      </w:r>
      <w:r>
        <w:rPr>
          <w:sz w:val="21"/>
        </w:rPr>
        <w:t>）。</w:t>
      </w:r>
    </w:p>
    <w:p>
      <w:pPr>
        <w:ind w:firstLine="420"/>
        <w:jc w:val="both"/>
      </w:pPr>
      <w:r>
        <w:rPr>
          <w:sz w:val="21"/>
        </w:rPr>
        <w:t>合同签订后第二年的</w:t>
      </w:r>
      <w:r>
        <w:rPr>
          <w:sz w:val="21"/>
        </w:rPr>
        <w:t>5个工作日内，</w:t>
      </w:r>
      <w:r>
        <w:rPr>
          <w:sz w:val="21"/>
        </w:rPr>
        <w:t>甲方</w:t>
      </w:r>
      <w:r>
        <w:rPr>
          <w:sz w:val="21"/>
        </w:rPr>
        <w:t>按合同</w:t>
      </w:r>
      <w:r>
        <w:rPr>
          <w:sz w:val="21"/>
        </w:rPr>
        <w:t>第二年总价的</w:t>
      </w:r>
      <w:r>
        <w:rPr>
          <w:sz w:val="21"/>
        </w:rPr>
        <w:t>30%</w:t>
      </w:r>
      <w:r>
        <w:rPr>
          <w:sz w:val="21"/>
        </w:rPr>
        <w:t>向</w:t>
      </w:r>
      <w:r>
        <w:rPr>
          <w:sz w:val="21"/>
        </w:rPr>
        <w:t>乙方</w:t>
      </w:r>
      <w:r>
        <w:rPr>
          <w:sz w:val="21"/>
        </w:rPr>
        <w:t>支付款项</w:t>
      </w:r>
      <w:r>
        <w:rPr>
          <w:sz w:val="21"/>
        </w:rPr>
        <w:t>；</w:t>
      </w:r>
      <w:r>
        <w:rPr>
          <w:sz w:val="21"/>
        </w:rPr>
        <w:t>合同签订</w:t>
      </w:r>
      <w:r>
        <w:rPr>
          <w:sz w:val="21"/>
        </w:rPr>
        <w:t>后</w:t>
      </w:r>
      <w:r>
        <w:rPr>
          <w:sz w:val="21"/>
        </w:rPr>
        <w:t>第二年</w:t>
      </w:r>
      <w:r>
        <w:rPr>
          <w:sz w:val="21"/>
        </w:rPr>
        <w:t>自收到乙方发票后</w:t>
      </w:r>
      <w:r>
        <w:rPr>
          <w:sz w:val="21"/>
        </w:rPr>
        <w:t>15日</w:t>
      </w:r>
      <w:r>
        <w:rPr>
          <w:sz w:val="21"/>
        </w:rPr>
        <w:t>内，凭</w:t>
      </w:r>
      <w:r>
        <w:rPr>
          <w:sz w:val="21"/>
        </w:rPr>
        <w:t>经网络中心确认的维护报告</w:t>
      </w:r>
      <w:r>
        <w:rPr>
          <w:sz w:val="21"/>
        </w:rPr>
        <w:t>，</w:t>
      </w:r>
      <w:r>
        <w:rPr>
          <w:sz w:val="21"/>
        </w:rPr>
        <w:t>甲方</w:t>
      </w:r>
      <w:r>
        <w:rPr>
          <w:sz w:val="21"/>
        </w:rPr>
        <w:t>按合同第</w:t>
      </w:r>
      <w:r>
        <w:rPr>
          <w:sz w:val="21"/>
        </w:rPr>
        <w:t>一</w:t>
      </w:r>
      <w:r>
        <w:rPr>
          <w:sz w:val="21"/>
        </w:rPr>
        <w:t>年度总价的</w:t>
      </w:r>
      <w:r>
        <w:rPr>
          <w:sz w:val="21"/>
        </w:rPr>
        <w:t>7</w:t>
      </w:r>
      <w:r>
        <w:rPr>
          <w:sz w:val="21"/>
        </w:rPr>
        <w:t>0%</w:t>
      </w:r>
      <w:r>
        <w:rPr>
          <w:sz w:val="21"/>
        </w:rPr>
        <w:t>向</w:t>
      </w:r>
      <w:r>
        <w:rPr>
          <w:sz w:val="21"/>
        </w:rPr>
        <w:t>乙方</w:t>
      </w:r>
      <w:r>
        <w:rPr>
          <w:sz w:val="21"/>
        </w:rPr>
        <w:t>支付款项，即人民币</w:t>
      </w:r>
      <w:r>
        <w:rPr>
          <w:sz w:val="21"/>
          <w:u w:val="single"/>
        </w:rPr>
        <w:t xml:space="preserve">         </w:t>
      </w:r>
      <w:r>
        <w:rPr>
          <w:sz w:val="21"/>
        </w:rPr>
        <w:t>元整（￥</w:t>
      </w:r>
      <w:r>
        <w:rPr>
          <w:sz w:val="21"/>
          <w:u w:val="single"/>
        </w:rPr>
        <w:t xml:space="preserve">         </w:t>
      </w:r>
      <w:r>
        <w:rPr>
          <w:sz w:val="21"/>
        </w:rPr>
        <w:t>）。</w:t>
      </w:r>
    </w:p>
    <w:p>
      <w:pPr>
        <w:ind w:firstLine="420"/>
        <w:jc w:val="both"/>
      </w:pPr>
      <w:r>
        <w:rPr>
          <w:sz w:val="21"/>
        </w:rPr>
        <w:t>合同签订后第三年的</w:t>
      </w:r>
      <w:r>
        <w:rPr>
          <w:sz w:val="21"/>
        </w:rPr>
        <w:t>5个工作日内，</w:t>
      </w:r>
      <w:r>
        <w:rPr>
          <w:sz w:val="21"/>
        </w:rPr>
        <w:t>甲方</w:t>
      </w:r>
      <w:r>
        <w:rPr>
          <w:sz w:val="21"/>
        </w:rPr>
        <w:t>按合同</w:t>
      </w:r>
      <w:r>
        <w:rPr>
          <w:sz w:val="21"/>
        </w:rPr>
        <w:t>第三年总价的</w:t>
      </w:r>
      <w:r>
        <w:rPr>
          <w:sz w:val="21"/>
        </w:rPr>
        <w:t>30%</w:t>
      </w:r>
      <w:r>
        <w:rPr>
          <w:sz w:val="21"/>
        </w:rPr>
        <w:t>向</w:t>
      </w:r>
      <w:r>
        <w:rPr>
          <w:sz w:val="21"/>
        </w:rPr>
        <w:t>乙方</w:t>
      </w:r>
      <w:r>
        <w:rPr>
          <w:sz w:val="21"/>
        </w:rPr>
        <w:t>支付款项</w:t>
      </w:r>
      <w:r>
        <w:rPr>
          <w:sz w:val="21"/>
        </w:rPr>
        <w:t>；</w:t>
      </w:r>
      <w:r>
        <w:rPr>
          <w:sz w:val="21"/>
        </w:rPr>
        <w:t>合同签订</w:t>
      </w:r>
      <w:r>
        <w:rPr>
          <w:sz w:val="21"/>
        </w:rPr>
        <w:t>后</w:t>
      </w:r>
      <w:r>
        <w:rPr>
          <w:sz w:val="21"/>
        </w:rPr>
        <w:t>第</w:t>
      </w:r>
      <w:r>
        <w:rPr>
          <w:sz w:val="21"/>
        </w:rPr>
        <w:t>三</w:t>
      </w:r>
      <w:r>
        <w:rPr>
          <w:sz w:val="21"/>
        </w:rPr>
        <w:t>年</w:t>
      </w:r>
      <w:r>
        <w:rPr>
          <w:sz w:val="21"/>
        </w:rPr>
        <w:t>自收到乙方发票后</w:t>
      </w:r>
      <w:r>
        <w:rPr>
          <w:sz w:val="21"/>
        </w:rPr>
        <w:t>15日</w:t>
      </w:r>
      <w:r>
        <w:rPr>
          <w:sz w:val="21"/>
        </w:rPr>
        <w:t>内，凭</w:t>
      </w:r>
      <w:r>
        <w:rPr>
          <w:sz w:val="21"/>
        </w:rPr>
        <w:t>经网络中心确认的维护报告</w:t>
      </w:r>
      <w:r>
        <w:rPr>
          <w:sz w:val="21"/>
        </w:rPr>
        <w:t>，</w:t>
      </w:r>
      <w:r>
        <w:rPr>
          <w:sz w:val="21"/>
        </w:rPr>
        <w:t>甲方</w:t>
      </w:r>
      <w:r>
        <w:rPr>
          <w:sz w:val="21"/>
        </w:rPr>
        <w:t>按合同第</w:t>
      </w:r>
      <w:r>
        <w:rPr>
          <w:sz w:val="21"/>
        </w:rPr>
        <w:t>二</w:t>
      </w:r>
      <w:r>
        <w:rPr>
          <w:sz w:val="21"/>
        </w:rPr>
        <w:t>年度总价的</w:t>
      </w:r>
      <w:r>
        <w:rPr>
          <w:sz w:val="21"/>
        </w:rPr>
        <w:t>7</w:t>
      </w:r>
      <w:r>
        <w:rPr>
          <w:sz w:val="21"/>
        </w:rPr>
        <w:t>0%</w:t>
      </w:r>
      <w:r>
        <w:rPr>
          <w:sz w:val="21"/>
        </w:rPr>
        <w:t>向</w:t>
      </w:r>
      <w:r>
        <w:rPr>
          <w:sz w:val="21"/>
        </w:rPr>
        <w:t>乙方</w:t>
      </w:r>
      <w:r>
        <w:rPr>
          <w:sz w:val="21"/>
        </w:rPr>
        <w:t>支付款项，即人民币</w:t>
      </w:r>
      <w:r>
        <w:rPr>
          <w:sz w:val="21"/>
          <w:u w:val="single"/>
        </w:rPr>
        <w:t xml:space="preserve">         </w:t>
      </w:r>
      <w:r>
        <w:rPr>
          <w:sz w:val="21"/>
        </w:rPr>
        <w:t>元整（￥</w:t>
      </w:r>
      <w:r>
        <w:rPr>
          <w:sz w:val="21"/>
          <w:u w:val="single"/>
        </w:rPr>
        <w:t xml:space="preserve">         </w:t>
      </w:r>
      <w:r>
        <w:rPr>
          <w:sz w:val="21"/>
        </w:rPr>
        <w:t>）。</w:t>
      </w:r>
    </w:p>
    <w:p>
      <w:pPr>
        <w:ind w:firstLine="420"/>
        <w:jc w:val="both"/>
      </w:pPr>
      <w:r>
        <w:rPr>
          <w:sz w:val="21"/>
        </w:rPr>
        <w:t>项目服务期满三年验收后，凭</w:t>
      </w:r>
      <w:r>
        <w:rPr>
          <w:sz w:val="21"/>
        </w:rPr>
        <w:t>乙方</w:t>
      </w:r>
      <w:r>
        <w:rPr>
          <w:sz w:val="21"/>
        </w:rPr>
        <w:t>提供的等额发票及经网络中心确认的维护报告</w:t>
      </w:r>
      <w:r>
        <w:rPr>
          <w:sz w:val="21"/>
        </w:rPr>
        <w:t>甲方</w:t>
      </w:r>
      <w:r>
        <w:rPr>
          <w:sz w:val="21"/>
        </w:rPr>
        <w:t>在收到发票后</w:t>
      </w:r>
      <w:r>
        <w:rPr>
          <w:sz w:val="21"/>
        </w:rPr>
        <w:t>15日</w:t>
      </w:r>
      <w:r>
        <w:rPr>
          <w:sz w:val="21"/>
        </w:rPr>
        <w:t>内</w:t>
      </w:r>
      <w:r>
        <w:rPr>
          <w:sz w:val="21"/>
        </w:rPr>
        <w:t>向</w:t>
      </w:r>
      <w:r>
        <w:rPr>
          <w:sz w:val="21"/>
        </w:rPr>
        <w:t>乙方</w:t>
      </w:r>
      <w:r>
        <w:rPr>
          <w:sz w:val="21"/>
        </w:rPr>
        <w:t>支付合同第三年度总价</w:t>
      </w:r>
      <w:r>
        <w:rPr>
          <w:color w:val="000000"/>
          <w:sz w:val="21"/>
        </w:rPr>
        <w:t>的</w:t>
      </w:r>
      <w:r>
        <w:rPr>
          <w:color w:val="000000"/>
          <w:sz w:val="21"/>
        </w:rPr>
        <w:t>70%，即人民币</w:t>
      </w:r>
      <w:r>
        <w:rPr>
          <w:sz w:val="21"/>
          <w:u w:val="single"/>
        </w:rPr>
        <w:t xml:space="preserve">         </w:t>
      </w:r>
      <w:r>
        <w:rPr>
          <w:color w:val="000000"/>
          <w:sz w:val="21"/>
        </w:rPr>
        <w:t>元整（￥</w:t>
      </w:r>
      <w:r>
        <w:rPr>
          <w:sz w:val="21"/>
          <w:u w:val="single"/>
        </w:rPr>
        <w:t xml:space="preserve">         </w:t>
      </w:r>
      <w:r>
        <w:rPr>
          <w:color w:val="000000"/>
          <w:sz w:val="21"/>
        </w:rPr>
        <w:t>）。</w:t>
      </w:r>
    </w:p>
    <w:p>
      <w:pPr>
        <w:ind w:firstLine="420"/>
        <w:jc w:val="both"/>
      </w:pPr>
      <w:r>
        <w:rPr>
          <w:sz w:val="21"/>
        </w:rPr>
        <w:t>乙方银行账户如下：</w:t>
      </w:r>
    </w:p>
    <w:p>
      <w:pPr>
        <w:ind w:firstLine="420"/>
        <w:jc w:val="both"/>
      </w:pPr>
      <w:r>
        <w:rPr>
          <w:sz w:val="21"/>
        </w:rPr>
        <w:t>公司名称：</w:t>
      </w:r>
    </w:p>
    <w:p>
      <w:pPr>
        <w:ind w:firstLine="420"/>
        <w:jc w:val="both"/>
      </w:pPr>
      <w:r>
        <w:rPr>
          <w:sz w:val="21"/>
        </w:rPr>
        <w:t>开户银行：</w:t>
      </w:r>
    </w:p>
    <w:p>
      <w:pPr>
        <w:ind w:firstLine="420"/>
        <w:jc w:val="both"/>
      </w:pPr>
      <w:r>
        <w:rPr>
          <w:sz w:val="21"/>
        </w:rPr>
        <w:t>银行帐号：</w:t>
      </w:r>
    </w:p>
    <w:p>
      <w:pPr>
        <w:jc w:val="both"/>
      </w:pPr>
      <w:r>
        <w:rPr>
          <w:b/>
          <w:color w:val="000000"/>
          <w:sz w:val="21"/>
        </w:rPr>
        <w:t>三、服务有效期：</w:t>
      </w:r>
    </w:p>
    <w:p>
      <w:pPr>
        <w:jc w:val="both"/>
      </w:pPr>
      <w:r>
        <w:rPr>
          <w:color w:val="000000"/>
          <w:sz w:val="21"/>
        </w:rPr>
        <w:t xml:space="preserve">    1、</w:t>
      </w:r>
      <w:r>
        <w:rPr>
          <w:color w:val="000000"/>
          <w:sz w:val="21"/>
        </w:rPr>
        <w:t>服务有效期自</w:t>
      </w:r>
      <w:r>
        <w:rPr>
          <w:sz w:val="21"/>
        </w:rPr>
        <w:t>合同签订起</w:t>
      </w:r>
      <w:r>
        <w:rPr>
          <w:sz w:val="21"/>
        </w:rPr>
        <w:t>__年</w:t>
      </w:r>
      <w:r>
        <w:rPr>
          <w:color w:val="000000"/>
          <w:sz w:val="21"/>
        </w:rPr>
        <w:t>。</w:t>
      </w:r>
    </w:p>
    <w:p>
      <w:pPr>
        <w:jc w:val="both"/>
      </w:pPr>
      <w:r>
        <w:rPr>
          <w:color w:val="000000"/>
          <w:sz w:val="21"/>
        </w:rPr>
        <w:t xml:space="preserve">    2、</w:t>
      </w:r>
      <w:r>
        <w:rPr>
          <w:color w:val="000000"/>
          <w:sz w:val="21"/>
        </w:rPr>
        <w:t>甲方未按本协议约定的期限付清服务费用的，乙方有权利不履行本协议所约定的义务。</w:t>
      </w:r>
    </w:p>
    <w:p>
      <w:pPr>
        <w:jc w:val="both"/>
      </w:pPr>
      <w:r>
        <w:rPr>
          <w:b/>
          <w:color w:val="000000"/>
          <w:sz w:val="21"/>
        </w:rPr>
        <w:t>四、违约责任</w:t>
      </w:r>
    </w:p>
    <w:p>
      <w:pPr>
        <w:ind w:firstLine="420"/>
        <w:jc w:val="both"/>
      </w:pPr>
      <w:r>
        <w:rPr>
          <w:color w:val="000000"/>
          <w:sz w:val="21"/>
        </w:rPr>
        <w:t>1、</w:t>
      </w:r>
      <w:r>
        <w:rPr>
          <w:color w:val="000000"/>
          <w:sz w:val="21"/>
        </w:rPr>
        <w:t>乙方逾期提供服务的，应承担甲方因此所遭受的损失；</w:t>
      </w:r>
    </w:p>
    <w:p>
      <w:pPr>
        <w:ind w:firstLine="420"/>
        <w:jc w:val="both"/>
      </w:pPr>
      <w:r>
        <w:rPr>
          <w:color w:val="000000"/>
          <w:sz w:val="21"/>
        </w:rPr>
        <w:t>2、</w:t>
      </w:r>
      <w:r>
        <w:rPr>
          <w:color w:val="000000"/>
          <w:sz w:val="21"/>
        </w:rPr>
        <w:t>甲方逾期付款的，每逾期一日，按应付款的万分之三向乙方支付滞纳金。</w:t>
      </w:r>
    </w:p>
    <w:p>
      <w:pPr>
        <w:ind w:firstLine="420"/>
        <w:jc w:val="both"/>
      </w:pPr>
      <w:r>
        <w:rPr>
          <w:color w:val="000000"/>
          <w:sz w:val="21"/>
        </w:rPr>
        <w:t>3、</w:t>
      </w:r>
      <w:r>
        <w:rPr>
          <w:color w:val="000000"/>
          <w:sz w:val="21"/>
        </w:rPr>
        <w:t>乙方违约而采取的任何补救措施都不能弥补甲方受损害的利益情况下，甲方保留追索相应损失不足部分的权利。</w:t>
      </w:r>
    </w:p>
    <w:p>
      <w:pPr>
        <w:ind w:firstLine="420"/>
        <w:jc w:val="both"/>
      </w:pPr>
      <w:r>
        <w:rPr>
          <w:color w:val="000000"/>
          <w:sz w:val="21"/>
        </w:rPr>
        <w:t>4、</w:t>
      </w:r>
      <w:r>
        <w:rPr>
          <w:color w:val="000000"/>
          <w:sz w:val="21"/>
        </w:rPr>
        <w:t>乙方承诺不从事商业贿赂行为，一旦被列入商业贿赂不良记录后本协议将解除，并承担违约责任。</w:t>
      </w:r>
    </w:p>
    <w:p>
      <w:pPr>
        <w:jc w:val="both"/>
      </w:pPr>
      <w:r>
        <w:rPr>
          <w:b/>
          <w:color w:val="000000"/>
          <w:sz w:val="21"/>
        </w:rPr>
        <w:t>五、知识产权归属：</w:t>
      </w:r>
    </w:p>
    <w:p>
      <w:pPr>
        <w:ind w:firstLine="420"/>
        <w:jc w:val="both"/>
      </w:pPr>
      <w:r>
        <w:rPr>
          <w:color w:val="000000"/>
          <w:sz w:val="21"/>
        </w:rPr>
        <w:t>1、</w:t>
      </w:r>
      <w:r>
        <w:rPr>
          <w:color w:val="000000"/>
          <w:sz w:val="21"/>
        </w:rPr>
        <w:t>甲方须对乙方技术开发成果和价格保密，若因甲方泄密导致给乙方造成经济损失的，甲方须赔偿乙方由此产生的全部经济损失。</w:t>
      </w:r>
    </w:p>
    <w:p>
      <w:pPr>
        <w:ind w:firstLine="420"/>
        <w:jc w:val="both"/>
      </w:pPr>
      <w:r>
        <w:rPr>
          <w:color w:val="000000"/>
          <w:sz w:val="21"/>
        </w:rPr>
        <w:t>2、</w:t>
      </w:r>
      <w:r>
        <w:rPr>
          <w:color w:val="000000"/>
          <w:sz w:val="21"/>
        </w:rPr>
        <w:t>双方负有谨慎保护对方商业秘密及知识产权的义务。未经对方书面允许，任何一方不得披露、自用及许可他人使用。</w:t>
      </w:r>
    </w:p>
    <w:p>
      <w:pPr>
        <w:jc w:val="both"/>
      </w:pPr>
      <w:r>
        <w:rPr>
          <w:b/>
          <w:sz w:val="21"/>
        </w:rPr>
        <w:t>六、技术情况和资料的保密</w:t>
      </w:r>
    </w:p>
    <w:p>
      <w:pPr>
        <w:ind w:firstLine="420"/>
        <w:jc w:val="both"/>
      </w:pPr>
      <w:r>
        <w:rPr>
          <w:sz w:val="21"/>
        </w:rPr>
        <w:t>1、双方应对本系统的技术情况和资料进行保密，不得向第三方泄露。</w:t>
      </w:r>
    </w:p>
    <w:p>
      <w:pPr>
        <w:ind w:firstLine="420"/>
        <w:jc w:val="both"/>
      </w:pPr>
      <w:r>
        <w:rPr>
          <w:sz w:val="21"/>
        </w:rPr>
        <w:t>2、乙方应对甲方有关业务方面的情况和资料进行保密，不得向第三方泄露。</w:t>
      </w:r>
    </w:p>
    <w:p>
      <w:pPr>
        <w:ind w:firstLine="420"/>
        <w:jc w:val="both"/>
      </w:pPr>
      <w:r>
        <w:rPr>
          <w:sz w:val="21"/>
        </w:rPr>
        <w:t>3、如果甲、乙其中一方有意或无意泄密给对方造成损失的，应当承担损害赔偿责任。</w:t>
      </w:r>
    </w:p>
    <w:p>
      <w:pPr>
        <w:jc w:val="both"/>
      </w:pPr>
      <w:r>
        <w:rPr>
          <w:b/>
          <w:sz w:val="21"/>
        </w:rPr>
        <w:t>七、法律诉讼</w:t>
      </w:r>
    </w:p>
    <w:p>
      <w:pPr>
        <w:ind w:firstLine="420"/>
        <w:jc w:val="both"/>
      </w:pPr>
      <w:r>
        <w:rPr>
          <w:sz w:val="21"/>
        </w:rPr>
        <w:t>签约双方在履约中发生争执和分歧，双方应通过友好协商解决，若经协商不能达成协议时，则由合同签订所在地仲裁机构仲裁。受理期间，双方应继续执行合同其余部分。</w:t>
      </w:r>
    </w:p>
    <w:p>
      <w:pPr>
        <w:jc w:val="both"/>
      </w:pPr>
      <w:r>
        <w:rPr>
          <w:b/>
          <w:sz w:val="21"/>
        </w:rPr>
        <w:t>八、廉洁条款</w:t>
      </w:r>
    </w:p>
    <w:p>
      <w:pPr>
        <w:ind w:firstLine="420"/>
        <w:jc w:val="both"/>
      </w:pPr>
      <w:r>
        <w:rPr>
          <w:sz w:val="21"/>
        </w:rPr>
        <w:t>1、甲方应当严格执行合同验收、入库等制度，不得违反有关规定合同外采购、违价采购或从非规定渠道采购。</w:t>
      </w:r>
    </w:p>
    <w:p>
      <w:pPr>
        <w:ind w:firstLine="420"/>
        <w:jc w:val="both"/>
      </w:pPr>
      <w:r>
        <w:rPr>
          <w:sz w:val="21"/>
        </w:rPr>
        <w:t>2、严禁接受乙方以任何名义、形式给予的回</w:t>
      </w:r>
      <w:r>
        <w:rPr>
          <w:color w:val="FFFFFF"/>
          <w:sz w:val="21"/>
        </w:rPr>
        <w:t>/</w:t>
      </w:r>
      <w:r>
        <w:rPr>
          <w:sz w:val="21"/>
        </w:rPr>
        <w:t>扣，不得将接受捐赠资助与采购挂钩，不得参加乙方安排并支付费用的营业性娱乐场所的娱乐活动，不得以任何形式向乙方索要现金、有价证券、支付凭证和贵重礼品等。被迫接受乙方给予的钱物，应予退还，无法退还的，有责任如实向纪检监察部门反映情况。</w:t>
      </w:r>
    </w:p>
    <w:p>
      <w:pPr>
        <w:ind w:firstLine="420"/>
        <w:jc w:val="both"/>
      </w:pPr>
      <w:r>
        <w:rPr>
          <w:sz w:val="21"/>
        </w:rPr>
        <w:t>3、乙方不得以回</w:t>
      </w:r>
      <w:r>
        <w:rPr>
          <w:color w:val="FFFFFF"/>
          <w:sz w:val="21"/>
        </w:rPr>
        <w:t>/</w:t>
      </w:r>
      <w:r>
        <w:rPr>
          <w:sz w:val="21"/>
        </w:rPr>
        <w:t>扣、宴请等方式影响甲方工作人员采购或使用医药产品、货物、服务等项目的选择权，不得在学术活动中提供旅游、超标准支付食宿费用等。</w:t>
      </w:r>
    </w:p>
    <w:p>
      <w:pPr>
        <w:ind w:firstLine="420"/>
        <w:jc w:val="both"/>
      </w:pPr>
      <w:r>
        <w:rPr>
          <w:sz w:val="21"/>
        </w:rPr>
        <w:t>4、乙方指定</w:t>
      </w:r>
      <w:r>
        <w:rPr>
          <w:sz w:val="21"/>
          <w:u w:val="single"/>
        </w:rPr>
        <w:t xml:space="preserve">         </w:t>
      </w:r>
      <w:r>
        <w:rPr>
          <w:sz w:val="21"/>
          <w:u w:val="single"/>
        </w:rPr>
        <w:t>(联系电话：   )</w:t>
      </w:r>
      <w:r>
        <w:rPr>
          <w:sz w:val="21"/>
        </w:rPr>
        <w:t>作为销售（项目）代表洽谈业务。销售（项目）代表必须在工作时间到甲方指定地点联系商谈，不得借故到甲方相关领导、部门负责人及相关工作人员家中访谈并提供任何好处费。</w:t>
      </w:r>
    </w:p>
    <w:p>
      <w:pPr>
        <w:ind w:firstLine="420"/>
        <w:jc w:val="both"/>
      </w:pPr>
      <w:r>
        <w:rPr>
          <w:sz w:val="21"/>
        </w:rPr>
        <w:t>5、甲方发现乙方有违反本合同或采取不正当手段行贿甲方工作人员的情况，甲方有权终止原购销合同，并向有关行政和纪检部门报告。</w:t>
      </w:r>
    </w:p>
    <w:p>
      <w:pPr>
        <w:jc w:val="both"/>
      </w:pPr>
      <w:r>
        <w:rPr>
          <w:b/>
          <w:color w:val="000000"/>
          <w:sz w:val="21"/>
        </w:rPr>
        <w:t>九、其他：</w:t>
      </w:r>
    </w:p>
    <w:p>
      <w:pPr>
        <w:ind w:firstLine="420"/>
        <w:jc w:val="both"/>
      </w:pPr>
      <w:r>
        <w:rPr>
          <w:sz w:val="21"/>
        </w:rPr>
        <w:t>1、本协议一式陆份，甲方执伍份，乙方执壹份均为正本，具有相同法律效力,经甲、乙双方代表签字并加盖公章后生效。</w:t>
      </w:r>
    </w:p>
    <w:p>
      <w:pPr>
        <w:ind w:firstLine="420"/>
        <w:jc w:val="both"/>
      </w:pPr>
      <w:r>
        <w:rPr>
          <w:sz w:val="21"/>
        </w:rPr>
        <w:t>2、本合同未尽事宜，由双方协商处理。</w:t>
      </w:r>
    </w:p>
    <w:p>
      <w:pPr>
        <w:ind w:firstLine="422"/>
        <w:jc w:val="both"/>
      </w:pPr>
      <w:r>
        <w:rPr>
          <w:b/>
          <w:sz w:val="21"/>
        </w:rPr>
        <w:t>（以下无正文，为双方盖章处）</w:t>
      </w:r>
    </w:p>
    <w:p>
      <w:pPr>
        <w:jc w:val="both"/>
      </w:pPr>
    </w:p>
    <w:p>
      <w:pPr>
        <w:jc w:val="both"/>
      </w:pPr>
      <w:r>
        <w:rPr>
          <w:color w:val="000000"/>
          <w:sz w:val="21"/>
        </w:rPr>
        <w:t>甲方（盖章）：</w:t>
      </w:r>
      <w:r>
        <w:rPr>
          <w:color w:val="000000"/>
          <w:sz w:val="21"/>
        </w:rPr>
        <w:t>汕头大学医学院第二附属医院</w:t>
      </w:r>
      <w:r>
        <w:rPr>
          <w:color w:val="000000"/>
          <w:sz w:val="21"/>
        </w:rPr>
        <w:t xml:space="preserve">                            </w:t>
      </w:r>
      <w:r>
        <w:rPr>
          <w:color w:val="000000"/>
          <w:sz w:val="21"/>
        </w:rPr>
        <w:t>供方（盖章）：</w:t>
      </w:r>
    </w:p>
    <w:p>
      <w:pPr>
        <w:jc w:val="both"/>
      </w:pPr>
      <w:r>
        <w:rPr>
          <w:color w:val="000000"/>
          <w:sz w:val="21"/>
        </w:rPr>
        <w:t xml:space="preserve">               </w:t>
      </w:r>
    </w:p>
    <w:p>
      <w:pPr>
        <w:jc w:val="left"/>
      </w:pPr>
      <w:r>
        <w:rPr>
          <w:color w:val="000000"/>
          <w:sz w:val="21"/>
        </w:rPr>
        <w:t xml:space="preserve">           电</w:t>
      </w:r>
      <w:r>
        <w:rPr>
          <w:color w:val="000000"/>
          <w:sz w:val="21"/>
        </w:rPr>
        <w:t xml:space="preserve">   </w:t>
      </w:r>
      <w:r>
        <w:rPr>
          <w:color w:val="000000"/>
          <w:sz w:val="21"/>
        </w:rPr>
        <w:t>话：</w:t>
      </w:r>
      <w:r>
        <w:rPr>
          <w:color w:val="000000"/>
          <w:sz w:val="21"/>
        </w:rPr>
        <w:t>0754-88915821                                                          电话</w:t>
      </w:r>
      <w:r>
        <w:rPr>
          <w:color w:val="000000"/>
          <w:sz w:val="21"/>
        </w:rPr>
        <w:t>、</w:t>
      </w:r>
      <w:r>
        <w:rPr>
          <w:color w:val="000000"/>
          <w:sz w:val="21"/>
        </w:rPr>
        <w:t>手机</w:t>
      </w:r>
      <w:r>
        <w:rPr>
          <w:color w:val="000000"/>
          <w:sz w:val="21"/>
        </w:rPr>
        <w:t>：</w:t>
      </w:r>
    </w:p>
    <w:p>
      <w:pPr>
        <w:jc w:val="both"/>
      </w:pPr>
      <w:r>
        <w:rPr>
          <w:color w:val="000000"/>
          <w:sz w:val="21"/>
        </w:rPr>
        <w:t>电</w:t>
      </w:r>
      <w:r>
        <w:rPr>
          <w:color w:val="000000"/>
          <w:sz w:val="21"/>
        </w:rPr>
        <w:t xml:space="preserve">   </w:t>
      </w:r>
      <w:r>
        <w:rPr>
          <w:color w:val="000000"/>
          <w:sz w:val="21"/>
        </w:rPr>
        <w:t>传：</w:t>
      </w:r>
      <w:r>
        <w:rPr>
          <w:color w:val="000000"/>
          <w:sz w:val="21"/>
        </w:rPr>
        <w:t>0754-88355426                                                          电    传：</w:t>
      </w:r>
    </w:p>
    <w:p>
      <w:pPr>
        <w:jc w:val="both"/>
      </w:pPr>
      <w:r>
        <w:rPr>
          <w:color w:val="000000"/>
          <w:sz w:val="21"/>
        </w:rPr>
        <w:t xml:space="preserve">           代表人签名：</w:t>
      </w:r>
      <w:r>
        <w:rPr>
          <w:color w:val="000000"/>
          <w:sz w:val="21"/>
        </w:rPr>
        <w:t xml:space="preserve">                                                                           </w:t>
      </w:r>
      <w:r>
        <w:rPr>
          <w:color w:val="000000"/>
          <w:sz w:val="21"/>
        </w:rPr>
        <w:t>代表人签名：</w:t>
      </w:r>
    </w:p>
    <w:p>
      <w:pPr>
        <w:jc w:val="both"/>
      </w:pPr>
      <w:r>
        <w:rPr>
          <w:color w:val="000000"/>
          <w:sz w:val="21"/>
        </w:rPr>
        <w:t xml:space="preserve">           签订日期：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r>
        <w:rPr>
          <w:color w:val="000000"/>
          <w:sz w:val="21"/>
        </w:rPr>
        <w:t xml:space="preserve">                                                       </w:t>
      </w:r>
      <w:r>
        <w:rPr>
          <w:color w:val="000000"/>
          <w:sz w:val="21"/>
        </w:rPr>
        <w:t>签订日期：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p>
      <w:pPr>
        <w:jc w:val="both"/>
      </w:pPr>
    </w:p>
    <w:p>
      <w:pPr>
        <w:jc w:val="both"/>
      </w:pPr>
      <w:r>
        <w:rPr>
          <w:sz w:val="21"/>
        </w:rPr>
        <w:t>附件：服务内容</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440001-2023-50183</w:t>
      </w:r>
    </w:p>
    <w:p>
      <w:pPr>
        <w:jc w:val="center"/>
      </w:pPr>
      <w:r>
        <w:rPr>
          <w:b/>
          <w:sz w:val="24"/>
        </w:rPr>
        <w:t>采购项目编号：</w:t>
      </w:r>
      <w:r>
        <w:rPr>
          <w:b/>
          <w:sz w:val="24"/>
        </w:rPr>
        <w:t>GZGK23P251C0823Z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汕头大学医学院第二附属医院HIS信息系统维护服务项目</w:t>
      </w:r>
      <w:r>
        <w:rPr>
          <w:u w:val="single"/>
        </w:rPr>
        <w:t>”</w:t>
      </w:r>
      <w:r>
        <w:rPr/>
        <w:t>项目的招标[采购项目编号为：</w:t>
      </w:r>
      <w:r>
        <w:rPr>
          <w:u w:val="single"/>
        </w:rPr>
        <w:t>GZGK23P251C0823Z</w:t>
      </w:r>
      <w:r>
        <w:rPr/>
        <w:t>]，我方愿参与投标。</w:t>
      </w:r>
    </w:p>
    <w:p>
      <w:pPr>
        <w:ind w:firstLine="480"/>
      </w:pPr>
      <w:r>
        <w:rPr/>
        <w:t>我方确认收到贵方提供的</w:t>
      </w:r>
      <w:r>
        <w:rPr>
          <w:u w:val="single"/>
        </w:rPr>
        <w:t>“</w:t>
      </w:r>
      <w:r>
        <w:rPr>
          <w:u w:val="single"/>
        </w:rPr>
        <w:t>汕头大学医学院第二附属医院HIS信息系统维护服务项目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汕头大学医学院第二附属医院HIS信息系统维护服务项目</w:t>
      </w:r>
      <w:r>
        <w:rPr/>
        <w:t>”项目采购[采购项目编号为</w:t>
      </w:r>
      <w:r>
        <w:rPr/>
        <w:t>GZGK23P251C0823Z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汕头大学医学院第二附属医院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汕头大学医学院第二附属医院HIS信息系统维护服务项目</w:t>
      </w:r>
      <w:r>
        <w:rPr/>
        <w:t>招标中获中标（采购项目编号：</w:t>
      </w:r>
      <w:r>
        <w:rPr/>
        <w:t>GZGK23P251C0823Z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汕头大学医学院第二附属医院HIS信息系统维护服务项目</w:t>
      </w:r>
      <w:r>
        <w:rPr/>
        <w:t>”项目（采购项目编号：</w:t>
      </w:r>
      <w:r>
        <w:rPr/>
        <w:t>GZGK23P251C0823Z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