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440001-2023-52620</w:t>
      </w:r>
    </w:p>
    <w:p>
      <w:pPr>
        <w:jc w:val="center"/>
      </w:pPr>
      <w:r>
        <w:rPr>
          <w:b/>
          <w:sz w:val="24"/>
        </w:rPr>
        <w:t>采购项目编号：</w:t>
      </w:r>
      <w:r>
        <w:rPr>
          <w:b/>
          <w:sz w:val="24"/>
        </w:rPr>
        <w:t>GZGK23P270A0889Z</w:t>
      </w:r>
    </w:p>
    <w:p>
      <w:pPr>
        <w:jc w:val="center"/>
      </w:pPr>
      <w:r>
        <w:rPr>
          <w:b/>
          <w:sz w:val="24"/>
        </w:rPr>
        <w:t>项目名称：</w:t>
      </w:r>
      <w:r>
        <w:rPr>
          <w:b/>
          <w:sz w:val="24"/>
        </w:rPr>
        <w:t>汕头大学医学院第二附属医院快速全自动微生物质谱鉴定系统采购项目</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汕头大学医学院第二附属医院快速全自动微生物质谱鉴定系统采购项目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汕头大学医学院第二附属医院快速全自动微生物质谱鉴定系统采购项目</w:t>
      </w:r>
    </w:p>
    <w:p>
      <w:pPr>
        <w:ind w:firstLine="480"/>
      </w:pPr>
      <w:r>
        <w:rPr/>
        <w:t>采购计划编号：</w:t>
      </w:r>
      <w:r>
        <w:rPr/>
        <w:t>440001-2023-52620</w:t>
      </w:r>
    </w:p>
    <w:p>
      <w:pPr>
        <w:ind w:firstLine="480"/>
      </w:pPr>
      <w:r>
        <w:rPr/>
        <w:t>采购项目编号：</w:t>
      </w:r>
      <w:r>
        <w:rPr/>
        <w:t>GZGK23P270A0889Z</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采购包1(快速全自动微生物质谱鉴定系统):</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临床检验设备</w:t>
            </w:r>
          </w:p>
        </w:tc>
        <w:tc>
          <w:tcPr>
            <w:tcW w:type="dxa" w:w="2136"/>
          </w:tcPr>
          <w:p>
            <w:r>
              <w:rPr/>
              <w:t>快速全自动微生物质谱鉴定系统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采购包1（快速全自动微生物质谱鉴定系统）：</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采购包1（快速全自动微生物质谱鉴定系统）：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GZGK23P270A0889Z</w:t>
      </w:r>
    </w:p>
    <w:p>
      <w:pPr>
        <w:jc w:val="both"/>
      </w:pPr>
      <w:r>
        <w:rPr>
          <w:b/>
          <w:sz w:val="21"/>
        </w:rPr>
        <w:t>（二）</w:t>
      </w:r>
      <w:r>
        <w:rPr>
          <w:b/>
          <w:sz w:val="21"/>
        </w:rPr>
        <w:t>项目名称：</w:t>
      </w:r>
      <w:r>
        <w:rPr>
          <w:sz w:val="21"/>
        </w:rPr>
        <w:t>汕头大学医学院第二附属医院快速全自动微生物质谱鉴定系统采购项目</w:t>
      </w:r>
      <w:r>
        <w:rPr>
          <w:sz w:val="21"/>
        </w:rPr>
        <w:t xml:space="preserve"> </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小型和微型企业、监狱企业和残疾人福利性单位必须按照投标须知的内容提供相应的资料。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提供相同品牌核心产品且通过资格审查、符合性审查的不同投标人参加同一合同项下投标的，按一家投标人计算。</w:t>
      </w:r>
    </w:p>
    <w:p>
      <w:pPr>
        <w:jc w:val="both"/>
      </w:pPr>
      <w:r>
        <w:rPr>
          <w:sz w:val="21"/>
        </w:rPr>
        <w:t>15、</w:t>
      </w:r>
      <w:r>
        <w:rPr>
          <w:sz w:val="21"/>
        </w:rPr>
        <w:t>不允许中标供应商转包、分包中标采购包的内容。</w:t>
      </w:r>
    </w:p>
    <w:p>
      <w:pPr>
        <w:ind w:firstLine="420"/>
        <w:jc w:val="left"/>
      </w:pPr>
      <w:r>
        <w:rPr>
          <w:sz w:val="21"/>
        </w:rPr>
        <w:t>★</w:t>
      </w:r>
      <w:r>
        <w:rPr>
          <w:sz w:val="21"/>
        </w:rPr>
        <w:t>16、</w:t>
      </w:r>
      <w:r>
        <w:rPr>
          <w:sz w:val="21"/>
        </w:rPr>
        <w:t>投标产品应具备《医疗器械注册证》（无强制要求的除外，以国家药品监督管理局网上的数据库中查询的数据为准）；投标人若为经销商须提供第二类医疗器械经营备案凭证或承诺签订合同前取得第二类医疗器械经营备案凭证（须在投标文件内提供证明文件复印件或承诺函），若为生产厂家则须提供《医疗器械生产许可证》</w:t>
      </w:r>
      <w:r>
        <w:rPr>
          <w:sz w:val="21"/>
        </w:rPr>
        <w:t>（如国家另有规定，则适用其规定）</w:t>
      </w:r>
      <w:r>
        <w:rPr>
          <w:sz w:val="21"/>
        </w:rPr>
        <w:t>（须在投标文件内提供证明文件复印件）。</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w:t>
      </w:r>
    </w:p>
    <w:p>
      <w:pPr>
        <w:jc w:val="both"/>
      </w:pPr>
      <w:r>
        <w:rPr>
          <w:sz w:val="21"/>
        </w:rPr>
        <w:t>2、</w:t>
      </w:r>
      <w:r>
        <w:rPr>
          <w:sz w:val="21"/>
        </w:rPr>
        <w:t>纸质投标文件邮寄地址（邮寄地址：</w:t>
      </w:r>
      <w:r>
        <w:rPr>
          <w:sz w:val="21"/>
        </w:rPr>
        <w:t>广东省汕头市金霞街道高新区科技中路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该设备用于细菌、真菌的快速鉴定。</w:t>
      </w:r>
    </w:p>
    <w:p>
      <w:pPr>
        <w:jc w:val="both"/>
      </w:pPr>
      <w:r>
        <w:rPr>
          <w:b/>
          <w:sz w:val="21"/>
        </w:rPr>
        <w:t>（七）</w:t>
      </w:r>
      <w:r>
        <w:rPr>
          <w:b/>
          <w:sz w:val="21"/>
        </w:rPr>
        <w:t>需执行国家相关标准、行业标准、地方标准或者其他标准、规范</w:t>
      </w:r>
    </w:p>
    <w:p/>
    <w:p>
      <w:pPr>
        <w:ind w:firstLine="480"/>
      </w:pPr>
    </w:p>
    <w:p/>
    <w:p>
      <w:r>
        <w:rPr/>
        <w:t>采购包1（快速全自动微生物质谱鉴定系统）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1期：支付比例30%,合同生效后7个工作日内，采购人向中标人支付合同总价的30%；</w:t>
            </w:r>
          </w:p>
          <w:p/>
          <w:p>
            <w:r>
              <w:rPr/>
              <w:t>2期：支付比例70%,全部货物完成安装、调试并通过验收后60日内，采购人向中标人支付合同总价的70%。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质量保证期，1、质量保证期不少于3年。并提供终身维修服务。质量保证期内，所有服务及配件全部包含在报价中。“技术标准与要求”中另有要求的，以其中的要求为准。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对采购人的服务通知，中标供应商在接报后2小时内响应，24小时内到达现场，48小时内处理完毕。若在48小时内仍未能有效解决，中标供应商须提供同一档次的设备予采购人临时使用，并支持数据库、软件终身无条件升级到最新版本。</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快速全自动微生物质谱鉴定系统</w:t>
            </w:r>
          </w:p>
        </w:tc>
        <w:tc>
          <w:tcPr>
            <w:tcW w:type="dxa" w:w="831"/>
          </w:tcPr>
          <w:p>
            <w:pPr>
              <w:jc w:val="left"/>
            </w:pPr>
            <w:r>
              <w:rPr/>
              <w:t>套</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快速全自动微生物质谱鉴定系统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 主要用途及基本要求</w:t>
            </w:r>
          </w:p>
          <w:p>
            <w:pPr>
              <w:ind w:firstLine="420"/>
              <w:jc w:val="both"/>
            </w:pPr>
            <w:r>
              <w:rPr>
                <w:sz w:val="21"/>
              </w:rPr>
              <w:t>该</w:t>
            </w:r>
            <w:r>
              <w:rPr>
                <w:sz w:val="21"/>
              </w:rPr>
              <w:t>快速全自动微生物质谱鉴定系统</w:t>
            </w:r>
            <w:r>
              <w:rPr>
                <w:sz w:val="21"/>
              </w:rPr>
              <w:t>的应用范围应包括但不限于对细菌、真菌的鉴定</w:t>
            </w:r>
            <w:r>
              <w:rPr>
                <w:sz w:val="21"/>
              </w:rPr>
              <w:t>。</w:t>
            </w:r>
          </w:p>
          <w:p>
            <w:pPr>
              <w:jc w:val="both"/>
            </w:pPr>
            <w:r>
              <w:rPr>
                <w:b/>
                <w:sz w:val="21"/>
              </w:rPr>
              <w:t>2. 硬件参数要求</w:t>
            </w:r>
          </w:p>
          <w:p>
            <w:pPr>
              <w:ind w:firstLine="315"/>
              <w:jc w:val="both"/>
            </w:pPr>
            <w:r>
              <w:rPr>
                <w:sz w:val="21"/>
              </w:rPr>
              <w:t>（</w:t>
            </w:r>
            <w:r>
              <w:rPr>
                <w:sz w:val="21"/>
              </w:rPr>
              <w:t>1）飞行管：采用直线形飞行管，长度</w:t>
            </w:r>
            <w:r>
              <w:rPr>
                <w:sz w:val="21"/>
              </w:rPr>
              <w:t>≥</w:t>
            </w:r>
            <w:r>
              <w:rPr>
                <w:sz w:val="21"/>
              </w:rPr>
              <w:t>1米。同时飞行管须具备温度平衡功能（提供相关</w:t>
            </w:r>
            <w:r>
              <w:rPr>
                <w:sz w:val="21"/>
              </w:rPr>
              <w:t>的证明材料）。</w:t>
            </w:r>
          </w:p>
          <w:p>
            <w:pPr>
              <w:ind w:firstLine="140"/>
              <w:jc w:val="both"/>
            </w:pPr>
            <w:r>
              <w:rPr>
                <w:sz w:val="21"/>
              </w:rPr>
              <w:t>▲（2）激光器：采用氮气激光器，波长</w:t>
            </w:r>
            <w:r>
              <w:rPr>
                <w:sz w:val="21"/>
              </w:rPr>
              <w:t>≥335</w:t>
            </w:r>
            <w:r>
              <w:rPr>
                <w:sz w:val="21"/>
              </w:rPr>
              <w:t>nm，频率在1</w:t>
            </w:r>
            <w:r>
              <w:rPr>
                <w:sz w:val="21"/>
              </w:rPr>
              <w:t>～</w:t>
            </w:r>
            <w:r>
              <w:rPr>
                <w:sz w:val="21"/>
              </w:rPr>
              <w:t>60Hz内连续可调，发射次数</w:t>
            </w:r>
            <w:r>
              <w:rPr>
                <w:sz w:val="21"/>
              </w:rPr>
              <w:t>≥</w:t>
            </w:r>
            <w:r>
              <w:rPr>
                <w:sz w:val="21"/>
              </w:rPr>
              <w:t>4</w:t>
            </w:r>
            <w:r>
              <w:rPr>
                <w:sz w:val="21"/>
              </w:rPr>
              <w:t>´</w:t>
            </w:r>
            <w:r>
              <w:rPr>
                <w:sz w:val="21"/>
              </w:rPr>
              <w:t>10</w:t>
            </w:r>
            <w:r>
              <w:rPr>
                <w:sz w:val="21"/>
                <w:vertAlign w:val="superscript"/>
              </w:rPr>
              <w:t>8</w:t>
            </w:r>
            <w:r>
              <w:rPr>
                <w:sz w:val="21"/>
              </w:rPr>
              <w:t>次（提供相关的证明材料）。</w:t>
            </w:r>
          </w:p>
          <w:p>
            <w:pPr>
              <w:ind w:firstLine="140"/>
              <w:jc w:val="both"/>
            </w:pPr>
            <w:r>
              <w:rPr>
                <w:sz w:val="21"/>
              </w:rPr>
              <w:t>▲（3）真空系统：仪器内置</w:t>
            </w:r>
            <w:r>
              <w:rPr>
                <w:sz w:val="21"/>
              </w:rPr>
              <w:t>≥</w:t>
            </w:r>
            <w:r>
              <w:rPr>
                <w:sz w:val="21"/>
              </w:rPr>
              <w:t>2个泵，其中前级</w:t>
            </w:r>
            <w:r>
              <w:rPr>
                <w:sz w:val="21"/>
              </w:rPr>
              <w:t>泵应为内置无油隔膜泵，高真空泵应为分子涡轮泵，分子涡轮泵的抽</w:t>
            </w:r>
            <w:r>
              <w:rPr>
                <w:sz w:val="21"/>
              </w:rPr>
              <w:t>速</w:t>
            </w:r>
            <w:r>
              <w:rPr>
                <w:sz w:val="21"/>
              </w:rPr>
              <w:t>≥</w:t>
            </w:r>
            <w:r>
              <w:rPr>
                <w:sz w:val="21"/>
              </w:rPr>
              <w:t>32</w:t>
            </w:r>
            <w:r>
              <w:rPr>
                <w:sz w:val="21"/>
              </w:rPr>
              <w:t>0L/S（提供</w:t>
            </w:r>
            <w:r>
              <w:rPr>
                <w:sz w:val="21"/>
              </w:rPr>
              <w:t>仪器图片及</w:t>
            </w:r>
            <w:r>
              <w:rPr>
                <w:sz w:val="21"/>
              </w:rPr>
              <w:t>产品</w:t>
            </w:r>
            <w:r>
              <w:rPr>
                <w:sz w:val="21"/>
              </w:rPr>
              <w:t>说明书</w:t>
            </w:r>
            <w:r>
              <w:rPr>
                <w:sz w:val="21"/>
              </w:rPr>
              <w:t>或</w:t>
            </w:r>
            <w:r>
              <w:rPr>
                <w:sz w:val="21"/>
              </w:rPr>
              <w:t>产品彩页或技术白皮书</w:t>
            </w:r>
            <w:r>
              <w:rPr>
                <w:sz w:val="21"/>
              </w:rPr>
              <w:t>作为</w:t>
            </w:r>
            <w:r>
              <w:rPr>
                <w:sz w:val="21"/>
              </w:rPr>
              <w:t>证明材料）。为保障应急检测，从样品靶板放入快速全自动微生物质谱鉴定系统后到真空抽到</w:t>
            </w:r>
            <w:r>
              <w:rPr>
                <w:sz w:val="21"/>
              </w:rPr>
              <w:t>3×10</w:t>
            </w:r>
            <w:r>
              <w:rPr>
                <w:sz w:val="21"/>
                <w:vertAlign w:val="superscript"/>
              </w:rPr>
              <w:t>-6</w:t>
            </w:r>
            <w:r>
              <w:rPr>
                <w:sz w:val="21"/>
              </w:rPr>
              <w:t>mbar所需的时间</w:t>
            </w:r>
            <w:r>
              <w:rPr>
                <w:sz w:val="21"/>
              </w:rPr>
              <w:t>＜</w:t>
            </w:r>
            <w:r>
              <w:rPr>
                <w:sz w:val="21"/>
              </w:rPr>
              <w:t>50s（提供</w:t>
            </w:r>
            <w:r>
              <w:rPr>
                <w:sz w:val="21"/>
              </w:rPr>
              <w:t>具备资质的第三方检测机构</w:t>
            </w:r>
            <w:r>
              <w:rPr>
                <w:sz w:val="21"/>
              </w:rPr>
              <w:t>出具的检测报告）。</w:t>
            </w:r>
          </w:p>
          <w:p>
            <w:pPr>
              <w:ind w:firstLine="140"/>
              <w:jc w:val="both"/>
            </w:pPr>
            <w:r>
              <w:rPr>
                <w:sz w:val="21"/>
              </w:rPr>
              <w:t>▲（4</w:t>
            </w:r>
            <w:r>
              <w:rPr>
                <w:sz w:val="21"/>
              </w:rPr>
              <w:t>）</w:t>
            </w:r>
            <w:r>
              <w:rPr>
                <w:sz w:val="21"/>
              </w:rPr>
              <w:t>仪器含正负</w:t>
            </w:r>
            <w:r>
              <w:rPr>
                <w:sz w:val="21"/>
              </w:rPr>
              <w:t>双</w:t>
            </w:r>
            <w:r>
              <w:rPr>
                <w:sz w:val="21"/>
              </w:rPr>
              <w:t>离子模式，模式一键切换，</w:t>
            </w:r>
            <w:r>
              <w:rPr>
                <w:sz w:val="21"/>
              </w:rPr>
              <w:t>可</w:t>
            </w:r>
            <w:r>
              <w:rPr>
                <w:sz w:val="21"/>
              </w:rPr>
              <w:t>拓展脂类，多粘菌素</w:t>
            </w:r>
            <w:r>
              <w:rPr>
                <w:sz w:val="21"/>
              </w:rPr>
              <w:t>、</w:t>
            </w:r>
            <w:r>
              <w:rPr>
                <w:sz w:val="21"/>
              </w:rPr>
              <w:t>脂质及蛋白质的检测（提供</w:t>
            </w:r>
            <w:r>
              <w:rPr>
                <w:sz w:val="21"/>
              </w:rPr>
              <w:t>具备资质的第三方检测机构</w:t>
            </w:r>
            <w:r>
              <w:rPr>
                <w:sz w:val="21"/>
              </w:rPr>
              <w:t>出</w:t>
            </w:r>
            <w:r>
              <w:rPr>
                <w:sz w:val="21"/>
              </w:rPr>
              <w:t>具的检测报告）。</w:t>
            </w:r>
          </w:p>
          <w:p>
            <w:pPr>
              <w:ind w:firstLine="315"/>
              <w:jc w:val="both"/>
            </w:pPr>
            <w:r>
              <w:rPr>
                <w:sz w:val="21"/>
              </w:rPr>
              <w:t>（</w:t>
            </w:r>
            <w:r>
              <w:rPr>
                <w:sz w:val="21"/>
              </w:rPr>
              <w:t>5）生物安全配置：泵口过滤器为≤0.01</w:t>
            </w:r>
            <w:r>
              <w:rPr>
                <w:sz w:val="21"/>
              </w:rPr>
              <w:t>m</w:t>
            </w:r>
            <w:r>
              <w:rPr>
                <w:sz w:val="21"/>
              </w:rPr>
              <w:t>m的高精度泵口过滤器，可过滤</w:t>
            </w:r>
            <w:r>
              <w:rPr>
                <w:sz w:val="21"/>
              </w:rPr>
              <w:t>≥</w:t>
            </w:r>
            <w:r>
              <w:rPr>
                <w:sz w:val="21"/>
              </w:rPr>
              <w:t>99.9%的病原微生物。</w:t>
            </w:r>
          </w:p>
          <w:p>
            <w:pPr>
              <w:jc w:val="both"/>
            </w:pPr>
            <w:r>
              <w:rPr>
                <w:b/>
                <w:sz w:val="21"/>
              </w:rPr>
              <w:t>3. 数据库参数要求</w:t>
            </w:r>
          </w:p>
          <w:p>
            <w:pPr>
              <w:ind w:firstLine="140"/>
              <w:jc w:val="both"/>
            </w:pPr>
            <w:r>
              <w:rPr>
                <w:sz w:val="21"/>
              </w:rPr>
              <w:t>▲（1）采用非云端数据库，数据库可鉴定菌</w:t>
            </w:r>
            <w:r>
              <w:rPr>
                <w:sz w:val="21"/>
              </w:rPr>
              <w:t>种</w:t>
            </w:r>
            <w:r>
              <w:rPr>
                <w:sz w:val="21"/>
              </w:rPr>
              <w:t>≥</w:t>
            </w:r>
            <w:r>
              <w:rPr>
                <w:sz w:val="21"/>
              </w:rPr>
              <w:t>5000种，能涵盖</w:t>
            </w:r>
            <w:r>
              <w:rPr>
                <w:sz w:val="21"/>
              </w:rPr>
              <w:t>包括但不限于</w:t>
            </w:r>
            <w:r>
              <w:rPr>
                <w:sz w:val="21"/>
              </w:rPr>
              <w:t>临床</w:t>
            </w:r>
            <w:r>
              <w:rPr>
                <w:sz w:val="21"/>
              </w:rPr>
              <w:t>、药品、环境、食品、化妆品领域的微生物，其中丝状真菌数据库不少于</w:t>
            </w:r>
            <w:r>
              <w:rPr>
                <w:sz w:val="21"/>
              </w:rPr>
              <w:t>400种。数据库可随时</w:t>
            </w:r>
            <w:r>
              <w:rPr>
                <w:sz w:val="21"/>
              </w:rPr>
              <w:t>无条件</w:t>
            </w:r>
            <w:r>
              <w:rPr>
                <w:sz w:val="21"/>
              </w:rPr>
              <w:t>维护更新和升级。临床数据库检索必须采用非联网形式，保证信息的安全性。</w:t>
            </w:r>
          </w:p>
          <w:p>
            <w:pPr>
              <w:ind w:firstLine="140"/>
              <w:jc w:val="both"/>
            </w:pPr>
            <w:r>
              <w:rPr>
                <w:sz w:val="21"/>
              </w:rPr>
              <w:t>▲（2）分枝杆菌的数据库</w:t>
            </w:r>
            <w:r>
              <w:rPr>
                <w:sz w:val="21"/>
              </w:rPr>
              <w:t>≥1</w:t>
            </w:r>
            <w:r>
              <w:rPr>
                <w:sz w:val="21"/>
              </w:rPr>
              <w:t>70</w:t>
            </w:r>
            <w:r>
              <w:rPr>
                <w:sz w:val="21"/>
              </w:rPr>
              <w:t>种。</w:t>
            </w:r>
          </w:p>
          <w:p>
            <w:pPr>
              <w:ind w:firstLine="315"/>
              <w:jc w:val="both"/>
            </w:pPr>
            <w:r>
              <w:rPr>
                <w:sz w:val="21"/>
              </w:rPr>
              <w:t>（</w:t>
            </w:r>
            <w:r>
              <w:rPr>
                <w:sz w:val="21"/>
              </w:rPr>
              <w:t>3）须具备</w:t>
            </w:r>
            <w:r>
              <w:rPr>
                <w:sz w:val="21"/>
              </w:rPr>
              <w:t>≥</w:t>
            </w:r>
            <w:r>
              <w:rPr>
                <w:sz w:val="21"/>
              </w:rPr>
              <w:t>20</w:t>
            </w:r>
            <w:r>
              <w:rPr>
                <w:sz w:val="21"/>
              </w:rPr>
              <w:t>种施万氏菌的数据库（提供相关的证明材料）。</w:t>
            </w:r>
          </w:p>
          <w:p>
            <w:pPr>
              <w:ind w:firstLine="315"/>
              <w:jc w:val="both"/>
            </w:pPr>
            <w:r>
              <w:rPr>
                <w:sz w:val="21"/>
              </w:rPr>
              <w:t>（</w:t>
            </w:r>
            <w:r>
              <w:rPr>
                <w:sz w:val="21"/>
              </w:rPr>
              <w:t>4）支持用户采用与主库相同的建库原理和算法自行扩增数据库或者自建数据库。</w:t>
            </w:r>
          </w:p>
          <w:p>
            <w:pPr>
              <w:jc w:val="both"/>
            </w:pPr>
            <w:r>
              <w:rPr>
                <w:b/>
                <w:sz w:val="21"/>
              </w:rPr>
              <w:t>4. 检测性能参数要求</w:t>
            </w:r>
          </w:p>
          <w:p>
            <w:pPr>
              <w:ind w:firstLine="315"/>
              <w:jc w:val="both"/>
            </w:pPr>
            <w:r>
              <w:rPr>
                <w:sz w:val="21"/>
              </w:rPr>
              <w:t>（</w:t>
            </w:r>
            <w:r>
              <w:rPr>
                <w:sz w:val="21"/>
              </w:rPr>
              <w:t>1）鉴定的质量范围为1～500 kDa。</w:t>
            </w:r>
          </w:p>
          <w:p>
            <w:pPr>
              <w:ind w:firstLine="315"/>
              <w:jc w:val="both"/>
            </w:pPr>
            <w:r>
              <w:rPr>
                <w:sz w:val="21"/>
              </w:rPr>
              <w:t>（</w:t>
            </w:r>
            <w:r>
              <w:rPr>
                <w:sz w:val="21"/>
              </w:rPr>
              <w:t>2）质量的线性模式分辨率</w:t>
            </w:r>
            <w:r>
              <w:rPr>
                <w:sz w:val="21"/>
              </w:rPr>
              <w:t>＞</w:t>
            </w:r>
            <w:r>
              <w:rPr>
                <w:sz w:val="21"/>
              </w:rPr>
              <w:t>3600（FWHM）</w:t>
            </w:r>
            <w:r>
              <w:rPr>
                <w:sz w:val="21"/>
              </w:rPr>
              <w:t>@ Angiotensin</w:t>
            </w:r>
            <w:r>
              <w:rPr>
                <w:sz w:val="21"/>
              </w:rPr>
              <w:t>（血管紧张素）</w:t>
            </w:r>
            <w:r>
              <w:rPr>
                <w:sz w:val="21"/>
              </w:rPr>
              <w:t>（提供</w:t>
            </w:r>
            <w:r>
              <w:rPr>
                <w:sz w:val="21"/>
              </w:rPr>
              <w:t>具备资质的第三方检测机构</w:t>
            </w:r>
            <w:r>
              <w:rPr>
                <w:sz w:val="21"/>
              </w:rPr>
              <w:t>出</w:t>
            </w:r>
            <w:r>
              <w:rPr>
                <w:sz w:val="21"/>
              </w:rPr>
              <w:t>具的检测报告）。</w:t>
            </w:r>
          </w:p>
          <w:p>
            <w:pPr>
              <w:ind w:firstLine="315"/>
              <w:jc w:val="both"/>
            </w:pPr>
            <w:r>
              <w:rPr>
                <w:sz w:val="21"/>
              </w:rPr>
              <w:t>（</w:t>
            </w:r>
            <w:r>
              <w:rPr>
                <w:sz w:val="21"/>
              </w:rPr>
              <w:t>3）鉴定的灵敏度：≤1 fmol/uL 人纤维蛋白肽B（信噪比≥100:1）。</w:t>
            </w:r>
          </w:p>
          <w:p>
            <w:pPr>
              <w:ind w:firstLine="315"/>
              <w:jc w:val="both"/>
            </w:pPr>
            <w:r>
              <w:rPr>
                <w:sz w:val="21"/>
              </w:rPr>
              <w:t>（</w:t>
            </w:r>
            <w:r>
              <w:rPr>
                <w:sz w:val="21"/>
              </w:rPr>
              <w:t>4）质量的准确度：外校准≤100 ppm；内校准≤30ppm。</w:t>
            </w:r>
          </w:p>
          <w:p>
            <w:pPr>
              <w:jc w:val="both"/>
            </w:pPr>
            <w:r>
              <w:rPr>
                <w:b/>
                <w:sz w:val="21"/>
              </w:rPr>
              <w:t>5. 软件参数要求</w:t>
            </w:r>
          </w:p>
          <w:p>
            <w:pPr>
              <w:ind w:firstLine="315"/>
              <w:jc w:val="both"/>
            </w:pPr>
            <w:r>
              <w:rPr>
                <w:sz w:val="21"/>
              </w:rPr>
              <w:t>（</w:t>
            </w:r>
            <w:r>
              <w:rPr>
                <w:sz w:val="21"/>
              </w:rPr>
              <w:t>1）配备微生物实验室的管理软件，支持与不同品牌的血培养、药敏鉴定系统的端口联机，同时可支持与LIS系统的对接，可进行统计分析并出具报告（提供相关的证明支撑材料）。</w:t>
            </w:r>
          </w:p>
          <w:p>
            <w:pPr>
              <w:ind w:firstLine="315"/>
              <w:jc w:val="both"/>
            </w:pPr>
            <w:r>
              <w:rPr>
                <w:sz w:val="21"/>
              </w:rPr>
              <w:t>（</w:t>
            </w:r>
            <w:r>
              <w:rPr>
                <w:sz w:val="21"/>
              </w:rPr>
              <w:t>2）全中文操作界面，鉴定的结果同时给出中文和拉丁文的微生物名称，在一个软件内</w:t>
            </w:r>
            <w:r>
              <w:rPr>
                <w:sz w:val="21"/>
              </w:rPr>
              <w:t>可完成</w:t>
            </w:r>
            <w:r>
              <w:rPr>
                <w:sz w:val="21"/>
              </w:rPr>
              <w:t>包括但不限于</w:t>
            </w:r>
            <w:r>
              <w:rPr>
                <w:sz w:val="21"/>
              </w:rPr>
              <w:t>仪器控制、数据采集、数据处理及微生物鉴定分析</w:t>
            </w:r>
            <w:r>
              <w:rPr>
                <w:sz w:val="21"/>
              </w:rPr>
              <w:t>的</w:t>
            </w:r>
            <w:r>
              <w:rPr>
                <w:sz w:val="21"/>
              </w:rPr>
              <w:t>全套功能。</w:t>
            </w:r>
          </w:p>
          <w:p>
            <w:pPr>
              <w:ind w:firstLine="140"/>
              <w:jc w:val="both"/>
            </w:pPr>
            <w:r>
              <w:rPr>
                <w:sz w:val="21"/>
              </w:rPr>
              <w:t>▲（3）鉴定结</w:t>
            </w:r>
            <w:r>
              <w:rPr>
                <w:sz w:val="21"/>
              </w:rPr>
              <w:t>果：</w:t>
            </w:r>
            <w:r>
              <w:rPr>
                <w:sz w:val="21"/>
              </w:rPr>
              <w:t>配备</w:t>
            </w:r>
            <w:r>
              <w:rPr>
                <w:strike/>
                <w:sz w:val="21"/>
              </w:rPr>
              <w:t>标配</w:t>
            </w:r>
            <w:r>
              <w:rPr>
                <w:sz w:val="21"/>
              </w:rPr>
              <w:t>的</w:t>
            </w:r>
            <w:r>
              <w:rPr>
                <w:sz w:val="21"/>
              </w:rPr>
              <w:t>检索鉴定软件需给出菌株的中文和拉丁文名称，在给出质谱鉴定结果的同时，还需给出微生物形态学图</w:t>
            </w:r>
            <w:r>
              <w:rPr>
                <w:sz w:val="21"/>
              </w:rPr>
              <w:t>（</w:t>
            </w:r>
            <w:r>
              <w:rPr>
                <w:sz w:val="21"/>
              </w:rPr>
              <w:t>包括但不限于</w:t>
            </w:r>
            <w:r>
              <w:rPr>
                <w:sz w:val="21"/>
              </w:rPr>
              <w:t>平板</w:t>
            </w:r>
            <w:r>
              <w:rPr>
                <w:sz w:val="21"/>
              </w:rPr>
              <w:t>菌落图和染色图），以辅助判断鉴定结果。</w:t>
            </w:r>
          </w:p>
          <w:p>
            <w:pPr>
              <w:ind w:firstLine="140"/>
              <w:jc w:val="both"/>
            </w:pPr>
            <w:r>
              <w:rPr>
                <w:sz w:val="21"/>
              </w:rPr>
              <w:t>▲（4）支持</w:t>
            </w:r>
            <w:r>
              <w:rPr>
                <w:sz w:val="21"/>
              </w:rPr>
              <w:t>b</w:t>
            </w:r>
            <w:r>
              <w:rPr>
                <w:sz w:val="21"/>
              </w:rPr>
              <w:t>-内酰胺酶类耐药检测功能，具备小分子耐药的检测功能</w:t>
            </w:r>
            <w:r>
              <w:rPr>
                <w:sz w:val="21"/>
              </w:rPr>
              <w:t>；同时拓展仪器的使用范围（提供</w:t>
            </w:r>
            <w:r>
              <w:rPr>
                <w:sz w:val="21"/>
              </w:rPr>
              <w:t>具备资质的第三方检测机构</w:t>
            </w:r>
            <w:r>
              <w:rPr>
                <w:sz w:val="21"/>
              </w:rPr>
              <w:t>出具</w:t>
            </w:r>
            <w:r>
              <w:rPr>
                <w:sz w:val="21"/>
              </w:rPr>
              <w:t>的检测报告）。</w:t>
            </w:r>
          </w:p>
          <w:p>
            <w:pPr>
              <w:ind w:firstLine="350"/>
              <w:jc w:val="both"/>
            </w:pPr>
            <w:r>
              <w:rPr>
                <w:sz w:val="21"/>
              </w:rPr>
              <w:t>（</w:t>
            </w:r>
            <w:r>
              <w:rPr>
                <w:sz w:val="21"/>
              </w:rPr>
              <w:t>5</w:t>
            </w:r>
            <w:r>
              <w:rPr>
                <w:sz w:val="21"/>
              </w:rPr>
              <w:t>）具备聚</w:t>
            </w:r>
            <w:r>
              <w:rPr>
                <w:sz w:val="21"/>
              </w:rPr>
              <w:t>类分析的功能，聚类分析软件须具备主成分分析的功能和模拟凝胶图的功能</w:t>
            </w:r>
            <w:r>
              <w:rPr>
                <w:sz w:val="21"/>
              </w:rPr>
              <w:t>，</w:t>
            </w:r>
            <w:r>
              <w:rPr>
                <w:sz w:val="21"/>
              </w:rPr>
              <w:t>可用于</w:t>
            </w:r>
            <w:r>
              <w:rPr>
                <w:sz w:val="21"/>
              </w:rPr>
              <w:t>包括但不限于</w:t>
            </w:r>
            <w:r>
              <w:rPr>
                <w:sz w:val="21"/>
              </w:rPr>
              <w:t>微生物的溯源分析、</w:t>
            </w:r>
            <w:r>
              <w:rPr>
                <w:sz w:val="21"/>
              </w:rPr>
              <w:t>多重性分析、</w:t>
            </w:r>
            <w:r>
              <w:rPr>
                <w:sz w:val="21"/>
              </w:rPr>
              <w:t>菌种分型以及蛋白表达的差异分析等。</w:t>
            </w:r>
          </w:p>
          <w:p>
            <w:pPr>
              <w:ind w:firstLine="140"/>
              <w:jc w:val="both"/>
            </w:pPr>
            <w:r>
              <w:rPr>
                <w:sz w:val="21"/>
              </w:rPr>
              <w:t>▲（</w:t>
            </w:r>
            <w:r>
              <w:rPr>
                <w:sz w:val="21"/>
              </w:rPr>
              <w:t>6</w:t>
            </w:r>
            <w:r>
              <w:rPr>
                <w:sz w:val="21"/>
              </w:rPr>
              <w:t>）</w:t>
            </w:r>
            <w:r>
              <w:rPr>
                <w:sz w:val="21"/>
              </w:rPr>
              <w:t>仪器</w:t>
            </w:r>
            <w:r>
              <w:rPr>
                <w:sz w:val="21"/>
              </w:rPr>
              <w:t>支持人工智能算法，构建微生物鉴定区分模型，实现对疑难菌及复合群亚型的分型（</w:t>
            </w:r>
            <w:r>
              <w:rPr>
                <w:sz w:val="21"/>
              </w:rPr>
              <w:t>提供</w:t>
            </w:r>
            <w:r>
              <w:rPr>
                <w:sz w:val="21"/>
              </w:rPr>
              <w:t>相关</w:t>
            </w:r>
            <w:r>
              <w:rPr>
                <w:sz w:val="21"/>
              </w:rPr>
              <w:t>证明材</w:t>
            </w:r>
            <w:r>
              <w:rPr>
                <w:sz w:val="21"/>
              </w:rPr>
              <w:t>料</w:t>
            </w:r>
            <w:r>
              <w:rPr>
                <w:sz w:val="21"/>
              </w:rPr>
              <w:t>）。</w:t>
            </w:r>
          </w:p>
          <w:p>
            <w:pPr>
              <w:ind w:firstLine="350"/>
              <w:jc w:val="both"/>
            </w:pPr>
            <w:r>
              <w:rPr>
                <w:sz w:val="21"/>
              </w:rPr>
              <w:t>（</w:t>
            </w:r>
            <w:r>
              <w:rPr>
                <w:sz w:val="21"/>
              </w:rPr>
              <w:t>7）仪器</w:t>
            </w:r>
            <w:r>
              <w:rPr>
                <w:sz w:val="21"/>
              </w:rPr>
              <w:t>可提供</w:t>
            </w:r>
            <w:r>
              <w:rPr>
                <w:sz w:val="21"/>
              </w:rPr>
              <w:t>核酸检测功能，</w:t>
            </w:r>
            <w:r>
              <w:rPr>
                <w:sz w:val="21"/>
              </w:rPr>
              <w:t>包括但不限于新冠</w:t>
            </w:r>
            <w:r>
              <w:rPr>
                <w:sz w:val="21"/>
              </w:rPr>
              <w:t>病毒在内的核酸检测、基因分型等相关研究（提</w:t>
            </w:r>
            <w:r>
              <w:rPr>
                <w:sz w:val="21"/>
              </w:rPr>
              <w:t>供软件界面截图作为证明材料</w:t>
            </w:r>
            <w:r>
              <w:rPr>
                <w:sz w:val="21"/>
              </w:rPr>
              <w:t>）。</w:t>
            </w:r>
          </w:p>
          <w:p>
            <w:pPr>
              <w:jc w:val="both"/>
            </w:pPr>
            <w:r>
              <w:rPr>
                <w:b/>
                <w:sz w:val="21"/>
              </w:rPr>
              <w:t>6. 相关耗材与试剂参数要求</w:t>
            </w:r>
          </w:p>
          <w:p>
            <w:pPr>
              <w:ind w:firstLine="315"/>
              <w:jc w:val="both"/>
            </w:pPr>
            <w:r>
              <w:rPr>
                <w:sz w:val="21"/>
              </w:rPr>
              <w:t>（</w:t>
            </w:r>
            <w:r>
              <w:rPr>
                <w:sz w:val="21"/>
              </w:rPr>
              <w:t>1）提供无需配制可直接使用的稳定液体剂型的</w:t>
            </w:r>
            <w:r>
              <w:rPr>
                <w:sz w:val="21"/>
              </w:rPr>
              <w:t>微生物质谱基质试剂</w:t>
            </w:r>
            <w:r>
              <w:rPr>
                <w:sz w:val="21"/>
              </w:rPr>
              <w:t>1套</w:t>
            </w:r>
            <w:r>
              <w:rPr>
                <w:sz w:val="21"/>
              </w:rPr>
              <w:t>，可室温保存，须取得医疗器械注册证（提供证明材料）。</w:t>
            </w:r>
          </w:p>
          <w:p>
            <w:pPr>
              <w:ind w:firstLine="315"/>
              <w:jc w:val="both"/>
            </w:pPr>
            <w:r>
              <w:rPr>
                <w:sz w:val="21"/>
              </w:rPr>
              <w:t>（</w:t>
            </w:r>
            <w:r>
              <w:rPr>
                <w:sz w:val="21"/>
              </w:rPr>
              <w:t>2）</w:t>
            </w:r>
            <w:r>
              <w:rPr>
                <w:sz w:val="21"/>
              </w:rPr>
              <w:t>提供配套的血培养阳性样本质谱鉴定前处理试剂</w:t>
            </w:r>
            <w:r>
              <w:rPr>
                <w:sz w:val="21"/>
              </w:rPr>
              <w:t>1套</w:t>
            </w:r>
            <w:r>
              <w:rPr>
                <w:sz w:val="21"/>
              </w:rPr>
              <w:t>，须取得医疗器械注册证（提供证明材料）。</w:t>
            </w:r>
          </w:p>
          <w:p>
            <w:pPr>
              <w:ind w:firstLine="140"/>
              <w:jc w:val="both"/>
            </w:pPr>
            <w:r>
              <w:rPr>
                <w:sz w:val="21"/>
              </w:rPr>
              <w:t>▲（3）霉菌快速前处理试剂：提供配套的可用于霉菌快速前处理的试剂</w:t>
            </w:r>
            <w:r>
              <w:rPr>
                <w:sz w:val="21"/>
              </w:rPr>
              <w:t>1套</w:t>
            </w:r>
            <w:r>
              <w:rPr>
                <w:sz w:val="21"/>
              </w:rPr>
              <w:t>；同时提供相应方法建库的霉菌数据库；单个样本的完整前处理时间</w:t>
            </w:r>
            <w:r>
              <w:rPr>
                <w:sz w:val="21"/>
              </w:rPr>
              <w:t>≤</w:t>
            </w:r>
            <w:r>
              <w:rPr>
                <w:sz w:val="21"/>
              </w:rPr>
              <w:t>5分钟，须取得医疗器械注册证（提供证明材料）。</w:t>
            </w:r>
          </w:p>
          <w:p>
            <w:pPr>
              <w:ind w:firstLine="315"/>
              <w:jc w:val="both"/>
            </w:pPr>
            <w:r>
              <w:rPr>
                <w:sz w:val="21"/>
              </w:rPr>
              <w:t>（</w:t>
            </w:r>
            <w:r>
              <w:rPr>
                <w:sz w:val="21"/>
              </w:rPr>
              <w:t>4）提供配套的可重复使用的靶板和一次性靶板</w:t>
            </w:r>
            <w:r>
              <w:rPr>
                <w:sz w:val="21"/>
              </w:rPr>
              <w:t>各</w:t>
            </w:r>
            <w:r>
              <w:rPr>
                <w:sz w:val="21"/>
              </w:rPr>
              <w:t>1个</w:t>
            </w:r>
            <w:r>
              <w:rPr>
                <w:sz w:val="21"/>
              </w:rPr>
              <w:t>（须</w:t>
            </w:r>
            <w:r>
              <w:rPr>
                <w:sz w:val="21"/>
              </w:rPr>
              <w:t>取得医疗器械注册证），靶板无固定的质控位。</w:t>
            </w:r>
          </w:p>
          <w:p>
            <w:pPr>
              <w:ind w:firstLine="210"/>
              <w:jc w:val="both"/>
            </w:pPr>
            <w:r>
              <w:rPr>
                <w:sz w:val="21"/>
              </w:rPr>
              <w:t>▲（5）配备全自动的样品靶真空干靶装置，可同时放置</w:t>
            </w:r>
            <w:r>
              <w:rPr>
                <w:sz w:val="21"/>
              </w:rPr>
              <w:t>≥</w:t>
            </w:r>
            <w:r>
              <w:rPr>
                <w:sz w:val="21"/>
              </w:rPr>
              <w:t>2块96孔靶板，干靶时间可由用户自定义设置</w:t>
            </w:r>
            <w:r>
              <w:rPr>
                <w:sz w:val="21"/>
              </w:rPr>
              <w:t>，</w:t>
            </w:r>
            <w:r>
              <w:rPr>
                <w:sz w:val="21"/>
              </w:rPr>
              <w:t>具备超声波辅助微生物破壁功能（提供相关的证明支撑材料）。</w:t>
            </w:r>
            <w:r>
              <w:br/>
            </w:r>
            <w:r>
              <w:rPr>
                <w:b/>
                <w:sz w:val="21"/>
              </w:rPr>
              <w:t>7.配置要求</w:t>
            </w:r>
            <w:r>
              <w:br/>
            </w:r>
            <w:r>
              <w:rPr>
                <w:b/>
                <w:sz w:val="21"/>
              </w:rPr>
              <w:t xml:space="preserve">    </w:t>
            </w:r>
            <w:r>
              <w:rPr>
                <w:sz w:val="21"/>
              </w:rPr>
              <w:t>（</w:t>
            </w:r>
            <w:r>
              <w:rPr>
                <w:sz w:val="21"/>
              </w:rPr>
              <w:t>1）快速全自动微生物质谱鉴定系统主机1台；</w:t>
            </w:r>
          </w:p>
          <w:p>
            <w:pPr>
              <w:ind w:firstLine="420"/>
              <w:jc w:val="left"/>
            </w:pPr>
            <w:r>
              <w:rPr>
                <w:sz w:val="21"/>
              </w:rPr>
              <w:t>（</w:t>
            </w:r>
            <w:r>
              <w:rPr>
                <w:sz w:val="21"/>
              </w:rPr>
              <w:t>2）控制工作站1台，配置同等或优于Windows10及以上操作系统，3.0GHz及以上的 CPU四核处理器，16GB及以上运行内存,1TB及 以上的硬盘存储，高清显示屏1个，条码扫描器1套，激光图文输出设备1台；</w:t>
            </w:r>
          </w:p>
          <w:p>
            <w:pPr>
              <w:ind w:firstLine="420"/>
              <w:jc w:val="left"/>
            </w:pPr>
            <w:r>
              <w:rPr>
                <w:sz w:val="21"/>
              </w:rPr>
              <w:t>（</w:t>
            </w:r>
            <w:r>
              <w:rPr>
                <w:sz w:val="21"/>
              </w:rPr>
              <w:t>3）专用的配套电源设备1台(≥3KVA，&gt;2小时)；</w:t>
            </w:r>
          </w:p>
          <w:p>
            <w:pPr>
              <w:ind w:firstLine="420"/>
              <w:jc w:val="left"/>
            </w:pPr>
            <w:r>
              <w:rPr>
                <w:sz w:val="21"/>
              </w:rPr>
              <w:t>（</w:t>
            </w:r>
            <w:r>
              <w:rPr>
                <w:sz w:val="21"/>
              </w:rPr>
              <w:t>4）配备重复样品靶托≥1块、重复性靶片≥2块；</w:t>
            </w:r>
          </w:p>
          <w:p>
            <w:pPr>
              <w:ind w:firstLine="420"/>
              <w:jc w:val="left"/>
            </w:pPr>
            <w:r>
              <w:rPr>
                <w:sz w:val="21"/>
              </w:rPr>
              <w:t>（</w:t>
            </w:r>
            <w:r>
              <w:rPr>
                <w:sz w:val="21"/>
              </w:rPr>
              <w:t>5）配备超声清洗仪1台、离心机1台、移液枪≥1把。</w:t>
            </w:r>
          </w:p>
          <w:p>
            <w:pPr>
              <w:ind w:firstLine="141"/>
              <w:jc w:val="both"/>
            </w:pPr>
            <w:r>
              <w:rPr>
                <w:b/>
                <w:sz w:val="21"/>
              </w:rPr>
              <w:t>8.其他要求</w:t>
            </w:r>
          </w:p>
          <w:p>
            <w:pPr>
              <w:ind w:firstLine="420"/>
              <w:jc w:val="both"/>
            </w:pPr>
            <w:r>
              <w:rPr>
                <w:sz w:val="21"/>
              </w:rPr>
              <w:t>（</w:t>
            </w:r>
            <w:r>
              <w:rPr>
                <w:sz w:val="21"/>
              </w:rPr>
              <w:t>1</w:t>
            </w:r>
            <w:r>
              <w:rPr>
                <w:sz w:val="21"/>
              </w:rPr>
              <w:t>）</w:t>
            </w:r>
            <w:r>
              <w:rPr>
                <w:sz w:val="21"/>
              </w:rPr>
              <w:t>投标人应在投标文件中报出专用耗材的单价，具体单价限价详见招标文件中</w:t>
            </w:r>
            <w:r>
              <w:rPr>
                <w:sz w:val="21"/>
              </w:rPr>
              <w:t>《</w:t>
            </w:r>
            <w:r>
              <w:rPr>
                <w:sz w:val="21"/>
              </w:rPr>
              <w:t>医用耗材</w:t>
            </w:r>
            <w:r>
              <w:rPr>
                <w:sz w:val="21"/>
              </w:rPr>
              <w:t>/试剂购置需求及限价表</w:t>
            </w:r>
            <w:r>
              <w:rPr>
                <w:sz w:val="21"/>
              </w:rPr>
              <w:t>》，</w:t>
            </w:r>
            <w:r>
              <w:rPr>
                <w:sz w:val="21"/>
              </w:rPr>
              <w:t>报价格式详见附件</w:t>
            </w:r>
            <w:r>
              <w:rPr>
                <w:sz w:val="21"/>
              </w:rPr>
              <w:t>1</w:t>
            </w:r>
            <w:r>
              <w:rPr>
                <w:sz w:val="21"/>
              </w:rPr>
              <w:t>《医用耗材</w:t>
            </w:r>
            <w:r>
              <w:rPr>
                <w:sz w:val="21"/>
              </w:rPr>
              <w:t>/试剂报价表》，投标人应按照《医用耗材/试剂报价表》的格式对各项耗材进行详细报价，并将该报价表附在投标文件之中</w:t>
            </w:r>
            <w:r>
              <w:rPr>
                <w:sz w:val="21"/>
              </w:rPr>
              <w:t>。如采购人在设备的使用过程中须另外购买耗材，则按照中标供应商投标文件中所报的价格作为参考价格，实际的采购</w:t>
            </w:r>
            <w:r>
              <w:rPr>
                <w:sz w:val="21"/>
              </w:rPr>
              <w:t>品种及</w:t>
            </w:r>
            <w:r>
              <w:rPr>
                <w:sz w:val="21"/>
              </w:rPr>
              <w:t>数量以采购人需求通知下单的数量为准，费用按实结算，该部分费用不包含在本次投标报价之中。</w:t>
            </w:r>
          </w:p>
          <w:p>
            <w:pPr>
              <w:ind w:firstLine="420"/>
              <w:jc w:val="both"/>
            </w:pPr>
            <w:r>
              <w:rPr>
                <w:sz w:val="21"/>
              </w:rPr>
              <w:t>（</w:t>
            </w:r>
            <w:r>
              <w:rPr>
                <w:sz w:val="21"/>
              </w:rPr>
              <w:t>2</w:t>
            </w:r>
            <w:r>
              <w:rPr>
                <w:sz w:val="21"/>
              </w:rPr>
              <w:t>）试剂报价需按照</w:t>
            </w:r>
            <w:r>
              <w:rPr>
                <w:sz w:val="21"/>
              </w:rPr>
              <w:t>1人份（或1测试或1uL）报价，非试剂类按包装规格最小计量单位报价。</w:t>
            </w:r>
          </w:p>
          <w:p>
            <w:pPr>
              <w:ind w:firstLine="210"/>
              <w:jc w:val="both"/>
            </w:pPr>
            <w:r>
              <w:rPr>
                <w:sz w:val="21"/>
              </w:rPr>
              <w:t>★（</w:t>
            </w:r>
            <w:r>
              <w:rPr>
                <w:sz w:val="21"/>
              </w:rPr>
              <w:t>3</w:t>
            </w:r>
            <w:r>
              <w:rPr>
                <w:sz w:val="21"/>
              </w:rPr>
              <w:t>）标人须列出《医用耗材</w:t>
            </w:r>
            <w:r>
              <w:rPr>
                <w:sz w:val="21"/>
              </w:rPr>
              <w:t>/试剂购置需求</w:t>
            </w:r>
            <w:r>
              <w:rPr>
                <w:sz w:val="21"/>
              </w:rPr>
              <w:t>及</w:t>
            </w:r>
            <w:r>
              <w:rPr>
                <w:sz w:val="21"/>
              </w:rPr>
              <w:t>限价</w:t>
            </w:r>
            <w:r>
              <w:rPr>
                <w:sz w:val="21"/>
              </w:rPr>
              <w:t>表</w:t>
            </w:r>
            <w:r>
              <w:rPr>
                <w:sz w:val="21"/>
              </w:rPr>
              <w:t>》</w:t>
            </w:r>
            <w:r>
              <w:rPr>
                <w:sz w:val="21"/>
              </w:rPr>
              <w:t>中</w:t>
            </w:r>
            <w:r>
              <w:rPr>
                <w:sz w:val="21"/>
              </w:rPr>
              <w:t>开展的检查或治疗项目所用耗材明细清单，清单内耗材单人份价格不得高于广东省第三方药品电子交易平台及招采子系统限价；某检查或治疗项目所用耗材单人份之和不得高于《医用耗材</w:t>
            </w:r>
            <w:r>
              <w:rPr>
                <w:sz w:val="21"/>
              </w:rPr>
              <w:t>/试剂购置需求</w:t>
            </w:r>
            <w:r>
              <w:rPr>
                <w:sz w:val="21"/>
              </w:rPr>
              <w:t>及</w:t>
            </w:r>
            <w:r>
              <w:rPr>
                <w:sz w:val="21"/>
              </w:rPr>
              <w:t>限价</w:t>
            </w:r>
            <w:r>
              <w:rPr>
                <w:sz w:val="21"/>
              </w:rPr>
              <w:t>表</w:t>
            </w:r>
            <w:r>
              <w:rPr>
                <w:sz w:val="21"/>
              </w:rPr>
              <w:t>》中的单人份最高限价。投标人保证所</w:t>
            </w:r>
            <w:r>
              <w:rPr>
                <w:sz w:val="21"/>
              </w:rPr>
              <w:t>提供</w:t>
            </w:r>
            <w:r>
              <w:rPr>
                <w:sz w:val="21"/>
              </w:rPr>
              <w:t>全部耗材（含专用及通用耗材）能开展一个检查或治疗项目，如因耗材漏报导致检查或治疗项目无法开展，投标人须承担漏报耗材费用。</w:t>
            </w:r>
          </w:p>
          <w:p>
            <w:pPr>
              <w:ind w:firstLine="420"/>
              <w:jc w:val="both"/>
            </w:pPr>
            <w:r>
              <w:rPr>
                <w:sz w:val="21"/>
              </w:rPr>
              <w:t>★（</w:t>
            </w:r>
            <w:r>
              <w:rPr>
                <w:sz w:val="21"/>
              </w:rPr>
              <w:t>4</w:t>
            </w:r>
            <w:r>
              <w:rPr>
                <w:sz w:val="21"/>
              </w:rPr>
              <w:t>）中标人所提供耗材如院内有同类可替代产品，招标人则可根据实际情况</w:t>
            </w:r>
            <w:r>
              <w:rPr>
                <w:sz w:val="21"/>
              </w:rPr>
              <w:t xml:space="preserve"> </w:t>
            </w:r>
            <w:r>
              <w:rPr>
                <w:sz w:val="21"/>
              </w:rPr>
              <w:t>使用院内产品。</w:t>
            </w:r>
          </w:p>
          <w:p>
            <w:pPr>
              <w:ind w:firstLine="420"/>
              <w:jc w:val="both"/>
            </w:pPr>
            <w:r>
              <w:rPr>
                <w:sz w:val="21"/>
              </w:rPr>
              <w:t>★（</w:t>
            </w:r>
            <w:r>
              <w:rPr>
                <w:sz w:val="21"/>
              </w:rPr>
              <w:t>5</w:t>
            </w:r>
            <w:r>
              <w:rPr>
                <w:sz w:val="21"/>
              </w:rPr>
              <w:t>）</w:t>
            </w:r>
            <w:r>
              <w:rPr>
                <w:sz w:val="21"/>
              </w:rPr>
              <w:t>如采购人需购买耗材或试剂，</w:t>
            </w:r>
            <w:r>
              <w:rPr>
                <w:sz w:val="21"/>
              </w:rPr>
              <w:t>中标人所提供耗材须与招标人在广东省第三方药品电子交易平台或新招采子系统签订《医用耗材购销合同》和《廉洁协议书》。</w:t>
            </w:r>
          </w:p>
          <w:p>
            <w:pPr>
              <w:jc w:val="center"/>
            </w:pPr>
            <w:r>
              <w:rPr>
                <w:sz w:val="21"/>
              </w:rPr>
              <w:t>《医用耗材</w:t>
            </w:r>
            <w:r>
              <w:rPr>
                <w:sz w:val="21"/>
              </w:rPr>
              <w:t>/试剂购置需求</w:t>
            </w:r>
            <w:r>
              <w:rPr>
                <w:sz w:val="21"/>
              </w:rPr>
              <w:t>及</w:t>
            </w:r>
            <w:r>
              <w:rPr>
                <w:sz w:val="21"/>
              </w:rPr>
              <w:t>限价</w:t>
            </w:r>
            <w:r>
              <w:rPr>
                <w:sz w:val="21"/>
              </w:rPr>
              <w:t>表</w:t>
            </w:r>
            <w:r>
              <w:rPr>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20"/>
              <w:gridCol w:w="1459"/>
              <w:gridCol w:w="1338"/>
              <w:gridCol w:w="1354"/>
              <w:gridCol w:w="1026"/>
            </w:tblGrid>
            <w:tr>
              <w:tc>
                <w:tcPr>
                  <w:tcW w:type="dxa" w:w="42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59"/>
                  <w:tcBorders>
                    <w:top w:val="single" w:color="000000" w:sz="4"/>
                    <w:left w:val="single" w:color="000000" w:sz="4"/>
                    <w:bottom w:val="single" w:color="000000" w:sz="4"/>
                    <w:right w:val="single" w:color="000000" w:sz="4"/>
                  </w:tcBorders>
                  <w:vAlign w:val="top"/>
                </w:tcPr>
                <w:p>
                  <w:pPr>
                    <w:jc w:val="center"/>
                  </w:pPr>
                  <w:r>
                    <w:rPr>
                      <w:b/>
                      <w:sz w:val="21"/>
                    </w:rPr>
                    <w:t>检验或治疗项目名称</w:t>
                  </w:r>
                </w:p>
              </w:tc>
              <w:tc>
                <w:tcPr>
                  <w:tcW w:type="dxa" w:w="1338"/>
                  <w:tcBorders>
                    <w:top w:val="single" w:color="000000" w:sz="4"/>
                    <w:left w:val="single" w:color="000000" w:sz="4"/>
                    <w:bottom w:val="single" w:color="000000" w:sz="4"/>
                    <w:right w:val="single" w:color="000000" w:sz="4"/>
                  </w:tcBorders>
                  <w:vAlign w:val="top"/>
                </w:tcPr>
                <w:p>
                  <w:pPr>
                    <w:jc w:val="center"/>
                  </w:pPr>
                  <w:r>
                    <w:rPr>
                      <w:b/>
                      <w:sz w:val="21"/>
                    </w:rPr>
                    <w:t>耗材功能用途需求</w:t>
                  </w:r>
                </w:p>
              </w:tc>
              <w:tc>
                <w:tcPr>
                  <w:tcW w:type="dxa" w:w="1354"/>
                  <w:tcBorders>
                    <w:top w:val="single" w:color="000000" w:sz="4"/>
                    <w:left w:val="single" w:color="000000" w:sz="4"/>
                    <w:bottom w:val="single" w:color="000000" w:sz="4"/>
                    <w:right w:val="single" w:color="000000" w:sz="4"/>
                  </w:tcBorders>
                  <w:vAlign w:val="top"/>
                </w:tcPr>
                <w:p>
                  <w:pPr>
                    <w:jc w:val="center"/>
                  </w:pPr>
                  <w:r>
                    <w:rPr>
                      <w:b/>
                      <w:sz w:val="21"/>
                    </w:rPr>
                    <w:t>年预计诊治人次</w:t>
                  </w:r>
                  <w:r>
                    <w:rPr>
                      <w:b/>
                      <w:sz w:val="21"/>
                    </w:rPr>
                    <w:t>/5年预计诊治人次</w:t>
                  </w:r>
                </w:p>
              </w:tc>
              <w:tc>
                <w:tcPr>
                  <w:tcW w:type="dxa" w:w="1026"/>
                  <w:tcBorders>
                    <w:top w:val="single" w:color="000000" w:sz="4"/>
                    <w:left w:val="single" w:color="000000" w:sz="4"/>
                    <w:bottom w:val="single" w:color="000000" w:sz="4"/>
                    <w:right w:val="single" w:color="000000" w:sz="4"/>
                  </w:tcBorders>
                  <w:vAlign w:val="top"/>
                </w:tcPr>
                <w:p>
                  <w:pPr>
                    <w:jc w:val="center"/>
                  </w:pPr>
                  <w:r>
                    <w:rPr>
                      <w:b/>
                      <w:sz w:val="21"/>
                    </w:rPr>
                    <w:t>单人份最高限价</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一般样本细菌及真菌培养及鉴定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适用于大部分样本的微生物培养及鉴定</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6000/30000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5.00元/人份</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血培养阳性样本鉴定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阳性血培养样本预处理</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800/4000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36.00元/人份</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霉菌样本鉴定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霉菌样本预处理</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260/1300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24.00元/人份</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预算金额为计算基数参照《广东省物价局粤价函〔2013〕1233号》规定的标准费率下浮20%收取，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快速全自动微生物质谱鉴定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采购包1（快速全自动微生物质谱鉴定系统）：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采购包1（快速全自动微生物质谱鉴定系统）：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采购包1（快速全自动微生物质谱鉴定系统）：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采购包1(快速全自动微生物质谱鉴定系统):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带“▲”条款响应程度 (30.0分)</w:t>
            </w:r>
          </w:p>
        </w:tc>
        <w:tc>
          <w:tcPr>
            <w:tcW w:type="dxa" w:w="5076"/>
          </w:tcPr>
          <w:p>
            <w:pPr>
              <w:jc w:val="left"/>
            </w:pPr>
            <w:r>
              <w:rPr/>
              <w:t>“技术标准与要求”中所有带“▲”条款（共10项）完全响应或正偏离的，得30分；每项不符合扣3分，最高扣30分。 注：投标人须提供投标产品彩页或相应技术参数的厂家技术白皮书或使用说明书或质量认可材料或第三方机构出具的检测报告等作为技术明文件，否则评标委员会有权视相应技术参数响应不符合招标要求。</w:t>
            </w:r>
          </w:p>
        </w:tc>
      </w:tr>
      <w:tr>
        <w:tc>
          <w:tcPr>
            <w:tcW w:type="dxa" w:w="922"/>
            <w:gridSpan w:val="2"/>
            <w:vMerge/>
          </w:tcPr>
          <w:p/>
        </w:tc>
        <w:tc>
          <w:tcPr>
            <w:tcW w:type="dxa" w:w="2307"/>
          </w:tcPr>
          <w:p>
            <w:pPr>
              <w:jc w:val="left"/>
            </w:pPr>
            <w:r>
              <w:rPr/>
              <w:t>一般技术要求响应程度 (11.5分)</w:t>
            </w:r>
          </w:p>
        </w:tc>
        <w:tc>
          <w:tcPr>
            <w:tcW w:type="dxa" w:w="5076"/>
          </w:tcPr>
          <w:p>
            <w:pPr>
              <w:jc w:val="left"/>
            </w:pPr>
            <w:r>
              <w:rPr/>
              <w:t>根据投标人所投产品对“技术标准与要求”中一般技术条款（非“▲”、非“★”指标）（共23项）的响应程度进行评审：完全响应或有正偏离的，得11.5分； 有1项未响应或负偏离的，扣0.5分；本项最低得0分。</w:t>
            </w:r>
          </w:p>
        </w:tc>
      </w:tr>
      <w:tr>
        <w:tc>
          <w:tcPr>
            <w:tcW w:type="dxa" w:w="922"/>
            <w:gridSpan w:val="2"/>
            <w:vMerge/>
          </w:tcPr>
          <w:p/>
        </w:tc>
        <w:tc>
          <w:tcPr>
            <w:tcW w:type="dxa" w:w="2307"/>
          </w:tcPr>
          <w:p>
            <w:pPr>
              <w:jc w:val="left"/>
            </w:pPr>
            <w:r>
              <w:rPr/>
              <w:t>投标产品授权情况 (4.0分)</w:t>
            </w:r>
          </w:p>
        </w:tc>
        <w:tc>
          <w:tcPr>
            <w:tcW w:type="dxa" w:w="5076"/>
          </w:tcPr>
          <w:p>
            <w:pPr>
              <w:jc w:val="left"/>
            </w:pPr>
            <w:r>
              <w:rPr/>
              <w:t>为保证本项目的投标产品及配套耗材来源合法，投标人应提供所投产品及配套耗材来源渠道合法的证明文件（原厂授权销售协议、代理协议、授权书等其中之一)，能够提供上述所投产品来源渠道合法证明文件的，得4分，无提供不得分。 注：须提供所投产品来源渠道合法的证明文件复印件作为证明材料，不提供或专家无法认定的不得分。</w:t>
            </w:r>
          </w:p>
        </w:tc>
      </w:tr>
      <w:tr>
        <w:tc>
          <w:tcPr>
            <w:tcW w:type="dxa" w:w="922"/>
            <w:gridSpan w:val="2"/>
            <w:vMerge/>
          </w:tcPr>
          <w:p/>
        </w:tc>
        <w:tc>
          <w:tcPr>
            <w:tcW w:type="dxa" w:w="2307"/>
          </w:tcPr>
          <w:p>
            <w:pPr>
              <w:jc w:val="left"/>
            </w:pPr>
            <w:r>
              <w:rPr/>
              <w:t>技术领先性、可靠性（一） (1.5分)</w:t>
            </w:r>
          </w:p>
        </w:tc>
        <w:tc>
          <w:tcPr>
            <w:tcW w:type="dxa" w:w="5076"/>
          </w:tcPr>
          <w:p>
            <w:pPr>
              <w:jc w:val="left"/>
            </w:pPr>
            <w:r>
              <w:rPr/>
              <w:t>评标委员会根据投标人提供的技术领先性、可靠性（一）进行评审，应包括以下内容（投标文件中方案标题应以下列方案名称命名）： （1）货物制造技术； （2）制造设备； （3）生产工艺。 提供全部内容得1.5分，每缺1项扣0.5分。</w:t>
            </w:r>
          </w:p>
        </w:tc>
      </w:tr>
      <w:tr>
        <w:tc>
          <w:tcPr>
            <w:tcW w:type="dxa" w:w="922"/>
            <w:gridSpan w:val="2"/>
            <w:vMerge/>
          </w:tcPr>
          <w:p/>
        </w:tc>
        <w:tc>
          <w:tcPr>
            <w:tcW w:type="dxa" w:w="2307"/>
          </w:tcPr>
          <w:p>
            <w:pPr>
              <w:jc w:val="left"/>
            </w:pPr>
            <w:r>
              <w:rPr/>
              <w:t>技术领先性、可靠性（二） (5.0分)</w:t>
            </w:r>
          </w:p>
        </w:tc>
        <w:tc>
          <w:tcPr>
            <w:tcW w:type="dxa" w:w="5076"/>
          </w:tcPr>
          <w:p>
            <w:pPr>
              <w:jc w:val="left"/>
            </w:pPr>
            <w:r>
              <w:rPr/>
              <w:t>根据各投标人提供的技术领先性、可靠性（一）进行综合评价： （1）投标产品的技术领先性、可靠性科学合理，货物制造技术、制造设备、生产工艺达到行业内高水平，使用材料与部件等方面达到行业高质量，得5分； （2）投标产品的技术领先性、可靠性有基本保障，货物制造技术、制造设备、生产工艺为业内一般水平，使用材料与部件等方面质量一般，得3分； （3）投标产品的技术领先性、可靠性没有保障，货物制造技术、制造设备、生产工艺不够科学合理，使用材料与部件等方面质量较差，得1分。 注：不提供不得分。</w:t>
            </w:r>
          </w:p>
        </w:tc>
      </w:tr>
      <w:tr>
        <w:tc>
          <w:tcPr>
            <w:tcW w:type="dxa" w:w="922"/>
            <w:gridSpan w:val="2"/>
            <w:vMerge/>
          </w:tcPr>
          <w:p/>
        </w:tc>
        <w:tc>
          <w:tcPr>
            <w:tcW w:type="dxa" w:w="2307"/>
          </w:tcPr>
          <w:p>
            <w:pPr>
              <w:jc w:val="left"/>
            </w:pPr>
            <w:r>
              <w:rPr/>
              <w:t>技术方案（一） (1.0分)</w:t>
            </w:r>
          </w:p>
        </w:tc>
        <w:tc>
          <w:tcPr>
            <w:tcW w:type="dxa" w:w="5076"/>
          </w:tcPr>
          <w:p>
            <w:pPr>
              <w:jc w:val="left"/>
            </w:pPr>
            <w:r>
              <w:rPr/>
              <w:t>评标委员会根据投标人提供的技术方案（一）进行评审，应包括以下内容（投标文件中方案标题应以下列方案名称命名）： （1）设备安装与调试； （2）验收方案。 提供全部内容得1分，每缺1项扣0.5分。</w:t>
            </w:r>
          </w:p>
        </w:tc>
      </w:tr>
      <w:tr>
        <w:tc>
          <w:tcPr>
            <w:tcW w:type="dxa" w:w="922"/>
            <w:gridSpan w:val="2"/>
            <w:vMerge/>
          </w:tcPr>
          <w:p/>
        </w:tc>
        <w:tc>
          <w:tcPr>
            <w:tcW w:type="dxa" w:w="2307"/>
          </w:tcPr>
          <w:p>
            <w:pPr>
              <w:jc w:val="left"/>
            </w:pPr>
            <w:r>
              <w:rPr/>
              <w:t>技术方案（二） (2.0分)</w:t>
            </w:r>
          </w:p>
        </w:tc>
        <w:tc>
          <w:tcPr>
            <w:tcW w:type="dxa" w:w="5076"/>
          </w:tcPr>
          <w:p>
            <w:pPr>
              <w:jc w:val="left"/>
            </w:pPr>
            <w:r>
              <w:rPr/>
              <w:t>根据各投标人提供的技术方案（一）进行综合评价： （1）方案详细具体，针对性、可操作性强，得2分； （2）方案较为详细，针对性、可操作性较强，得1分； （3）方案不详细，针对性、可操作性一般，得0.5分。 注：不提供不得分。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评标委员会根据投标人提供的售后服务方案（一）进行评审，应包括以下内容（投标文件中方案标题应以下列方案名称命名）： （1）响应时间； （2）质量保证期承诺； （3）保修服务承诺； （4）售后服务方式多样化有效性。 提供全部内容得2分，每缺1项扣0.5分。</w:t>
            </w:r>
          </w:p>
        </w:tc>
      </w:tr>
      <w:tr>
        <w:tc>
          <w:tcPr>
            <w:tcW w:type="dxa" w:w="922"/>
            <w:gridSpan w:val="2"/>
            <w:vMerge/>
          </w:tcPr>
          <w:p/>
        </w:tc>
        <w:tc>
          <w:tcPr>
            <w:tcW w:type="dxa" w:w="2307"/>
          </w:tcPr>
          <w:p>
            <w:pPr>
              <w:jc w:val="left"/>
            </w:pPr>
            <w:r>
              <w:rPr/>
              <w:t>售后服务方案（二） (3.0分)</w:t>
            </w:r>
          </w:p>
        </w:tc>
        <w:tc>
          <w:tcPr>
            <w:tcW w:type="dxa" w:w="5076"/>
          </w:tcPr>
          <w:p>
            <w:pPr>
              <w:jc w:val="left"/>
            </w:pPr>
            <w:r>
              <w:rPr/>
              <w:t>根据各投标人提供的售后服务方案（一）进行综合评价： （1）保修服务承诺好，售后服务方式完善，多样化有效性全面，得3分； （2）保修服务承诺一般，售后服务方式基本完整，多样化有效性一般，得2分； （3）保修服务承诺差，售后服务方式欠缺，多样化有效性低，得1分。 注：不提供不得分。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投标人自2020年1月1日至今具有同类医疗设备项目业绩：每一项得1分，最高得4分。  注：需要提供合同或中标通知书复印件，以合同的签订日期或中标通知书的签发日期为准，不提供或专家无法认定的不得分。</w:t>
            </w:r>
          </w:p>
        </w:tc>
      </w:tr>
      <w:tr>
        <w:tc>
          <w:tcPr>
            <w:tcW w:type="dxa" w:w="922"/>
            <w:gridSpan w:val="2"/>
            <w:vMerge/>
          </w:tcPr>
          <w:p/>
        </w:tc>
        <w:tc>
          <w:tcPr>
            <w:tcW w:type="dxa" w:w="2307"/>
          </w:tcPr>
          <w:p>
            <w:pPr>
              <w:jc w:val="left"/>
            </w:pPr>
            <w:r>
              <w:rPr/>
              <w:t>投标人的信誉状况 (3.0分)</w:t>
            </w:r>
          </w:p>
        </w:tc>
        <w:tc>
          <w:tcPr>
            <w:tcW w:type="dxa" w:w="5076"/>
          </w:tcPr>
          <w:p>
            <w:pPr>
              <w:jc w:val="left"/>
            </w:pPr>
            <w:r>
              <w:rPr/>
              <w:t>每提供一份有效的第三方机构或行政管理部门颁发的信誉证明材料复印件加盖公章得1分，最高得3分，不提供不得分。</w:t>
            </w:r>
          </w:p>
        </w:tc>
      </w:tr>
      <w:tr>
        <w:tc>
          <w:tcPr>
            <w:tcW w:type="dxa" w:w="922"/>
            <w:gridSpan w:val="2"/>
            <w:vMerge/>
          </w:tcPr>
          <w:p/>
        </w:tc>
        <w:tc>
          <w:tcPr>
            <w:tcW w:type="dxa" w:w="2307"/>
          </w:tcPr>
          <w:p>
            <w:pPr>
              <w:jc w:val="left"/>
            </w:pPr>
            <w:r>
              <w:rPr/>
              <w:t>商务响应程度 (3.0分)</w:t>
            </w:r>
          </w:p>
        </w:tc>
        <w:tc>
          <w:tcPr>
            <w:tcW w:type="dxa" w:w="5076"/>
          </w:tcPr>
          <w:p>
            <w:pPr>
              <w:jc w:val="left"/>
            </w:pPr>
            <w:r>
              <w:rPr/>
              <w:t>根据投标人的商务响应程度进行评价： （1）完全响应或完全响应且有正偏离的：3分；   （2）负偏离或未响应的数量有1项：2.5分；   （3）负偏离或未响应的数量有2项：2分；   （4）负偏离或未响应的数量有3项：1.5分；  （5）负偏离或未响应的数量有4项：1分； （6）负偏离或未响应的数量5项或以上的：0.5分。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1.</w:t>
      </w:r>
      <w:r>
        <w:rPr>
          <w:b/>
          <w:sz w:val="21"/>
        </w:rPr>
        <w:t>合同具体事项须根据采购文件的约定及乙方投标文件的承诺执行；</w:t>
      </w:r>
      <w:r>
        <w:rPr>
          <w:b/>
          <w:sz w:val="21"/>
        </w:rPr>
        <w:t>2</w:t>
      </w:r>
      <w:r>
        <w:rPr>
          <w:b/>
          <w:sz w:val="21"/>
        </w:rPr>
        <w:t>.</w:t>
      </w:r>
      <w:r>
        <w:rPr>
          <w:b/>
          <w:sz w:val="21"/>
        </w:rPr>
        <w:t>本项目合同为中小企业预留合同。</w:t>
      </w:r>
    </w:p>
    <w:p>
      <w:pPr>
        <w:jc w:val="both"/>
      </w:pPr>
    </w:p>
    <w:p>
      <w:pPr>
        <w:jc w:val="center"/>
      </w:pPr>
      <w:r>
        <w:rPr>
          <w:b/>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签订类型：</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汕头大学医学院第二附属医院快速全自动微生物质谱鉴定系统采购项目</w:t>
      </w:r>
      <w:r>
        <w:rPr>
          <w:sz w:val="21"/>
        </w:rPr>
        <w:t>招标文件（项目编号：</w:t>
      </w:r>
      <w:r>
        <w:rPr>
          <w:sz w:val="21"/>
        </w:rPr>
        <w:t>GZGK23P270A0889Z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交付地点：用户指定地点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621"/>
        <w:jc w:val="both"/>
      </w:pPr>
      <w:r>
        <w:rPr>
          <w:sz w:val="21"/>
        </w:rPr>
        <w:t>付款时间及条件：（按照采购需求要求的付款方式）</w:t>
      </w:r>
    </w:p>
    <w:p>
      <w:pPr>
        <w:ind w:firstLine="62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质量保证期</w:t>
      </w:r>
      <w:r>
        <w:rPr>
          <w:sz w:val="21"/>
        </w:rPr>
        <w:t>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r>
        <w:rPr>
          <w:sz w:val="21"/>
        </w:rPr>
        <w:t>，</w:t>
      </w:r>
      <w:r>
        <w:rPr>
          <w:sz w:val="21"/>
        </w:rPr>
        <w:t>并支持</w:t>
      </w:r>
      <w:r>
        <w:rPr>
          <w:sz w:val="21"/>
        </w:rPr>
        <w:t>数据库、软件</w:t>
      </w:r>
      <w:r>
        <w:rPr>
          <w:sz w:val="21"/>
        </w:rPr>
        <w:t>终身</w:t>
      </w:r>
      <w:r>
        <w:rPr>
          <w:sz w:val="21"/>
        </w:rPr>
        <w:t>无条件</w:t>
      </w:r>
      <w:r>
        <w:rPr>
          <w:sz w:val="21"/>
        </w:rPr>
        <w:t>升级到</w:t>
      </w:r>
      <w:r>
        <w:rPr>
          <w:sz w:val="21"/>
        </w:rPr>
        <w:t>最新版本</w:t>
      </w:r>
      <w:r>
        <w:rPr>
          <w:sz w:val="21"/>
        </w:rPr>
        <w:t>。</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甲方无正当理由拒收货物，不按政府采购支付流程办理付款申请手续的，甲方向乙方偿付本合同总价</w:t>
      </w:r>
      <w:r>
        <w:rPr>
          <w:sz w:val="21"/>
        </w:rPr>
        <w:t>5%的违约金。甲方逾期未按政府采购支付流程办理付款申请手续的，则每日按本合同总价的3‰向乙方偿付违约金。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陆</w:t>
      </w:r>
      <w:r>
        <w:rPr>
          <w:sz w:val="21"/>
        </w:rPr>
        <w:t>份。</w:t>
      </w:r>
      <w:r>
        <w:rPr>
          <w:sz w:val="21"/>
        </w:rPr>
        <w:t>甲、乙双方各执</w:t>
      </w:r>
      <w:r>
        <w:rPr>
          <w:sz w:val="21"/>
          <w:u w:val="single"/>
        </w:rPr>
        <w:t>叁</w:t>
      </w:r>
      <w:r>
        <w:rPr>
          <w:sz w:val="21"/>
        </w:rPr>
        <w:t>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r>
              <w:rPr>
                <w:sz w:val="21"/>
              </w:rPr>
              <w:t>（</w:t>
            </w:r>
            <w:r>
              <w:rPr>
                <w:sz w:val="21"/>
              </w:rPr>
              <w:t>手机号码</w:t>
            </w:r>
            <w:r>
              <w:rPr>
                <w:sz w:val="21"/>
              </w:rPr>
              <w:t>）</w:t>
            </w:r>
            <w:r>
              <w:rPr>
                <w:sz w:val="21"/>
              </w:rPr>
              <w:t>：</w:t>
            </w:r>
          </w:p>
          <w:p>
            <w:pPr>
              <w:jc w:val="both"/>
            </w:pPr>
            <w:r>
              <w:rPr>
                <w:sz w:val="21"/>
              </w:rPr>
              <w:t>传真：</w:t>
            </w:r>
          </w:p>
        </w:tc>
      </w:tr>
    </w:tbl>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440001-2023-52620</w:t>
      </w:r>
    </w:p>
    <w:p>
      <w:pPr>
        <w:jc w:val="center"/>
      </w:pPr>
      <w:r>
        <w:rPr>
          <w:b/>
          <w:sz w:val="24"/>
        </w:rPr>
        <w:t>采购项目编号：</w:t>
      </w:r>
      <w:r>
        <w:rPr>
          <w:b/>
          <w:sz w:val="24"/>
        </w:rPr>
        <w:t>GZGK23P270A0889Z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汕头大学医学院第二附属医院快速全自动微生物质谱鉴定系统采购项目</w:t>
      </w:r>
      <w:r>
        <w:rPr>
          <w:u w:val="single"/>
        </w:rPr>
        <w:t>”</w:t>
      </w:r>
      <w:r>
        <w:rPr/>
        <w:t>项目的招标[采购项目编号为：</w:t>
      </w:r>
      <w:r>
        <w:rPr>
          <w:u w:val="single"/>
        </w:rPr>
        <w:t>GZGK23P270A0889Z</w:t>
      </w:r>
      <w:r>
        <w:rPr/>
        <w:t>]，我方愿参与投标。</w:t>
      </w:r>
    </w:p>
    <w:p>
      <w:pPr>
        <w:ind w:firstLine="480"/>
      </w:pPr>
      <w:r>
        <w:rPr/>
        <w:t>我方确认收到贵方提供的</w:t>
      </w:r>
      <w:r>
        <w:rPr>
          <w:u w:val="single"/>
        </w:rPr>
        <w:t>“</w:t>
      </w:r>
      <w:r>
        <w:rPr>
          <w:u w:val="single"/>
        </w:rPr>
        <w:t>汕头大学医学院第二附属医院快速全自动微生物质谱鉴定系统采购项目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汕头大学医学院第二附属医院快速全自动微生物质谱鉴定系统采购项目</w:t>
      </w:r>
      <w:r>
        <w:rPr/>
        <w:t>”项目采购[采购项目编号为</w:t>
      </w:r>
      <w:r>
        <w:rPr/>
        <w:t>GZGK23P270A0889Z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汕头大学医学院第二附属医院快速全自动微生物质谱鉴定系统采购项目</w:t>
      </w:r>
      <w:r>
        <w:rPr/>
        <w:t>招标中获中标（采购项目编号：</w:t>
      </w:r>
      <w:r>
        <w:rPr/>
        <w:t>GZGK23P270A0889Z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汕头大学医学院第二附属医院快速全自动微生物质谱鉴定系统采购项目</w:t>
      </w:r>
      <w:r>
        <w:rPr/>
        <w:t>”项目（采购项目编号：</w:t>
      </w:r>
      <w:r>
        <w:rPr/>
        <w:t>GZGK23P270A0889Z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