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440101-2023-23320</w:t>
      </w:r>
    </w:p>
    <w:p>
      <w:pPr>
        <w:jc w:val="center"/>
      </w:pPr>
      <w:r>
        <w:rPr>
          <w:b/>
          <w:sz w:val="24"/>
        </w:rPr>
        <w:t>采购项目编号：</w:t>
      </w:r>
      <w:r>
        <w:rPr>
          <w:b/>
          <w:sz w:val="24"/>
        </w:rPr>
        <w:t>GZGK23D267A0843Z</w:t>
      </w:r>
    </w:p>
    <w:p>
      <w:pPr>
        <w:jc w:val="center"/>
      </w:pPr>
      <w:r>
        <w:rPr>
          <w:b/>
          <w:sz w:val="24"/>
        </w:rPr>
        <w:t>项目名称：</w:t>
      </w:r>
      <w:r>
        <w:rPr>
          <w:b/>
          <w:sz w:val="24"/>
        </w:rPr>
        <w:t>教科研成果积分管理统计软件购置项目</w:t>
      </w:r>
    </w:p>
    <w:p>
      <w:pPr>
        <w:jc w:val="center"/>
      </w:pPr>
      <w:r>
        <w:rPr>
          <w:b/>
          <w:sz w:val="24"/>
        </w:rPr>
        <w:t>采购人：</w:t>
      </w:r>
      <w:r>
        <w:rPr>
          <w:b/>
          <w:sz w:val="24"/>
        </w:rPr>
        <w:t>广州铁路职业技术学院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广州铁路职业技术学院</w:t>
      </w:r>
      <w:r>
        <w:rPr/>
        <w:t>的委托，采用</w:t>
      </w:r>
      <w:r>
        <w:rPr/>
        <w:t>公开招标</w:t>
      </w:r>
      <w:r>
        <w:rPr/>
        <w:t>方式组织采购</w:t>
      </w:r>
      <w:r>
        <w:rPr/>
        <w:t>教科研成果积分管理统计软件购置项目</w:t>
      </w:r>
      <w:r>
        <w:rPr/>
        <w:t>。欢迎符合资格条件的国内供应商参加投标。</w:t>
      </w:r>
    </w:p>
    <w:p>
      <w:r>
        <w:rPr>
          <w:b/>
          <w:sz w:val="28"/>
        </w:rPr>
        <w:t>一.项目概述</w:t>
      </w:r>
    </w:p>
    <w:p>
      <w:r>
        <w:rPr>
          <w:b/>
          <w:sz w:val="24"/>
        </w:rPr>
        <w:t>1.名称与编号</w:t>
      </w:r>
    </w:p>
    <w:p>
      <w:pPr>
        <w:ind w:firstLine="480"/>
      </w:pPr>
      <w:r>
        <w:rPr/>
        <w:t>项目名称：</w:t>
      </w:r>
      <w:r>
        <w:rPr/>
        <w:t>教科研成果积分管理统计软件购置项目</w:t>
      </w:r>
    </w:p>
    <w:p>
      <w:pPr>
        <w:ind w:firstLine="480"/>
      </w:pPr>
      <w:r>
        <w:rPr/>
        <w:t>采购计划编号：</w:t>
      </w:r>
      <w:r>
        <w:rPr/>
        <w:t>440101-2023-23320</w:t>
      </w:r>
    </w:p>
    <w:p>
      <w:pPr>
        <w:ind w:firstLine="480"/>
      </w:pPr>
      <w:r>
        <w:rPr/>
        <w:t>采购项目编号：</w:t>
      </w:r>
      <w:r>
        <w:rPr/>
        <w:t>GZGK23D267A0843Z</w:t>
      </w:r>
    </w:p>
    <w:p>
      <w:pPr>
        <w:ind w:firstLine="480"/>
      </w:pPr>
      <w:r>
        <w:rPr/>
        <w:t>采购方式：</w:t>
      </w:r>
      <w:r>
        <w:rPr/>
        <w:t>公开招标</w:t>
      </w:r>
    </w:p>
    <w:p>
      <w:pPr>
        <w:ind w:firstLine="480"/>
      </w:pPr>
      <w:r>
        <w:rPr/>
        <w:t>预算金额：</w:t>
      </w:r>
      <w:r>
        <w:rPr/>
        <w:t>960,000.00</w:t>
      </w:r>
      <w:r>
        <w:rPr/>
        <w:t>元</w:t>
      </w:r>
    </w:p>
    <w:p>
      <w:r>
        <w:rPr>
          <w:b/>
          <w:sz w:val="24"/>
        </w:rPr>
        <w:t>2.项目内容及需求情况（采购项目技术规格、参数及要求）</w:t>
      </w:r>
    </w:p>
    <w:p>
      <w:pPr>
        <w:ind w:firstLine="480"/>
      </w:pPr>
    </w:p>
    <w:p/>
    <w:p>
      <w:r>
        <w:rPr/>
        <w:t>采购包1(教科研成果积分管理统计软件购置):</w:t>
      </w:r>
    </w:p>
    <w:p>
      <w:r>
        <w:rPr/>
        <w:t>采购包预算金额：960,000.00元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应用软件</w:t>
            </w:r>
          </w:p>
        </w:tc>
        <w:tc>
          <w:tcPr>
            <w:tcW w:type="dxa" w:w="2136"/>
          </w:tcPr>
          <w:p>
            <w:r>
              <w:rPr/>
              <w:t>教科研成果积分管理统计软件</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采购包1（教科研成果积分管理统计软件购置）：</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采购包1（教科研成果积分管理统计软件购置）：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广州铁路职业技术学院</w:t>
      </w:r>
    </w:p>
    <w:p>
      <w:pPr>
        <w:ind w:firstLine="480"/>
      </w:pPr>
      <w:r>
        <w:rPr/>
        <w:t>地址：</w:t>
      </w:r>
      <w:r>
        <w:rPr/>
        <w:t>广州市增城区科德大道198号</w:t>
      </w:r>
    </w:p>
    <w:p>
      <w:pPr>
        <w:ind w:firstLine="480"/>
      </w:pPr>
      <w:r>
        <w:rPr/>
        <w:t>联系方式：</w:t>
      </w:r>
      <w:r>
        <w:rPr/>
        <w:t>020-39709361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020-87688289、020-87684402</w:t>
      </w:r>
    </w:p>
    <w:p>
      <w:r>
        <w:rPr>
          <w:b/>
          <w:sz w:val="24"/>
        </w:rPr>
        <w:t>3.项目联系方式</w:t>
      </w:r>
    </w:p>
    <w:p>
      <w:pPr>
        <w:ind w:firstLine="480"/>
      </w:pPr>
      <w:r>
        <w:rPr/>
        <w:t>项目联系人：</w:t>
      </w:r>
      <w:r>
        <w:rPr/>
        <w:t>黎颖欣、吴秋娜</w:t>
      </w:r>
    </w:p>
    <w:p>
      <w:pPr>
        <w:ind w:firstLine="480"/>
      </w:pPr>
      <w:r>
        <w:rPr/>
        <w:t>电话：</w:t>
      </w:r>
      <w:r>
        <w:rPr/>
        <w:t>020-87688289、020-87684402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GZGK23D267A0843Z</w:t>
      </w:r>
    </w:p>
    <w:p>
      <w:pPr>
        <w:jc w:val="both"/>
      </w:pPr>
      <w:r>
        <w:rPr>
          <w:b/>
          <w:sz w:val="21"/>
        </w:rPr>
        <w:t>（二）</w:t>
      </w:r>
      <w:r>
        <w:rPr>
          <w:b/>
          <w:sz w:val="21"/>
        </w:rPr>
        <w:t>项目名称：</w:t>
      </w:r>
      <w:r>
        <w:rPr>
          <w:sz w:val="21"/>
        </w:rPr>
        <w:t>教科研成果积分管理统计软件购置项目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left"/>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jc w:val="both"/>
      </w:pPr>
      <w:r>
        <w:rPr>
          <w:sz w:val="21"/>
        </w:rPr>
        <w:t>投标报价包括：</w:t>
      </w:r>
      <w:r>
        <w:rPr>
          <w:sz w:val="21"/>
        </w:rPr>
        <w:t>货款、调试、培训、质保期服务、软件产品升级扩展费、服务费、培训费、人员劳务费、税费等以及在项目过程中所发生的一切费用。中标人报价中漏报或少报的费用，视为此项费用已隐含在报价中，投标人中标后不得再向招标人另行收取任何费用。</w:t>
      </w:r>
    </w:p>
    <w:p>
      <w:pPr>
        <w:jc w:val="both"/>
      </w:pPr>
      <w:r>
        <w:rPr>
          <w:b/>
          <w:sz w:val="21"/>
        </w:rPr>
        <w:t>（六）</w:t>
      </w:r>
      <w:r>
        <w:rPr>
          <w:b/>
          <w:sz w:val="21"/>
        </w:rPr>
        <w:t>项目概述</w:t>
      </w:r>
    </w:p>
    <w:p>
      <w:pPr>
        <w:jc w:val="both"/>
      </w:pPr>
      <w:r>
        <w:rPr>
          <w:sz w:val="21"/>
        </w:rPr>
        <w:t>（</w:t>
      </w:r>
      <w:r>
        <w:rPr>
          <w:sz w:val="21"/>
        </w:rPr>
        <w:t>1）广州铁路职业技术学院是广东省唯一以培养轨道交通、铁路等特有专业人才为主的高职院校，是“国家示范性高等职业院校建设计划”骨干高职院校验收单位、“广东省一流高职院校”建设单位、广州工业交通职业教育集团牵头单位。</w:t>
      </w:r>
    </w:p>
    <w:p>
      <w:pPr>
        <w:jc w:val="both"/>
      </w:pPr>
      <w:r>
        <w:rPr>
          <w:sz w:val="21"/>
        </w:rPr>
        <w:t>（</w:t>
      </w:r>
      <w:r>
        <w:rPr>
          <w:sz w:val="21"/>
        </w:rPr>
        <w:t>2）广州铁路职业技术学院教科研成果奖励办法是为了鼓励学院教职工从事科学研究和教学研究工作，推动学院教科研工作的开展，更好带动专业建设、课程建设，促进师资素质的提高，从而达到提高办学质量、提升办学层次的目标。本次教科研成果积分管理与统计分析成品软件需要满足广州铁路职业技术学院教科研成果奖励业务管理需求，其中教科研奖励范围包括高水平论文奖励、获奖成果奖励、科研项目奖励、教育教学项目奖励、教材专著奖励、科研成果奖励、教学成果奖励、专业实践业绩奖励、成果推广奖励、荣誉个人奖励等，教科研奖励对象为学院在职教学和管理人员。</w:t>
      </w:r>
    </w:p>
    <w:p>
      <w:pPr>
        <w:jc w:val="both"/>
      </w:pPr>
      <w:r>
        <w:rPr>
          <w:sz w:val="21"/>
        </w:rPr>
        <w:t>（</w:t>
      </w:r>
      <w:r>
        <w:rPr>
          <w:sz w:val="21"/>
        </w:rPr>
        <w:t>3）由于没有信息化软件管理全院教科研成果积分业务，手工纸质填报和流转工作比较繁琐，信息也不便于及时共享及统计分析，工作效率较低。</w:t>
      </w:r>
    </w:p>
    <w:p>
      <w:pPr>
        <w:jc w:val="both"/>
      </w:pPr>
      <w:r>
        <w:rPr>
          <w:sz w:val="21"/>
        </w:rPr>
        <w:t>（</w:t>
      </w:r>
      <w:r>
        <w:rPr>
          <w:sz w:val="21"/>
        </w:rPr>
        <w:t>4）业务现状分析：为调动全体教职员工在教学科研中的积极性和创造性，鼓励多出成果，出好成果，广州铁路职业技术学院已指定教科研成果积分奖励办法，就教科研成果的登记、管理和认定等进行了规范。</w:t>
      </w:r>
    </w:p>
    <w:p>
      <w:pPr>
        <w:jc w:val="both"/>
      </w:pPr>
      <w:r>
        <w:rPr>
          <w:sz w:val="21"/>
        </w:rPr>
        <w:t>（</w:t>
      </w:r>
      <w:r>
        <w:rPr>
          <w:sz w:val="21"/>
        </w:rPr>
        <w:t>5）系统现状分析：目前广州铁路职业技术学院关于教科研成果积分奖励管理还是采用手工作业管理方式，急需采用信息化软件管理以提高工作效率。</w:t>
      </w:r>
    </w:p>
    <w:p>
      <w:pPr>
        <w:jc w:val="both"/>
      </w:pPr>
      <w:r>
        <w:rPr>
          <w:b/>
          <w:sz w:val="21"/>
        </w:rPr>
        <w:t>（七）</w:t>
      </w:r>
      <w:r>
        <w:rPr>
          <w:b/>
          <w:sz w:val="21"/>
        </w:rPr>
        <w:t>实现的功能</w:t>
      </w:r>
    </w:p>
    <w:p>
      <w:pPr>
        <w:jc w:val="both"/>
      </w:pPr>
      <w:r>
        <w:rPr>
          <w:sz w:val="21"/>
        </w:rPr>
        <w:t>软件需要支持教职工、科研人员、归口管理人员等不同角色的登录、基础信息录入、积分配置、积分确认等操作，需要支持校级和院系级管理人员进行信息审核审批，积分规则的自定义和配置，需要支持多种积分方式的计算和统计功能等。</w:t>
      </w:r>
    </w:p>
    <w:p>
      <w:pPr>
        <w:jc w:val="both"/>
      </w:pPr>
      <w:r>
        <w:rPr>
          <w:b/>
          <w:sz w:val="21"/>
        </w:rPr>
        <w:t>（八）</w:t>
      </w:r>
      <w:r>
        <w:rPr>
          <w:b/>
          <w:sz w:val="21"/>
        </w:rPr>
        <w:t>需执行国家相关标准、行业标准、地方标准或者其他标准、规范</w:t>
      </w:r>
    </w:p>
    <w:p/>
    <w:p>
      <w:pPr>
        <w:ind w:firstLine="480"/>
      </w:pPr>
    </w:p>
    <w:p/>
    <w:p>
      <w:r>
        <w:rPr/>
        <w:t>采购包1（教科研成果积分管理统计软件购置）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签订合同后，中标人需在五个工作日内完成供货。软件运行七天后完成验收。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1期：支付比例70%,合同签订后五个工作日内，采购人向中标人支付合同总价的70%预付款。</w:t>
            </w:r>
          </w:p>
          <w:p/>
          <w:p>
            <w:r>
              <w:rPr/>
              <w:t>2期：支付比例30%,剩余款项在通过项目验收后五个工作日支付完毕。 每笔款项支付前，中标人须向采购人提交与每笔款项金额相等的正式发票。 支付方式：采用支票、银行汇付（含电汇）等形式。</w:t>
            </w:r>
          </w:p>
        </w:tc>
      </w:tr>
      <w:tr>
        <w:tc>
          <w:tcPr>
            <w:tcW w:type="dxa" w:w="4153"/>
          </w:tcPr>
          <w:p>
            <w:r>
              <w:rPr/>
              <w:t>验收要求</w:t>
            </w:r>
          </w:p>
        </w:tc>
        <w:tc>
          <w:tcPr>
            <w:tcW w:type="dxa" w:w="4153"/>
          </w:tcPr>
          <w:p/>
          <w:p/>
          <w:p/>
          <w:p>
            <w:r>
              <w:rPr/>
              <w:t>1期：1、验收由采购人、成交供应商及相关人员依国家有关标准、合同及有关附件要求进行。 2、验收完毕由采购人及成交供应商在验收报告上签名。</w:t>
            </w:r>
          </w:p>
        </w:tc>
      </w:tr>
      <w:tr>
        <w:tc>
          <w:tcPr>
            <w:tcW w:type="dxa" w:w="4153"/>
          </w:tcPr>
          <w:p>
            <w:r>
              <w:rPr/>
              <w:t>履约保证金</w:t>
            </w:r>
          </w:p>
        </w:tc>
        <w:tc>
          <w:tcPr>
            <w:tcW w:type="dxa" w:w="4153"/>
          </w:tcPr>
          <w:p/>
          <w:p/>
          <w:p/>
          <w:p/>
          <w:p>
            <w:r>
              <w:rPr/>
              <w:t>收取比例：5%,说明：采购人与中标人签订合同后10个工作日内中标人向采购人交付合同金额5%的履约保证金（履约保证金可以采用银行转账、支票、汇票、本票、银行保函、或担保函等形式提交）。在履约过程中，如因中标人的原因，造成合同提前终止，采购人将不予退还中标人的履约保证金。若中标人没有违约行为，履约保证金在中标人提出书面申请后15个工作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（一）维保时间要求，维保时间自合同签订日起计算，时长≥1年。</w:t>
            </w:r>
          </w:p>
          <w:p/>
          <w:p>
            <w:r>
              <w:rPr/>
              <w:t>（二）培训要求，1、中标人应针对本系统的最终用户和系统运行维护用户提供分层次培训。需提供灵活多样的培训方式，包括但不限于一对一培训、现场培训、集中培训等。 2、中标人应详细制定人员培训方案，培训方案应包括培训目的、培训时间安排、人员层次、人数、次数、培训课程（包括课程介绍）、主要内容（列出培训基本内容）、培训组织方式等。对于提供的所有培训，中标人必须保证师资力量，主要培训教员应是系统的主要设计和开发者。主要培训内容包括：系统软件的结构、功能、数据结构与数据来源、安装、运行管理与维护、以及使用等。培训场所及练习用计算机等设备由采购人提供。</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应用软件</w:t>
            </w:r>
          </w:p>
        </w:tc>
        <w:tc>
          <w:tcPr>
            <w:tcW w:type="dxa" w:w="831"/>
          </w:tcPr>
          <w:p>
            <w:pPr>
              <w:jc w:val="left"/>
            </w:pPr>
            <w:r>
              <w:rPr/>
              <w:t>教科研成果积分管理统计软件</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bl>
    <w:p/>
    <w:p>
      <w:r>
        <w:rPr>
          <w:b/>
        </w:rPr>
        <w:t>附表</w:t>
      </w:r>
      <w:r>
        <w:rPr>
          <w:b/>
        </w:rPr>
        <w:t>一</w:t>
      </w:r>
      <w:r>
        <w:rPr>
          <w:b/>
        </w:rPr>
        <w:t>：</w:t>
      </w:r>
      <w:r>
        <w:rPr>
          <w:b/>
        </w:rPr>
        <w:t>教科研成果积分管理统计软件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一、具体需求</w:t>
            </w:r>
          </w:p>
          <w:p>
            <w:pPr>
              <w:jc w:val="left"/>
            </w:pPr>
            <w:r>
              <w:rPr>
                <w:sz w:val="21"/>
              </w:rPr>
              <w:t>软件需要满足教职工、科研人员、归口管理人员使用需求，教职工需要填报相关信息，查看自己的积分排名、了解自己的积分情况，归口管理部门管理员需要管理该管理部门的项目和积分奖励情况等。用户总数量</w:t>
            </w:r>
            <w:r>
              <w:rPr>
                <w:sz w:val="21"/>
              </w:rPr>
              <w:t>≥500人。</w:t>
            </w:r>
          </w:p>
          <w:p>
            <w:pPr>
              <w:jc w:val="left"/>
            </w:pPr>
            <w:r>
              <w:rPr>
                <w:sz w:val="21"/>
              </w:rPr>
              <w:t>二、信息量估算</w:t>
            </w:r>
          </w:p>
          <w:p>
            <w:pPr>
              <w:jc w:val="left"/>
            </w:pPr>
            <w:r>
              <w:rPr>
                <w:sz w:val="21"/>
              </w:rPr>
              <w:t>本项目存储资源主要涉及应用软件数据存储。每年</w:t>
            </w:r>
            <w:r>
              <w:rPr>
                <w:sz w:val="21"/>
              </w:rPr>
              <w:t>≥5000笔业务量。考虑到备份空间，软件系统每年产生数据量≥1TB。</w:t>
            </w:r>
          </w:p>
          <w:p>
            <w:pPr>
              <w:jc w:val="left"/>
            </w:pPr>
            <w:r>
              <w:rPr>
                <w:sz w:val="21"/>
              </w:rPr>
              <w:t>三、功能需求</w:t>
            </w:r>
          </w:p>
          <w:p>
            <w:pPr>
              <w:jc w:val="left"/>
            </w:pPr>
            <w:r>
              <w:rPr>
                <w:sz w:val="21"/>
              </w:rPr>
              <w:t>教科研成果积分管理与统计分析软件的功能需求，包括需要支持教职工、科研人员、归口管理人员等不同角色的登录、基础信息录入、积分配置、积分确认等操作，需要支持校级和院系级管理人员进行信息审核审批，积分规则的自定义和配置，需要支持多种积分方式的计算和统计功能等。软件需满足如下功能，《系统功能需求表》所示。</w:t>
            </w:r>
          </w:p>
          <w:tbl>
            <w:tblPr>
              <w:tblBorders>
                <w:top w:val="none" w:color="000000" w:sz="4"/>
                <w:left w:val="none" w:color="000000" w:sz="4"/>
                <w:bottom w:val="none" w:color="000000" w:sz="4"/>
                <w:right w:val="none" w:color="000000" w:sz="4"/>
                <w:insideH w:val="none"/>
                <w:insideV w:val="none"/>
              </w:tblBorders>
            </w:tblPr>
            <w:tblGrid>
              <w:gridCol w:w="397"/>
              <w:gridCol w:w="882"/>
              <w:gridCol w:w="1015"/>
              <w:gridCol w:w="3305"/>
            </w:tblGrid>
            <w:tr>
              <w:tc>
                <w:tcPr>
                  <w:tcW w:type="dxa" w:w="5599"/>
                  <w:gridSpan w:val="4"/>
                  <w:tcBorders>
                    <w:top w:val="single" w:color="000000" w:sz="4"/>
                    <w:left w:val="single" w:color="000000" w:sz="4"/>
                    <w:bottom w:val="single" w:color="000000" w:sz="4"/>
                    <w:right w:val="single" w:color="000000" w:sz="4"/>
                  </w:tcBorders>
                  <w:vAlign w:val="top"/>
                </w:tcPr>
                <w:p>
                  <w:pPr>
                    <w:jc w:val="left"/>
                  </w:pPr>
                  <w:r>
                    <w:rPr>
                      <w:sz w:val="21"/>
                    </w:rPr>
                    <w:t>系统功能需求表</w:t>
                  </w:r>
                </w:p>
              </w:tc>
            </w:tr>
            <w:tr>
              <w:tc>
                <w:tcPr>
                  <w:tcW w:type="dxa" w:w="397"/>
                  <w:tcBorders>
                    <w:top w:val="none" w:color="000000" w:sz="4"/>
                    <w:left w:val="single" w:color="000000" w:sz="4"/>
                    <w:bottom w:val="single" w:color="000000" w:sz="4"/>
                    <w:right w:val="single" w:color="000000" w:sz="4"/>
                  </w:tcBorders>
                  <w:vAlign w:val="top"/>
                </w:tcPr>
                <w:p>
                  <w:pPr>
                    <w:jc w:val="left"/>
                  </w:pPr>
                  <w:r>
                    <w:rPr>
                      <w:sz w:val="21"/>
                    </w:rPr>
                    <w:t>模块系统</w:t>
                  </w:r>
                </w:p>
              </w:tc>
              <w:tc>
                <w:tcPr>
                  <w:tcW w:type="dxa" w:w="882"/>
                  <w:tcBorders>
                    <w:top w:val="single" w:color="000000" w:sz="4"/>
                    <w:left w:val="single" w:color="000000" w:sz="4"/>
                    <w:bottom w:val="single" w:color="000000" w:sz="4"/>
                    <w:right w:val="single" w:color="000000" w:sz="4"/>
                  </w:tcBorders>
                  <w:vAlign w:val="top"/>
                </w:tcPr>
                <w:p>
                  <w:pPr>
                    <w:jc w:val="left"/>
                  </w:pPr>
                  <w:r>
                    <w:rPr>
                      <w:sz w:val="21"/>
                    </w:rPr>
                    <w:t>一级功能</w:t>
                  </w:r>
                </w:p>
              </w:tc>
              <w:tc>
                <w:tcPr>
                  <w:tcW w:type="dxa" w:w="1015"/>
                  <w:tcBorders>
                    <w:top w:val="single" w:color="000000" w:sz="4"/>
                    <w:left w:val="single" w:color="000000" w:sz="4"/>
                    <w:bottom w:val="single" w:color="000000" w:sz="4"/>
                    <w:right w:val="single" w:color="000000" w:sz="4"/>
                  </w:tcBorders>
                  <w:vAlign w:val="top"/>
                </w:tcPr>
                <w:p>
                  <w:pPr>
                    <w:jc w:val="left"/>
                  </w:pPr>
                  <w:r>
                    <w:rPr>
                      <w:sz w:val="21"/>
                    </w:rPr>
                    <w:t>二级功能</w:t>
                  </w:r>
                </w:p>
              </w:tc>
              <w:tc>
                <w:tcPr>
                  <w:tcW w:type="dxa" w:w="3305"/>
                  <w:tcBorders>
                    <w:top w:val="single" w:color="000000" w:sz="4"/>
                    <w:left w:val="single" w:color="000000" w:sz="4"/>
                    <w:bottom w:val="single" w:color="000000" w:sz="4"/>
                    <w:right w:val="single" w:color="000000" w:sz="4"/>
                  </w:tcBorders>
                  <w:vAlign w:val="top"/>
                </w:tcPr>
                <w:p>
                  <w:pPr>
                    <w:jc w:val="left"/>
                  </w:pPr>
                  <w:r>
                    <w:rPr>
                      <w:sz w:val="21"/>
                    </w:rPr>
                    <w:t>功能描述</w:t>
                  </w:r>
                </w:p>
              </w:tc>
            </w:tr>
            <w:tr>
              <w:tc>
                <w:tcPr>
                  <w:tcW w:type="dxa" w:w="397"/>
                  <w:vMerge w:val="restart"/>
                  <w:tcBorders>
                    <w:top w:val="none" w:color="000000" w:sz="4"/>
                    <w:left w:val="single" w:color="000000" w:sz="4"/>
                    <w:bottom w:val="single" w:color="000000" w:sz="4"/>
                    <w:right w:val="single" w:color="000000" w:sz="4"/>
                  </w:tcBorders>
                  <w:vAlign w:val="top"/>
                </w:tcPr>
                <w:p>
                  <w:pPr>
                    <w:jc w:val="left"/>
                  </w:pPr>
                  <w:r>
                    <w:rPr>
                      <w:sz w:val="21"/>
                    </w:rPr>
                    <w:t>校级教科研积分管理统计模块</w:t>
                  </w: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工作台</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快捷业务入口</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可根据人员使用业务功能频率，预设多个日常操作业务功能入口，工作流程指引需与项目节点对应，点击节点可查看对应节点项目列表。</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任务待办</w:t>
                  </w:r>
                </w:p>
                <w:p>
                  <w:pPr>
                    <w:jc w:val="left"/>
                  </w:pPr>
                </w:p>
              </w:tc>
              <w:tc>
                <w:tcPr>
                  <w:tcW w:type="dxa" w:w="3305"/>
                  <w:tcBorders>
                    <w:top w:val="none" w:color="000000" w:sz="4"/>
                    <w:left w:val="single" w:color="000000" w:sz="4"/>
                    <w:bottom w:val="single" w:color="000000" w:sz="4"/>
                    <w:right w:val="single" w:color="000000" w:sz="4"/>
                  </w:tcBorders>
                  <w:vAlign w:val="top"/>
                </w:tcPr>
                <w:p>
                  <w:pPr>
                    <w:jc w:val="left"/>
                  </w:pPr>
                  <w:r>
                    <w:rPr>
                      <w:sz w:val="21"/>
                    </w:rPr>
                    <w:t>审批动态、增补申报等任务待办提醒，可提醒节点代办任务。</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项目成果管理</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手动申报项目成果</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可以手动填报项目成果数据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批量导入项目成果</w:t>
                  </w:r>
                </w:p>
                <w:p>
                  <w:pPr>
                    <w:jc w:val="left"/>
                  </w:pP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根据定制的模板快速批量导入项目数据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项目成果佐证评审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针对项目成果的评审流程节点，进行接入复核</w:t>
                  </w:r>
                  <w:r>
                    <w:rPr>
                      <w:sz w:val="21"/>
                    </w:rPr>
                    <w:t>/审批，批量申报导入项目成果，以不同的角色进行项目的审批，满足积分的自动分配以及手动分配，流程审核通过与退回功能的演示，能够上传附件，浏览项目流程日志保存项目的编辑信息。</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▲项目积分分配评审(提供相关截图证明)</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针对项目成果积分分摊方案进行评审流程节点，进行接入复核</w:t>
                  </w:r>
                  <w:r>
                    <w:rPr>
                      <w:sz w:val="21"/>
                    </w:rPr>
                    <w:t>/审批</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项目成果汇总统计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项目成果汇总统计，可根据年度、项目级别、项目类型等维度筛选数据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手动申报出版教材</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可以手动申报获奖成果，此处针对的已出版教材项目成果进行申报</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▲批量导入出版教材</w:t>
                  </w:r>
                </w:p>
                <w:p>
                  <w:pPr>
                    <w:jc w:val="left"/>
                  </w:pPr>
                  <w:r>
                    <w:rPr>
                      <w:sz w:val="21"/>
                    </w:rPr>
                    <w:t>(提供相关视频证明)</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根据定制的模板快速批量导入出版教材项目成果数据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出版教材佐证评审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针对出版教材项目成果佐证的评审流程节点，进行接入复核</w:t>
                  </w:r>
                  <w:r>
                    <w:rPr>
                      <w:sz w:val="21"/>
                    </w:rPr>
                    <w:t>/审批</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出版教材奖励分配评审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针对出版教材教研分分配的评审流程节点，进行接入复核</w:t>
                  </w:r>
                  <w:r>
                    <w:rPr>
                      <w:sz w:val="21"/>
                    </w:rPr>
                    <w:t>/审批</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出版教材成果汇总统计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出版教材项目成果汇总统计，可根据教材名称、出版单位、教师信息等维度筛选数据</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项目增补审批</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项目增补申报</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针对遗漏的项目，由教师主动上报的数据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项目增补审批</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针对遗漏的项目，由教师主动上报后，归口管理部门可对其进行审批，满足流程审批通过与退回功能。</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转入项目成果</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审批通过的项目成果填报数据，可以手动申报项目成果入口</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项目初始配置</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年度项目类型配置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可在此处进行年度项目类型设定，便于年度中的项目成果申报、获奖成果申报的规范填写的数据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年度项目批次管理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可在此处进行年度项目批次管理配置项目类型、项目教研分标准配置、参考排名次序贡献系数表、项目级别管理、项目分类管理、奖项类别管理。</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年度项目教研分标准配置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可预设年度项目的奖励标准引用的教研分标准表和教研分分摊方案</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▲积分分摊方案管理</w:t>
                  </w:r>
                </w:p>
                <w:p>
                  <w:pPr>
                    <w:jc w:val="left"/>
                  </w:pPr>
                  <w:r>
                    <w:rPr>
                      <w:sz w:val="21"/>
                    </w:rPr>
                    <w:t>(提供相关截图证明)</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根据教研团队成员人数，按照排名次序分配积分方式</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奖项类别管理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可设置以下类别。立项项目、验收项目、入选项目、认定项目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项目分类管理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可设置以下分类。学术论文、论文期刊、学术著作、研究报告、出版教材、作品专刊、艺术作品、竞赛获奖</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项目级别管理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可设置以下级别。国际级别、省级别、市级别、校级别、院系级别</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数据汇总统计</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年度项目成果统计</w:t>
                  </w:r>
                </w:p>
                <w:p>
                  <w:pPr>
                    <w:jc w:val="left"/>
                  </w:pP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可根据归口管理单位的维度，统计归口管理单位管理的项目成果统计数据，满足部门成果统计表、部门成果详情表、教师成果汇总统计。</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教师教研分统计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以教师维度统计项目成果教研分数据统计</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批量导出</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可根据数据报表批量导出</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我的教研项目成果</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项目成果申报佐证上传</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可针对归口管理部门发放项目成果申报的数据，进行佐证材料上传并提交上级部门审核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出版教材项目申报佐证上传</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可针对归口管理部门发放获奖成果申报的数据，进行佐证材料上传并提交上级部门审核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项目成果教研分分摊配置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已审核通过项目成果进行教研分分配，可自由分配也可以根据分摊方案快速实现分配，已分配的教研分需要提交上级部门审核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▲出版教材项目教研分分摊配置(提供相关截图证明)</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已审核通过获奖成果进行教研分分配，可自由分配也可以根据分摊方案快速实现分配，已分配的获奖成果需要提交上级部门审核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项目增补申报</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项目增补申报</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教师发现有遗漏项目成果，可通过项目增补申报方式，向归口部门提交申报增补申请</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项目驳回处理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根据归口管理部门审批不通过的说明，进行整改数据，并再次提交审核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已成功增补项目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审批通过的增补申请，归口管理部门会将其转入正式项目成果填报单发回给教师上传佐证材料</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项目数据统计</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项目数据统计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可根据年度、项目级别、项目类型等维度筛选数据，统计教师本人以及教科研团队成员的项目数据统计</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教研分数据统计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可根据年度、项目级别、项目类型等维度筛选数据，统计教师本人以及教科研团队成员的教研分数据统计</w:t>
                  </w:r>
                </w:p>
              </w:tc>
            </w:tr>
            <w:tr>
              <w:tc>
                <w:tcPr>
                  <w:tcW w:type="dxa" w:w="397"/>
                  <w:vMerge w:val="restart"/>
                  <w:tcBorders>
                    <w:top w:val="none" w:color="000000" w:sz="4"/>
                    <w:left w:val="single" w:color="000000" w:sz="4"/>
                    <w:bottom w:val="single" w:color="000000" w:sz="4"/>
                    <w:right w:val="single" w:color="000000" w:sz="4"/>
                  </w:tcBorders>
                  <w:vAlign w:val="top"/>
                </w:tcPr>
                <w:p>
                  <w:pPr>
                    <w:jc w:val="left"/>
                  </w:pPr>
                  <w:r>
                    <w:rPr>
                      <w:sz w:val="21"/>
                    </w:rPr>
                    <w:t>院级工作量管理统计模块</w:t>
                  </w: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工作台</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快捷业务入口</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可根据人员使用业务功能频率，预设多个日常操作业务功能入口，工作流程指引需与项目节点对应，点击节点可查看对应节点项目列表。</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任务待办</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审批动态、增补申报等任务待办提醒</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院系项目管理</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手动申报项目成果</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院系管理人员可以手动申报院系级别的项目成果数据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批量导入项目成果</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院系管理人员可以批量导入申报院系级别的项目成果数据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项目成果佐证评审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针对项目成果佐证申报的评审流程节点，进行接入审批，以不同的角色进行项目的审批，并可查看非教学工作量分值以及绩效分配的分配情况，可查询项目的确认流程日志。</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项目奖励分配评审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针对获奖奖励分配的评审流程节点，进行接入审批</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项目成果汇总统计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项目成果汇总统计，可根据年度、项目级别、项目类型等维度筛选数据</w:t>
                  </w:r>
                </w:p>
              </w:tc>
            </w:tr>
            <w:tr>
              <w:tc>
                <w:tcPr>
                  <w:tcW w:type="dxa" w:w="397"/>
                  <w:vMerge/>
                  <w:tcBorders>
                    <w:top w:val="none" w:color="000000" w:sz="4"/>
                    <w:left w:val="single" w:color="000000" w:sz="4"/>
                    <w:bottom w:val="single" w:color="000000" w:sz="4"/>
                    <w:right w:val="single" w:color="000000" w:sz="4"/>
                  </w:tcBorders>
                </w:tcPr>
                <w:p/>
              </w:tc>
              <w:tc>
                <w:tcPr>
                  <w:tcW w:type="dxa" w:w="882"/>
                  <w:tcBorders>
                    <w:top w:val="none" w:color="000000" w:sz="4"/>
                    <w:left w:val="single" w:color="000000" w:sz="4"/>
                    <w:bottom w:val="single" w:color="000000" w:sz="4"/>
                    <w:right w:val="single" w:color="000000" w:sz="4"/>
                  </w:tcBorders>
                  <w:vAlign w:val="top"/>
                </w:tcPr>
                <w:p>
                  <w:pPr>
                    <w:jc w:val="left"/>
                  </w:pPr>
                  <w:r>
                    <w:rPr>
                      <w:sz w:val="21"/>
                    </w:rPr>
                    <w:t>项目申报启动</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项目申报启动配置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可在此处根据项目类型配置项目启动时间，提供教师主动上报入口，满足查看待启动项目申报和已启动项目报以卡片方式呈现并显示数量，可单个或者批量启动项目申报，并输入启动时间。</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院系数据统计</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年度项目成果统计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可根据二级院系的维度，统计二级院系的项目成果统计数据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教师教研分统计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以教师维度统计项目成果教研分数据统计</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批量导出</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可根据数据报表批量导出</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院系教科研项目库</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项目成果增补</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由二级学院自行管理导入项目成果数据，无需教师主动上报</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成果监控与分析</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可按照不同月份统计项目成果数据，以卡片方式进行呈现可点击进入列表。</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项目成果下载</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可根据筛选条件下载项目成果佐证材料</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项目初始配置</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年度项目类型配置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可在此处进行年度项目类型设定，便于年度中的项目成果申报、获奖成果申报的规范填写的数据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院系项目批次管理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可在此处进行院系项目批次管理配置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奖项类别管理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可设置以下类别。立项项目、验收项目、入选项目、认定项目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项目分类管理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可设置以下分类。学术论文、论文期刊、学术著作、研究报告、出版教材、作品专刊、艺术作品、竞赛获奖</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项目级别管理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可设置以下级别。国际级别、省级别、市级别、校级别、院系级别</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院系项目管理</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手动申报项目成果</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教师可以手动申报院系级别的项目成果数据</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项目成果申报佐证上传</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项目成果申报，进行佐证材料上传并提交上级部门审核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出版教材项目申报佐证上传</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出版教材项目申报，进行佐证材料上传并提交上级部门审核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出版教材项目教研分分摊配置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已审核通过项目成果进行教研分分配，可自由分配也可以根据分摊方案快速实现分配，已分配的教研分需要提交上级部门审核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项目成果教研分分摊配置</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已审核通过出版教材项目进行教研分分配，可自由分配也可以根据分摊方案快速实现分配，已分配的出版教材项目需要提交上级部门审核</w:t>
                  </w:r>
                </w:p>
              </w:tc>
            </w:tr>
            <w:tr>
              <w:tc>
                <w:tcPr>
                  <w:tcW w:type="dxa" w:w="397"/>
                  <w:vMerge/>
                  <w:tcBorders>
                    <w:top w:val="none" w:color="000000" w:sz="4"/>
                    <w:left w:val="single" w:color="000000" w:sz="4"/>
                    <w:bottom w:val="single" w:color="000000" w:sz="4"/>
                    <w:right w:val="single" w:color="000000" w:sz="4"/>
                  </w:tcBorders>
                </w:tcPr>
                <w:p/>
              </w:tc>
              <w:tc>
                <w:tcPr>
                  <w:tcW w:type="dxa" w:w="882"/>
                  <w:tcBorders>
                    <w:top w:val="none" w:color="000000" w:sz="4"/>
                    <w:left w:val="single" w:color="000000" w:sz="4"/>
                    <w:bottom w:val="single" w:color="000000" w:sz="4"/>
                    <w:right w:val="single" w:color="000000" w:sz="4"/>
                  </w:tcBorders>
                  <w:vAlign w:val="top"/>
                </w:tcPr>
                <w:p>
                  <w:pPr>
                    <w:jc w:val="left"/>
                  </w:pPr>
                  <w:r>
                    <w:rPr>
                      <w:sz w:val="21"/>
                    </w:rPr>
                    <w:t>可申报项目类型</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可申报项目类型</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教师登录后，可进入可申报项目类型列表查询可申报的项目类型。点击我要申报，进行项目申报，满足以卡片方式呈现项目分类</w:t>
                  </w:r>
                </w:p>
              </w:tc>
            </w:tr>
            <w:tr>
              <w:tc>
                <w:tcPr>
                  <w:tcW w:type="dxa" w:w="397"/>
                  <w:vMerge/>
                  <w:tcBorders>
                    <w:top w:val="none" w:color="000000" w:sz="4"/>
                    <w:left w:val="single" w:color="000000" w:sz="4"/>
                    <w:bottom w:val="single" w:color="000000" w:sz="4"/>
                    <w:right w:val="single" w:color="000000" w:sz="4"/>
                  </w:tcBorders>
                </w:tcP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项目数据统计</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项目数据统计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可根据年度、项目级别、项目类型等维度筛选数据，统计教师本人以及教科研团队成员的项目数据统计</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教研分数据统计</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可根据年度、项目级别、项目类型等维度筛选数据，统计教师本人以及教科研团队成员的教研分数据统计</w:t>
                  </w:r>
                </w:p>
              </w:tc>
            </w:tr>
            <w:tr>
              <w:tc>
                <w:tcPr>
                  <w:tcW w:type="dxa" w:w="397"/>
                  <w:vMerge w:val="restart"/>
                  <w:tcBorders>
                    <w:top w:val="none" w:color="000000" w:sz="4"/>
                    <w:left w:val="single" w:color="000000" w:sz="4"/>
                    <w:bottom w:val="single" w:color="000000" w:sz="4"/>
                    <w:right w:val="single" w:color="000000" w:sz="4"/>
                  </w:tcBorders>
                  <w:vAlign w:val="top"/>
                </w:tcPr>
                <w:p>
                  <w:pPr>
                    <w:jc w:val="left"/>
                  </w:pPr>
                  <w:r>
                    <w:rPr>
                      <w:sz w:val="21"/>
                    </w:rPr>
                    <w:t>系统管理基础设置</w:t>
                  </w: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系统管理</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▲组织架构管理(提供相关截图证明)</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根据系统要求，建立组织架构管理模板，进行组织架构管理</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人员管理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根据系统要求，建立系统人员管理，进行账户与角色的管理，可自由添加编辑。</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角色管理</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根据系统要求，建立系统角色管理，可自定义角色菜单权限与数据权限，可设置个人数据权限，部门数据权限，自定义数据权限。</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在线用户</w:t>
                  </w:r>
                </w:p>
                <w:p>
                  <w:pPr>
                    <w:jc w:val="left"/>
                  </w:pPr>
                </w:p>
              </w:tc>
              <w:tc>
                <w:tcPr>
                  <w:tcW w:type="dxa" w:w="3305"/>
                  <w:tcBorders>
                    <w:top w:val="none" w:color="000000" w:sz="4"/>
                    <w:left w:val="single" w:color="000000" w:sz="4"/>
                    <w:bottom w:val="single" w:color="000000" w:sz="4"/>
                    <w:right w:val="single" w:color="000000" w:sz="4"/>
                  </w:tcBorders>
                  <w:vAlign w:val="top"/>
                </w:tcPr>
                <w:p>
                  <w:pPr>
                    <w:jc w:val="left"/>
                  </w:pPr>
                  <w:r>
                    <w:rPr>
                      <w:sz w:val="21"/>
                    </w:rPr>
                    <w:t>根据系统要求，实现在线用户管控，记录用户登录名称、浏览器、操作系统、登录时间等信息。实现管理强制退出功能。</w:t>
                  </w:r>
                </w:p>
              </w:tc>
            </w:tr>
            <w:tr>
              <w:tc>
                <w:tcPr>
                  <w:tcW w:type="dxa" w:w="397"/>
                  <w:vMerge w:val="restart"/>
                  <w:tcBorders>
                    <w:top w:val="none" w:color="000000" w:sz="4"/>
                    <w:left w:val="single" w:color="000000" w:sz="4"/>
                    <w:bottom w:val="single" w:color="000000" w:sz="4"/>
                    <w:right w:val="single" w:color="000000" w:sz="4"/>
                  </w:tcBorders>
                  <w:vAlign w:val="top"/>
                </w:tcPr>
                <w:p>
                  <w:pPr>
                    <w:jc w:val="left"/>
                  </w:pPr>
                  <w:r>
                    <w:rPr>
                      <w:sz w:val="21"/>
                    </w:rPr>
                    <w:t>对接接口</w:t>
                  </w:r>
                </w:p>
              </w:tc>
              <w:tc>
                <w:tcPr>
                  <w:tcW w:type="dxa" w:w="882"/>
                  <w:vMerge w:val="restart"/>
                  <w:tcBorders>
                    <w:top w:val="none" w:color="000000" w:sz="4"/>
                    <w:left w:val="single" w:color="000000" w:sz="4"/>
                    <w:bottom w:val="single" w:color="000000" w:sz="4"/>
                    <w:right w:val="single" w:color="000000" w:sz="4"/>
                  </w:tcBorders>
                  <w:vAlign w:val="top"/>
                </w:tcPr>
                <w:p>
                  <w:pPr>
                    <w:jc w:val="left"/>
                  </w:pPr>
                  <w:r>
                    <w:rPr>
                      <w:sz w:val="21"/>
                    </w:rPr>
                    <w:t>校务</w:t>
                  </w:r>
                  <w:r>
                    <w:rPr>
                      <w:sz w:val="21"/>
                    </w:rPr>
                    <w:t>OA系统对接</w:t>
                  </w:r>
                </w:p>
              </w:tc>
              <w:tc>
                <w:tcPr>
                  <w:tcW w:type="dxa" w:w="1015"/>
                  <w:tcBorders>
                    <w:top w:val="none" w:color="000000" w:sz="4"/>
                    <w:left w:val="single" w:color="000000" w:sz="4"/>
                    <w:bottom w:val="single" w:color="000000" w:sz="4"/>
                    <w:right w:val="single" w:color="000000" w:sz="4"/>
                  </w:tcBorders>
                  <w:vAlign w:val="top"/>
                </w:tcPr>
                <w:p>
                  <w:pPr>
                    <w:jc w:val="left"/>
                  </w:pPr>
                  <w:r>
                    <w:rPr>
                      <w:sz w:val="21"/>
                    </w:rPr>
                    <w:t>OA人事数据同步</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实现对接</w:t>
                  </w:r>
                  <w:r>
                    <w:rPr>
                      <w:sz w:val="21"/>
                    </w:rPr>
                    <w:t>OA系统的教师人事数据，自动同步到人员管理。</w:t>
                  </w:r>
                </w:p>
              </w:tc>
            </w:tr>
            <w:tr>
              <w:tc>
                <w:tcPr>
                  <w:tcW w:type="dxa" w:w="397"/>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vAlign w:val="top"/>
                </w:tcPr>
                <w:p>
                  <w:pPr>
                    <w:jc w:val="left"/>
                  </w:pPr>
                  <w:r>
                    <w:rPr>
                      <w:sz w:val="21"/>
                    </w:rPr>
                    <w:t>统一身份认证</w:t>
                  </w:r>
                </w:p>
              </w:tc>
              <w:tc>
                <w:tcPr>
                  <w:tcW w:type="dxa" w:w="3305"/>
                  <w:tcBorders>
                    <w:top w:val="none" w:color="000000" w:sz="4"/>
                    <w:left w:val="single" w:color="000000" w:sz="4"/>
                    <w:bottom w:val="single" w:color="000000" w:sz="4"/>
                    <w:right w:val="single" w:color="000000" w:sz="4"/>
                  </w:tcBorders>
                  <w:vAlign w:val="top"/>
                </w:tcPr>
                <w:p>
                  <w:pPr>
                    <w:jc w:val="left"/>
                  </w:pPr>
                  <w:r>
                    <w:rPr>
                      <w:sz w:val="21"/>
                    </w:rPr>
                    <w:t>设计统一身份认证，实现</w:t>
                  </w:r>
                  <w:r>
                    <w:rPr>
                      <w:sz w:val="21"/>
                    </w:rPr>
                    <w:t>OA系统与智慧教研管理系统实现单点登录功能</w:t>
                  </w:r>
                </w:p>
              </w:tc>
            </w:tr>
          </w:tbl>
          <w:p>
            <w:r>
              <w:rPr/>
              <w:t xml:space="preserve"> </w:t>
            </w:r>
          </w:p>
          <w:p>
            <w:pPr>
              <w:jc w:val="left"/>
            </w:pPr>
            <w:r>
              <w:rPr>
                <w:sz w:val="21"/>
              </w:rPr>
              <w:t>四、性能需求</w:t>
            </w:r>
          </w:p>
          <w:p>
            <w:pPr>
              <w:jc w:val="left"/>
            </w:pPr>
            <w:r>
              <w:rPr>
                <w:sz w:val="21"/>
              </w:rPr>
              <w:t>1、系统承载力：项目可以≥500用户同时在线访问、执行读取操作。</w:t>
            </w:r>
          </w:p>
          <w:p>
            <w:pPr>
              <w:jc w:val="left"/>
            </w:pPr>
            <w:r>
              <w:rPr>
                <w:sz w:val="21"/>
              </w:rPr>
              <w:t>▲2、数据容量：数据库系统能容纳本项目资源数据、业务数据和归档数据信息，并预留3年或以上系统运营所需的容量。(提供相关截图证明)</w:t>
            </w:r>
          </w:p>
          <w:p>
            <w:pPr>
              <w:jc w:val="left"/>
            </w:pPr>
            <w:r>
              <w:rPr>
                <w:sz w:val="21"/>
              </w:rPr>
              <w:t>3、响应速度：非复杂计算、非统计性的操作响应时间≤10秒（网络原因除外）；特殊操作可适当延长。</w:t>
            </w:r>
          </w:p>
          <w:p>
            <w:pPr>
              <w:jc w:val="left"/>
            </w:pPr>
            <w:r>
              <w:rPr>
                <w:sz w:val="21"/>
              </w:rPr>
              <w:t>▲4、可靠性：应能够连续7×24小时不间断工作，平均无故障时间＞8760小时，出现故障应能及时告警，软件系统应具备自动或手动恢复措施，自动恢复时间＜15分钟，手工恢复时间＜12小时，以便在发生错误时能够快速地恢复正常运行。软件系统要防止消耗过多的系统资源而使系统崩溃。(提供相关截图证明)</w:t>
            </w:r>
          </w:p>
          <w:p>
            <w:pPr>
              <w:jc w:val="left"/>
            </w:pPr>
            <w:r>
              <w:rPr>
                <w:sz w:val="21"/>
              </w:rPr>
              <w:t>5、兼容性：满足向下兼容的要求，软件版本易于升级，任何一个模块的维护和更新以及新模块的追加都不应影响其他模块，且在升级的过程中不影响系统的性能与运行。</w:t>
            </w:r>
          </w:p>
          <w:p>
            <w:pPr>
              <w:jc w:val="left"/>
            </w:pPr>
            <w:r>
              <w:rPr>
                <w:sz w:val="21"/>
              </w:rPr>
              <w:t>五、软件信息安全及技术需求</w:t>
            </w:r>
          </w:p>
          <w:p>
            <w:pPr>
              <w:jc w:val="left"/>
            </w:pPr>
            <w:r>
              <w:rPr>
                <w:sz w:val="21"/>
              </w:rPr>
              <w:t>★1、为保证系统的灵活和可扩展性，要求系统采用基于spingboot技术的微服务架构体系，以及基于vue2.0技术微前端架构体系。</w:t>
            </w:r>
            <w:r>
              <w:rPr>
                <w:sz w:val="21"/>
              </w:rPr>
              <w:t>（须提供承诺函，格式自拟。）</w:t>
            </w:r>
          </w:p>
          <w:p>
            <w:pPr>
              <w:jc w:val="left"/>
            </w:pPr>
            <w:r>
              <w:rPr>
                <w:sz w:val="21"/>
              </w:rPr>
              <w:t>2、为保证系统的安全可靠性，投标人提供详细的产品安全可靠性方案，包括且不限于相关的技术实施路线和信息技术应用创新互通性等。</w:t>
            </w:r>
          </w:p>
          <w:p>
            <w:pPr>
              <w:jc w:val="left"/>
            </w:pPr>
            <w:r>
              <w:rPr>
                <w:sz w:val="21"/>
              </w:rPr>
              <w:t>3、系统应具有很强的安全与冗错机制，以保障系统的高可用性与不间断运行，从而提高业务管理的水平，保证服务的质量；可以针对不同的用户应用安全要求，进行单层或多层安全部署，从而满足不同程度的系统应用安全要求；系统设计应从数据传输层安全、数据存储安全、事务处理安全、网络结构安全四个方面对系统的应用安全性进行通盘，需要满足网络安全等级保护二级要求。</w:t>
            </w:r>
          </w:p>
          <w:p>
            <w:pPr>
              <w:jc w:val="left"/>
            </w:pPr>
            <w:r>
              <w:rPr>
                <w:sz w:val="21"/>
              </w:rPr>
              <w:t>▲4、系统应具有较高的可管理性、可维护性和可配置性，集成于系统的低代码管理平台用于快速开发，系统设计中必须要考虑系统从安装到配置以及日常维护都应提供友好的基于图形（GUI）的管理界面(提供相关截图证明)。</w:t>
            </w:r>
          </w:p>
          <w:p>
            <w:pPr>
              <w:jc w:val="left"/>
            </w:pPr>
            <w:r>
              <w:rPr>
                <w:sz w:val="21"/>
              </w:rPr>
              <w:t>5、平台应采用开放技术，快速配置。系统功能及数据权限控制灵活。平台有生命力，厂商应对平台有持续投入升级。</w:t>
            </w:r>
          </w:p>
          <w:p>
            <w:pPr>
              <w:jc w:val="left"/>
            </w:pPr>
            <w:r>
              <w:rPr>
                <w:sz w:val="21"/>
              </w:rPr>
              <w:t>6、系统应充分响应国家国产化建设要求，在满足系统可用性的前提下，充分考虑国家对国产化、自主可控的要求，优先采用国产化方案、操作系统、数据库、中间件等基础设施，适配国产化技术应用。提供投标产品具备操作系统、中间件、数据库国产化相关产品的兼容性证明材料。</w:t>
            </w:r>
          </w:p>
          <w:p>
            <w:pPr>
              <w:jc w:val="left"/>
            </w:pPr>
            <w:r>
              <w:rPr>
                <w:sz w:val="21"/>
              </w:rPr>
              <w:t>六、信息共享与开放</w:t>
            </w:r>
          </w:p>
          <w:p>
            <w:pPr>
              <w:jc w:val="left"/>
            </w:pPr>
            <w:r>
              <w:rPr>
                <w:sz w:val="21"/>
              </w:rPr>
              <w:t>▲本次采购的教科研成果积分管理与统计分析软件需要与教务oa系统进行数据对接，以满足业务流程需要，交互的数据包括但不限于统一身份认证、消息推送机制、预警事件机制等,需支持通过配置接口获取其他业务系统最新的数据信息,配置接口时支持指定时间点,定时进行数据更新。</w:t>
            </w:r>
            <w:r>
              <w:rPr>
                <w:sz w:val="21"/>
              </w:rPr>
              <w:t>（须提供承诺函）</w:t>
            </w:r>
          </w:p>
          <w:p>
            <w:pPr>
              <w:jc w:val="left"/>
            </w:pPr>
            <w:r>
              <w:rPr>
                <w:sz w:val="21"/>
              </w:rPr>
              <w:t>七、采购需求业务图</w:t>
            </w:r>
          </w:p>
          <w:p>
            <w:pPr>
              <w:jc w:val="left"/>
            </w:pPr>
            <w:r>
              <w:drawing>
                <wp:inline distT="0" distR="0" distB="0" distL="0">
                  <wp:extent cx="3554729" cy="225390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253904"/>
                          </a:xfrm>
                          <a:prstGeom prst="rect">
                            <a:avLst/>
                          </a:prstGeom>
                        </pic:spPr>
                      </pic:pic>
                    </a:graphicData>
                  </a:graphic>
                </wp:inline>
              </w:drawing>
            </w:r>
          </w:p>
          <w:p>
            <w:pPr>
              <w:jc w:val="left"/>
            </w:pPr>
            <w:r>
              <w:rPr>
                <w:sz w:val="21"/>
              </w:rPr>
              <w:t>八、服务要求</w:t>
            </w:r>
          </w:p>
          <w:p>
            <w:pPr>
              <w:jc w:val="left"/>
            </w:pPr>
            <w:r>
              <w:rPr>
                <w:sz w:val="21"/>
              </w:rPr>
              <w:t>1、投标人应提供完善的技术文档、说明书、技术支持和指导服务。</w:t>
            </w:r>
          </w:p>
          <w:p>
            <w:pPr>
              <w:jc w:val="both"/>
            </w:pPr>
            <w:r>
              <w:rPr>
                <w:sz w:val="21"/>
              </w:rPr>
              <w:t>▲</w:t>
            </w:r>
            <w:r>
              <w:rPr>
                <w:sz w:val="21"/>
              </w:rPr>
              <w:t>2、</w:t>
            </w:r>
            <w:r>
              <w:rPr>
                <w:sz w:val="21"/>
              </w:rPr>
              <w:t>投标人应提供承诺函。可提供全天</w:t>
            </w:r>
            <w:r>
              <w:rPr>
                <w:sz w:val="21"/>
              </w:rPr>
              <w:t>候</w:t>
            </w:r>
            <w:r>
              <w:rPr>
                <w:sz w:val="21"/>
              </w:rPr>
              <w:t>24小时</w:t>
            </w:r>
            <w:r>
              <w:rPr>
                <w:sz w:val="21"/>
              </w:rPr>
              <w:t>的技术支持服务，</w:t>
            </w:r>
            <w:r>
              <w:rPr>
                <w:sz w:val="21"/>
              </w:rPr>
              <w:t>响应时间应在接报后的</w:t>
            </w:r>
            <w:r>
              <w:rPr>
                <w:sz w:val="21"/>
              </w:rPr>
              <w:t>2小时内做出实质性响应，若电话中无法解决，须在接到电话的24小时内到达现场进行解决。</w:t>
            </w: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向中标人定额收取，以采购预算金额为计算基数参照国家计委颁布的（计价格【2002】1980号）及国家发改委颁布的（发改办价格【2003】857号）收取。不足15000元的按15000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黎颖欣、吴秋娜</w:t>
      </w:r>
    </w:p>
    <w:p>
      <w:pPr>
        <w:ind w:firstLine="480"/>
      </w:pPr>
      <w:r>
        <w:rPr/>
        <w:t>电话：</w:t>
      </w:r>
      <w:r>
        <w:rPr/>
        <w:t>020-87688289、020-87684402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教科研成果积分管理统计软件购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采购包1（教科研成果积分管理统计软件购置）：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采购包1（教科研成果积分管理统计软件购置）：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采购包1（教科研成果积分管理统计软件购置）：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采购包1(教科研成果积分管理统计软件购置):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项目实施方案（一） (1.0分)</w:t>
            </w:r>
          </w:p>
        </w:tc>
        <w:tc>
          <w:tcPr>
            <w:tcW w:type="dxa" w:w="5076"/>
          </w:tcPr>
          <w:p>
            <w:pPr>
              <w:jc w:val="left"/>
            </w:pPr>
            <w:r>
              <w:rPr/>
              <w:t>评标委员会根据投标人提供的项目实施方案进行评审，方案应包括（投标文件中方案标题应以下列方案名称命名）： （1）建设规划； （2）功能模块设计； （3）体系架构内容； （4）业务流程图； （5）数据流程图。 提供全部内容得1分，每缺1项扣0.2分。</w:t>
            </w:r>
          </w:p>
        </w:tc>
      </w:tr>
      <w:tr>
        <w:tc>
          <w:tcPr>
            <w:tcW w:type="dxa" w:w="922"/>
            <w:gridSpan w:val="2"/>
            <w:vMerge/>
          </w:tcPr>
          <w:p/>
        </w:tc>
        <w:tc>
          <w:tcPr>
            <w:tcW w:type="dxa" w:w="2307"/>
          </w:tcPr>
          <w:p>
            <w:pPr>
              <w:jc w:val="left"/>
            </w:pPr>
            <w:r>
              <w:rPr/>
              <w:t>项目实施方案（二） (7.0分)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（2）项目实施方案对需求响应全面具体，针对部分重点难点全面剖析，只针对部分重点难点提出科学合理，具备一定执行性的实施方案，能基本保障本项目服务实施，基本满足服务效果，得5分； （3）项目实施方案对需求响应全面具体，针对部分重点难点全面剖析，只针对部分重点难点提出科学合理，具备一定执行性的实施方案，能基本保障本项目服务实施，部分满足服务效果，得3分； （4）项目实施方案对需求响应不全面，只针对部分重点难点剖析，提出方案合理性不足、针对性不强或难以执行的，无法保障本项目服务实施，达不到服务效果，得1分； （5）未提供方案，得0分。</w:t>
            </w:r>
          </w:p>
        </w:tc>
      </w:tr>
      <w:tr>
        <w:tc>
          <w:tcPr>
            <w:tcW w:type="dxa" w:w="922"/>
            <w:gridSpan w:val="2"/>
            <w:vMerge/>
          </w:tcPr>
          <w:p/>
        </w:tc>
        <w:tc>
          <w:tcPr>
            <w:tcW w:type="dxa" w:w="2307"/>
          </w:tcPr>
          <w:p>
            <w:pPr>
              <w:jc w:val="left"/>
            </w:pPr>
            <w:r>
              <w:rPr/>
              <w:t>技术路线及国产化兼容情况 (2.0分)</w:t>
            </w:r>
          </w:p>
        </w:tc>
        <w:tc>
          <w:tcPr>
            <w:tcW w:type="dxa" w:w="5076"/>
          </w:tcPr>
          <w:p>
            <w:pPr>
              <w:jc w:val="left"/>
            </w:pPr>
            <w:r>
              <w:rPr/>
              <w:t>提供投标产品具备操作系统、中间件、数据库国产化厂家相关产品的兼容性证明测试,每提供一个证明材料的得1分,最高2分,无则不得分。</w:t>
            </w:r>
          </w:p>
        </w:tc>
      </w:tr>
      <w:tr>
        <w:tc>
          <w:tcPr>
            <w:tcW w:type="dxa" w:w="922"/>
            <w:gridSpan w:val="2"/>
            <w:vMerge/>
          </w:tcPr>
          <w:p/>
        </w:tc>
        <w:tc>
          <w:tcPr>
            <w:tcW w:type="dxa" w:w="2307"/>
          </w:tcPr>
          <w:p>
            <w:pPr>
              <w:jc w:val="left"/>
            </w:pPr>
            <w:r>
              <w:rPr/>
              <w:t>产品功能需求满足情况 (10.0分)</w:t>
            </w:r>
          </w:p>
        </w:tc>
        <w:tc>
          <w:tcPr>
            <w:tcW w:type="dxa" w:w="5076"/>
          </w:tcPr>
          <w:p>
            <w:pPr>
              <w:jc w:val="left"/>
            </w:pPr>
            <w:r>
              <w:rPr/>
              <w:t>根据投标人对招标文件“技术标准与要求”中带“▲”条款（共10项）的全部内容响应情况进行评审:完全响应或正偏离得10分，每个“▲”条款负偏离或未响应扣1分，最低扣至0分。 【注:招标文件中有明确要求提供证明材料的，按招标文件要求提供证明材料并加盖投标人公章，无或未按要求提供证明材料的不得分】</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评标委员会根据投标人提供的售后服务方案进行评审，方案应包括（投标文件中方案标题应以下列方案名称命名）： （1）售后服务承诺； （2）售后服务响应体系； （3）售后服务保障措施； （4）售后应急措施； （5）培训方案。 提供全部内容得1分，每缺1项扣0.2分。</w:t>
            </w:r>
          </w:p>
        </w:tc>
      </w:tr>
      <w:tr>
        <w:tc>
          <w:tcPr>
            <w:tcW w:type="dxa" w:w="922"/>
            <w:gridSpan w:val="2"/>
            <w:vMerge/>
          </w:tcPr>
          <w:p/>
        </w:tc>
        <w:tc>
          <w:tcPr>
            <w:tcW w:type="dxa" w:w="2307"/>
          </w:tcPr>
          <w:p>
            <w:pPr>
              <w:jc w:val="left"/>
            </w:pPr>
            <w:r>
              <w:rPr/>
              <w:t>售后服务方案（二） (4.0分)</w:t>
            </w:r>
          </w:p>
        </w:tc>
        <w:tc>
          <w:tcPr>
            <w:tcW w:type="dxa" w:w="5076"/>
          </w:tcPr>
          <w:p>
            <w:pPr>
              <w:jc w:val="left"/>
            </w:pPr>
            <w:r>
              <w:rPr/>
              <w:t>评标委员会根据投标人提供的售后服务方案（一）详细内容进行综合评审：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4分；  （2）售后服务方案对需求响应全面具体，只针对实施的部分难点或部分关键点进行剖析，售后服务计划不完善或者配备人员不足，但方案仍具备一定执行性的，基本保障本项目服务实施，基本满足服务效果，得2分；  （3）售后服务方案对需求响应不全面，对实施难点重点认识不清晰，售后服务计划差或者人员配备差的，或者方案难以执行的，无法保障本项目服务实施，达不到服务效果，得1分；  （4）未提供方案，得0分。</w:t>
            </w:r>
          </w:p>
        </w:tc>
      </w:tr>
      <w:tr>
        <w:tc>
          <w:tcPr>
            <w:tcW w:type="dxa" w:w="922"/>
            <w:gridSpan w:val="2"/>
            <w:vMerge/>
          </w:tcPr>
          <w:p/>
        </w:tc>
        <w:tc>
          <w:tcPr>
            <w:tcW w:type="dxa" w:w="2307"/>
          </w:tcPr>
          <w:p>
            <w:pPr>
              <w:jc w:val="left"/>
            </w:pPr>
            <w:r>
              <w:rPr/>
              <w:t>软件功能演示-校级教科研积分管理统计模块 (7.5分)</w:t>
            </w:r>
          </w:p>
        </w:tc>
        <w:tc>
          <w:tcPr>
            <w:tcW w:type="dxa" w:w="5076"/>
          </w:tcPr>
          <w:p>
            <w:pPr>
              <w:jc w:val="left"/>
            </w:pPr>
            <w:r>
              <w:rPr/>
              <w:t>重点功能现场演示:投标人对以下功能进行现场演示，演示环境须基于真实系统演示(不得采用PPT、视频、原型等方式进行演示)。评标委员会根据演示情况进行评分，单项演示须全部满足要求(满足系统功能需求表)方可得分，若仅部分满足或者完全不满足要求的不得分。如不参加演示，本项将不得分。①请投标人自行准备演示所需要的设备，演示现场只提供电源和投影（HDMI接口）。②本项演示时间不超过15分钟。授权委托代理人须凭身份证原件参加演示，参加人数一般不超过2人（含授权代表在内）。 根据要求展示软件功能： 1、首页：根据人员角色业务需求，预设多个日常操作业务功能快捷入口以及工作流程指引需与项目节点对应，点击节点可查看对应节点项目列表以及可提醒节点代办任务。（0.5分） 2、项目初始配置：可新增编辑年度项目批次管理、项目类型、项目教研分标准配置、参考排名次序贡献系数表、项目级别管理、项目分类管理、奖项类别管理。（1分） 3、项目成果管理：可手动或批量申报导入项目成果，以不同的角色进行项目的审批，满足积分的自动分配以及手动分配，流程审核通过与退回功能的演示，能够上传附件，浏览项目流程日志保存项目的编辑信息。（完整审批流展示）（4分） 4、项目增补审批：满足针对遗漏项目，由教师进行主动申报，满足流程审批通过与退回功能的演示，完成审核可手动转为项目成果。（1分） 5、项目数据汇总统计：满足部门成果统计表、部门成果详情表、教师成果汇总统计。（1分）</w:t>
            </w:r>
          </w:p>
        </w:tc>
      </w:tr>
      <w:tr>
        <w:tc>
          <w:tcPr>
            <w:tcW w:type="dxa" w:w="922"/>
            <w:gridSpan w:val="2"/>
            <w:vMerge/>
          </w:tcPr>
          <w:p/>
        </w:tc>
        <w:tc>
          <w:tcPr>
            <w:tcW w:type="dxa" w:w="2307"/>
          </w:tcPr>
          <w:p>
            <w:pPr>
              <w:jc w:val="left"/>
            </w:pPr>
            <w:r>
              <w:rPr/>
              <w:t>软件功能演示-院级工作量管理统计模块 (7.5分)</w:t>
            </w:r>
          </w:p>
        </w:tc>
        <w:tc>
          <w:tcPr>
            <w:tcW w:type="dxa" w:w="5076"/>
          </w:tcPr>
          <w:p>
            <w:pPr>
              <w:jc w:val="left"/>
            </w:pPr>
            <w:r>
              <w:rPr/>
              <w:t>重点功能现场演示:投标人对以下功能进行现场演示，演示环境须基于真 实系统演示(不得采用PPT、视频、原型等方式进行演示)。评标委员会 根据演示情况进行评分，单项演示须全部满足要求(满足系统功能需求表)方可得分，若仅部分满足或者完全不满足要求的不得分。如不参加演示，本项将不得分。①请投标人自行准备演示所需要的设备，演示现场只提供电源和投影（HDMI接口）。②本项演示时间不超过15分钟。授权委托代理人须凭身份证原件参加演示，参加人数一般不超过2人（含授权代表在内）。 根据要求展示软件功能： 1、首页：根据人员角色业务需求，预设多个日常操作业务功能快捷入口以及工作流程指引需与项目节点对应，点击节点可查看对应节点项目列表以及可提醒节点代办任务。（0.5分） 2、项目初始配置：可新增编辑院系项目批次管理、项目类型管理、项目级别管理、项目分类管理、奖项类别管理。（1分） 3、项目申报启动：满足查看待启动项目申报和已启动项目报以卡片方式呈现并显示数量，可单个或者批量启动项目申报，并输入启动时间。（1分） 3、可申报项目类型：满足以卡片方式呈现项目分类，点击项目分类可进入列表进行项目申报。（1分） 4、院系项目管理：可手动或批量申报导入项目，以不同的角色进行项目的审批，并可查看非教学工作量分值以及绩效分配的分配情况，可查询项目的确认流程日志。（2分） 5、院系教科研项目库：满足项目成果增补功能，成果监控与分析，项目成果下载。以卡片方式进行呈现可点击进入列表。（1分） 6、院系数据统计：有以下功能，院系项目成果统计，教师教研积分统计，教师成果汇总统计。以上功能均需要导出数据功能。（1分）</w:t>
            </w:r>
          </w:p>
        </w:tc>
      </w:tr>
      <w:tr>
        <w:tc>
          <w:tcPr>
            <w:tcW w:type="dxa" w:w="922"/>
            <w:gridSpan w:val="2"/>
            <w:vMerge w:val="restart"/>
          </w:tcPr>
          <w:p>
            <w:pPr>
              <w:jc w:val="center"/>
            </w:pPr>
            <w:r>
              <w:rPr/>
              <w:t>商务部分</w:t>
            </w:r>
          </w:p>
        </w:tc>
        <w:tc>
          <w:tcPr>
            <w:tcW w:type="dxa" w:w="2307"/>
          </w:tcPr>
          <w:p>
            <w:pPr>
              <w:jc w:val="left"/>
            </w:pPr>
            <w:r>
              <w:rPr/>
              <w:t>供应商综合实力情况 (3.0分)</w:t>
            </w:r>
          </w:p>
        </w:tc>
        <w:tc>
          <w:tcPr>
            <w:tcW w:type="dxa" w:w="5076"/>
          </w:tcPr>
          <w:p>
            <w:pPr>
              <w:jc w:val="left"/>
            </w:pPr>
            <w:r>
              <w:rPr/>
              <w:t>投标人具有以下资质认证证书：  1、具备质量管理体系认证证书；  2、具备信息技术服务管理体系认证证书；  3、具备信息安全管理体系认证证书； 每提供一个证书得1分，最高得3分；  注：提供证书扫描件，加盖投标人公章。</w:t>
            </w:r>
          </w:p>
        </w:tc>
      </w:tr>
      <w:tr>
        <w:tc>
          <w:tcPr>
            <w:tcW w:type="dxa" w:w="922"/>
            <w:gridSpan w:val="2"/>
            <w:vMerge/>
          </w:tcPr>
          <w:p/>
        </w:tc>
        <w:tc>
          <w:tcPr>
            <w:tcW w:type="dxa" w:w="2307"/>
          </w:tcPr>
          <w:p>
            <w:pPr>
              <w:jc w:val="left"/>
            </w:pPr>
            <w:r>
              <w:rPr/>
              <w:t>同类项目业绩经验 (5.0分)</w:t>
            </w:r>
          </w:p>
        </w:tc>
        <w:tc>
          <w:tcPr>
            <w:tcW w:type="dxa" w:w="5076"/>
          </w:tcPr>
          <w:p>
            <w:pPr>
              <w:jc w:val="left"/>
            </w:pPr>
            <w:r>
              <w:rPr/>
              <w:t>具有2020年1月1日至本项目递交投标文件截止之日的已完成或在执行中的软件类或信息系统类项目经验（以合同签订时间为准），每提供一个得1分，最高得5分。  注：需提供项目合同关键页（包括首页、项目金额页、签字盖章页、合同签订日期页及验收报告扫描件）扫描件，不提供不得分。</w:t>
            </w:r>
          </w:p>
        </w:tc>
      </w:tr>
      <w:tr>
        <w:tc>
          <w:tcPr>
            <w:tcW w:type="dxa" w:w="922"/>
            <w:gridSpan w:val="2"/>
            <w:vMerge/>
          </w:tcPr>
          <w:p/>
        </w:tc>
        <w:tc>
          <w:tcPr>
            <w:tcW w:type="dxa" w:w="2307"/>
          </w:tcPr>
          <w:p>
            <w:pPr>
              <w:jc w:val="left"/>
            </w:pPr>
            <w:r>
              <w:rPr/>
              <w:t>本项目的项目经理资质情况 (4.0分)</w:t>
            </w:r>
          </w:p>
        </w:tc>
        <w:tc>
          <w:tcPr>
            <w:tcW w:type="dxa" w:w="5076"/>
          </w:tcPr>
          <w:p>
            <w:pPr>
              <w:jc w:val="left"/>
            </w:pPr>
            <w:r>
              <w:rPr/>
              <w:t>项目经理的要求（仅限1人）： 1、本科或以上学历，且工作经验不少于15年（以缴纳社保时间为准）； 2、具有信息系统项目管理师证书； 3、具有高级网络信息安全工程师证书； 4、具有ITSS信息技术应用创新服务经理证书。 以上每提供一项得1分，最高4分。  注：（1）提供上述人员有效的证书扫描件；（2）提供上述人员工作经验证明材料，相关工作经验证明材料（提供加盖政府有关部门印章的15年或以上的 《投保单》或《社会保险参保人员证明》扫描件），或单位代缴个人所得税税单或劳动合同或既往同类项目工作经历证明(如工资发放表、工作评价表等相关材料扫描件），不同单位的劳动年限可累计；（3）提供上述人员在本单位任职的外部证明材料，否则不得分，两者之一均可：①本项目递交响应文件截止当月往前倒推3个月内（当月不予计算，提供任意1个月）的参保证明，须提供加盖社会保障部门印章的投保单或社会保险参保人员证明；②本项目递交响应文件截止当月往前倒推3个月内（当月不予计算，提供任意1个月）的单位代缴个人所得税证明，须提供加盖税务部门印章的单位代缴个人所得税税单扫描件。</w:t>
            </w:r>
          </w:p>
        </w:tc>
      </w:tr>
      <w:tr>
        <w:tc>
          <w:tcPr>
            <w:tcW w:type="dxa" w:w="922"/>
            <w:gridSpan w:val="2"/>
            <w:vMerge/>
          </w:tcPr>
          <w:p/>
        </w:tc>
        <w:tc>
          <w:tcPr>
            <w:tcW w:type="dxa" w:w="2307"/>
          </w:tcPr>
          <w:p>
            <w:pPr>
              <w:jc w:val="left"/>
            </w:pPr>
            <w:r>
              <w:rPr/>
              <w:t>本项目技术人员及管理人员资质情况  (8.0分)</w:t>
            </w:r>
          </w:p>
        </w:tc>
        <w:tc>
          <w:tcPr>
            <w:tcW w:type="dxa" w:w="5076"/>
          </w:tcPr>
          <w:p>
            <w:pPr>
              <w:jc w:val="left"/>
            </w:pPr>
            <w:r>
              <w:rPr/>
              <w:t>拟派项目技术人员及管理人员资质要求（项目经理除外）：  1、具有系统架构设计师证书； 2、具有系统规划与管理师证书； 3、具有软件设计师证书； 4、具有数据库系统工程师证书。 注：（1）每提供一个得2分。（2）同一人员具有多个证书的不重复记分；（3）提供上述人员有效的证书扫描件；（4）提供上述人员在本单位任职的外部证明材料，否则不得分，两者之一均可：①本项目递交响应文件截止当月往前倒推3个月内（当月不予计算，提供任意1个月）的参保证明，须提供加盖社会保障部门印章的投保单或社会保险参保人员证明；②本项目递交响应文件截止当月往前倒推3个月内（当月不予计算，提供任意1个月）的单位代缴个人所得税证明，须提供加盖税务部门印章的单位代缴个人所得税税单扫描件。</w:t>
            </w:r>
          </w:p>
        </w:tc>
      </w:tr>
      <w:tr>
        <w:tc>
          <w:tcPr>
            <w:tcW w:type="dxa" w:w="922"/>
            <w:gridSpan w:val="2"/>
            <w:vMerge/>
          </w:tcPr>
          <w:p/>
        </w:tc>
        <w:tc>
          <w:tcPr>
            <w:tcW w:type="dxa" w:w="2307"/>
          </w:tcPr>
          <w:p>
            <w:pPr>
              <w:jc w:val="left"/>
            </w:pPr>
            <w:r>
              <w:rPr/>
              <w:t>供应商自主研发能力 (5.0分)</w:t>
            </w:r>
          </w:p>
        </w:tc>
        <w:tc>
          <w:tcPr>
            <w:tcW w:type="dxa" w:w="5076"/>
          </w:tcPr>
          <w:p>
            <w:pPr>
              <w:jc w:val="left"/>
            </w:pPr>
            <w:r>
              <w:rPr/>
              <w:t>具有与本项目内容相关的自主研发能力，能提供以下类别的计算机软件著作权登记证书： 1、工作流管理类； 2、信息化项目管理类； 3、专家库管理类； 4、数据信息交换管理类； 5、数据迁移管理类。 以上每具有1类得1分，最高5分。 注：同一类别不重复得分，需提供相关计算机软件著作权登记证书扫描件并加盖供应商公章。计算机软件著作权登记证书必须为公告发布日期之前获得。</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both"/>
      </w:pPr>
    </w:p>
    <w:p/>
    <w:p/>
    <w:p>
      <w:r>
        <w:rPr/>
        <w:t xml:space="preserve"> </w:t>
      </w:r>
    </w:p>
    <w:p/>
    <w:p>
      <w:pPr>
        <w:jc w:val="left"/>
      </w:pPr>
    </w:p>
    <w:p>
      <w:pPr>
        <w:jc w:val="both"/>
      </w:pPr>
    </w:p>
    <w:p>
      <w:pPr>
        <w:jc w:val="both"/>
      </w:pPr>
    </w:p>
    <w:p>
      <w:pPr>
        <w:jc w:val="right"/>
      </w:pPr>
      <w:r>
        <w:rPr>
          <w:sz w:val="21"/>
        </w:rPr>
        <w:t xml:space="preserve">                      </w:t>
      </w:r>
      <w:r>
        <w:rPr>
          <w:sz w:val="21"/>
        </w:rPr>
        <w:t>合同编号：</w:t>
      </w:r>
      <w:r>
        <w:rPr>
          <w:sz w:val="21"/>
        </w:rPr>
        <w:t>□□□□□□□□□□</w:t>
      </w:r>
    </w:p>
    <w:p>
      <w:pPr>
        <w:jc w:val="both"/>
      </w:pPr>
      <w:r>
        <w:rPr>
          <w:sz w:val="21"/>
        </w:rPr>
        <w:t xml:space="preserve">            </w:t>
      </w:r>
    </w:p>
    <w:p>
      <w:pPr>
        <w:jc w:val="both"/>
      </w:pPr>
    </w:p>
    <w:p>
      <w:pPr>
        <w:jc w:val="both"/>
      </w:pPr>
      <w:r>
        <w:rPr>
          <w:sz w:val="21"/>
        </w:rPr>
        <w:t xml:space="preserve">       </w:t>
      </w:r>
    </w:p>
    <w:p>
      <w:pPr>
        <w:jc w:val="both"/>
      </w:pPr>
      <w:r>
        <w:rPr>
          <w:sz w:val="21"/>
        </w:rPr>
        <w:t xml:space="preserve">       </w:t>
      </w:r>
    </w:p>
    <w:p>
      <w:pPr>
        <w:jc w:val="center"/>
      </w:pPr>
      <w:r>
        <w:rPr>
          <w:b/>
          <w:sz w:val="44"/>
        </w:rPr>
        <w:t>广州铁路职业技术学院合同书</w:t>
      </w:r>
    </w:p>
    <w:p>
      <w:pPr>
        <w:jc w:val="both"/>
      </w:pPr>
    </w:p>
    <w:p>
      <w:pPr>
        <w:jc w:val="both"/>
      </w:pPr>
    </w:p>
    <w:p>
      <w:pPr>
        <w:jc w:val="both"/>
      </w:pPr>
    </w:p>
    <w:p>
      <w:pPr>
        <w:jc w:val="both"/>
      </w:pPr>
      <w:r>
        <w:rPr>
          <w:b/>
          <w:sz w:val="44"/>
        </w:rPr>
        <w:t>合同</w:t>
      </w:r>
      <w:r>
        <w:rPr>
          <w:b/>
          <w:sz w:val="44"/>
        </w:rPr>
        <w:t>名称：</w:t>
      </w:r>
    </w:p>
    <w:p>
      <w:pPr>
        <w:jc w:val="both"/>
      </w:pPr>
      <w:r>
        <w:rPr>
          <w:b/>
          <w:sz w:val="21"/>
        </w:rPr>
        <w:t xml:space="preserve">           </w:t>
      </w:r>
    </w:p>
    <w:p>
      <w:pPr>
        <w:jc w:val="both"/>
      </w:pPr>
    </w:p>
    <w:p>
      <w:pPr>
        <w:jc w:val="both"/>
      </w:pPr>
      <w:r>
        <w:rPr>
          <w:b/>
          <w:sz w:val="21"/>
        </w:rPr>
        <w:t xml:space="preserve">        </w:t>
      </w:r>
    </w:p>
    <w:p>
      <w:pPr>
        <w:jc w:val="both"/>
      </w:pP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63"/>
        <w:gridCol w:w="3001"/>
        <w:gridCol w:w="233"/>
        <w:gridCol w:w="1107"/>
        <w:gridCol w:w="2856"/>
      </w:tblGrid>
      <w:tr>
        <w:tc>
          <w:tcPr>
            <w:tcW w:type="dxa" w:w="1063"/>
            <w:tcBorders>
              <w:top w:val="none" w:color="000000" w:sz="4"/>
              <w:left w:val="none" w:color="000000" w:sz="4"/>
              <w:bottom w:val="none" w:color="000000" w:sz="4"/>
              <w:right w:val="none" w:color="000000" w:sz="4"/>
            </w:tcBorders>
            <w:vAlign w:val="top"/>
          </w:tcPr>
          <w:p>
            <w:pPr>
              <w:jc w:val="both"/>
            </w:pPr>
            <w:r>
              <w:rPr>
                <w:b/>
                <w:sz w:val="28"/>
              </w:rPr>
              <w:t>甲方：</w:t>
            </w:r>
          </w:p>
        </w:tc>
        <w:tc>
          <w:tcPr>
            <w:tcW w:type="dxa" w:w="3001"/>
            <w:tcBorders>
              <w:top w:val="none" w:color="000000" w:sz="4"/>
              <w:left w:val="none" w:color="000000" w:sz="4"/>
              <w:bottom w:val="none" w:color="000000" w:sz="4"/>
              <w:right w:val="none" w:color="000000" w:sz="4"/>
            </w:tcBorders>
            <w:vAlign w:val="top"/>
          </w:tcPr>
          <w:p>
            <w:pPr>
              <w:jc w:val="both"/>
            </w:pPr>
            <w:r>
              <w:rPr>
                <w:b/>
                <w:sz w:val="28"/>
              </w:rPr>
              <w:t>广州铁路职业技术学院</w:t>
            </w:r>
          </w:p>
        </w:tc>
        <w:tc>
          <w:tcPr>
            <w:tcW w:type="dxa" w:w="233"/>
            <w:tcBorders>
              <w:top w:val="none" w:color="000000" w:sz="4"/>
              <w:left w:val="none" w:color="000000" w:sz="4"/>
              <w:bottom w:val="none" w:color="000000" w:sz="4"/>
              <w:right w:val="none" w:color="000000" w:sz="4"/>
            </w:tcBorders>
            <w:vAlign w:val="top"/>
          </w:tcPr>
          <w:p>
            <w:pPr>
              <w:jc w:val="both"/>
            </w:pPr>
          </w:p>
        </w:tc>
        <w:tc>
          <w:tcPr>
            <w:tcW w:type="dxa" w:w="1107"/>
            <w:tcBorders>
              <w:top w:val="none" w:color="000000" w:sz="4"/>
              <w:left w:val="none" w:color="000000" w:sz="4"/>
              <w:bottom w:val="none" w:color="000000" w:sz="4"/>
              <w:right w:val="none" w:color="000000" w:sz="4"/>
            </w:tcBorders>
            <w:vAlign w:val="top"/>
          </w:tcPr>
          <w:p>
            <w:pPr>
              <w:jc w:val="both"/>
            </w:pPr>
            <w:r>
              <w:rPr>
                <w:b/>
                <w:sz w:val="28"/>
              </w:rPr>
              <w:t>乙方：</w:t>
            </w:r>
          </w:p>
        </w:tc>
        <w:tc>
          <w:tcPr>
            <w:tcW w:type="dxa" w:w="2856"/>
            <w:tcBorders>
              <w:top w:val="none" w:color="000000" w:sz="4"/>
              <w:left w:val="none" w:color="000000" w:sz="4"/>
              <w:bottom w:val="none" w:color="000000" w:sz="4"/>
              <w:right w:val="none" w:color="000000" w:sz="4"/>
            </w:tcBorders>
            <w:vAlign w:val="top"/>
          </w:tcPr>
          <w:p>
            <w:pPr>
              <w:jc w:val="both"/>
            </w:pPr>
          </w:p>
        </w:tc>
      </w:tr>
      <w:tr>
        <w:tc>
          <w:tcPr>
            <w:tcW w:type="dxa" w:w="4064"/>
            <w:gridSpan w:val="2"/>
            <w:tcBorders>
              <w:top w:val="none" w:color="000000" w:sz="4"/>
              <w:left w:val="none" w:color="000000" w:sz="4"/>
              <w:bottom w:val="none" w:color="000000" w:sz="4"/>
              <w:right w:val="none" w:color="000000" w:sz="4"/>
            </w:tcBorders>
            <w:vAlign w:val="top"/>
          </w:tcPr>
          <w:p>
            <w:pPr>
              <w:jc w:val="left"/>
            </w:pPr>
            <w:r>
              <w:rPr>
                <w:b/>
                <w:sz w:val="28"/>
              </w:rPr>
              <w:t>法定代表人：马仁听</w:t>
            </w:r>
          </w:p>
        </w:tc>
        <w:tc>
          <w:tcPr>
            <w:tcW w:type="dxa" w:w="233"/>
            <w:tcBorders>
              <w:top w:val="none" w:color="000000" w:sz="4"/>
              <w:left w:val="none" w:color="000000" w:sz="4"/>
              <w:bottom w:val="none" w:color="000000" w:sz="4"/>
              <w:right w:val="none" w:color="000000" w:sz="4"/>
            </w:tcBorders>
            <w:vAlign w:val="top"/>
          </w:tcPr>
          <w:p>
            <w:pPr>
              <w:jc w:val="left"/>
            </w:pPr>
          </w:p>
        </w:tc>
        <w:tc>
          <w:tcPr>
            <w:tcW w:type="dxa" w:w="3963"/>
            <w:gridSpan w:val="2"/>
            <w:tcBorders>
              <w:top w:val="none" w:color="000000" w:sz="4"/>
              <w:left w:val="none" w:color="000000" w:sz="4"/>
              <w:bottom w:val="none" w:color="000000" w:sz="4"/>
              <w:right w:val="none" w:color="000000" w:sz="4"/>
            </w:tcBorders>
            <w:vAlign w:val="top"/>
          </w:tcPr>
          <w:p>
            <w:pPr>
              <w:jc w:val="left"/>
            </w:pPr>
            <w:r>
              <w:rPr>
                <w:b/>
                <w:sz w:val="28"/>
              </w:rPr>
              <w:t>法定代表人：</w:t>
            </w:r>
          </w:p>
        </w:tc>
      </w:tr>
      <w:tr>
        <w:tc>
          <w:tcPr>
            <w:tcW w:type="dxa" w:w="4064"/>
            <w:gridSpan w:val="2"/>
            <w:tcBorders>
              <w:top w:val="none" w:color="000000" w:sz="4"/>
              <w:left w:val="none" w:color="000000" w:sz="4"/>
              <w:bottom w:val="none" w:color="000000" w:sz="4"/>
              <w:right w:val="none" w:color="000000" w:sz="4"/>
            </w:tcBorders>
            <w:vAlign w:val="top"/>
          </w:tcPr>
          <w:p>
            <w:pPr>
              <w:jc w:val="left"/>
            </w:pPr>
            <w:r>
              <w:rPr>
                <w:b/>
                <w:sz w:val="28"/>
              </w:rPr>
              <w:t>经办人（授权委托人）：　</w:t>
            </w:r>
          </w:p>
          <w:p>
            <w:pPr>
              <w:jc w:val="left"/>
            </w:pPr>
          </w:p>
        </w:tc>
        <w:tc>
          <w:tcPr>
            <w:tcW w:type="dxa" w:w="233"/>
            <w:tcBorders>
              <w:top w:val="none" w:color="000000" w:sz="4"/>
              <w:left w:val="none" w:color="000000" w:sz="4"/>
              <w:bottom w:val="none" w:color="000000" w:sz="4"/>
              <w:right w:val="none" w:color="000000" w:sz="4"/>
            </w:tcBorders>
            <w:vAlign w:val="top"/>
          </w:tcPr>
          <w:p>
            <w:pPr>
              <w:jc w:val="left"/>
            </w:pPr>
          </w:p>
        </w:tc>
        <w:tc>
          <w:tcPr>
            <w:tcW w:type="dxa" w:w="3963"/>
            <w:gridSpan w:val="2"/>
            <w:tcBorders>
              <w:top w:val="none" w:color="000000" w:sz="4"/>
              <w:left w:val="none" w:color="000000" w:sz="4"/>
              <w:bottom w:val="none" w:color="000000" w:sz="4"/>
              <w:right w:val="none" w:color="000000" w:sz="4"/>
            </w:tcBorders>
            <w:vAlign w:val="top"/>
          </w:tcPr>
          <w:p>
            <w:pPr>
              <w:jc w:val="left"/>
            </w:pPr>
            <w:r>
              <w:rPr>
                <w:b/>
                <w:sz w:val="28"/>
              </w:rPr>
              <w:t>经办人（授权委托人）：</w:t>
            </w:r>
          </w:p>
        </w:tc>
      </w:tr>
    </w:tbl>
    <w:p>
      <w:pPr>
        <w:jc w:val="both"/>
      </w:pPr>
    </w:p>
    <w:p/>
    <w:p/>
    <w:p>
      <w:r>
        <w:rPr/>
        <w:t xml:space="preserve"> </w:t>
      </w:r>
    </w:p>
    <w:p>
      <w:pPr>
        <w:ind w:firstLine="454"/>
        <w:jc w:val="both"/>
      </w:pPr>
      <w:r>
        <w:rPr>
          <w:b/>
          <w:sz w:val="21"/>
        </w:rPr>
        <w:t>甲方：</w:t>
      </w:r>
      <w:r>
        <w:rPr>
          <w:b/>
          <w:sz w:val="24"/>
          <w:u w:val="single"/>
        </w:rPr>
        <w:t xml:space="preserve">        </w:t>
      </w:r>
    </w:p>
    <w:p>
      <w:pPr>
        <w:ind w:firstLine="452"/>
        <w:jc w:val="both"/>
      </w:pPr>
      <w:r>
        <w:rPr>
          <w:sz w:val="21"/>
        </w:rPr>
        <w:t>电话：</w:t>
      </w:r>
      <w:r>
        <w:rPr>
          <w:b/>
          <w:sz w:val="24"/>
          <w:u w:val="single"/>
        </w:rPr>
        <w:t xml:space="preserve">       </w:t>
      </w:r>
      <w:r>
        <w:rPr>
          <w:sz w:val="21"/>
        </w:rPr>
        <w:t>传真</w:t>
      </w:r>
      <w:r>
        <w:rPr>
          <w:sz w:val="21"/>
        </w:rPr>
        <w:t>：</w:t>
      </w:r>
      <w:r>
        <w:rPr>
          <w:b/>
          <w:sz w:val="24"/>
          <w:u w:val="single"/>
        </w:rPr>
        <w:t xml:space="preserve">      </w:t>
      </w:r>
      <w:r>
        <w:rPr>
          <w:sz w:val="21"/>
        </w:rPr>
        <w:t>地址：</w:t>
      </w:r>
      <w:r>
        <w:rPr>
          <w:b/>
          <w:sz w:val="24"/>
          <w:u w:val="single"/>
        </w:rPr>
        <w:t xml:space="preserve">        </w:t>
      </w:r>
    </w:p>
    <w:p>
      <w:pPr>
        <w:ind w:firstLine="454"/>
        <w:jc w:val="both"/>
      </w:pPr>
      <w:r>
        <w:rPr>
          <w:b/>
          <w:sz w:val="21"/>
        </w:rPr>
        <w:t>乙方：</w:t>
      </w:r>
      <w:r>
        <w:rPr>
          <w:b/>
          <w:sz w:val="24"/>
          <w:u w:val="single"/>
        </w:rPr>
        <w:t xml:space="preserve">        </w:t>
      </w:r>
    </w:p>
    <w:p>
      <w:pPr>
        <w:ind w:firstLine="452"/>
        <w:jc w:val="both"/>
      </w:pPr>
      <w:r>
        <w:rPr>
          <w:sz w:val="21"/>
        </w:rPr>
        <w:t>电话：</w:t>
      </w:r>
      <w:r>
        <w:rPr>
          <w:b/>
          <w:sz w:val="24"/>
          <w:u w:val="single"/>
        </w:rPr>
        <w:t xml:space="preserve">        </w:t>
      </w:r>
      <w:r>
        <w:rPr>
          <w:sz w:val="21"/>
        </w:rPr>
        <w:t>传真：</w:t>
      </w:r>
      <w:r>
        <w:rPr>
          <w:b/>
          <w:sz w:val="24"/>
          <w:u w:val="single"/>
        </w:rPr>
        <w:t xml:space="preserve">        </w:t>
      </w:r>
      <w:r>
        <w:rPr>
          <w:sz w:val="21"/>
        </w:rPr>
        <w:t>地址：</w:t>
      </w:r>
      <w:r>
        <w:rPr>
          <w:b/>
          <w:sz w:val="24"/>
          <w:u w:val="single"/>
        </w:rPr>
        <w:t xml:space="preserve">       </w:t>
      </w:r>
    </w:p>
    <w:p>
      <w:pPr>
        <w:ind w:firstLine="452"/>
        <w:jc w:val="both"/>
      </w:pPr>
      <w:r>
        <w:rPr>
          <w:sz w:val="21"/>
        </w:rPr>
        <w:t>根据教科研成果积分管理统计软件购置项目（项目编号：</w:t>
      </w:r>
      <w:r>
        <w:rPr>
          <w:sz w:val="21"/>
        </w:rPr>
        <w:t>GZGK23D267A0843Z）的采购结果，按照《中华人民共和国政府采购法》，《中华人民共和国民法典(合同编)》的规定，经双方协商，本着平等互利和诚实信用的原则，一致同意遵守本合同如下。</w:t>
      </w:r>
    </w:p>
    <w:p>
      <w:pPr>
        <w:ind w:firstLine="454"/>
        <w:jc w:val="both"/>
      </w:pPr>
      <w:r>
        <w:rPr>
          <w:b/>
          <w:sz w:val="21"/>
        </w:rPr>
        <w:t>一、合同金额</w:t>
      </w:r>
    </w:p>
    <w:p>
      <w:pPr>
        <w:ind w:firstLine="452"/>
        <w:jc w:val="both"/>
      </w:pPr>
      <w:r>
        <w:rPr>
          <w:sz w:val="21"/>
        </w:rPr>
        <w:t xml:space="preserve">  </w:t>
      </w:r>
      <w:r>
        <w:rPr>
          <w:sz w:val="21"/>
        </w:rPr>
        <w:t>合同金额为（大写）：</w:t>
      </w:r>
      <w:r>
        <w:rPr>
          <w:sz w:val="21"/>
        </w:rPr>
        <w:t>_____________元（￥_________元）人民币。</w:t>
      </w:r>
    </w:p>
    <w:p>
      <w:pPr>
        <w:ind w:firstLine="454"/>
        <w:jc w:val="both"/>
      </w:pPr>
      <w:r>
        <w:rPr>
          <w:b/>
          <w:sz w:val="21"/>
        </w:rPr>
        <w:t>二、采购内容</w:t>
      </w:r>
    </w:p>
    <w:p>
      <w:pPr>
        <w:ind w:firstLine="452"/>
        <w:jc w:val="left"/>
      </w:pPr>
      <w:r>
        <w:rPr>
          <w:sz w:val="21"/>
        </w:rPr>
        <w:t xml:space="preserve">  </w:t>
      </w:r>
      <w:r>
        <w:rPr>
          <w:color w:val="363636"/>
          <w:sz w:val="21"/>
        </w:rPr>
        <w:t>乙方根据甲方要求提供以下标的物：</w:t>
      </w:r>
    </w:p>
    <w:tbl>
      <w:tblPr>
        <w:tblW w:w="0" w:type="auto"/>
        <w:tblBorders>
          <w:top w:val="none" w:color="000000" w:sz="4"/>
          <w:left w:val="none" w:color="000000" w:sz="4"/>
          <w:bottom w:val="none" w:color="000000" w:sz="4"/>
          <w:right w:val="none" w:color="000000" w:sz="4"/>
          <w:insideH w:val="none"/>
          <w:insideV w:val="none"/>
        </w:tblBorders>
      </w:tblPr>
      <w:tblGrid>
        <w:gridCol w:w="691"/>
        <w:gridCol w:w="1267"/>
        <w:gridCol w:w="1105"/>
        <w:gridCol w:w="2140"/>
        <w:gridCol w:w="616"/>
        <w:gridCol w:w="616"/>
        <w:gridCol w:w="616"/>
        <w:gridCol w:w="623"/>
        <w:gridCol w:w="626"/>
      </w:tblGrid>
      <w:tr>
        <w:tc>
          <w:tcPr>
            <w:tcW w:type="dxa" w:w="69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67"/>
            <w:tcBorders>
              <w:top w:val="single" w:color="000000" w:sz="4"/>
              <w:left w:val="single" w:color="000000" w:sz="4"/>
              <w:bottom w:val="single" w:color="000000" w:sz="4"/>
              <w:right w:val="single" w:color="000000" w:sz="4"/>
            </w:tcBorders>
            <w:vAlign w:val="top"/>
          </w:tcPr>
          <w:p>
            <w:pPr>
              <w:jc w:val="center"/>
            </w:pPr>
            <w:r>
              <w:rPr>
                <w:sz w:val="21"/>
              </w:rPr>
              <w:t>标的物品名</w:t>
            </w:r>
          </w:p>
        </w:tc>
        <w:tc>
          <w:tcPr>
            <w:tcW w:type="dxa" w:w="1105"/>
            <w:tcBorders>
              <w:top w:val="single" w:color="000000" w:sz="4"/>
              <w:left w:val="single" w:color="000000" w:sz="4"/>
              <w:bottom w:val="single" w:color="000000" w:sz="4"/>
              <w:right w:val="single" w:color="000000" w:sz="4"/>
            </w:tcBorders>
            <w:vAlign w:val="top"/>
          </w:tcPr>
          <w:p>
            <w:pPr>
              <w:jc w:val="center"/>
            </w:pPr>
            <w:r>
              <w:rPr>
                <w:sz w:val="21"/>
              </w:rPr>
              <w:t>品目名称</w:t>
            </w:r>
          </w:p>
        </w:tc>
        <w:tc>
          <w:tcPr>
            <w:tcW w:type="dxa" w:w="2140"/>
            <w:tcBorders>
              <w:top w:val="single" w:color="000000" w:sz="4"/>
              <w:left w:val="single" w:color="000000" w:sz="4"/>
              <w:bottom w:val="single" w:color="000000" w:sz="4"/>
              <w:right w:val="single" w:color="000000" w:sz="4"/>
            </w:tcBorders>
            <w:vAlign w:val="top"/>
          </w:tcPr>
          <w:p>
            <w:pPr>
              <w:jc w:val="center"/>
            </w:pPr>
            <w:r>
              <w:rPr>
                <w:sz w:val="21"/>
              </w:rPr>
              <w:t>品牌</w:t>
            </w:r>
            <w:r>
              <w:rPr>
                <w:sz w:val="21"/>
              </w:rPr>
              <w:t>/规格型号（详细参数见附件一）</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623"/>
            <w:tcBorders>
              <w:top w:val="single" w:color="000000" w:sz="4"/>
              <w:left w:val="single" w:color="000000" w:sz="4"/>
              <w:bottom w:val="single" w:color="000000" w:sz="4"/>
              <w:right w:val="single" w:color="000000" w:sz="4"/>
            </w:tcBorders>
            <w:vAlign w:val="top"/>
          </w:tcPr>
          <w:p>
            <w:pPr>
              <w:jc w:val="center"/>
            </w:pPr>
            <w:r>
              <w:rPr>
                <w:sz w:val="21"/>
              </w:rPr>
              <w:t>总价</w:t>
            </w:r>
          </w:p>
        </w:tc>
        <w:tc>
          <w:tcPr>
            <w:tcW w:type="dxa" w:w="626"/>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691"/>
            <w:tcBorders>
              <w:top w:val="none" w:color="000000" w:sz="4"/>
              <w:left w:val="single" w:color="000000" w:sz="4"/>
              <w:bottom w:val="single" w:color="000000" w:sz="4"/>
              <w:right w:val="single" w:color="000000" w:sz="4"/>
            </w:tcBorders>
            <w:vAlign w:val="top"/>
          </w:tcPr>
          <w:p>
            <w:pPr>
              <w:jc w:val="center"/>
            </w:pPr>
          </w:p>
        </w:tc>
        <w:tc>
          <w:tcPr>
            <w:tcW w:type="dxa" w:w="1267"/>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2140"/>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23"/>
            <w:tcBorders>
              <w:top w:val="none" w:color="000000" w:sz="4"/>
              <w:left w:val="single" w:color="000000" w:sz="4"/>
              <w:bottom w:val="single" w:color="000000" w:sz="4"/>
              <w:right w:val="single" w:color="000000" w:sz="4"/>
            </w:tcBorders>
            <w:vAlign w:val="top"/>
          </w:tcPr>
          <w:p>
            <w:pPr>
              <w:jc w:val="center"/>
            </w:pPr>
          </w:p>
        </w:tc>
        <w:tc>
          <w:tcPr>
            <w:tcW w:type="dxa" w:w="626"/>
            <w:tcBorders>
              <w:top w:val="none" w:color="000000" w:sz="4"/>
              <w:left w:val="single" w:color="000000" w:sz="4"/>
              <w:bottom w:val="single" w:color="000000" w:sz="4"/>
              <w:right w:val="single" w:color="000000" w:sz="4"/>
            </w:tcBorders>
            <w:vAlign w:val="top"/>
          </w:tcPr>
          <w:p>
            <w:pPr>
              <w:jc w:val="center"/>
            </w:pPr>
          </w:p>
        </w:tc>
      </w:tr>
      <w:tr>
        <w:tc>
          <w:tcPr>
            <w:tcW w:type="dxa" w:w="691"/>
            <w:tcBorders>
              <w:top w:val="none" w:color="000000" w:sz="4"/>
              <w:left w:val="single" w:color="000000" w:sz="4"/>
              <w:bottom w:val="single" w:color="000000" w:sz="4"/>
              <w:right w:val="single" w:color="000000" w:sz="4"/>
            </w:tcBorders>
            <w:vAlign w:val="top"/>
          </w:tcPr>
          <w:p>
            <w:pPr>
              <w:jc w:val="center"/>
            </w:pPr>
          </w:p>
        </w:tc>
        <w:tc>
          <w:tcPr>
            <w:tcW w:type="dxa" w:w="1267"/>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2140"/>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23"/>
            <w:tcBorders>
              <w:top w:val="none" w:color="000000" w:sz="4"/>
              <w:left w:val="single" w:color="000000" w:sz="4"/>
              <w:bottom w:val="single" w:color="000000" w:sz="4"/>
              <w:right w:val="single" w:color="000000" w:sz="4"/>
            </w:tcBorders>
            <w:vAlign w:val="top"/>
          </w:tcPr>
          <w:p>
            <w:pPr>
              <w:jc w:val="center"/>
            </w:pPr>
          </w:p>
        </w:tc>
        <w:tc>
          <w:tcPr>
            <w:tcW w:type="dxa" w:w="626"/>
            <w:tcBorders>
              <w:top w:val="none" w:color="000000" w:sz="4"/>
              <w:left w:val="single" w:color="000000" w:sz="4"/>
              <w:bottom w:val="single" w:color="000000" w:sz="4"/>
              <w:right w:val="single" w:color="000000" w:sz="4"/>
            </w:tcBorders>
            <w:vAlign w:val="top"/>
          </w:tcPr>
          <w:p>
            <w:pPr>
              <w:jc w:val="center"/>
            </w:pPr>
          </w:p>
        </w:tc>
      </w:tr>
    </w:tbl>
    <w:p>
      <w:pPr>
        <w:jc w:val="both"/>
      </w:pPr>
    </w:p>
    <w:p>
      <w:pPr>
        <w:ind w:firstLine="454"/>
        <w:jc w:val="both"/>
      </w:pPr>
      <w:r>
        <w:rPr>
          <w:b/>
          <w:sz w:val="21"/>
        </w:rPr>
        <w:t>三、甲方乙方的权利和义务</w:t>
      </w:r>
    </w:p>
    <w:p>
      <w:pPr>
        <w:ind w:firstLine="452"/>
        <w:jc w:val="both"/>
      </w:pPr>
      <w:r>
        <w:rPr>
          <w:sz w:val="21"/>
        </w:rPr>
        <w:t>1.甲方的权利和义务</w:t>
      </w:r>
    </w:p>
    <w:p>
      <w:pPr>
        <w:ind w:firstLine="452"/>
        <w:jc w:val="both"/>
      </w:pPr>
      <w:r>
        <w:rPr>
          <w:sz w:val="24"/>
        </w:rPr>
        <w:t xml:space="preserve"> </w:t>
      </w:r>
    </w:p>
    <w:p>
      <w:pPr>
        <w:ind w:firstLine="452"/>
        <w:jc w:val="both"/>
      </w:pPr>
      <w:r>
        <w:rPr>
          <w:sz w:val="21"/>
        </w:rPr>
        <w:t>2.乙方的权利和义务</w:t>
      </w:r>
    </w:p>
    <w:p>
      <w:pPr>
        <w:ind w:firstLine="452"/>
        <w:jc w:val="both"/>
      </w:pPr>
      <w:r>
        <w:rPr>
          <w:sz w:val="24"/>
        </w:rPr>
        <w:t xml:space="preserve"> </w:t>
      </w:r>
    </w:p>
    <w:p>
      <w:pPr>
        <w:ind w:firstLine="454"/>
        <w:jc w:val="both"/>
      </w:pPr>
      <w:r>
        <w:rPr>
          <w:b/>
          <w:sz w:val="21"/>
        </w:rPr>
        <w:t>四、服务期间（项目完成期限）</w:t>
      </w:r>
    </w:p>
    <w:p>
      <w:pPr>
        <w:ind w:firstLine="452"/>
        <w:jc w:val="both"/>
      </w:pPr>
      <w:r>
        <w:rPr>
          <w:sz w:val="21"/>
        </w:rPr>
        <w:t>1.委托服务期间自______年______月至______年______月止。</w:t>
      </w:r>
    </w:p>
    <w:p>
      <w:pPr>
        <w:ind w:firstLine="454"/>
        <w:jc w:val="both"/>
      </w:pPr>
      <w:r>
        <w:rPr>
          <w:b/>
          <w:sz w:val="21"/>
        </w:rPr>
        <w:t>五、付款方式</w:t>
      </w:r>
    </w:p>
    <w:p>
      <w:pPr>
        <w:ind w:firstLine="452"/>
        <w:jc w:val="both"/>
      </w:pPr>
      <w:r>
        <w:rPr>
          <w:sz w:val="21"/>
        </w:rPr>
        <w:t>付款时间及条件：（按照采购需求要求的付款方式）</w:t>
      </w:r>
    </w:p>
    <w:p>
      <w:pPr>
        <w:ind w:firstLine="452"/>
        <w:jc w:val="both"/>
      </w:pPr>
      <w:r>
        <w:rPr>
          <w:sz w:val="21"/>
        </w:rPr>
        <w:t>付款方式：</w:t>
      </w:r>
    </w:p>
    <w:p>
      <w:pPr>
        <w:ind w:firstLine="454"/>
        <w:jc w:val="both"/>
      </w:pPr>
      <w:r>
        <w:rPr>
          <w:b/>
          <w:sz w:val="21"/>
        </w:rPr>
        <w:t>六、知识产权归属</w:t>
      </w:r>
    </w:p>
    <w:p>
      <w:pPr>
        <w:ind w:firstLine="452"/>
        <w:jc w:val="both"/>
      </w:pPr>
      <w:r>
        <w:rPr>
          <w:sz w:val="21"/>
        </w:rPr>
        <w:t>本项目全部研究成果的知识产权归甲方所有，受国家知识产权法保护，未经甲方允许，不得另作他用。</w:t>
      </w:r>
    </w:p>
    <w:p>
      <w:pPr>
        <w:ind w:firstLine="454"/>
        <w:jc w:val="both"/>
      </w:pPr>
      <w:r>
        <w:rPr>
          <w:b/>
          <w:sz w:val="21"/>
        </w:rPr>
        <w:t>七、保密</w:t>
      </w:r>
    </w:p>
    <w:p>
      <w:pPr>
        <w:ind w:firstLine="452"/>
        <w:jc w:val="both"/>
      </w:pPr>
      <w:r>
        <w:rPr>
          <w:sz w:val="21"/>
        </w:rPr>
        <w:t>乙方在项目实施过程中，对甲方所提供的所有相关资料、数据，未经甲方书面同意不得向任何第三人泄露，且保密责任不因合同的终止或解除而失效。项目完成后，乙方须把甲方提供的所有资料、数据完整归还甲方，并不得留存任何复制品。</w:t>
      </w:r>
    </w:p>
    <w:p>
      <w:pPr>
        <w:ind w:firstLine="454"/>
        <w:jc w:val="both"/>
      </w:pPr>
      <w:r>
        <w:rPr>
          <w:b/>
          <w:sz w:val="21"/>
        </w:rPr>
        <w:t>八、违约责任与赔偿损失</w:t>
      </w:r>
    </w:p>
    <w:p>
      <w:pPr>
        <w:ind w:firstLine="452"/>
        <w:jc w:val="both"/>
      </w:pPr>
      <w:r>
        <w:rPr>
          <w:sz w:val="21"/>
        </w:rPr>
        <w:t>1.乙方提供的服务不符合本合同规定的，甲方有权拒收，并且乙方须向甲方方支付本合同总价5%的违约金。</w:t>
      </w:r>
    </w:p>
    <w:p>
      <w:pPr>
        <w:ind w:firstLine="452"/>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3.甲方无正当理由拒收接受服务，到期拒付服务款项的，甲方向乙方偿付本合同总的5%的违约金。甲方人逾期付款，则每日按本合同总价的3‰向乙方偿付违约金。</w:t>
      </w:r>
    </w:p>
    <w:p>
      <w:pPr>
        <w:ind w:firstLine="420"/>
        <w:jc w:val="both"/>
      </w:pPr>
      <w:r>
        <w:rPr>
          <w:sz w:val="21"/>
        </w:rPr>
        <w:t>4.对于因甲方原因导致变更、中止或者终止政府采购合同的，甲方应当依照以下合同约定对供应商受到的损失予以赔偿或者补偿：</w:t>
      </w:r>
      <w:r>
        <w:rPr>
          <w:sz w:val="24"/>
          <w:u w:val="single"/>
        </w:rPr>
        <w:t xml:space="preserve">                         </w:t>
      </w:r>
    </w:p>
    <w:p>
      <w:pPr>
        <w:ind w:firstLine="420"/>
        <w:jc w:val="both"/>
      </w:pPr>
      <w:r>
        <w:rPr>
          <w:sz w:val="21"/>
        </w:rPr>
        <w:t>5.其它违约责任按《中华人民共和国民法典(合同编)》处理。</w:t>
      </w:r>
    </w:p>
    <w:p>
      <w:pPr>
        <w:ind w:firstLine="422"/>
        <w:jc w:val="both"/>
      </w:pPr>
      <w:r>
        <w:rPr>
          <w:b/>
          <w:sz w:val="21"/>
        </w:rPr>
        <w:t>九、履约保证金</w:t>
      </w:r>
    </w:p>
    <w:p>
      <w:pPr>
        <w:ind w:firstLine="420"/>
        <w:jc w:val="both"/>
      </w:pPr>
      <w:r>
        <w:rPr>
          <w:sz w:val="21"/>
        </w:rPr>
        <w:t>收取比例：</w:t>
      </w:r>
      <w:r>
        <w:rPr>
          <w:sz w:val="21"/>
        </w:rPr>
        <w:t>5%,说明：甲方与乙方签订合同后10个工作日内乙方向甲方交付合同金额5%的履约保证金（履约保证金可以采用银行转账、支票、汇票、本票、银行保函、或担保函等形式提交）。在履约过程中，如因乙方的原因，造成合同提前终止，甲方将不予退还乙方的履约保证金。若乙方没有违约行为，履约保证金在乙方提出书面申请后15个工作日内由甲方无息退还乙方。</w:t>
      </w:r>
    </w:p>
    <w:p>
      <w:pPr>
        <w:jc w:val="both"/>
      </w:pPr>
      <w:r>
        <w:rPr>
          <w:sz w:val="21"/>
        </w:rPr>
        <w:t>履约保证金不予退还的情形：</w:t>
      </w:r>
    </w:p>
    <w:p>
      <w:pPr>
        <w:jc w:val="both"/>
      </w:pPr>
      <w:r>
        <w:rPr>
          <w:sz w:val="21"/>
        </w:rPr>
        <w:t>（</w:t>
      </w:r>
      <w:r>
        <w:rPr>
          <w:sz w:val="21"/>
        </w:rPr>
        <w:t>1）拒绝履行合同义务的；</w:t>
      </w:r>
    </w:p>
    <w:p>
      <w:pPr>
        <w:jc w:val="both"/>
      </w:pPr>
      <w:r>
        <w:rPr>
          <w:sz w:val="21"/>
        </w:rPr>
        <w:t>（</w:t>
      </w:r>
      <w:r>
        <w:rPr>
          <w:sz w:val="21"/>
        </w:rPr>
        <w:t>2）履约验收不合格的。</w:t>
      </w:r>
    </w:p>
    <w:p>
      <w:pPr>
        <w:jc w:val="both"/>
      </w:pPr>
      <w:r>
        <w:rPr>
          <w:sz w:val="21"/>
        </w:rPr>
        <w:t>甲方</w:t>
      </w:r>
      <w:r>
        <w:rPr>
          <w:sz w:val="21"/>
        </w:rPr>
        <w:t>逾期退还履约保证金的，从逾期之日起每日按履约保证金</w:t>
      </w:r>
      <w:r>
        <w:rPr>
          <w:sz w:val="21"/>
        </w:rPr>
        <w:t>3‰的数额向</w:t>
      </w:r>
      <w:r>
        <w:rPr>
          <w:sz w:val="21"/>
        </w:rPr>
        <w:t>乙方</w:t>
      </w:r>
      <w:r>
        <w:rPr>
          <w:sz w:val="21"/>
        </w:rPr>
        <w:t>支付违约金。但因</w:t>
      </w:r>
      <w:r>
        <w:rPr>
          <w:sz w:val="21"/>
        </w:rPr>
        <w:t>乙方</w:t>
      </w:r>
      <w:r>
        <w:rPr>
          <w:sz w:val="21"/>
        </w:rPr>
        <w:t>自身原因导致无法及时退还的除外。</w:t>
      </w:r>
    </w:p>
    <w:p>
      <w:pPr>
        <w:ind w:firstLine="454"/>
        <w:jc w:val="both"/>
      </w:pPr>
      <w:r>
        <w:rPr>
          <w:b/>
          <w:sz w:val="21"/>
        </w:rPr>
        <w:t>十、争议的解决</w:t>
      </w:r>
    </w:p>
    <w:p>
      <w:pPr>
        <w:ind w:firstLine="452"/>
        <w:jc w:val="both"/>
      </w:pPr>
      <w:r>
        <w:rPr>
          <w:sz w:val="21"/>
        </w:rPr>
        <w:t>合同执行过程中发生的任何争议，如双方不能通过友好协商解决，按相关法律法规处理。</w:t>
      </w:r>
      <w:r>
        <w:rPr>
          <w:sz w:val="21"/>
        </w:rPr>
        <w:t xml:space="preserve">     </w:t>
      </w:r>
    </w:p>
    <w:p>
      <w:pPr>
        <w:ind w:firstLine="454"/>
        <w:jc w:val="both"/>
      </w:pPr>
      <w:r>
        <w:rPr>
          <w:b/>
          <w:sz w:val="21"/>
        </w:rPr>
        <w:t>十一、不可抗力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54"/>
        <w:jc w:val="both"/>
      </w:pPr>
      <w:r>
        <w:rPr>
          <w:b/>
          <w:sz w:val="21"/>
        </w:rPr>
        <w:t>十二、税费</w:t>
      </w:r>
    </w:p>
    <w:p>
      <w:pPr>
        <w:ind w:firstLine="452"/>
        <w:jc w:val="both"/>
      </w:pPr>
      <w:r>
        <w:rPr>
          <w:sz w:val="21"/>
        </w:rPr>
        <w:t xml:space="preserve">  </w:t>
      </w:r>
      <w:r>
        <w:rPr>
          <w:sz w:val="21"/>
        </w:rPr>
        <w:t>在中国境内、外发生的与本合同执行有关的一切税费均由乙方负担。</w:t>
      </w:r>
    </w:p>
    <w:p>
      <w:pPr>
        <w:ind w:firstLine="454"/>
        <w:jc w:val="both"/>
      </w:pPr>
      <w:r>
        <w:rPr>
          <w:b/>
          <w:sz w:val="21"/>
        </w:rPr>
        <w:t>十三、其它</w:t>
      </w:r>
    </w:p>
    <w:p>
      <w:pPr>
        <w:ind w:firstLine="452"/>
        <w:jc w:val="both"/>
      </w:pPr>
      <w:r>
        <w:rPr>
          <w:sz w:val="21"/>
        </w:rPr>
        <w:t>1.本合同所有附件、竞争性磋商文件、响应文件、成交通知书均为合同的有效组成部分，与本合同具有同等法律效力</w:t>
      </w:r>
    </w:p>
    <w:p>
      <w:pPr>
        <w:ind w:firstLine="452"/>
        <w:jc w:val="both"/>
      </w:pPr>
      <w:r>
        <w:rPr>
          <w:sz w:val="21"/>
        </w:rPr>
        <w:t>2.在执行本合同的过程中，所有经双方签署确认的文件（包括会议纪要、补充协议、往来信函）即成为本合同的有效组成部分。</w:t>
      </w:r>
    </w:p>
    <w:p>
      <w:pPr>
        <w:ind w:firstLine="452"/>
        <w:jc w:val="both"/>
      </w:pPr>
      <w:r>
        <w:rPr>
          <w:sz w:val="21"/>
        </w:rPr>
        <w:t>3.如一方地址、电话、传真号码有变更，应在变更当日内书面通知对方，否则，应承担相应责任。</w:t>
      </w:r>
    </w:p>
    <w:p>
      <w:pPr>
        <w:ind w:firstLine="452"/>
        <w:jc w:val="both"/>
      </w:pPr>
      <w:r>
        <w:rPr>
          <w:sz w:val="21"/>
        </w:rPr>
        <w:t>4.除甲方事先书面同意外，乙方不得部分或全部转让其应履行的合同项下的义务。</w:t>
      </w:r>
    </w:p>
    <w:p>
      <w:pPr>
        <w:ind w:firstLine="454"/>
        <w:jc w:val="both"/>
      </w:pPr>
      <w:r>
        <w:rPr>
          <w:b/>
          <w:sz w:val="21"/>
        </w:rPr>
        <w:t>十四、合同生效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4"/>
          <w:u w:val="single"/>
        </w:rPr>
        <w:t xml:space="preserve">   </w:t>
      </w:r>
      <w:r>
        <w:rPr>
          <w:sz w:val="21"/>
        </w:rPr>
        <w:t xml:space="preserve"> </w:t>
      </w:r>
      <w:r>
        <w:rPr>
          <w:sz w:val="21"/>
        </w:rPr>
        <w:t>份。</w:t>
      </w:r>
    </w:p>
    <w:p>
      <w:pPr>
        <w:ind w:firstLine="452"/>
        <w:jc w:val="both"/>
      </w:pPr>
      <w:r>
        <w:rPr>
          <w:sz w:val="24"/>
        </w:rPr>
        <w:t xml:space="preserve"> </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620"/>
        <w:jc w:val="both"/>
      </w:pPr>
      <w:r>
        <w:rPr>
          <w:sz w:val="21"/>
        </w:rPr>
        <w:t>开</w:t>
      </w:r>
      <w:r>
        <w:rPr>
          <w:sz w:val="21"/>
        </w:rPr>
        <w:t>户</w:t>
      </w:r>
      <w:r>
        <w:rPr>
          <w:sz w:val="21"/>
        </w:rPr>
        <w:t>行：</w:t>
      </w:r>
    </w:p>
    <w:p>
      <w:pPr>
        <w:ind w:firstLine="4620"/>
        <w:jc w:val="both"/>
      </w:pPr>
      <w:r>
        <w:rPr>
          <w:sz w:val="21"/>
        </w:rPr>
        <w:t>开户名称：</w:t>
      </w:r>
    </w:p>
    <w:p>
      <w:pPr>
        <w:ind w:firstLine="4620"/>
        <w:jc w:val="both"/>
      </w:pPr>
      <w:r>
        <w:rPr>
          <w:sz w:val="21"/>
        </w:rPr>
        <w:t>银行账号：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440101-2023-23320</w:t>
      </w:r>
    </w:p>
    <w:p>
      <w:pPr>
        <w:jc w:val="center"/>
      </w:pPr>
      <w:r>
        <w:rPr>
          <w:b/>
          <w:sz w:val="24"/>
        </w:rPr>
        <w:t>采购项目编号：</w:t>
      </w:r>
      <w:r>
        <w:rPr>
          <w:b/>
          <w:sz w:val="24"/>
        </w:rPr>
        <w:t>GZGK23D267A0843Z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教科研成果积分管理统计软件购置项目</w:t>
      </w:r>
      <w:r>
        <w:rPr>
          <w:u w:val="single"/>
        </w:rPr>
        <w:t>”</w:t>
      </w:r>
      <w:r>
        <w:rPr/>
        <w:t>项目的招标[采购项目编号为：</w:t>
      </w:r>
      <w:r>
        <w:rPr>
          <w:u w:val="single"/>
        </w:rPr>
        <w:t>GZGK23D267A0843Z</w:t>
      </w:r>
      <w:r>
        <w:rPr/>
        <w:t>]，我方愿参与投标。</w:t>
      </w:r>
    </w:p>
    <w:p>
      <w:pPr>
        <w:ind w:firstLine="480"/>
      </w:pPr>
      <w:r>
        <w:rPr/>
        <w:t>我方确认收到贵方提供的</w:t>
      </w:r>
      <w:r>
        <w:rPr>
          <w:u w:val="single"/>
        </w:rPr>
        <w:t>“</w:t>
      </w:r>
      <w:r>
        <w:rPr>
          <w:u w:val="single"/>
        </w:rPr>
        <w:t>教科研成果积分管理统计软件购置项目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教科研成果积分管理统计软件购置项目</w:t>
      </w:r>
      <w:r>
        <w:rPr/>
        <w:t>”项目采购[采购项目编号为</w:t>
      </w:r>
      <w:r>
        <w:rPr/>
        <w:t>GZGK23D267A0843Z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广州铁路职业技术学院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教科研成果积分管理统计软件购置项目</w:t>
      </w:r>
      <w:r>
        <w:rPr/>
        <w:t>招标中获中标（采购项目编号：</w:t>
      </w:r>
      <w:r>
        <w:rPr/>
        <w:t>GZGK23D267A0843Z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