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440001-2024-01691</w:t>
      </w:r>
    </w:p>
    <w:p>
      <w:pPr>
        <w:jc w:val="center"/>
      </w:pPr>
      <w:r>
        <w:rPr>
          <w:b/>
          <w:sz w:val="24"/>
        </w:rPr>
        <w:t>采购项目编号：</w:t>
      </w:r>
      <w:r>
        <w:rPr>
          <w:b/>
          <w:sz w:val="24"/>
        </w:rPr>
        <w:t>GZGK23P316C1027Z</w:t>
      </w:r>
    </w:p>
    <w:p>
      <w:pPr>
        <w:jc w:val="center"/>
      </w:pPr>
      <w:r>
        <w:rPr>
          <w:b/>
          <w:sz w:val="24"/>
        </w:rPr>
        <w:t>项目名称：</w:t>
      </w:r>
      <w:r>
        <w:rPr>
          <w:b/>
          <w:sz w:val="24"/>
        </w:rPr>
        <w:t>中山大学附属第六医院2024年度医疗责任保险服务项目</w:t>
      </w:r>
    </w:p>
    <w:p>
      <w:pPr>
        <w:jc w:val="center"/>
      </w:pPr>
      <w:r>
        <w:rPr>
          <w:b/>
          <w:sz w:val="24"/>
        </w:rPr>
        <w:t>采购人：</w:t>
      </w:r>
      <w:r>
        <w:rPr>
          <w:b/>
          <w:sz w:val="24"/>
        </w:rPr>
        <w:t>中山大学附属第六医院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中山大学附属第六医院</w:t>
      </w:r>
      <w:r>
        <w:rPr/>
        <w:t>的委托，采用</w:t>
      </w:r>
      <w:r>
        <w:rPr/>
        <w:t>公开招标</w:t>
      </w:r>
      <w:r>
        <w:rPr/>
        <w:t>方式组织采购</w:t>
      </w:r>
      <w:r>
        <w:rPr/>
        <w:t>中山大学附属第六医院2024年度医疗责任保险服务项目</w:t>
      </w:r>
      <w:r>
        <w:rPr/>
        <w:t>。欢迎符合资格条件的国内供应商参加投标。</w:t>
      </w:r>
    </w:p>
    <w:p>
      <w:r>
        <w:rPr>
          <w:b/>
          <w:sz w:val="28"/>
        </w:rPr>
        <w:t>一.项目概述</w:t>
      </w:r>
    </w:p>
    <w:p>
      <w:r>
        <w:rPr>
          <w:b/>
          <w:sz w:val="24"/>
        </w:rPr>
        <w:t>1.名称与编号</w:t>
      </w:r>
    </w:p>
    <w:p>
      <w:pPr>
        <w:ind w:firstLine="480"/>
      </w:pPr>
      <w:r>
        <w:rPr/>
        <w:t>项目名称：</w:t>
      </w:r>
      <w:r>
        <w:rPr/>
        <w:t>中山大学附属第六医院2024年度医疗责任保险服务项目</w:t>
      </w:r>
    </w:p>
    <w:p>
      <w:pPr>
        <w:ind w:firstLine="480"/>
      </w:pPr>
      <w:r>
        <w:rPr/>
        <w:t>采购计划编号：</w:t>
      </w:r>
      <w:r>
        <w:rPr/>
        <w:t>440001-2024-01691</w:t>
      </w:r>
    </w:p>
    <w:p>
      <w:pPr>
        <w:ind w:firstLine="480"/>
      </w:pPr>
      <w:r>
        <w:rPr/>
        <w:t>采购项目编号：</w:t>
      </w:r>
      <w:r>
        <w:rPr/>
        <w:t>GZGK23P316C1027Z</w:t>
      </w:r>
    </w:p>
    <w:p>
      <w:pPr>
        <w:ind w:firstLine="480"/>
      </w:pPr>
      <w:r>
        <w:rPr/>
        <w:t>采购方式：</w:t>
      </w:r>
      <w:r>
        <w:rPr/>
        <w:t>公开招标</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采购包1(2024年度医疗责任保险服务):</w:t>
      </w:r>
    </w:p>
    <w:p>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其他保险服务</w:t>
            </w:r>
          </w:p>
        </w:tc>
        <w:tc>
          <w:tcPr>
            <w:tcW w:type="dxa" w:w="2136"/>
          </w:tcPr>
          <w:p>
            <w:r>
              <w:rPr/>
              <w:t>2024年度医疗责任保险服务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2）有依法缴纳税收和社会保障资金的良好记录：提供书面承诺函（格式自拟）。</w:t>
      </w:r>
    </w:p>
    <w:p/>
    <w:p>
      <w:r>
        <w:rPr/>
        <w:t>3）具有良好的商业信誉和健全的财务会计制度：提供书面承诺函（格式自拟）。</w:t>
      </w:r>
    </w:p>
    <w:p/>
    <w:p>
      <w:r>
        <w:rPr/>
        <w:t>4）履行合同所必需的设备和专业技术能力：提供书面承诺函（格式自拟）或具有履行合同所必需的设备和专业技术能力的其他证明材料。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采购包1（2024年度医疗责任保险服务）：</w:t>
      </w:r>
      <w:r>
        <w:rPr/>
        <w:t>本采购包不属于专门面向中小企业采购的项目。</w:t>
      </w:r>
    </w:p>
    <w:p/>
    <w:p>
      <w:r>
        <w:rPr>
          <w:b/>
          <w:sz w:val="24"/>
        </w:rPr>
        <w:t>3.本项目特定的资格要求：</w:t>
      </w:r>
    </w:p>
    <w:p>
      <w:pPr>
        <w:ind w:firstLine="480"/>
      </w:pPr>
    </w:p>
    <w:p/>
    <w:p>
      <w:r>
        <w:rPr/>
        <w:t>采购包1（2024年度医疗责任保险服务）：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投标人必须为经国家保险监督管理机构批准在中华人民共和国境内设立和营业的，并依法被核定许可经营责任保险业务的保险公司或其分支机构。需提供有效的《经营保险业务许可证》或《保险许可证》（如国家另有规定，则适用其规定）</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中山大学附属第六医院</w:t>
      </w:r>
    </w:p>
    <w:p>
      <w:pPr>
        <w:ind w:firstLine="480"/>
      </w:pPr>
      <w:r>
        <w:rPr/>
        <w:t>地址：</w:t>
      </w:r>
      <w:r>
        <w:rPr/>
        <w:t>广州天河区员村二横路26号</w:t>
      </w:r>
    </w:p>
    <w:p>
      <w:pPr>
        <w:ind w:firstLine="480"/>
      </w:pPr>
      <w:r>
        <w:rPr/>
        <w:t>联系方式：</w:t>
      </w:r>
      <w:r>
        <w:rPr/>
        <w:t>李老师，020-38254010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020-31603842、020-87688049</w:t>
      </w:r>
    </w:p>
    <w:p>
      <w:r>
        <w:rPr>
          <w:b/>
          <w:sz w:val="24"/>
        </w:rPr>
        <w:t>3.项目联系方式</w:t>
      </w:r>
    </w:p>
    <w:p>
      <w:pPr>
        <w:ind w:firstLine="480"/>
      </w:pPr>
      <w:r>
        <w:rPr/>
        <w:t>项目联系人：</w:t>
      </w:r>
      <w:r>
        <w:rPr/>
        <w:t>李国晨、陈蔚</w:t>
      </w:r>
    </w:p>
    <w:p>
      <w:pPr>
        <w:ind w:firstLine="480"/>
      </w:pPr>
      <w:r>
        <w:rPr/>
        <w:t>电话：</w:t>
      </w:r>
      <w:r>
        <w:rPr/>
        <w:t>020-31603842、020-87688049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w:t>
      </w:r>
      <w:r>
        <w:rPr>
          <w:b/>
          <w:sz w:val="21"/>
        </w:rPr>
        <w:t>项目编号：</w:t>
      </w:r>
      <w:r>
        <w:rPr>
          <w:sz w:val="21"/>
        </w:rPr>
        <w:t>GZGK23P316C1027Z</w:t>
      </w:r>
    </w:p>
    <w:p>
      <w:r>
        <w:rPr>
          <w:b/>
          <w:sz w:val="21"/>
        </w:rPr>
        <w:t>（二）</w:t>
      </w:r>
      <w:r>
        <w:rPr>
          <w:b/>
          <w:sz w:val="21"/>
        </w:rPr>
        <w:t>项目名称：</w:t>
      </w:r>
      <w:r>
        <w:rPr>
          <w:sz w:val="21"/>
        </w:rPr>
        <w:t>中山大学附属第六医院</w:t>
      </w:r>
      <w:r>
        <w:rPr>
          <w:sz w:val="21"/>
        </w:rPr>
        <w:t>2024</w:t>
      </w:r>
      <w:r>
        <w:rPr>
          <w:sz w:val="21"/>
        </w:rPr>
        <w:t>年度医疗责任保险服务项目</w:t>
      </w:r>
    </w:p>
    <w:p>
      <w:r>
        <w:rPr>
          <w:b/>
          <w:sz w:val="21"/>
        </w:rPr>
        <w:t>（三）</w:t>
      </w:r>
      <w:r>
        <w:rPr>
          <w:sz w:val="21"/>
        </w:rPr>
        <w:t>总体要求说明：</w:t>
      </w:r>
    </w:p>
    <w:p>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r>
        <w:rPr>
          <w:sz w:val="21"/>
        </w:rPr>
        <w:t>2、</w:t>
      </w:r>
      <w:r>
        <w:rPr>
          <w:sz w:val="21"/>
        </w:rPr>
        <w:t>标有</w:t>
      </w:r>
      <w:r>
        <w:rPr>
          <w:sz w:val="21"/>
        </w:rPr>
        <w:t>“▲”的条款为重要性要求，投标人如有“▲”的条款未响应或负偏离的将被严重扣分。</w:t>
      </w:r>
    </w:p>
    <w:p>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r>
        <w:rPr>
          <w:sz w:val="21"/>
        </w:rPr>
        <w:t>4、</w:t>
      </w:r>
      <w:r>
        <w:rPr>
          <w:sz w:val="21"/>
        </w:rPr>
        <w:t>投标人没有在投标文件中注明偏离（文字说明或在响应表注明）的条款视为被投标人完全接受。</w:t>
      </w:r>
    </w:p>
    <w:p>
      <w:r>
        <w:rPr>
          <w:sz w:val="21"/>
        </w:rPr>
        <w:t>5、</w:t>
      </w:r>
      <w:r>
        <w:rPr>
          <w:sz w:val="21"/>
        </w:rPr>
        <w:t>投标人应保证，采购人在中华人民共和国使用该服务或服务的任何一部分时，免受第三方提出的侵犯其专利权、商标权、著作权或其它知识产权的起诉。</w:t>
      </w:r>
    </w:p>
    <w:p>
      <w:r>
        <w:rPr>
          <w:sz w:val="21"/>
        </w:rPr>
        <w:t>6、</w:t>
      </w:r>
      <w:r>
        <w:rPr>
          <w:sz w:val="21"/>
        </w:rPr>
        <w:t>不允许中标供应商</w:t>
      </w:r>
      <w:r>
        <w:rPr>
          <w:sz w:val="21"/>
        </w:rPr>
        <w:t>转包、分包项目内容</w:t>
      </w:r>
      <w:r>
        <w:rPr>
          <w:sz w:val="21"/>
        </w:rPr>
        <w:t>。</w:t>
      </w:r>
    </w:p>
    <w:p>
      <w:r>
        <w:rPr>
          <w:sz w:val="21"/>
        </w:rPr>
        <w:t>7、</w:t>
      </w:r>
      <w:r>
        <w:rPr>
          <w:sz w:val="21"/>
        </w:rPr>
        <w:t>小型和微型企业、监狱企业和残疾人福利性单位必须按照招标</w:t>
      </w:r>
      <w:r>
        <w:rPr>
          <w:sz w:val="21"/>
        </w:rPr>
        <w:t>文件第三章</w:t>
      </w:r>
      <w:r>
        <w:rPr>
          <w:sz w:val="21"/>
        </w:rPr>
        <w:t>的内容提供相应的资料。</w:t>
      </w:r>
    </w:p>
    <w:p>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r>
        <w:rPr>
          <w:b/>
          <w:sz w:val="21"/>
        </w:rPr>
        <w:t>（四）</w:t>
      </w:r>
      <w:r>
        <w:rPr>
          <w:sz w:val="21"/>
        </w:rPr>
        <w:t>其他说明：</w:t>
      </w:r>
    </w:p>
    <w:p>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r>
        <w:rPr>
          <w:sz w:val="21"/>
        </w:rPr>
        <w:t>2、</w:t>
      </w:r>
      <w:r>
        <w:rPr>
          <w:sz w:val="21"/>
        </w:rPr>
        <w:t>纸质投标文件邮寄地址（邮寄地址：</w:t>
      </w:r>
      <w:r>
        <w:rPr>
          <w:sz w:val="21"/>
        </w:rPr>
        <w:t>广州市先烈中路</w:t>
      </w:r>
      <w:r>
        <w:rPr>
          <w:sz w:val="21"/>
        </w:rPr>
        <w:t>100号科学院大院9号楼东座2楼（中国广州分析测试中心对面）</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r>
        <w:rPr>
          <w:sz w:val="21"/>
        </w:rPr>
        <w:t>3、</w:t>
      </w:r>
      <w:r>
        <w:rPr>
          <w:sz w:val="21"/>
        </w:rPr>
        <w:t>供应商电脑需提前安装</w:t>
      </w:r>
      <w:r>
        <w:rPr>
          <w:sz w:val="21"/>
        </w:rPr>
        <w:t>CA</w:t>
      </w:r>
      <w:r>
        <w:rPr>
          <w:sz w:val="21"/>
        </w:rPr>
        <w:t>签章客户端，并运行</w:t>
      </w:r>
      <w:r>
        <w:rPr>
          <w:sz w:val="21"/>
        </w:rPr>
        <w:t>CA</w:t>
      </w:r>
      <w:r>
        <w:rPr>
          <w:sz w:val="21"/>
        </w:rPr>
        <w:t>证书。</w:t>
      </w:r>
    </w:p>
    <w:p>
      <w:r>
        <w:rPr>
          <w:sz w:val="21"/>
        </w:rPr>
        <w:t>4、</w:t>
      </w:r>
      <w:r>
        <w:rPr>
          <w:sz w:val="21"/>
        </w:rPr>
        <w:t>请各投标人在编制投标文件时注意，涉及到签字或签章的地方，请按要求签字或签章后再上传系统。投标文件加密前请注意所有需要签字、签章、盖章的地方是否齐全无缺漏。请保管好</w:t>
      </w:r>
      <w:r>
        <w:rPr>
          <w:sz w:val="21"/>
        </w:rPr>
        <w:t>CA</w:t>
      </w:r>
      <w:r>
        <w:rPr>
          <w:sz w:val="21"/>
        </w:rPr>
        <w:t>证书的密码，如遗忘，请及时重置，以免影响投标文件的解密。</w:t>
      </w:r>
    </w:p>
    <w:p>
      <w:r>
        <w:rPr>
          <w:b/>
          <w:sz w:val="21"/>
        </w:rPr>
        <w:t>（五）</w:t>
      </w:r>
      <w:r>
        <w:rPr>
          <w:sz w:val="21"/>
        </w:rPr>
        <w:t>投标</w:t>
      </w:r>
      <w:r>
        <w:rPr>
          <w:sz w:val="21"/>
        </w:rPr>
        <w:t>报价说明：</w:t>
      </w:r>
    </w:p>
    <w:p>
      <w:pPr>
        <w:jc w:val="both"/>
      </w:pPr>
      <w:r>
        <w:rPr>
          <w:sz w:val="21"/>
        </w:rPr>
        <w:t>1</w:t>
      </w:r>
      <w:r>
        <w:rPr>
          <w:sz w:val="21"/>
        </w:rPr>
        <w:t>、本项目价格为包干价。投标人按采购文件的要求内容整体报价。</w:t>
      </w:r>
    </w:p>
    <w:p>
      <w:pPr>
        <w:jc w:val="both"/>
      </w:pPr>
      <w:r>
        <w:rPr>
          <w:sz w:val="21"/>
        </w:rPr>
        <w:t>2</w:t>
      </w:r>
      <w:r>
        <w:rPr>
          <w:sz w:val="21"/>
        </w:rPr>
        <w:t>、报价应包含：实施服务费、物料费用、人员劳务费、税费、交通费等在项目实施过程中的全部费用。投标人报价中漏报、少报的费用，视为此项费用已隐含在投标报价中，确定采购结果后不得再向采购人收取任何费用。</w:t>
      </w:r>
    </w:p>
    <w:p>
      <w:r>
        <w:rPr>
          <w:b/>
          <w:sz w:val="21"/>
        </w:rPr>
        <w:t>（六）</w:t>
      </w:r>
      <w:r>
        <w:rPr>
          <w:sz w:val="21"/>
        </w:rPr>
        <w:t>实现的目标</w:t>
      </w:r>
    </w:p>
    <w:p>
      <w:pPr>
        <w:jc w:val="both"/>
      </w:pPr>
      <w:r>
        <w:rPr>
          <w:sz w:val="21"/>
        </w:rPr>
        <w:t>在服务期内为采购人所有（各类）医务人员在诊疗护理活动过程中的执业过失，</w:t>
      </w:r>
      <w:r>
        <w:rPr>
          <w:sz w:val="21"/>
        </w:rPr>
        <w:t>包括但不限于</w:t>
      </w:r>
      <w:r>
        <w:rPr>
          <w:sz w:val="21"/>
        </w:rPr>
        <w:t>医疗机构的场所责任、医务人员因医疗纠纷遭受人身伤害等原因导致的赔偿责任予以承保。</w:t>
      </w:r>
    </w:p>
    <w:p>
      <w:r>
        <w:rPr>
          <w:b/>
          <w:sz w:val="21"/>
        </w:rPr>
        <w:t>（七）</w:t>
      </w:r>
      <w:r>
        <w:rPr>
          <w:sz w:val="21"/>
        </w:rPr>
        <w:t>需执行国家相关标准、行业标准、地方标准或者其他标准、规范</w:t>
      </w:r>
      <w:r>
        <w:rPr>
          <w:sz w:val="21"/>
        </w:rPr>
        <w:t>。</w:t>
      </w:r>
    </w:p>
    <w:p/>
    <w:p>
      <w:pPr>
        <w:ind w:firstLine="480"/>
      </w:pPr>
    </w:p>
    <w:p/>
    <w:p>
      <w:r>
        <w:rPr/>
        <w:t>采购包1（2024年度医疗责任保险服务）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1年，保险服务期限为自签订合同约定的保险期间开始之时起计算1年或累计责任限额用完为止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1期：支付比例100%,合同签订生效后且中标供应商提供相关发票后30个工作日内，采购人向中标供应商支付合同费用的 100% 。款项支付时，中标供应商同时向采购人提供相应金额的税务发票等请款资料。</w:t>
            </w:r>
          </w:p>
        </w:tc>
      </w:tr>
      <w:tr>
        <w:tc>
          <w:tcPr>
            <w:tcW w:type="dxa" w:w="4153"/>
          </w:tcPr>
          <w:p>
            <w:r>
              <w:rPr/>
              <w:t>验收要求</w:t>
            </w:r>
          </w:p>
        </w:tc>
        <w:tc>
          <w:tcPr>
            <w:tcW w:type="dxa" w:w="4153"/>
          </w:tcPr>
          <w:p/>
          <w:p/>
          <w:p/>
          <w:p>
            <w:r>
              <w:rPr/>
              <w:t>1期：1. 验收标准：按照需求完成所有服务内容。 2. 验收方式：项目服务期满后，由中标供应商提出项目验收申请，采购人组织验收工作，依国家有关标准、合同的约定对中标供应商提供的服务进行验收，若中标供应商提供的服务与要求不符，将在中标供应商改进服务后重新组织验收。 3. 验收期限：采购人应当在收到中标供应商提出项目验收申请之日7日内按照合同的约定对履约情况进行验收，对每一项技术、服务的履约情况进行确认。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（一）日常服务响应，中标供应商应提供7*24小时响应服务（含节假日）。</w:t>
            </w:r>
          </w:p>
          <w:p/>
          <w:p>
            <w:r>
              <w:rPr/>
              <w:t>▲（二）理赔服务响应要求，收到采购人理赔资料后，在15个工作日内做出赔付。</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其他保险服务</w:t>
            </w:r>
          </w:p>
        </w:tc>
        <w:tc>
          <w:tcPr>
            <w:tcW w:type="dxa" w:w="933"/>
          </w:tcPr>
          <w:p>
            <w:pPr>
              <w:jc w:val="left"/>
            </w:pPr>
            <w:r>
              <w:rPr/>
              <w:t>2024年度医疗责任保险服务</w:t>
            </w:r>
          </w:p>
        </w:tc>
        <w:tc>
          <w:tcPr>
            <w:tcW w:type="dxa" w:w="933"/>
          </w:tcPr>
          <w:p>
            <w:pPr>
              <w:jc w:val="left"/>
            </w:pPr>
            <w:r>
              <w:rPr/>
              <w:t>项</w:t>
            </w:r>
          </w:p>
        </w:tc>
        <w:tc>
          <w:tcPr>
            <w:tcW w:type="dxa" w:w="933"/>
          </w:tcPr>
          <w:p>
            <w:pPr>
              <w:jc w:val="right"/>
            </w:pPr>
            <w:r>
              <w:rPr/>
              <w:t>1.00</w:t>
            </w:r>
          </w:p>
        </w:tc>
        <w:tc>
          <w:tcPr>
            <w:tcW w:type="dxa" w:w="933"/>
          </w:tcPr>
          <w:p>
            <w:pPr>
              <w:jc w:val="right"/>
            </w:pPr>
            <w:r>
              <w:rPr/>
              <w:t>2,000,000.00</w:t>
            </w:r>
          </w:p>
        </w:tc>
        <w:tc>
          <w:tcPr>
            <w:tcW w:type="dxa" w:w="933"/>
          </w:tcPr>
          <w:p>
            <w:pPr>
              <w:jc w:val="right"/>
            </w:pPr>
            <w:r>
              <w:rPr/>
              <w:t>2,000,000.00</w:t>
            </w:r>
          </w:p>
        </w:tc>
        <w:tc>
          <w:tcPr>
            <w:tcW w:type="dxa" w:w="840"/>
          </w:tcPr>
          <w:p>
            <w:r>
              <w:rPr/>
              <w:t>金融业</w:t>
            </w:r>
          </w:p>
        </w:tc>
        <w:tc>
          <w:tcPr>
            <w:tcW w:type="dxa" w:w="933"/>
          </w:tcPr>
          <w:p>
            <w:r>
              <w:rPr/>
              <w:t>详见附表一</w:t>
            </w:r>
          </w:p>
        </w:tc>
      </w:tr>
    </w:tbl>
    <w:p/>
    <w:p>
      <w:r>
        <w:rPr>
          <w:b/>
        </w:rPr>
        <w:t>附表</w:t>
      </w:r>
      <w:r>
        <w:rPr>
          <w:b/>
        </w:rPr>
        <w:t>一</w:t>
      </w:r>
      <w:r>
        <w:rPr>
          <w:b/>
        </w:rPr>
        <w:t>：</w:t>
      </w:r>
      <w:r>
        <w:rPr>
          <w:b/>
        </w:rPr>
        <w:t>2024年度医疗责任保险服务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项目</w:t>
            </w:r>
            <w:r>
              <w:rPr>
                <w:sz w:val="21"/>
              </w:rPr>
              <w:t>概况</w:t>
            </w:r>
          </w:p>
          <w:p>
            <w:pPr>
              <w:jc w:val="both"/>
            </w:pPr>
            <w:r>
              <w:rPr>
                <w:sz w:val="21"/>
              </w:rPr>
              <w:t>1</w:t>
            </w:r>
            <w:r>
              <w:rPr>
                <w:sz w:val="21"/>
              </w:rPr>
              <w:t>、</w:t>
            </w:r>
            <w:r>
              <w:rPr>
                <w:sz w:val="21"/>
              </w:rPr>
              <w:t>中山大学附属第六医院为三级甲等公立医疗机构，编制床位数</w:t>
            </w:r>
            <w:r>
              <w:rPr>
                <w:sz w:val="21"/>
              </w:rPr>
              <w:t>1202</w:t>
            </w:r>
            <w:r>
              <w:rPr>
                <w:sz w:val="21"/>
              </w:rPr>
              <w:t>床，目前职工人数约</w:t>
            </w:r>
            <w:r>
              <w:rPr>
                <w:sz w:val="21"/>
              </w:rPr>
              <w:t>2</w:t>
            </w:r>
            <w:r>
              <w:rPr>
                <w:sz w:val="21"/>
              </w:rPr>
              <w:t>474</w:t>
            </w:r>
            <w:r>
              <w:rPr>
                <w:sz w:val="21"/>
              </w:rPr>
              <w:t>人，其中医护</w:t>
            </w:r>
            <w:r>
              <w:rPr>
                <w:sz w:val="21"/>
              </w:rPr>
              <w:t>技药</w:t>
            </w:r>
            <w:r>
              <w:rPr>
                <w:sz w:val="21"/>
              </w:rPr>
              <w:t>人员</w:t>
            </w:r>
            <w:r>
              <w:rPr>
                <w:sz w:val="21"/>
              </w:rPr>
              <w:t>2079</w:t>
            </w:r>
            <w:r>
              <w:rPr>
                <w:sz w:val="21"/>
              </w:rPr>
              <w:t>人，进修人员</w:t>
            </w:r>
            <w:r>
              <w:rPr>
                <w:sz w:val="21"/>
              </w:rPr>
              <w:t>58</w:t>
            </w:r>
            <w:r>
              <w:rPr>
                <w:sz w:val="21"/>
              </w:rPr>
              <w:t>人，实习生</w:t>
            </w:r>
            <w:r>
              <w:rPr>
                <w:sz w:val="21"/>
              </w:rPr>
              <w:t>337</w:t>
            </w:r>
            <w:r>
              <w:rPr>
                <w:sz w:val="21"/>
              </w:rPr>
              <w:t>人。近一年度手术总人数</w:t>
            </w:r>
            <w:r>
              <w:rPr>
                <w:sz w:val="21"/>
              </w:rPr>
              <w:t>85650</w:t>
            </w:r>
            <w:r>
              <w:rPr>
                <w:sz w:val="21"/>
              </w:rPr>
              <w:t>人</w:t>
            </w:r>
            <w:r>
              <w:rPr>
                <w:sz w:val="21"/>
              </w:rPr>
              <w:t>，总诊疗人次为</w:t>
            </w:r>
            <w:r>
              <w:rPr>
                <w:sz w:val="21"/>
              </w:rPr>
              <w:t>1601171</w:t>
            </w:r>
            <w:r>
              <w:rPr>
                <w:sz w:val="21"/>
              </w:rPr>
              <w:t>。为妥善处理医疗纠纷事宜，确保</w:t>
            </w:r>
            <w:r>
              <w:rPr>
                <w:sz w:val="21"/>
              </w:rPr>
              <w:t>采购人</w:t>
            </w:r>
            <w:r>
              <w:rPr>
                <w:sz w:val="21"/>
              </w:rPr>
              <w:t>医疗安全，</w:t>
            </w:r>
            <w:r>
              <w:rPr>
                <w:sz w:val="21"/>
              </w:rPr>
              <w:t>中标供应商</w:t>
            </w:r>
            <w:r>
              <w:rPr>
                <w:sz w:val="21"/>
              </w:rPr>
              <w:t>为</w:t>
            </w:r>
            <w:r>
              <w:rPr>
                <w:sz w:val="21"/>
              </w:rPr>
              <w:t>采购人</w:t>
            </w:r>
            <w:r>
              <w:rPr>
                <w:sz w:val="21"/>
              </w:rPr>
              <w:t>2024</w:t>
            </w:r>
            <w:r>
              <w:rPr>
                <w:sz w:val="21"/>
              </w:rPr>
              <w:t>年度</w:t>
            </w:r>
            <w:r>
              <w:rPr>
                <w:sz w:val="21"/>
              </w:rPr>
              <w:t>医疗责任保险</w:t>
            </w:r>
            <w:r>
              <w:rPr>
                <w:sz w:val="21"/>
              </w:rPr>
              <w:t>服务</w:t>
            </w:r>
            <w:r>
              <w:rPr>
                <w:sz w:val="21"/>
              </w:rPr>
              <w:t>项目的保险提供方。</w:t>
            </w:r>
          </w:p>
          <w:p>
            <w:pPr>
              <w:jc w:val="both"/>
            </w:pPr>
            <w:r>
              <w:rPr>
                <w:sz w:val="21"/>
              </w:rPr>
              <w:t>二、项目服务要求、内容</w:t>
            </w:r>
          </w:p>
          <w:p>
            <w:pPr>
              <w:jc w:val="both"/>
            </w:pPr>
            <w:r>
              <w:rPr>
                <w:sz w:val="21"/>
              </w:rPr>
              <w:t>1</w:t>
            </w:r>
            <w:r>
              <w:rPr>
                <w:sz w:val="21"/>
              </w:rPr>
              <w:t>、保险期限：</w:t>
            </w:r>
            <w:r>
              <w:rPr>
                <w:sz w:val="21"/>
              </w:rPr>
              <w:t>1</w:t>
            </w:r>
            <w:r>
              <w:rPr>
                <w:sz w:val="21"/>
              </w:rPr>
              <w:t>年，保险服务期限为自签订合同约定的保险期间开始之时起计算一年或累计责任限额用完为止。</w:t>
            </w:r>
          </w:p>
          <w:p>
            <w:pPr>
              <w:jc w:val="both"/>
            </w:pPr>
            <w:r>
              <w:rPr>
                <w:sz w:val="21"/>
              </w:rPr>
              <w:t>▲</w:t>
            </w:r>
            <w:r>
              <w:rPr>
                <w:sz w:val="21"/>
              </w:rPr>
              <w:t>2</w:t>
            </w:r>
            <w:r>
              <w:rPr>
                <w:sz w:val="21"/>
              </w:rPr>
              <w:t>、</w:t>
            </w:r>
            <w:r>
              <w:rPr>
                <w:sz w:val="21"/>
              </w:rPr>
              <w:t>中标供应商在服务期内为采购人所有（各类）医务人员在诊疗护理活动过程中的执业过失，包括但不限于医疗机构的场所责任、医务人员</w:t>
            </w:r>
            <w:r>
              <w:rPr>
                <w:sz w:val="21"/>
              </w:rPr>
              <w:t>因医疗纠纷遭受人身伤害原因导致的赔偿责任予以承保。（投标人需提供书面承诺函）</w:t>
            </w:r>
          </w:p>
          <w:p>
            <w:pPr>
              <w:jc w:val="both"/>
            </w:pPr>
            <w:r>
              <w:rPr>
                <w:sz w:val="21"/>
              </w:rPr>
              <w:t>▲</w:t>
            </w:r>
            <w:r>
              <w:rPr>
                <w:sz w:val="21"/>
              </w:rPr>
              <w:t>3</w:t>
            </w:r>
            <w:r>
              <w:rPr>
                <w:sz w:val="21"/>
              </w:rPr>
              <w:t>、医疗责任保险具体包括以下内容：</w:t>
            </w:r>
          </w:p>
          <w:tbl>
            <w:tblPr>
              <w:tblBorders>
                <w:top w:val="none" w:color="000000" w:sz="4"/>
                <w:left w:val="none" w:color="000000" w:sz="4"/>
                <w:bottom w:val="none" w:color="000000" w:sz="4"/>
                <w:right w:val="none" w:color="000000" w:sz="4"/>
                <w:insideH w:val="none"/>
                <w:insideV w:val="none"/>
              </w:tblBorders>
            </w:tblPr>
            <w:tblGrid>
              <w:gridCol w:w="2141"/>
              <w:gridCol w:w="3457"/>
            </w:tblGrid>
            <w:tr>
              <w:tc>
                <w:tcPr>
                  <w:tcW w:type="dxa" w:w="5598"/>
                  <w:gridSpan w:val="2"/>
                  <w:tcBorders>
                    <w:top w:val="single" w:color="000000" w:sz="4"/>
                    <w:left w:val="single" w:color="000000" w:sz="4"/>
                    <w:bottom w:val="single" w:color="000000" w:sz="4"/>
                    <w:right w:val="single" w:color="000000" w:sz="4"/>
                  </w:tcBorders>
                  <w:shd w:fill="FFFFFF"/>
                  <w:vAlign w:val="top"/>
                </w:tcPr>
                <w:p>
                  <w:pPr>
                    <w:jc w:val="both"/>
                  </w:pPr>
                  <w:r>
                    <w:rPr>
                      <w:sz w:val="21"/>
                    </w:rPr>
                    <w:t>一、主险部分</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医疗责任保险赔偿限额</w:t>
                  </w:r>
                </w:p>
              </w:tc>
              <w:tc>
                <w:tcPr>
                  <w:tcW w:type="dxa" w:w="3457"/>
                  <w:tcBorders>
                    <w:top w:val="single" w:color="000000" w:sz="4"/>
                    <w:left w:val="none" w:color="000000" w:sz="4"/>
                    <w:bottom w:val="single" w:color="000000" w:sz="4"/>
                    <w:right w:val="single" w:color="000000" w:sz="4"/>
                  </w:tcBorders>
                  <w:shd w:fill="FFFFFF"/>
                  <w:vAlign w:val="top"/>
                </w:tcPr>
                <w:p>
                  <w:pPr>
                    <w:jc w:val="both"/>
                  </w:pPr>
                  <w:r>
                    <w:rPr>
                      <w:sz w:val="21"/>
                    </w:rPr>
                    <w:t>每人责任限额：</w:t>
                  </w:r>
                  <w:r>
                    <w:rPr>
                      <w:sz w:val="21"/>
                    </w:rPr>
                    <w:t>80</w:t>
                  </w:r>
                  <w:r>
                    <w:rPr>
                      <w:sz w:val="21"/>
                    </w:rPr>
                    <w:t>万元及以上。</w:t>
                  </w:r>
                </w:p>
                <w:p>
                  <w:pPr>
                    <w:jc w:val="both"/>
                  </w:pPr>
                  <w:r>
                    <w:rPr>
                      <w:sz w:val="21"/>
                    </w:rPr>
                    <w:t>年度累计责任限额：</w:t>
                  </w:r>
                  <w:r>
                    <w:rPr>
                      <w:sz w:val="21"/>
                    </w:rPr>
                    <w:t>300</w:t>
                  </w:r>
                  <w:r>
                    <w:rPr>
                      <w:sz w:val="21"/>
                    </w:rPr>
                    <w:t>万元及以上。</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免赔条件</w:t>
                  </w:r>
                </w:p>
              </w:tc>
              <w:tc>
                <w:tcPr>
                  <w:tcW w:type="dxa" w:w="3457"/>
                  <w:tcBorders>
                    <w:top w:val="none" w:color="000000" w:sz="4"/>
                    <w:left w:val="none" w:color="000000" w:sz="4"/>
                    <w:bottom w:val="single" w:color="000000" w:sz="4"/>
                    <w:right w:val="single" w:color="000000" w:sz="4"/>
                  </w:tcBorders>
                  <w:shd w:fill="FFFFFF"/>
                  <w:vAlign w:val="top"/>
                </w:tcPr>
                <w:p>
                  <w:pPr>
                    <w:jc w:val="both"/>
                  </w:pPr>
                  <w:r>
                    <w:rPr>
                      <w:sz w:val="21"/>
                    </w:rPr>
                    <w:t>每次事故免赔额：</w:t>
                  </w:r>
                  <w:r>
                    <w:rPr>
                      <w:sz w:val="21"/>
                    </w:rPr>
                    <w:t>0</w:t>
                  </w:r>
                  <w:r>
                    <w:rPr>
                      <w:sz w:val="21"/>
                    </w:rPr>
                    <w:t>元</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精神损害赔偿限额</w:t>
                  </w:r>
                </w:p>
              </w:tc>
              <w:tc>
                <w:tcPr>
                  <w:tcW w:type="dxa" w:w="3457"/>
                  <w:tcBorders>
                    <w:top w:val="none" w:color="000000" w:sz="4"/>
                    <w:left w:val="none" w:color="000000" w:sz="4"/>
                    <w:bottom w:val="single" w:color="000000" w:sz="4"/>
                    <w:right w:val="single" w:color="000000" w:sz="4"/>
                  </w:tcBorders>
                  <w:shd w:fill="FFFFFF"/>
                  <w:vAlign w:val="top"/>
                </w:tcPr>
                <w:p>
                  <w:pPr>
                    <w:jc w:val="both"/>
                  </w:pPr>
                  <w:r>
                    <w:rPr>
                      <w:sz w:val="21"/>
                    </w:rPr>
                    <w:t>由投标人自主申报</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法律费用赔偿限额</w:t>
                  </w:r>
                </w:p>
              </w:tc>
              <w:tc>
                <w:tcPr>
                  <w:tcW w:type="dxa" w:w="3457"/>
                  <w:tcBorders>
                    <w:top w:val="none" w:color="000000" w:sz="4"/>
                    <w:left w:val="none" w:color="000000" w:sz="4"/>
                    <w:bottom w:val="single" w:color="000000" w:sz="4"/>
                    <w:right w:val="single" w:color="000000" w:sz="4"/>
                  </w:tcBorders>
                  <w:shd w:fill="FFFFFF"/>
                  <w:vAlign w:val="top"/>
                </w:tcPr>
                <w:p>
                  <w:pPr>
                    <w:jc w:val="both"/>
                  </w:pPr>
                  <w:r>
                    <w:rPr>
                      <w:sz w:val="21"/>
                    </w:rPr>
                    <w:t>由投标人自主申报</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追溯期</w:t>
                  </w:r>
                </w:p>
              </w:tc>
              <w:tc>
                <w:tcPr>
                  <w:tcW w:type="dxa" w:w="3457"/>
                  <w:tcBorders>
                    <w:top w:val="none" w:color="000000" w:sz="4"/>
                    <w:left w:val="none" w:color="000000" w:sz="4"/>
                    <w:bottom w:val="single" w:color="000000" w:sz="4"/>
                    <w:right w:val="single" w:color="000000" w:sz="4"/>
                  </w:tcBorders>
                  <w:shd w:fill="FFFFFF"/>
                  <w:vAlign w:val="top"/>
                </w:tcPr>
                <w:p>
                  <w:pPr>
                    <w:jc w:val="both"/>
                  </w:pPr>
                  <w:r>
                    <w:rPr>
                      <w:sz w:val="21"/>
                    </w:rPr>
                    <w:t>由投标人自主申报</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承保基础</w:t>
                  </w:r>
                </w:p>
              </w:tc>
              <w:tc>
                <w:tcPr>
                  <w:tcW w:type="dxa" w:w="3457"/>
                  <w:tcBorders>
                    <w:top w:val="none" w:color="000000" w:sz="4"/>
                    <w:left w:val="none" w:color="000000" w:sz="4"/>
                    <w:bottom w:val="single" w:color="000000" w:sz="4"/>
                    <w:right w:val="single" w:color="000000" w:sz="4"/>
                  </w:tcBorders>
                  <w:shd w:fill="FFFFFF"/>
                  <w:vAlign w:val="top"/>
                </w:tcPr>
                <w:p>
                  <w:pPr>
                    <w:jc w:val="both"/>
                  </w:pPr>
                  <w:r>
                    <w:rPr>
                      <w:sz w:val="21"/>
                    </w:rPr>
                    <w:t>期内索赔制</w:t>
                  </w:r>
                </w:p>
              </w:tc>
            </w:tr>
            <w:tr>
              <w:tc>
                <w:tcPr>
                  <w:tcW w:type="dxa" w:w="5598"/>
                  <w:gridSpan w:val="2"/>
                  <w:tcBorders>
                    <w:top w:val="none" w:color="000000" w:sz="4"/>
                    <w:left w:val="single" w:color="000000" w:sz="4"/>
                    <w:bottom w:val="single" w:color="000000" w:sz="4"/>
                    <w:right w:val="single" w:color="000000" w:sz="4"/>
                  </w:tcBorders>
                  <w:shd w:fill="FFFFFF"/>
                  <w:vAlign w:val="top"/>
                </w:tcPr>
                <w:p>
                  <w:pPr>
                    <w:jc w:val="both"/>
                  </w:pPr>
                  <w:r>
                    <w:rPr>
                      <w:sz w:val="21"/>
                    </w:rPr>
                    <w:t>二、附加险部分</w:t>
                  </w:r>
                </w:p>
              </w:tc>
            </w:tr>
            <w:tr>
              <w:tc>
                <w:tcPr>
                  <w:tcW w:type="dxa" w:w="5598"/>
                  <w:gridSpan w:val="2"/>
                  <w:tcBorders>
                    <w:top w:val="none" w:color="000000" w:sz="4"/>
                    <w:left w:val="single" w:color="000000" w:sz="4"/>
                    <w:bottom w:val="single" w:color="000000" w:sz="4"/>
                    <w:right w:val="single" w:color="000000" w:sz="4"/>
                  </w:tcBorders>
                  <w:shd w:fill="FFFFFF"/>
                  <w:vAlign w:val="top"/>
                </w:tcPr>
                <w:p>
                  <w:pPr>
                    <w:jc w:val="both"/>
                  </w:pPr>
                  <w:r>
                    <w:rPr>
                      <w:sz w:val="21"/>
                    </w:rPr>
                    <w:t>1</w:t>
                  </w:r>
                  <w:r>
                    <w:rPr>
                      <w:sz w:val="21"/>
                    </w:rPr>
                    <w:t>、附加外请医务人员责任保险。</w:t>
                  </w:r>
                </w:p>
                <w:p>
                  <w:pPr>
                    <w:jc w:val="both"/>
                  </w:pPr>
                  <w:r>
                    <w:rPr>
                      <w:sz w:val="21"/>
                    </w:rPr>
                    <w:t>2</w:t>
                  </w:r>
                  <w:r>
                    <w:rPr>
                      <w:sz w:val="21"/>
                    </w:rPr>
                    <w:t>、附加进修医务人员责任保险。</w:t>
                  </w:r>
                </w:p>
                <w:p>
                  <w:pPr>
                    <w:jc w:val="both"/>
                  </w:pPr>
                  <w:r>
                    <w:rPr>
                      <w:sz w:val="21"/>
                    </w:rPr>
                    <w:t>3</w:t>
                  </w:r>
                  <w:r>
                    <w:rPr>
                      <w:sz w:val="21"/>
                    </w:rPr>
                    <w:t>、附加医务人员遭受伤害责任保险。</w:t>
                  </w:r>
                </w:p>
                <w:p>
                  <w:pPr>
                    <w:jc w:val="both"/>
                  </w:pPr>
                  <w:r>
                    <w:rPr>
                      <w:sz w:val="21"/>
                    </w:rPr>
                    <w:t>4</w:t>
                  </w:r>
                  <w:r>
                    <w:rPr>
                      <w:sz w:val="21"/>
                    </w:rPr>
                    <w:t>、附加医疗机构场所责任保险。</w:t>
                  </w:r>
                </w:p>
              </w:tc>
            </w:tr>
            <w:tr>
              <w:tc>
                <w:tcPr>
                  <w:tcW w:type="dxa" w:w="5598"/>
                  <w:gridSpan w:val="2"/>
                  <w:tcBorders>
                    <w:top w:val="none" w:color="000000" w:sz="4"/>
                    <w:left w:val="single" w:color="000000" w:sz="4"/>
                    <w:bottom w:val="single" w:color="000000" w:sz="4"/>
                    <w:right w:val="single" w:color="000000" w:sz="4"/>
                  </w:tcBorders>
                  <w:shd w:fill="FFFFFF"/>
                  <w:vAlign w:val="top"/>
                </w:tcPr>
                <w:p>
                  <w:pPr>
                    <w:jc w:val="both"/>
                  </w:pPr>
                  <w:r>
                    <w:rPr>
                      <w:sz w:val="21"/>
                    </w:rPr>
                    <w:t>特别约定</w:t>
                  </w:r>
                </w:p>
              </w:tc>
            </w:tr>
            <w:tr>
              <w:tc>
                <w:tcPr>
                  <w:tcW w:type="dxa" w:w="5598"/>
                  <w:gridSpan w:val="2"/>
                  <w:tcBorders>
                    <w:top w:val="none" w:color="000000" w:sz="4"/>
                    <w:left w:val="single" w:color="000000" w:sz="4"/>
                    <w:bottom w:val="single" w:color="000000" w:sz="4"/>
                    <w:right w:val="single" w:color="000000" w:sz="4"/>
                  </w:tcBorders>
                  <w:shd w:fill="FFFFFF"/>
                  <w:vAlign w:val="top"/>
                </w:tcPr>
                <w:p>
                  <w:pPr>
                    <w:jc w:val="both"/>
                  </w:pPr>
                  <w:r>
                    <w:rPr>
                      <w:sz w:val="21"/>
                    </w:rPr>
                    <w:t>由</w:t>
                  </w:r>
                  <w:r>
                    <w:rPr>
                      <w:sz w:val="21"/>
                    </w:rPr>
                    <w:t>投标人</w:t>
                  </w:r>
                  <w:r>
                    <w:rPr>
                      <w:sz w:val="21"/>
                    </w:rPr>
                    <w:t>自主设计</w:t>
                  </w:r>
                </w:p>
              </w:tc>
            </w:tr>
          </w:tbl>
          <w:p>
            <w:r>
              <w:rPr/>
              <w:t xml:space="preserve"> </w:t>
            </w:r>
          </w:p>
          <w:p>
            <w:pPr>
              <w:jc w:val="both"/>
            </w:pPr>
            <w:r>
              <w:rPr>
                <w:sz w:val="21"/>
              </w:rPr>
              <w:t>三、其他要求</w:t>
            </w:r>
          </w:p>
          <w:p>
            <w:pPr>
              <w:jc w:val="both"/>
            </w:pPr>
            <w:r>
              <w:rPr>
                <w:sz w:val="21"/>
              </w:rPr>
              <w:t>1</w:t>
            </w:r>
            <w:r>
              <w:rPr>
                <w:sz w:val="21"/>
              </w:rPr>
              <w:t>、</w:t>
            </w:r>
            <w:r>
              <w:rPr>
                <w:sz w:val="21"/>
              </w:rPr>
              <w:t>内部管理体系建设</w:t>
            </w:r>
          </w:p>
          <w:p>
            <w:pPr>
              <w:jc w:val="both"/>
            </w:pPr>
            <w:r>
              <w:rPr>
                <w:sz w:val="21"/>
              </w:rPr>
              <w:t>投标人根据本项目的实际情况，科学合理地拟定项目的</w:t>
            </w:r>
            <w:r>
              <w:rPr>
                <w:sz w:val="21"/>
              </w:rPr>
              <w:t>内部管理体系建设</w:t>
            </w:r>
            <w:r>
              <w:rPr>
                <w:sz w:val="21"/>
              </w:rPr>
              <w:t>，对如下内容作出详细说明：（</w:t>
            </w:r>
            <w:r>
              <w:rPr>
                <w:sz w:val="21"/>
              </w:rPr>
              <w:t>1</w:t>
            </w:r>
            <w:r>
              <w:rPr>
                <w:sz w:val="21"/>
              </w:rPr>
              <w:t>）</w:t>
            </w:r>
            <w:r>
              <w:rPr>
                <w:sz w:val="21"/>
              </w:rPr>
              <w:t>内部管理制度或章程；（</w:t>
            </w:r>
            <w:r>
              <w:rPr>
                <w:sz w:val="21"/>
              </w:rPr>
              <w:t>2</w:t>
            </w:r>
            <w:r>
              <w:rPr>
                <w:sz w:val="21"/>
              </w:rPr>
              <w:t>）内部工作标准或流程指引</w:t>
            </w:r>
            <w:r>
              <w:rPr>
                <w:sz w:val="21"/>
              </w:rPr>
              <w:t>。</w:t>
            </w:r>
          </w:p>
          <w:p>
            <w:pPr>
              <w:jc w:val="both"/>
            </w:pPr>
            <w:r>
              <w:rPr>
                <w:sz w:val="21"/>
              </w:rPr>
              <w:t>2</w:t>
            </w:r>
            <w:r>
              <w:rPr>
                <w:sz w:val="21"/>
              </w:rPr>
              <w:t>、</w:t>
            </w:r>
            <w:r>
              <w:rPr>
                <w:sz w:val="21"/>
              </w:rPr>
              <w:t>责任范围</w:t>
            </w:r>
          </w:p>
          <w:p>
            <w:pPr>
              <w:jc w:val="both"/>
            </w:pPr>
            <w:r>
              <w:rPr>
                <w:sz w:val="21"/>
              </w:rPr>
              <w:t>投标人根据本项目的实际情况，科学合理地拟定项目的</w:t>
            </w:r>
            <w:r>
              <w:rPr>
                <w:sz w:val="21"/>
              </w:rPr>
              <w:t>责任范围</w:t>
            </w:r>
            <w:r>
              <w:rPr>
                <w:sz w:val="21"/>
              </w:rPr>
              <w:t>，对如下内容作出详细说明：（</w:t>
            </w:r>
            <w:r>
              <w:rPr>
                <w:sz w:val="21"/>
              </w:rPr>
              <w:t>1</w:t>
            </w:r>
            <w:r>
              <w:rPr>
                <w:sz w:val="21"/>
              </w:rPr>
              <w:t>）保险责任类型或分类；（</w:t>
            </w:r>
            <w:r>
              <w:rPr>
                <w:sz w:val="21"/>
              </w:rPr>
              <w:t>2</w:t>
            </w:r>
            <w:r>
              <w:rPr>
                <w:sz w:val="21"/>
              </w:rPr>
              <w:t>）保险责任及范围。</w:t>
            </w:r>
          </w:p>
          <w:p>
            <w:pPr>
              <w:jc w:val="both"/>
            </w:pPr>
            <w:r>
              <w:rPr>
                <w:sz w:val="21"/>
              </w:rPr>
              <w:t>3</w:t>
            </w:r>
            <w:r>
              <w:rPr>
                <w:sz w:val="21"/>
              </w:rPr>
              <w:t>、</w:t>
            </w:r>
            <w:r>
              <w:rPr>
                <w:sz w:val="21"/>
              </w:rPr>
              <w:t>服务整体运作流程的可行性与保障性</w:t>
            </w:r>
          </w:p>
          <w:p>
            <w:pPr>
              <w:jc w:val="both"/>
            </w:pPr>
            <w:r>
              <w:rPr>
                <w:sz w:val="21"/>
              </w:rPr>
              <w:t>投标人根据本项目的实际情况，科学合理地拟定项目的</w:t>
            </w:r>
            <w:r>
              <w:rPr>
                <w:sz w:val="21"/>
              </w:rPr>
              <w:t>服务整体运作流程的可行性与保障性</w:t>
            </w:r>
            <w:r>
              <w:rPr>
                <w:sz w:val="21"/>
              </w:rPr>
              <w:t>，对如下内容作出详细说明：（</w:t>
            </w:r>
            <w:r>
              <w:rPr>
                <w:sz w:val="21"/>
              </w:rPr>
              <w:t>1</w:t>
            </w:r>
            <w:r>
              <w:rPr>
                <w:sz w:val="21"/>
              </w:rPr>
              <w:t>）保险方案要求；（</w:t>
            </w:r>
            <w:r>
              <w:rPr>
                <w:sz w:val="21"/>
              </w:rPr>
              <w:t>2</w:t>
            </w:r>
            <w:r>
              <w:rPr>
                <w:sz w:val="21"/>
              </w:rPr>
              <w:t>）实施运作流程；（</w:t>
            </w:r>
            <w:r>
              <w:rPr>
                <w:sz w:val="21"/>
              </w:rPr>
              <w:t>3</w:t>
            </w:r>
            <w:r>
              <w:rPr>
                <w:sz w:val="21"/>
              </w:rPr>
              <w:t>）项目重点难点分析；（</w:t>
            </w:r>
            <w:r>
              <w:rPr>
                <w:sz w:val="21"/>
              </w:rPr>
              <w:t>4</w:t>
            </w:r>
            <w:r>
              <w:rPr>
                <w:sz w:val="21"/>
              </w:rPr>
              <w:t>）质量控制措施及特殊情况处理措施。</w:t>
            </w:r>
          </w:p>
          <w:p>
            <w:pPr>
              <w:jc w:val="both"/>
            </w:pPr>
            <w:r>
              <w:rPr>
                <w:sz w:val="21"/>
              </w:rPr>
              <w:t>4</w:t>
            </w:r>
            <w:r>
              <w:rPr>
                <w:sz w:val="21"/>
              </w:rPr>
              <w:t>、</w:t>
            </w:r>
            <w:r>
              <w:rPr>
                <w:sz w:val="21"/>
              </w:rPr>
              <w:t>拟投入人员情况</w:t>
            </w:r>
          </w:p>
          <w:p>
            <w:pPr>
              <w:jc w:val="both"/>
            </w:pPr>
            <w:r>
              <w:rPr>
                <w:sz w:val="21"/>
              </w:rPr>
              <w:t>投标人根据本项目的实际情况，科学合理地拟定项目的拟投入人员情况，对如下内容作出详细说明：（</w:t>
            </w:r>
            <w:r>
              <w:rPr>
                <w:sz w:val="21"/>
              </w:rPr>
              <w:t>1</w:t>
            </w:r>
            <w:r>
              <w:rPr>
                <w:sz w:val="21"/>
              </w:rPr>
              <w:t>）</w:t>
            </w:r>
            <w:r>
              <w:rPr>
                <w:sz w:val="21"/>
              </w:rPr>
              <w:t>人员的资质及项目经验情况</w:t>
            </w:r>
            <w:r>
              <w:rPr>
                <w:sz w:val="21"/>
              </w:rPr>
              <w:t>；（</w:t>
            </w:r>
            <w:r>
              <w:rPr>
                <w:sz w:val="21"/>
              </w:rPr>
              <w:t>2</w:t>
            </w:r>
            <w:r>
              <w:rPr>
                <w:sz w:val="21"/>
              </w:rPr>
              <w:t>）</w:t>
            </w:r>
            <w:r>
              <w:rPr>
                <w:sz w:val="21"/>
              </w:rPr>
              <w:t>人员的职责分工与管理方案</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中山大学附属第六医院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中标金额为计算基数参照国家计委颁布的（计价格【2002】1980号）及国家发改委颁布的（发改办价格【2003】857号）收费标准65%（即下浮35%）进行计算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李国晨、陈蔚</w:t>
      </w:r>
    </w:p>
    <w:p>
      <w:pPr>
        <w:ind w:firstLine="480"/>
      </w:pPr>
      <w:r>
        <w:rPr/>
        <w:t>电话：</w:t>
      </w:r>
      <w:r>
        <w:rPr/>
        <w:t>020-31603842、020-87688049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采购包1(2024年度医疗责任保险服务)：综合评分法,是指投标文件满足招标文件全部实质性要求，且按照评审因素的量化指标评审得分最高的投标人为中标候选人的评标方法。（最低报价不是中标的唯一依据。）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采购包1（2024年度医疗责任保险服务）：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采购包1（2024年度医疗责任保险服务）：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投标人必须为经国家保险监督管理机构批准在中华人民共和国境内设立和营业的，并依法被核定许可经营责任保险业务的保险公司或其分支机构。需提供有效的《经营保险业务许可证》或《保险许可证》（如国家另有规定，则适用其规定）</w:t>
            </w:r>
          </w:p>
        </w:tc>
      </w:tr>
      <w:tr>
        <w:tc>
          <w:tcPr>
            <w:tcW w:type="dxa" w:w="890"/>
          </w:tcPr>
          <w:p>
            <w:r>
              <w:rPr/>
              <w:t>9</w:t>
            </w:r>
          </w:p>
        </w:tc>
        <w:tc>
          <w:tcPr>
            <w:tcW w:type="dxa" w:w="3178"/>
          </w:tcPr>
          <w:p>
            <w:r>
              <w:rPr/>
              <w:t>特定资格要求2</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采购包1（2024年度医疗责任保险服务）：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采购包1(2024年度医疗责任保险服务):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重要技术参数的响应情况 (6.0分)</w:t>
            </w:r>
          </w:p>
        </w:tc>
        <w:tc>
          <w:tcPr>
            <w:tcW w:type="dxa" w:w="5076"/>
          </w:tcPr>
          <w:p>
            <w:pPr>
              <w:jc w:val="left"/>
            </w:pPr>
            <w:r>
              <w:rPr/>
              <w:t>完全响应或正偏离“技术标准与要求”中标有“▲”的重要技术条款（共2项）的，得6分，每个“▲”条款负偏离或未响应扣3分，最低扣至0分。</w:t>
            </w:r>
          </w:p>
        </w:tc>
      </w:tr>
      <w:tr>
        <w:tc>
          <w:tcPr>
            <w:tcW w:type="dxa" w:w="922"/>
            <w:gridSpan w:val="2"/>
            <w:vMerge/>
          </w:tcPr>
          <w:p/>
        </w:tc>
        <w:tc>
          <w:tcPr>
            <w:tcW w:type="dxa" w:w="2307"/>
          </w:tcPr>
          <w:p>
            <w:pPr>
              <w:jc w:val="left"/>
            </w:pPr>
            <w:r>
              <w:rPr/>
              <w:t>一般技术参数的响应情况 (4.0分)</w:t>
            </w:r>
          </w:p>
        </w:tc>
        <w:tc>
          <w:tcPr>
            <w:tcW w:type="dxa" w:w="5076"/>
          </w:tcPr>
          <w:p>
            <w:pPr>
              <w:jc w:val="left"/>
            </w:pPr>
            <w:r>
              <w:rPr/>
              <w:t>完全响应或正偏离“技术标准与要求”中未标注“★”或“▲”的一般技术条款（共2项）的，得4分，每个一般技术条款负偏离或未响应扣2分，最低扣至0分。 注：不包括“三、其他要求”内容；以投标人投标文件中的《技术和服务要求响应表》中的响应情况填写内容为准，未填写的或不响应的视为负偏离。 (按以下原则计算条款项数：①有多级序号的，细化到最末级序号。无多级序号的，则一个序号为 1项条款。)</w:t>
            </w:r>
          </w:p>
        </w:tc>
      </w:tr>
      <w:tr>
        <w:tc>
          <w:tcPr>
            <w:tcW w:type="dxa" w:w="922"/>
            <w:gridSpan w:val="2"/>
            <w:vMerge/>
          </w:tcPr>
          <w:p/>
        </w:tc>
        <w:tc>
          <w:tcPr>
            <w:tcW w:type="dxa" w:w="2307"/>
          </w:tcPr>
          <w:p>
            <w:pPr>
              <w:jc w:val="left"/>
            </w:pPr>
            <w:r>
              <w:rPr/>
              <w:t>投标人的追溯期申报情况 (4.0分)</w:t>
            </w:r>
          </w:p>
        </w:tc>
        <w:tc>
          <w:tcPr>
            <w:tcW w:type="dxa" w:w="5076"/>
          </w:tcPr>
          <w:p>
            <w:pPr>
              <w:jc w:val="left"/>
            </w:pPr>
            <w:r>
              <w:rPr/>
              <w:t>根据投标人书面承诺的本项目追溯期（保险期间向前追溯）进行评审： （1）承诺年限≥3 年追溯期的，得4分； （2） 2 年≤承诺年限＜3 年追溯期的，得3分； （3）1年≤承诺年限＜2 年追溯期的，得2分； （4）有追溯期，但承诺年限＜1 年追溯期的，得1分； （5）无追溯期，或不承诺的，得0分。 注：需提供承诺函或其他证明文件，加盖投标人公章，格式自拟。</w:t>
            </w:r>
          </w:p>
        </w:tc>
      </w:tr>
      <w:tr>
        <w:tc>
          <w:tcPr>
            <w:tcW w:type="dxa" w:w="922"/>
            <w:gridSpan w:val="2"/>
            <w:vMerge/>
          </w:tcPr>
          <w:p/>
        </w:tc>
        <w:tc>
          <w:tcPr>
            <w:tcW w:type="dxa" w:w="2307"/>
          </w:tcPr>
          <w:p>
            <w:pPr>
              <w:jc w:val="left"/>
            </w:pPr>
            <w:r>
              <w:rPr/>
              <w:t>责任范围（一） (1.0分)</w:t>
            </w:r>
          </w:p>
        </w:tc>
        <w:tc>
          <w:tcPr>
            <w:tcW w:type="dxa" w:w="5076"/>
          </w:tcPr>
          <w:p>
            <w:pPr>
              <w:jc w:val="left"/>
            </w:pPr>
            <w:r>
              <w:rPr/>
              <w:t>评标委员会根据投标人提供的责任范围的框架内容进行评审，框架内容应包括（投标文件中方案标题应以下列方案名称命名）： （1）保险责任类型或分类； （2）保险责任及范围。 注：提供全部内容得1分，每缺1项扣0.5分。</w:t>
            </w:r>
          </w:p>
        </w:tc>
      </w:tr>
      <w:tr>
        <w:tc>
          <w:tcPr>
            <w:tcW w:type="dxa" w:w="922"/>
            <w:gridSpan w:val="2"/>
            <w:vMerge/>
          </w:tcPr>
          <w:p/>
        </w:tc>
        <w:tc>
          <w:tcPr>
            <w:tcW w:type="dxa" w:w="2307"/>
          </w:tcPr>
          <w:p>
            <w:pPr>
              <w:jc w:val="left"/>
            </w:pPr>
            <w:r>
              <w:rPr/>
              <w:t>责任范围（二） (8.0分)</w:t>
            </w:r>
            <w:r>
              <w:rPr/>
              <w:t>，（等次分值选择：</w:t>
            </w:r>
            <w:r>
              <w:rPr/>
              <w:t>0.0;</w:t>
            </w:r>
            <w:r>
              <w:rPr/>
              <w:t>2.0;</w:t>
            </w:r>
            <w:r>
              <w:rPr/>
              <w:t>5.0;</w:t>
            </w:r>
            <w:r>
              <w:rPr/>
              <w:t>8.0;</w:t>
            </w:r>
            <w:r>
              <w:rPr/>
              <w:t>）</w:t>
            </w:r>
          </w:p>
        </w:tc>
        <w:tc>
          <w:tcPr>
            <w:tcW w:type="dxa" w:w="5076"/>
          </w:tcPr>
          <w:p>
            <w:pPr>
              <w:jc w:val="left"/>
            </w:pPr>
            <w:r>
              <w:rPr/>
              <w:t>评标委员会根据投标人提供的责任范围详细内容进行综合评审： （1）所提供的责任范围详细全面，满足项目实施要求的，能有效保障本项目实施，有利于实现服务效果的，得8分， （2）所提供的责任范围存在瑕疵（瑕疵是指：包括但不限于方案细节度不足、责任界定不清晰）的，能基本保障本项目服务实施，基本满足服务效果的，得5分， （3）所提供的责任范围存在不足或缺陷（缺陷是指：包括但不限于不符合实际或逻辑错误、不符合采购需求、内容缺失）的，难以保障本项目服务实施或难以达到服务效果的，得2分， （4）不提供或方案没有实质性内容的，得0分。</w:t>
            </w:r>
          </w:p>
        </w:tc>
      </w:tr>
      <w:tr>
        <w:tc>
          <w:tcPr>
            <w:tcW w:type="dxa" w:w="922"/>
            <w:gridSpan w:val="2"/>
            <w:vMerge/>
          </w:tcPr>
          <w:p/>
        </w:tc>
        <w:tc>
          <w:tcPr>
            <w:tcW w:type="dxa" w:w="2307"/>
          </w:tcPr>
          <w:p>
            <w:pPr>
              <w:jc w:val="left"/>
            </w:pPr>
            <w:r>
              <w:rPr/>
              <w:t>服务整体运作流程的可行性与保障性（一） (2.0分)</w:t>
            </w:r>
          </w:p>
        </w:tc>
        <w:tc>
          <w:tcPr>
            <w:tcW w:type="dxa" w:w="5076"/>
          </w:tcPr>
          <w:p>
            <w:pPr>
              <w:jc w:val="left"/>
            </w:pPr>
            <w:r>
              <w:rPr/>
              <w:t>评标委员会根据投标人提供的可体现服务整体运作流程的可行性与保障性的方案框架内容进行评审，框架内容应包括（投标文件中方案标题应以下列方案名称命名）： （1）保险方案要求； （2）实施运作流程； （3）项目重点难点分析； （4）质量控制措施及特殊情况处理措施。  注：提供全部内容得2分，每缺1项扣0.5分。</w:t>
            </w:r>
          </w:p>
        </w:tc>
      </w:tr>
      <w:tr>
        <w:tc>
          <w:tcPr>
            <w:tcW w:type="dxa" w:w="922"/>
            <w:gridSpan w:val="2"/>
            <w:vMerge/>
          </w:tcPr>
          <w:p/>
        </w:tc>
        <w:tc>
          <w:tcPr>
            <w:tcW w:type="dxa" w:w="2307"/>
          </w:tcPr>
          <w:p>
            <w:pPr>
              <w:jc w:val="left"/>
            </w:pPr>
            <w:r>
              <w:rPr/>
              <w:t>服务整体运作流程的可行性与保障性（二） (8.0分)</w:t>
            </w:r>
            <w:r>
              <w:rPr/>
              <w:t>，（等次分值选择：</w:t>
            </w:r>
            <w:r>
              <w:rPr/>
              <w:t>0.0;</w:t>
            </w:r>
            <w:r>
              <w:rPr/>
              <w:t>2.0;</w:t>
            </w:r>
            <w:r>
              <w:rPr/>
              <w:t>5.0;</w:t>
            </w:r>
            <w:r>
              <w:rPr/>
              <w:t>8.0;</w:t>
            </w:r>
            <w:r>
              <w:rPr/>
              <w:t>）</w:t>
            </w:r>
          </w:p>
        </w:tc>
        <w:tc>
          <w:tcPr>
            <w:tcW w:type="dxa" w:w="5076"/>
          </w:tcPr>
          <w:p>
            <w:pPr>
              <w:jc w:val="left"/>
            </w:pPr>
            <w:r>
              <w:rPr/>
              <w:t>评标委员会根据投标人提供的可体现服务整体运作流程的可行性与保障性的方案详细内容进行综合评审： （1）方案全面详尽，针对项目需求有全面理解，能全面把握项目的重点难点问题，并针对全部重点难点问题提出具体可行的保障措施和合理化的建议，措施建议细致可行，有利于保障本项目实施，有利于实现服务效果的，得8分； （2）方案基本完整，针对项目需求有基本充分的理解，针对部分重点难点进行分析，提出针对项目部分重点难点提出具体可行的保障措施或者合理化建议，措施建议基本可行，基本上能保障本项目实施，基本能实现服务效果的，得5分； （3）方案简单，只针对部分需求进行理解分析或者没有分析项目需求，不理解项目额重点难点，提出建议不合理或者不具备操作性，难以保障本项目服务实施或难以达到服务效果的，得2分； （4）无提供的，得0分。</w:t>
            </w:r>
          </w:p>
        </w:tc>
      </w:tr>
      <w:tr>
        <w:tc>
          <w:tcPr>
            <w:tcW w:type="dxa" w:w="922"/>
            <w:gridSpan w:val="2"/>
            <w:vMerge/>
          </w:tcPr>
          <w:p/>
        </w:tc>
        <w:tc>
          <w:tcPr>
            <w:tcW w:type="dxa" w:w="2307"/>
          </w:tcPr>
          <w:p>
            <w:pPr>
              <w:jc w:val="left"/>
            </w:pPr>
            <w:r>
              <w:rPr/>
              <w:t>拟投入人员情况（一） (1.0分)</w:t>
            </w:r>
          </w:p>
        </w:tc>
        <w:tc>
          <w:tcPr>
            <w:tcW w:type="dxa" w:w="5076"/>
          </w:tcPr>
          <w:p>
            <w:pPr>
              <w:jc w:val="left"/>
            </w:pPr>
            <w:r>
              <w:rPr/>
              <w:t>评标委员会根据投标人提供的拟投入人员情况的框架内容进行评审，框架内容应包括（投标文件中方案标题应以下列方案名称命名）：  （1）人员的资质及项目经验情况； （2）人员的职责分工与管理方案。  注：①提供全部内容得1分，每缺1项扣0.5分；②需提供人员在投标人单位任职的报名截止之日前6个月内任意一个月的社保或单位代缴个人所得税证明作为证明材料，否则本项不得分。</w:t>
            </w:r>
          </w:p>
        </w:tc>
      </w:tr>
      <w:tr>
        <w:tc>
          <w:tcPr>
            <w:tcW w:type="dxa" w:w="922"/>
            <w:gridSpan w:val="2"/>
            <w:vMerge/>
          </w:tcPr>
          <w:p/>
        </w:tc>
        <w:tc>
          <w:tcPr>
            <w:tcW w:type="dxa" w:w="2307"/>
          </w:tcPr>
          <w:p>
            <w:pPr>
              <w:jc w:val="left"/>
            </w:pPr>
            <w:r>
              <w:rPr/>
              <w:t>拟投入人员情况（二） (6.0分)</w:t>
            </w:r>
            <w:r>
              <w:rPr/>
              <w:t>，（等次分值选择：</w:t>
            </w:r>
            <w:r>
              <w:rPr/>
              <w:t>0.0;</w:t>
            </w:r>
            <w:r>
              <w:rPr/>
              <w:t>2.0;</w:t>
            </w:r>
            <w:r>
              <w:rPr/>
              <w:t>4.0;</w:t>
            </w:r>
            <w:r>
              <w:rPr/>
              <w:t>6.0;</w:t>
            </w:r>
            <w:r>
              <w:rPr/>
              <w:t>）</w:t>
            </w:r>
          </w:p>
        </w:tc>
        <w:tc>
          <w:tcPr>
            <w:tcW w:type="dxa" w:w="5076"/>
          </w:tcPr>
          <w:p>
            <w:pPr>
              <w:jc w:val="left"/>
            </w:pPr>
            <w:r>
              <w:rPr/>
              <w:t>评标委员会根据投标人提供拟投入人员情况的详细内容进行综合评审： （1）拟投入服务人员资质与经验配备情况科学合理，人员职责分工说明与管理方案详细完整，有效保障本项目实施，有利于实现服务效果，得6分； （2）拟投入服务人员资质与经验配备情况基本合理，人员职责分工说明与管理方案基本完整，基本保障本项目服务实施，基本满足服务效果，得4分； （3）拟投入服务人员资质与经验配备情况欠合理，人员职责分工说明与管理方案欠完整，无法保障本项目服务实施，难以达到服务效果，得2分； （4）无提供的，得0分。</w:t>
            </w:r>
          </w:p>
        </w:tc>
      </w:tr>
      <w:tr>
        <w:tc>
          <w:tcPr>
            <w:tcW w:type="dxa" w:w="922"/>
            <w:gridSpan w:val="2"/>
            <w:vMerge w:val="restart"/>
          </w:tcPr>
          <w:p>
            <w:pPr>
              <w:jc w:val="center"/>
            </w:pPr>
            <w:r>
              <w:rPr/>
              <w:t>商务部分</w:t>
            </w:r>
          </w:p>
        </w:tc>
        <w:tc>
          <w:tcPr>
            <w:tcW w:type="dxa" w:w="2307"/>
          </w:tcPr>
          <w:p>
            <w:pPr>
              <w:jc w:val="left"/>
            </w:pPr>
            <w:r>
              <w:rPr/>
              <w:t>商务条款响应程度 (5.0分)</w:t>
            </w:r>
          </w:p>
        </w:tc>
        <w:tc>
          <w:tcPr>
            <w:tcW w:type="dxa" w:w="5076"/>
          </w:tcPr>
          <w:p>
            <w:pPr>
              <w:jc w:val="left"/>
            </w:pPr>
            <w:r>
              <w:rPr/>
              <w:t>根据投标人对采购需求“主要商务要求”中“其他”部分内容中的条款的响应程度进行评分： （1）完全响应或正偏离“主要商务要求”中“其他”部分内容中标有“▲”的重要商务条款（共1项）的，得3分，每个“▲”条款负偏离或未响应扣3分，最低扣至0分。 （2）完全响应或正偏离“主要商务要求”中“其他”部分内容中中未标注“★”或“▲”的一般商务条款（共1项）的，得2分，每个一般商务条款负偏离或未响应扣2分，最低扣至0分。 注：以投标人投标文件中的《商务条件响应表》中的响应情况填写内容为准，未填写的或不响应的视为负偏离。有多级序号的，细化到最末级序号。无多级序号的，则一个序号为 1项条款。</w:t>
            </w:r>
          </w:p>
        </w:tc>
      </w:tr>
      <w:tr>
        <w:tc>
          <w:tcPr>
            <w:tcW w:type="dxa" w:w="922"/>
            <w:gridSpan w:val="2"/>
            <w:vMerge/>
          </w:tcPr>
          <w:p/>
        </w:tc>
        <w:tc>
          <w:tcPr>
            <w:tcW w:type="dxa" w:w="2307"/>
          </w:tcPr>
          <w:p>
            <w:pPr>
              <w:jc w:val="left"/>
            </w:pPr>
            <w:r>
              <w:rPr/>
              <w:t>同类项目业绩 (6.0分)</w:t>
            </w:r>
          </w:p>
        </w:tc>
        <w:tc>
          <w:tcPr>
            <w:tcW w:type="dxa" w:w="5076"/>
          </w:tcPr>
          <w:p>
            <w:pPr>
              <w:jc w:val="left"/>
            </w:pPr>
            <w:r>
              <w:rPr/>
              <w:t>根据投标人自2021年1月1日至今（以合同签订时间为准）承接同类责任保险服务项目业绩： 每提供一项业绩得2分，最高得6分。 注：须提供合同复印件并加盖投标人单位公章作为证明材料，不提供或专家无法认定的不得分。</w:t>
            </w:r>
          </w:p>
        </w:tc>
      </w:tr>
      <w:tr>
        <w:tc>
          <w:tcPr>
            <w:tcW w:type="dxa" w:w="922"/>
            <w:gridSpan w:val="2"/>
            <w:vMerge/>
          </w:tcPr>
          <w:p/>
        </w:tc>
        <w:tc>
          <w:tcPr>
            <w:tcW w:type="dxa" w:w="2307"/>
          </w:tcPr>
          <w:p>
            <w:pPr>
              <w:jc w:val="left"/>
            </w:pPr>
            <w:r>
              <w:rPr/>
              <w:t>投标人管理体系认证情况 (6.0分)</w:t>
            </w:r>
          </w:p>
        </w:tc>
        <w:tc>
          <w:tcPr>
            <w:tcW w:type="dxa" w:w="5076"/>
          </w:tcPr>
          <w:p>
            <w:pPr>
              <w:jc w:val="left"/>
            </w:pPr>
            <w:r>
              <w:rPr/>
              <w:t>投标人具有有效的质量管理体系认证、环境管理体系认证、职业健康安全管理体系认证证书，每一项证书得2分，最高得6分。 注：需提供相关证书复印件，不提供或专家无法认定的不得分。</w:t>
            </w:r>
          </w:p>
        </w:tc>
      </w:tr>
      <w:tr>
        <w:tc>
          <w:tcPr>
            <w:tcW w:type="dxa" w:w="922"/>
            <w:gridSpan w:val="2"/>
            <w:vMerge/>
          </w:tcPr>
          <w:p/>
        </w:tc>
        <w:tc>
          <w:tcPr>
            <w:tcW w:type="dxa" w:w="2307"/>
          </w:tcPr>
          <w:p>
            <w:pPr>
              <w:jc w:val="left"/>
            </w:pPr>
            <w:r>
              <w:rPr/>
              <w:t>内部管理体系建设（一） (1.0分)</w:t>
            </w:r>
          </w:p>
        </w:tc>
        <w:tc>
          <w:tcPr>
            <w:tcW w:type="dxa" w:w="5076"/>
          </w:tcPr>
          <w:p>
            <w:pPr>
              <w:jc w:val="left"/>
            </w:pPr>
            <w:r>
              <w:rPr/>
              <w:t>评标委员会根据投标人提供的内部管理制度体系建设的框架内容进行评审，框架内容应包括（投标文件中方案标题应以下列方案名称命名）： （1）内部管理制度或章程； （2）内部工作标准或流程指引。 注：提供全部内容得1分，每缺1项扣0.5分。</w:t>
            </w:r>
          </w:p>
        </w:tc>
      </w:tr>
      <w:tr>
        <w:tc>
          <w:tcPr>
            <w:tcW w:type="dxa" w:w="922"/>
            <w:gridSpan w:val="2"/>
            <w:vMerge/>
          </w:tcPr>
          <w:p/>
        </w:tc>
        <w:tc>
          <w:tcPr>
            <w:tcW w:type="dxa" w:w="2307"/>
          </w:tcPr>
          <w:p>
            <w:pPr>
              <w:jc w:val="left"/>
            </w:pPr>
            <w:r>
              <w:rPr/>
              <w:t>内部管理体系建设（二） (12.0分)</w:t>
            </w:r>
            <w:r>
              <w:rPr/>
              <w:t>，（等次分值选择：</w:t>
            </w:r>
            <w:r>
              <w:rPr/>
              <w:t>0.0;</w:t>
            </w:r>
            <w:r>
              <w:rPr/>
              <w:t>2.0;</w:t>
            </w:r>
            <w:r>
              <w:rPr/>
              <w:t>7.0;</w:t>
            </w:r>
            <w:r>
              <w:rPr/>
              <w:t>12.0;</w:t>
            </w:r>
            <w:r>
              <w:rPr/>
              <w:t>）</w:t>
            </w:r>
          </w:p>
        </w:tc>
        <w:tc>
          <w:tcPr>
            <w:tcW w:type="dxa" w:w="5076"/>
          </w:tcPr>
          <w:p>
            <w:pPr>
              <w:jc w:val="left"/>
            </w:pPr>
            <w:r>
              <w:rPr/>
              <w:t>评标委员会根据投标人提供内部管理制度体系建设的详细内容进行综合评审： （1）各项管理制度、章程健全完整，各类标准、流程科学规范，合理可行，得12分； （2）各项管理制度、章程基本齐全，各类标准、流程基本规范，具备可行性，得7分； （3）各项管理制度、章程基本配备，各类标准、流程相对简单，可行性一般，得2分； （4）管理制度、章程简陋，各类标准、流程不可行，或不提供的，得 0 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满足招标文件要求且投标报价价格最低的投标报价为评标基准价。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sz w:val="21"/>
        </w:rPr>
        <w:t>注：合同具体事项须根据采购文件的约定及乙方投标文件的承诺执行。</w:t>
      </w:r>
      <w:r>
        <w:rPr>
          <w:sz w:val="21"/>
        </w:rPr>
        <w:t>合同版式为参考模板，合同签订双方可依据项目的具体要求进行修订</w:t>
      </w:r>
      <w:r>
        <w:rPr>
          <w:sz w:val="21"/>
        </w:rPr>
        <w:t>。</w:t>
      </w:r>
    </w:p>
    <w:p>
      <w:pPr>
        <w:jc w:val="both"/>
      </w:pPr>
      <w:r>
        <w:rPr/>
        <w:t xml:space="preserve"> </w:t>
      </w:r>
    </w:p>
    <w:p>
      <w:pPr>
        <w:jc w:val="both"/>
      </w:pPr>
    </w:p>
    <w:p>
      <w:pPr>
        <w:jc w:val="center"/>
      </w:pPr>
      <w:r>
        <w:rPr>
          <w:b/>
          <w:sz w:val="33"/>
        </w:rPr>
        <w:t>保险合同</w:t>
      </w:r>
    </w:p>
    <w:p>
      <w:pPr>
        <w:jc w:val="center"/>
      </w:pPr>
      <w:r>
        <w:rPr/>
        <w:t xml:space="preserve"> </w:t>
      </w:r>
    </w:p>
    <w:p>
      <w:pPr>
        <w:jc w:val="both"/>
      </w:pPr>
    </w:p>
    <w:p>
      <w:pPr>
        <w:jc w:val="both"/>
      </w:pPr>
      <w:r>
        <w:rPr>
          <w:sz w:val="21"/>
        </w:rPr>
        <w:t>甲方：中山大学附属第六医院</w:t>
      </w:r>
      <w:r>
        <w:rPr>
          <w:sz w:val="21"/>
        </w:rPr>
        <w:t xml:space="preserve">   </w:t>
      </w:r>
    </w:p>
    <w:p>
      <w:pPr>
        <w:jc w:val="both"/>
      </w:pPr>
      <w:r>
        <w:rPr>
          <w:sz w:val="21"/>
        </w:rPr>
        <w:t>乙方：</w:t>
      </w:r>
    </w:p>
    <w:p>
      <w:pPr>
        <w:jc w:val="both"/>
      </w:pPr>
    </w:p>
    <w:p>
      <w:pPr>
        <w:jc w:val="both"/>
      </w:pPr>
      <w:r>
        <w:rPr>
          <w:sz w:val="21"/>
        </w:rPr>
        <w:t>根据《中华人民共和国民法典》及</w:t>
      </w:r>
      <w:r>
        <w:rPr>
          <w:sz w:val="21"/>
        </w:rPr>
        <w:t>“</w:t>
      </w:r>
      <w:r>
        <w:rPr>
          <w:sz w:val="21"/>
        </w:rPr>
        <w:t>中山大学附属第六医院</w:t>
      </w:r>
      <w:r>
        <w:rPr>
          <w:sz w:val="21"/>
        </w:rPr>
        <w:t>2024</w:t>
      </w:r>
      <w:r>
        <w:rPr>
          <w:sz w:val="21"/>
        </w:rPr>
        <w:t>年度医疗责任保险服务项目</w:t>
      </w:r>
      <w:r>
        <w:rPr>
          <w:sz w:val="21"/>
        </w:rPr>
        <w:t>”</w:t>
      </w:r>
      <w:r>
        <w:rPr>
          <w:sz w:val="21"/>
        </w:rPr>
        <w:t>（招标编号：</w:t>
      </w:r>
      <w:r>
        <w:rPr>
          <w:sz w:val="21"/>
        </w:rPr>
        <w:t>GZGK23P316C1027Z</w:t>
      </w:r>
      <w:r>
        <w:rPr>
          <w:sz w:val="21"/>
        </w:rPr>
        <w:t>）招标文件的要求和招标结果，经甲乙双方协商一致，签订本合同。双方共同遵守如下条款（技术说明及其他有关合同项目的特定信息由合同附件予以说明，合同附件及本项目的招标文件、投标文件等均为本合同不可分割之一部分）：</w:t>
      </w:r>
    </w:p>
    <w:p>
      <w:pPr>
        <w:jc w:val="both"/>
      </w:pPr>
      <w:r>
        <w:rPr>
          <w:sz w:val="21"/>
        </w:rPr>
        <w:t>第一部分</w:t>
      </w:r>
      <w:r>
        <w:rPr>
          <w:sz w:val="21"/>
        </w:rPr>
        <w:t xml:space="preserve">  </w:t>
      </w:r>
      <w:r>
        <w:rPr>
          <w:sz w:val="21"/>
        </w:rPr>
        <w:t>定义</w:t>
      </w:r>
    </w:p>
    <w:p>
      <w:pPr>
        <w:jc w:val="both"/>
      </w:pPr>
      <w:r>
        <w:rPr>
          <w:sz w:val="21"/>
        </w:rPr>
        <w:t>1.1</w:t>
      </w:r>
      <w:r>
        <w:rPr>
          <w:sz w:val="21"/>
        </w:rPr>
        <w:t>投保人</w:t>
      </w:r>
    </w:p>
    <w:p>
      <w:pPr>
        <w:jc w:val="both"/>
      </w:pPr>
      <w:r>
        <w:rPr>
          <w:sz w:val="21"/>
        </w:rPr>
        <w:t>本协议中所指的投保人均为甲方。</w:t>
      </w:r>
    </w:p>
    <w:p>
      <w:pPr>
        <w:jc w:val="both"/>
      </w:pPr>
      <w:r>
        <w:rPr>
          <w:sz w:val="21"/>
        </w:rPr>
        <w:t>1.2</w:t>
      </w:r>
      <w:r>
        <w:rPr>
          <w:sz w:val="21"/>
        </w:rPr>
        <w:t>被保险人</w:t>
      </w:r>
    </w:p>
    <w:p>
      <w:pPr>
        <w:jc w:val="both"/>
      </w:pPr>
      <w:r>
        <w:rPr>
          <w:sz w:val="21"/>
        </w:rPr>
        <w:t>名称：中山大学附属第六医院</w:t>
      </w:r>
    </w:p>
    <w:p>
      <w:pPr>
        <w:jc w:val="both"/>
      </w:pPr>
      <w:r>
        <w:rPr>
          <w:sz w:val="21"/>
        </w:rPr>
        <w:t>地址：广州市员村二横路</w:t>
      </w:r>
      <w:r>
        <w:rPr>
          <w:sz w:val="21"/>
        </w:rPr>
        <w:t>26</w:t>
      </w:r>
      <w:r>
        <w:rPr>
          <w:sz w:val="21"/>
        </w:rPr>
        <w:t>号</w:t>
      </w:r>
    </w:p>
    <w:p>
      <w:pPr>
        <w:jc w:val="both"/>
      </w:pPr>
      <w:r>
        <w:rPr>
          <w:sz w:val="21"/>
        </w:rPr>
        <w:t>本协议中所指的被保险人均为经国家有关部门认定合格的医疗机构和从业的医务人员。</w:t>
      </w:r>
    </w:p>
    <w:p>
      <w:pPr>
        <w:jc w:val="both"/>
      </w:pPr>
      <w:r>
        <w:rPr>
          <w:sz w:val="21"/>
        </w:rPr>
        <w:t>1.3</w:t>
      </w:r>
      <w:r>
        <w:rPr>
          <w:sz w:val="21"/>
        </w:rPr>
        <w:t>保险人</w:t>
      </w:r>
      <w:r>
        <w:rPr>
          <w:sz w:val="21"/>
        </w:rPr>
        <w:t xml:space="preserve"> </w:t>
      </w:r>
    </w:p>
    <w:p>
      <w:pPr>
        <w:jc w:val="both"/>
      </w:pPr>
      <w:r>
        <w:rPr>
          <w:sz w:val="21"/>
        </w:rPr>
        <w:t>根据中山大学附属第六医院</w:t>
      </w:r>
      <w:r>
        <w:rPr>
          <w:sz w:val="21"/>
        </w:rPr>
        <w:t>2023</w:t>
      </w:r>
      <w:r>
        <w:rPr>
          <w:sz w:val="21"/>
        </w:rPr>
        <w:t>年度医疗责任保险采购项目招标结果，本合同保险人为：</w:t>
      </w:r>
    </w:p>
    <w:p>
      <w:pPr>
        <w:jc w:val="both"/>
      </w:pPr>
      <w:r>
        <w:rPr>
          <w:sz w:val="21"/>
        </w:rPr>
        <w:t>1.4</w:t>
      </w:r>
      <w:r>
        <w:rPr>
          <w:sz w:val="21"/>
        </w:rPr>
        <w:t>合同价款</w:t>
      </w:r>
    </w:p>
    <w:p>
      <w:pPr>
        <w:jc w:val="both"/>
      </w:pPr>
      <w:r>
        <w:rPr>
          <w:sz w:val="21"/>
        </w:rPr>
        <w:t>1.</w:t>
      </w:r>
      <w:r>
        <w:rPr>
          <w:sz w:val="21"/>
        </w:rPr>
        <w:t>合同总价为人民币（含税价）：人民币</w:t>
      </w:r>
      <w:r>
        <w:rPr>
          <w:sz w:val="21"/>
        </w:rPr>
        <w:t xml:space="preserve"> (¥    )</w:t>
      </w:r>
      <w:r>
        <w:rPr>
          <w:sz w:val="21"/>
        </w:rPr>
        <w:t>，其中：</w:t>
      </w:r>
    </w:p>
    <w:p>
      <w:pPr>
        <w:jc w:val="both"/>
      </w:pPr>
      <w:r>
        <w:rPr>
          <w:sz w:val="21"/>
        </w:rPr>
        <w:t>税前总价：人民币</w:t>
      </w:r>
      <w:r>
        <w:rPr>
          <w:sz w:val="21"/>
        </w:rPr>
        <w:t xml:space="preserve"> (¥     )</w:t>
      </w:r>
    </w:p>
    <w:p>
      <w:pPr>
        <w:jc w:val="both"/>
      </w:pPr>
      <w:r>
        <w:rPr>
          <w:sz w:val="21"/>
        </w:rPr>
        <w:t>税费：人民币</w:t>
      </w:r>
      <w:r>
        <w:rPr>
          <w:sz w:val="21"/>
        </w:rPr>
        <w:t xml:space="preserve"> (¥     )</w:t>
      </w:r>
    </w:p>
    <w:p>
      <w:pPr>
        <w:jc w:val="both"/>
      </w:pPr>
      <w:r>
        <w:rPr>
          <w:sz w:val="21"/>
        </w:rPr>
        <w:t>税率：</w:t>
      </w:r>
      <w:r>
        <w:rPr>
          <w:sz w:val="21"/>
          <w:u w:val="single"/>
        </w:rPr>
        <w:t xml:space="preserve">   </w:t>
      </w:r>
      <w:r>
        <w:rPr>
          <w:sz w:val="21"/>
        </w:rPr>
        <w:t>%</w:t>
      </w:r>
    </w:p>
    <w:p>
      <w:pPr>
        <w:jc w:val="both"/>
      </w:pPr>
      <w:r>
        <w:rPr>
          <w:sz w:val="21"/>
        </w:rPr>
        <w:t>备注：税前总价</w:t>
      </w:r>
      <w:r>
        <w:rPr>
          <w:sz w:val="21"/>
        </w:rPr>
        <w:t>=</w:t>
      </w:r>
      <w:r>
        <w:rPr>
          <w:sz w:val="21"/>
        </w:rPr>
        <w:t>合同总价</w:t>
      </w:r>
      <w:r>
        <w:rPr>
          <w:sz w:val="21"/>
        </w:rPr>
        <w:t>/</w:t>
      </w:r>
      <w:r>
        <w:rPr>
          <w:sz w:val="21"/>
        </w:rPr>
        <w:t>（</w:t>
      </w:r>
      <w:r>
        <w:rPr>
          <w:sz w:val="21"/>
        </w:rPr>
        <w:t>1+</w:t>
      </w:r>
      <w:r>
        <w:rPr>
          <w:sz w:val="21"/>
        </w:rPr>
        <w:t>税率）</w:t>
      </w:r>
    </w:p>
    <w:p>
      <w:pPr>
        <w:jc w:val="both"/>
      </w:pPr>
      <w:r>
        <w:rPr>
          <w:sz w:val="21"/>
        </w:rPr>
        <w:t>2.</w:t>
      </w:r>
      <w:r>
        <w:rPr>
          <w:sz w:val="21"/>
        </w:rPr>
        <w:t>付款方式：</w:t>
      </w:r>
      <w:r>
        <w:rPr>
          <w:sz w:val="21"/>
        </w:rPr>
        <w:t>合同签订生效后且</w:t>
      </w:r>
      <w:r>
        <w:rPr>
          <w:sz w:val="21"/>
        </w:rPr>
        <w:t>乙方</w:t>
      </w:r>
      <w:r>
        <w:rPr>
          <w:sz w:val="21"/>
        </w:rPr>
        <w:t>提供相关发票后</w:t>
      </w:r>
      <w:r>
        <w:rPr>
          <w:sz w:val="21"/>
        </w:rPr>
        <w:t>30</w:t>
      </w:r>
      <w:r>
        <w:rPr>
          <w:sz w:val="21"/>
        </w:rPr>
        <w:t>个工作日内，</w:t>
      </w:r>
      <w:r>
        <w:rPr>
          <w:sz w:val="21"/>
        </w:rPr>
        <w:t>甲方</w:t>
      </w:r>
      <w:r>
        <w:rPr>
          <w:sz w:val="21"/>
        </w:rPr>
        <w:t>向</w:t>
      </w:r>
      <w:r>
        <w:rPr>
          <w:sz w:val="21"/>
        </w:rPr>
        <w:t>乙方</w:t>
      </w:r>
      <w:r>
        <w:rPr>
          <w:sz w:val="21"/>
        </w:rPr>
        <w:t>支付合同费用的</w:t>
      </w:r>
      <w:r>
        <w:rPr>
          <w:sz w:val="21"/>
        </w:rPr>
        <w:t>100%</w:t>
      </w:r>
      <w:r>
        <w:rPr>
          <w:sz w:val="21"/>
        </w:rPr>
        <w:t>。款项支付时，</w:t>
      </w:r>
      <w:r>
        <w:rPr>
          <w:sz w:val="21"/>
        </w:rPr>
        <w:t>乙方</w:t>
      </w:r>
      <w:r>
        <w:rPr>
          <w:sz w:val="21"/>
        </w:rPr>
        <w:t>同时向</w:t>
      </w:r>
      <w:r>
        <w:rPr>
          <w:sz w:val="21"/>
        </w:rPr>
        <w:t>甲方</w:t>
      </w:r>
      <w:r>
        <w:rPr>
          <w:sz w:val="21"/>
        </w:rPr>
        <w:t>提供相应金额的税务发票等请款资料。</w:t>
      </w:r>
    </w:p>
    <w:p>
      <w:pPr>
        <w:jc w:val="both"/>
      </w:pPr>
      <w:r>
        <w:rPr>
          <w:sz w:val="21"/>
        </w:rPr>
        <w:t>3.</w:t>
      </w:r>
      <w:r>
        <w:rPr>
          <w:sz w:val="21"/>
        </w:rPr>
        <w:t>如因乙方未能及时提供前述发票而造成的付款延迟，不属甲方违约，甲方支付乙方的费用均通过银行转账方式汇入乙方指定的账户。双方账户信息如下：</w:t>
      </w:r>
    </w:p>
    <w:p>
      <w:pPr>
        <w:jc w:val="both"/>
      </w:pPr>
      <w:r>
        <w:rPr>
          <w:sz w:val="21"/>
        </w:rPr>
        <w:t>甲方账户信息如下：</w:t>
      </w:r>
    </w:p>
    <w:p>
      <w:pPr>
        <w:jc w:val="both"/>
      </w:pPr>
      <w:r>
        <w:rPr>
          <w:sz w:val="21"/>
        </w:rPr>
        <w:t>纳税人识别号：</w:t>
      </w:r>
    </w:p>
    <w:p>
      <w:pPr>
        <w:jc w:val="both"/>
      </w:pPr>
      <w:r>
        <w:rPr>
          <w:sz w:val="21"/>
        </w:rPr>
        <w:t>开户名：</w:t>
      </w:r>
    </w:p>
    <w:p>
      <w:pPr>
        <w:jc w:val="both"/>
      </w:pPr>
      <w:r>
        <w:rPr>
          <w:sz w:val="21"/>
        </w:rPr>
        <w:t>开户行：</w:t>
      </w:r>
    </w:p>
    <w:p>
      <w:pPr>
        <w:jc w:val="both"/>
      </w:pPr>
      <w:r>
        <w:rPr>
          <w:sz w:val="21"/>
        </w:rPr>
        <w:t>账号：</w:t>
      </w:r>
    </w:p>
    <w:p>
      <w:pPr>
        <w:jc w:val="both"/>
      </w:pPr>
      <w:r>
        <w:rPr>
          <w:sz w:val="21"/>
        </w:rPr>
        <w:t>乙方开票信息如下：</w:t>
      </w:r>
    </w:p>
    <w:p>
      <w:pPr>
        <w:jc w:val="both"/>
      </w:pPr>
      <w:r>
        <w:rPr>
          <w:sz w:val="21"/>
        </w:rPr>
        <w:t>乙方账户：</w:t>
      </w:r>
    </w:p>
    <w:p>
      <w:pPr>
        <w:jc w:val="both"/>
      </w:pPr>
      <w:r>
        <w:rPr>
          <w:sz w:val="21"/>
        </w:rPr>
        <w:t>开户行：</w:t>
      </w:r>
    </w:p>
    <w:p>
      <w:pPr>
        <w:jc w:val="both"/>
      </w:pPr>
      <w:r>
        <w:rPr>
          <w:sz w:val="21"/>
        </w:rPr>
        <w:t>账号：</w:t>
      </w:r>
    </w:p>
    <w:p>
      <w:pPr>
        <w:jc w:val="both"/>
      </w:pPr>
      <w:r>
        <w:rPr>
          <w:sz w:val="21"/>
        </w:rPr>
        <w:t>业务联系人及电话：</w:t>
      </w:r>
    </w:p>
    <w:p>
      <w:pPr>
        <w:jc w:val="both"/>
      </w:pPr>
      <w:r>
        <w:rPr>
          <w:sz w:val="21"/>
        </w:rPr>
        <w:t>发票上乙方账户信息与上述信息一致。</w:t>
      </w:r>
    </w:p>
    <w:p>
      <w:pPr>
        <w:jc w:val="both"/>
      </w:pPr>
      <w:r>
        <w:rPr>
          <w:sz w:val="21"/>
        </w:rPr>
        <w:t>4.</w:t>
      </w:r>
      <w:r>
        <w:rPr>
          <w:sz w:val="21"/>
        </w:rPr>
        <w:t>甲方向上述乙方账户汇出款项即为已经向乙方履行合同约定的付款义务，如因乙方账户被查封、冻结、注销等非甲方原因导致乙方未能收到款项的，责任由乙方自行承担。</w:t>
      </w:r>
    </w:p>
    <w:p>
      <w:pPr>
        <w:jc w:val="both"/>
      </w:pPr>
      <w:r>
        <w:rPr>
          <w:sz w:val="21"/>
        </w:rPr>
        <w:t>1.5</w:t>
      </w:r>
      <w:r>
        <w:rPr>
          <w:sz w:val="21"/>
        </w:rPr>
        <w:t>货币单位</w:t>
      </w:r>
    </w:p>
    <w:p>
      <w:pPr>
        <w:jc w:val="both"/>
      </w:pPr>
      <w:r>
        <w:rPr>
          <w:sz w:val="21"/>
        </w:rPr>
        <w:t>本合同中涉及的货币单位均为人民币，外币根据当日中国人民银行公布的外币兑人民币中间价折算为人民币。</w:t>
      </w:r>
    </w:p>
    <w:p>
      <w:pPr>
        <w:jc w:val="both"/>
      </w:pPr>
      <w:r>
        <w:rPr>
          <w:sz w:val="21"/>
        </w:rPr>
        <w:t>第二部分</w:t>
      </w:r>
      <w:r>
        <w:rPr>
          <w:sz w:val="21"/>
        </w:rPr>
        <w:t xml:space="preserve">  </w:t>
      </w:r>
      <w:r>
        <w:rPr>
          <w:sz w:val="21"/>
        </w:rPr>
        <w:t>保险期限</w:t>
      </w:r>
    </w:p>
    <w:p>
      <w:pPr>
        <w:jc w:val="both"/>
      </w:pPr>
      <w:r>
        <w:rPr>
          <w:b/>
          <w:sz w:val="21"/>
        </w:rPr>
        <w:t>1</w:t>
      </w:r>
      <w:r>
        <w:rPr>
          <w:b/>
          <w:sz w:val="21"/>
        </w:rPr>
        <w:t>、保险期限</w:t>
      </w:r>
      <w:r>
        <w:rPr>
          <w:sz w:val="21"/>
        </w:rPr>
        <w:t>：</w:t>
      </w:r>
      <w:r>
        <w:rPr>
          <w:sz w:val="21"/>
        </w:rPr>
        <w:t>12</w:t>
      </w:r>
      <w:r>
        <w:rPr>
          <w:sz w:val="21"/>
        </w:rPr>
        <w:t>个月，自</w:t>
      </w:r>
      <w:r>
        <w:rPr>
          <w:sz w:val="21"/>
        </w:rPr>
        <w:t>202</w:t>
      </w:r>
      <w:r>
        <w:rPr>
          <w:sz w:val="21"/>
        </w:rPr>
        <w:t>4</w:t>
      </w:r>
      <w:r>
        <w:rPr>
          <w:sz w:val="21"/>
        </w:rPr>
        <w:t>年</w:t>
      </w:r>
      <w:r>
        <w:rPr>
          <w:sz w:val="21"/>
        </w:rPr>
        <w:t xml:space="preserve"> </w:t>
      </w:r>
      <w:r>
        <w:rPr>
          <w:sz w:val="21"/>
        </w:rPr>
        <w:t>月</w:t>
      </w:r>
      <w:r>
        <w:rPr>
          <w:sz w:val="21"/>
        </w:rPr>
        <w:t xml:space="preserve"> </w:t>
      </w:r>
      <w:r>
        <w:rPr>
          <w:sz w:val="21"/>
        </w:rPr>
        <w:t>日零时起至</w:t>
      </w:r>
      <w:r>
        <w:rPr>
          <w:sz w:val="21"/>
        </w:rPr>
        <w:t>202</w:t>
      </w:r>
      <w:r>
        <w:rPr>
          <w:sz w:val="21"/>
        </w:rPr>
        <w:t>5</w:t>
      </w:r>
      <w:r>
        <w:rPr>
          <w:sz w:val="21"/>
        </w:rPr>
        <w:t>年</w:t>
      </w:r>
      <w:r>
        <w:rPr>
          <w:sz w:val="21"/>
        </w:rPr>
        <w:t xml:space="preserve"> </w:t>
      </w:r>
      <w:r>
        <w:rPr>
          <w:sz w:val="21"/>
        </w:rPr>
        <w:t>月</w:t>
      </w:r>
      <w:r>
        <w:rPr>
          <w:sz w:val="21"/>
        </w:rPr>
        <w:t xml:space="preserve"> </w:t>
      </w:r>
      <w:r>
        <w:rPr>
          <w:sz w:val="21"/>
        </w:rPr>
        <w:t>日二十四时止。</w:t>
      </w:r>
    </w:p>
    <w:p>
      <w:pPr>
        <w:jc w:val="both"/>
      </w:pPr>
      <w:r>
        <w:rPr>
          <w:b/>
          <w:sz w:val="21"/>
        </w:rPr>
        <w:t>2</w:t>
      </w:r>
      <w:r>
        <w:rPr>
          <w:b/>
          <w:sz w:val="21"/>
        </w:rPr>
        <w:t>、追</w:t>
      </w:r>
      <w:r>
        <w:rPr>
          <w:b/>
          <w:sz w:val="21"/>
        </w:rPr>
        <w:t xml:space="preserve"> </w:t>
      </w:r>
      <w:r>
        <w:rPr>
          <w:b/>
          <w:sz w:val="21"/>
        </w:rPr>
        <w:t>溯</w:t>
      </w:r>
      <w:r>
        <w:rPr>
          <w:b/>
          <w:sz w:val="21"/>
        </w:rPr>
        <w:t xml:space="preserve"> </w:t>
      </w:r>
      <w:r>
        <w:rPr>
          <w:b/>
          <w:sz w:val="21"/>
        </w:rPr>
        <w:t>期</w:t>
      </w:r>
      <w:r>
        <w:rPr>
          <w:sz w:val="21"/>
        </w:rPr>
        <w:t>：</w:t>
      </w:r>
      <w:r>
        <w:rPr>
          <w:sz w:val="21"/>
        </w:rPr>
        <w:t xml:space="preserve">   </w:t>
      </w:r>
      <w:r>
        <w:rPr>
          <w:sz w:val="21"/>
        </w:rPr>
        <w:t>个月，自</w:t>
      </w:r>
      <w:r>
        <w:rPr>
          <w:sz w:val="21"/>
        </w:rPr>
        <w:t xml:space="preserve">     </w:t>
      </w:r>
      <w:r>
        <w:rPr>
          <w:sz w:val="21"/>
        </w:rPr>
        <w:t>年</w:t>
      </w:r>
      <w:r>
        <w:rPr>
          <w:sz w:val="21"/>
        </w:rPr>
        <w:t xml:space="preserve">   </w:t>
      </w:r>
      <w:r>
        <w:rPr>
          <w:sz w:val="21"/>
        </w:rPr>
        <w:t>月</w:t>
      </w:r>
      <w:r>
        <w:rPr>
          <w:sz w:val="21"/>
        </w:rPr>
        <w:t xml:space="preserve">   </w:t>
      </w:r>
      <w:r>
        <w:rPr>
          <w:sz w:val="21"/>
        </w:rPr>
        <w:t>日零时起至</w:t>
      </w:r>
      <w:r>
        <w:rPr>
          <w:sz w:val="21"/>
        </w:rPr>
        <w:t xml:space="preserve">    </w:t>
      </w:r>
      <w:r>
        <w:rPr>
          <w:sz w:val="21"/>
        </w:rPr>
        <w:t>年</w:t>
      </w:r>
      <w:r>
        <w:rPr>
          <w:sz w:val="21"/>
        </w:rPr>
        <w:t xml:space="preserve">  </w:t>
      </w:r>
      <w:r>
        <w:rPr>
          <w:sz w:val="21"/>
        </w:rPr>
        <w:t>月</w:t>
      </w:r>
      <w:r>
        <w:rPr>
          <w:sz w:val="21"/>
        </w:rPr>
        <w:t xml:space="preserve">  </w:t>
      </w:r>
      <w:r>
        <w:rPr>
          <w:sz w:val="21"/>
        </w:rPr>
        <w:t>日二十四时止。</w:t>
      </w:r>
    </w:p>
    <w:p>
      <w:pPr>
        <w:jc w:val="both"/>
      </w:pPr>
      <w:r>
        <w:rPr>
          <w:sz w:val="21"/>
        </w:rPr>
        <w:t>第三部分</w:t>
      </w:r>
      <w:r>
        <w:rPr>
          <w:sz w:val="21"/>
        </w:rPr>
        <w:t xml:space="preserve"> </w:t>
      </w:r>
      <w:r>
        <w:rPr>
          <w:sz w:val="21"/>
        </w:rPr>
        <w:t>投保单</w:t>
      </w:r>
    </w:p>
    <w:p>
      <w:pPr>
        <w:jc w:val="both"/>
      </w:pPr>
      <w:r>
        <w:rPr>
          <w:sz w:val="21"/>
        </w:rPr>
        <w:t>详见附件</w:t>
      </w:r>
    </w:p>
    <w:p>
      <w:pPr>
        <w:jc w:val="both"/>
      </w:pPr>
      <w:r>
        <w:rPr>
          <w:sz w:val="21"/>
        </w:rPr>
        <w:t xml:space="preserve"> </w:t>
      </w:r>
      <w:r>
        <w:rPr>
          <w:sz w:val="21"/>
        </w:rPr>
        <w:t>第四部分</w:t>
      </w:r>
      <w:r>
        <w:rPr>
          <w:sz w:val="21"/>
        </w:rPr>
        <w:t xml:space="preserve">  </w:t>
      </w:r>
      <w:r>
        <w:rPr>
          <w:sz w:val="21"/>
        </w:rPr>
        <w:t>保险单</w:t>
      </w:r>
    </w:p>
    <w:p>
      <w:pPr>
        <w:jc w:val="both"/>
      </w:pPr>
      <w:r>
        <w:rPr>
          <w:sz w:val="21"/>
        </w:rPr>
        <w:t>详见附件</w:t>
      </w:r>
    </w:p>
    <w:p>
      <w:pPr>
        <w:jc w:val="both"/>
      </w:pPr>
      <w:r>
        <w:rPr>
          <w:sz w:val="21"/>
        </w:rPr>
        <w:t>第五部分</w:t>
      </w:r>
      <w:r>
        <w:rPr>
          <w:sz w:val="21"/>
        </w:rPr>
        <w:t xml:space="preserve">  </w:t>
      </w:r>
      <w:r>
        <w:rPr>
          <w:sz w:val="21"/>
        </w:rPr>
        <w:t>争议处理</w:t>
      </w:r>
    </w:p>
    <w:p>
      <w:pPr>
        <w:jc w:val="both"/>
      </w:pPr>
      <w:r>
        <w:rPr>
          <w:sz w:val="21"/>
        </w:rPr>
        <w:t>甲、乙双方之间的一切有关本合同的争议应通过友好协商解决。如果协商不成，可通过诉讼途径解决。在诉讼期间，本合同不涉及争议的条款仍须履行。</w:t>
      </w:r>
    </w:p>
    <w:p>
      <w:pPr>
        <w:jc w:val="both"/>
      </w:pPr>
      <w:r>
        <w:rPr>
          <w:sz w:val="21"/>
        </w:rPr>
        <w:t>第六部分</w:t>
      </w:r>
      <w:r>
        <w:rPr>
          <w:sz w:val="21"/>
        </w:rPr>
        <w:t xml:space="preserve">  </w:t>
      </w:r>
      <w:r>
        <w:rPr>
          <w:sz w:val="21"/>
        </w:rPr>
        <w:t>合同的修改和变更</w:t>
      </w:r>
    </w:p>
    <w:p>
      <w:pPr>
        <w:jc w:val="both"/>
      </w:pPr>
      <w:r>
        <w:rPr>
          <w:sz w:val="21"/>
        </w:rPr>
        <w:t>在本合同正常履行期间，合同内容的任何修改、变更，须经甲、乙双方一致书面同意。</w:t>
      </w:r>
    </w:p>
    <w:p>
      <w:pPr>
        <w:jc w:val="both"/>
      </w:pPr>
      <w:r>
        <w:rPr>
          <w:sz w:val="21"/>
        </w:rPr>
        <w:t>第七部分</w:t>
      </w:r>
      <w:r>
        <w:rPr>
          <w:sz w:val="21"/>
        </w:rPr>
        <w:t xml:space="preserve">  </w:t>
      </w:r>
      <w:r>
        <w:rPr>
          <w:sz w:val="21"/>
        </w:rPr>
        <w:t>保密条款</w:t>
      </w:r>
    </w:p>
    <w:p>
      <w:pPr>
        <w:jc w:val="both"/>
      </w:pPr>
      <w:r>
        <w:rPr>
          <w:sz w:val="21"/>
        </w:rPr>
        <w:t>除非下列情况，自本合同生效之日起，乙方不得将本合同涉及的所有有形、无形的信息及资料（包括但不限于各方的往来书面文字文件、电子邮件及信息、软盘资料等）泄露给其他团体或个人：</w:t>
      </w:r>
    </w:p>
    <w:p>
      <w:pPr>
        <w:jc w:val="both"/>
      </w:pPr>
      <w:r>
        <w:rPr>
          <w:sz w:val="21"/>
        </w:rPr>
        <w:t>提供给与执行本合同内容有关的雇员或顾问，或应法律或司法管辖要求而提供，或经甲方书面同意。本合同一方因过错造成泄密而给其他方造成损失的，过错一方承担经济赔偿责任。同时承担因此产生的全部法律责任。</w:t>
      </w:r>
    </w:p>
    <w:p>
      <w:pPr>
        <w:jc w:val="both"/>
      </w:pPr>
      <w:r>
        <w:rPr>
          <w:sz w:val="21"/>
        </w:rPr>
        <w:t>第八部分</w:t>
      </w:r>
      <w:r>
        <w:rPr>
          <w:sz w:val="21"/>
        </w:rPr>
        <w:t xml:space="preserve">  </w:t>
      </w:r>
      <w:r>
        <w:rPr>
          <w:sz w:val="21"/>
        </w:rPr>
        <w:t>合同生效</w:t>
      </w:r>
    </w:p>
    <w:p>
      <w:pPr>
        <w:jc w:val="both"/>
      </w:pPr>
      <w:r>
        <w:rPr>
          <w:sz w:val="21"/>
        </w:rPr>
        <w:t>1.</w:t>
      </w:r>
      <w:r>
        <w:rPr>
          <w:sz w:val="21"/>
        </w:rPr>
        <w:t>本合同自</w:t>
      </w:r>
      <w:r>
        <w:rPr>
          <w:sz w:val="21"/>
        </w:rPr>
        <w:t>2023</w:t>
      </w:r>
      <w:r>
        <w:rPr>
          <w:sz w:val="21"/>
        </w:rPr>
        <w:t>年</w:t>
      </w:r>
      <w:r>
        <w:rPr>
          <w:sz w:val="21"/>
        </w:rPr>
        <w:t xml:space="preserve">   </w:t>
      </w:r>
      <w:r>
        <w:rPr>
          <w:sz w:val="21"/>
        </w:rPr>
        <w:t>月</w:t>
      </w:r>
      <w:r>
        <w:rPr>
          <w:sz w:val="21"/>
        </w:rPr>
        <w:t xml:space="preserve">   </w:t>
      </w:r>
      <w:r>
        <w:rPr>
          <w:sz w:val="21"/>
        </w:rPr>
        <w:t>日零时起正式生效。</w:t>
      </w:r>
    </w:p>
    <w:p>
      <w:pPr>
        <w:jc w:val="both"/>
      </w:pPr>
      <w:r>
        <w:rPr>
          <w:sz w:val="21"/>
        </w:rPr>
        <w:t>2.</w:t>
      </w:r>
      <w:r>
        <w:rPr>
          <w:sz w:val="21"/>
        </w:rPr>
        <w:t>本合同一式陆份，甲方执肆份，乙方执贰份，具有同等法律效力，自双方签字盖章后生效。</w:t>
      </w:r>
    </w:p>
    <w:p>
      <w:pPr>
        <w:jc w:val="both"/>
      </w:pPr>
      <w:r>
        <w:rPr>
          <w:sz w:val="21"/>
        </w:rPr>
        <w:t>3.</w:t>
      </w:r>
      <w:r>
        <w:rPr>
          <w:sz w:val="21"/>
        </w:rPr>
        <w:t>本合同附件是本合同的有效组成部分，与本合同具有同等法律效力。本合同附件：</w:t>
      </w:r>
    </w:p>
    <w:p>
      <w:pPr>
        <w:jc w:val="both"/>
      </w:pPr>
      <w:r>
        <w:rPr>
          <w:sz w:val="21"/>
        </w:rPr>
        <w:t>附件一《廉洁协议书》、</w:t>
      </w:r>
    </w:p>
    <w:p>
      <w:pPr>
        <w:jc w:val="both"/>
      </w:pPr>
      <w:r>
        <w:rPr>
          <w:sz w:val="21"/>
        </w:rPr>
        <w:t>附件二《医疗责任保险投保单》、</w:t>
      </w:r>
    </w:p>
    <w:p>
      <w:pPr>
        <w:jc w:val="both"/>
      </w:pPr>
      <w:r>
        <w:rPr>
          <w:sz w:val="21"/>
        </w:rPr>
        <w:t>附件三《销售确认书》、</w:t>
      </w:r>
    </w:p>
    <w:p>
      <w:pPr>
        <w:jc w:val="both"/>
      </w:pPr>
      <w:r>
        <w:rPr>
          <w:sz w:val="21"/>
        </w:rPr>
        <w:t>附件四《交费通知书》、</w:t>
      </w:r>
    </w:p>
    <w:p>
      <w:pPr>
        <w:jc w:val="both"/>
      </w:pPr>
      <w:r>
        <w:rPr>
          <w:sz w:val="21"/>
        </w:rPr>
        <w:t>附件五《医疗责任保险条款》、</w:t>
      </w:r>
    </w:p>
    <w:p>
      <w:pPr>
        <w:jc w:val="both"/>
      </w:pPr>
      <w:r>
        <w:rPr>
          <w:sz w:val="21"/>
        </w:rPr>
        <w:t>附件六《附加外请医务人员医疗责任保险条款》</w:t>
      </w:r>
    </w:p>
    <w:p>
      <w:pPr>
        <w:jc w:val="both"/>
      </w:pPr>
      <w:r>
        <w:rPr>
          <w:sz w:val="21"/>
        </w:rPr>
        <w:t>附件七《附加进修医务人员医疗责任保险条款》、</w:t>
      </w:r>
    </w:p>
    <w:p>
      <w:pPr>
        <w:jc w:val="both"/>
      </w:pPr>
      <w:r>
        <w:rPr>
          <w:sz w:val="21"/>
        </w:rPr>
        <w:t>附件八《附加医疗机构场所责任保险条款》、</w:t>
      </w:r>
    </w:p>
    <w:p>
      <w:pPr>
        <w:jc w:val="both"/>
      </w:pPr>
      <w:r>
        <w:rPr>
          <w:sz w:val="21"/>
        </w:rPr>
        <w:t>附件九《附加医务人员遭受伤害责任保险条款》</w:t>
      </w:r>
    </w:p>
    <w:p>
      <w:pPr>
        <w:jc w:val="both"/>
      </w:pPr>
      <w:r>
        <w:rPr>
          <w:sz w:val="21"/>
        </w:rPr>
        <w:t>附件十《公众责任保险投保单》</w:t>
      </w:r>
    </w:p>
    <w:p>
      <w:pPr>
        <w:jc w:val="both"/>
      </w:pPr>
      <w:r>
        <w:rPr>
          <w:sz w:val="21"/>
        </w:rPr>
        <w:t>附件十一《公众责任保险条款》及其附加险</w:t>
      </w:r>
    </w:p>
    <w:p>
      <w:pPr>
        <w:jc w:val="both"/>
      </w:pPr>
      <w:r>
        <w:rPr>
          <w:sz w:val="21"/>
        </w:rPr>
        <w:t>附件十二《医疗责任保险（</w:t>
      </w:r>
      <w:r>
        <w:rPr>
          <w:sz w:val="21"/>
        </w:rPr>
        <w:t>2011</w:t>
      </w:r>
      <w:r>
        <w:rPr>
          <w:sz w:val="21"/>
        </w:rPr>
        <w:t>版）保险单（抄件）》</w:t>
      </w:r>
    </w:p>
    <w:p>
      <w:pPr>
        <w:jc w:val="both"/>
      </w:pPr>
      <w:r>
        <w:rPr>
          <w:sz w:val="21"/>
        </w:rPr>
        <w:t>附件十三《公众责任保险（</w:t>
      </w:r>
      <w:r>
        <w:rPr>
          <w:sz w:val="21"/>
        </w:rPr>
        <w:t>1999</w:t>
      </w:r>
      <w:r>
        <w:rPr>
          <w:sz w:val="21"/>
        </w:rPr>
        <w:t>版）保险单（抄件）》</w:t>
      </w:r>
    </w:p>
    <w:p>
      <w:pPr>
        <w:jc w:val="both"/>
      </w:pPr>
    </w:p>
    <w:p>
      <w:pPr>
        <w:jc w:val="both"/>
      </w:pPr>
      <w:r>
        <w:rPr>
          <w:sz w:val="21"/>
        </w:rPr>
        <w:t>第九部分</w:t>
      </w:r>
      <w:r>
        <w:rPr>
          <w:sz w:val="21"/>
        </w:rPr>
        <w:t xml:space="preserve">  </w:t>
      </w:r>
      <w:r>
        <w:rPr>
          <w:sz w:val="21"/>
        </w:rPr>
        <w:t>法律责任</w:t>
      </w:r>
    </w:p>
    <w:p>
      <w:pPr>
        <w:jc w:val="both"/>
      </w:pPr>
      <w:r>
        <w:rPr>
          <w:sz w:val="21"/>
        </w:rPr>
        <w:t>由于本合同任何一方当事人的过错，造成本合同不能履行或者不能完全履行的，由有过错的一方依法承担违约责任；如属各方当事人的过错，则根据各方当事人过错的实际情况，由各方当事人分别承担各自应负的违约责任；</w:t>
      </w:r>
    </w:p>
    <w:p>
      <w:pPr>
        <w:jc w:val="both"/>
      </w:pPr>
      <w:r>
        <w:rPr>
          <w:sz w:val="21"/>
        </w:rPr>
        <w:t>若发生违约情形，违约方依法依约承担其相应法律责任后果，除非守约方同意终止本合同的，本合同仍须继续履行。</w:t>
      </w:r>
    </w:p>
    <w:p>
      <w:pPr>
        <w:jc w:val="both"/>
      </w:pPr>
    </w:p>
    <w:p>
      <w:pPr>
        <w:jc w:val="both"/>
      </w:pPr>
      <w:r>
        <w:rPr>
          <w:sz w:val="21"/>
        </w:rPr>
        <w:t>甲方（盖章）：中山大学附属第六医院</w:t>
      </w:r>
    </w:p>
    <w:p>
      <w:pPr>
        <w:jc w:val="both"/>
      </w:pPr>
      <w:r>
        <w:rPr>
          <w:sz w:val="21"/>
        </w:rPr>
        <w:t>签约代表：</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1"/>
        </w:rPr>
        <w:t>签约地点：广州市天河区员村二横路</w:t>
      </w:r>
      <w:r>
        <w:rPr>
          <w:sz w:val="21"/>
        </w:rPr>
        <w:t>26</w:t>
      </w:r>
      <w:r>
        <w:rPr>
          <w:sz w:val="21"/>
        </w:rPr>
        <w:t>号</w:t>
      </w:r>
    </w:p>
    <w:p>
      <w:pPr>
        <w:jc w:val="both"/>
      </w:pPr>
    </w:p>
    <w:p>
      <w:pPr>
        <w:jc w:val="both"/>
      </w:pPr>
      <w:r>
        <w:rPr>
          <w:sz w:val="21"/>
        </w:rPr>
        <w:t>乙方（盖章）：</w:t>
      </w:r>
    </w:p>
    <w:p>
      <w:pPr>
        <w:jc w:val="both"/>
      </w:pPr>
      <w:r>
        <w:rPr>
          <w:sz w:val="21"/>
        </w:rPr>
        <w:t>签约代表：</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1"/>
        </w:rPr>
        <w:t>签约地点：</w:t>
      </w:r>
    </w:p>
    <w:p>
      <w:pPr>
        <w:jc w:val="both"/>
      </w:pPr>
    </w:p>
    <w:p>
      <w:pPr>
        <w:jc w:val="both"/>
      </w:pPr>
    </w:p>
    <w:p>
      <w:pPr>
        <w:jc w:val="both"/>
      </w:pPr>
    </w:p>
    <w:p/>
    <w:p>
      <w:r>
        <w:rPr/>
        <w:t xml:space="preserve"> </w:t>
      </w:r>
    </w:p>
    <w:p>
      <w:r>
        <w:rPr/>
        <w:t xml:space="preserve"> </w:t>
      </w:r>
    </w:p>
    <w:p>
      <w:pPr>
        <w:jc w:val="both"/>
      </w:pPr>
    </w:p>
    <w:p>
      <w:pPr>
        <w:jc w:val="center"/>
      </w:pPr>
      <w:r>
        <w:rPr>
          <w:b/>
          <w:sz w:val="33"/>
        </w:rPr>
        <w:t>廉 洁 协 议 书</w:t>
      </w:r>
    </w:p>
    <w:p>
      <w:pPr>
        <w:jc w:val="both"/>
      </w:pPr>
    </w:p>
    <w:p>
      <w:pPr>
        <w:jc w:val="both"/>
      </w:pPr>
      <w:r>
        <w:rPr/>
        <w:t xml:space="preserve"> </w:t>
      </w:r>
    </w:p>
    <w:p>
      <w:pPr>
        <w:jc w:val="both"/>
      </w:pPr>
      <w:r>
        <w:rPr>
          <w:sz w:val="21"/>
        </w:rPr>
        <w:t>甲方：中山大学附属第六医院</w:t>
      </w:r>
      <w:r>
        <w:rPr>
          <w:sz w:val="21"/>
        </w:rPr>
        <w:t xml:space="preserve">      </w:t>
      </w:r>
    </w:p>
    <w:p>
      <w:pPr>
        <w:jc w:val="both"/>
      </w:pPr>
      <w:r>
        <w:rPr>
          <w:sz w:val="21"/>
        </w:rPr>
        <w:t>乙方：</w:t>
      </w:r>
      <w:r>
        <w:rPr>
          <w:sz w:val="21"/>
        </w:rPr>
        <w:t xml:space="preserve">                 </w:t>
      </w:r>
    </w:p>
    <w:p>
      <w:pPr>
        <w:jc w:val="both"/>
      </w:pPr>
    </w:p>
    <w:p>
      <w:pPr>
        <w:jc w:val="both"/>
      </w:pPr>
      <w:r>
        <w:rPr>
          <w:sz w:val="21"/>
        </w:rPr>
        <w:t>为进一步推进党风廉政建设和纠风工作，建立健全治理商业贿赂及创建廉洁诚信医院长效机制，现经双方协商同意签订廉洁协议书如下：</w:t>
      </w:r>
    </w:p>
    <w:p>
      <w:pPr>
        <w:jc w:val="both"/>
      </w:pPr>
      <w:r>
        <w:rPr>
          <w:sz w:val="21"/>
        </w:rPr>
        <w:t>一、双方必须遵纪守法，严格执行上级纠正医药购销和医疗服务中不正之风和治理商业贿赂的有关文件精神，坚持</w:t>
      </w:r>
      <w:r>
        <w:rPr>
          <w:sz w:val="21"/>
        </w:rPr>
        <w:t>“标本兼治、综合治理、惩防并举”的原则，深化源头治理。双方应严格执行廉洁管理规定，严格执行有关管理规定。</w:t>
      </w:r>
    </w:p>
    <w:p>
      <w:pPr>
        <w:jc w:val="both"/>
      </w:pPr>
      <w:r>
        <w:rPr>
          <w:sz w:val="21"/>
        </w:rPr>
        <w:t>二、乙方不得派代表到医院，以借名科研费、开发费、宣传费、推销费等形式推销药品、医疗设备、医用耗材等产品，对医院领导及相关人员、医务人员进行商业贿赂等不正当行为的，一经发现，中止合同和其他一切业务。</w:t>
      </w:r>
    </w:p>
    <w:p>
      <w:pPr>
        <w:jc w:val="both"/>
      </w:pPr>
      <w:r>
        <w:rPr>
          <w:sz w:val="21"/>
        </w:rPr>
        <w:t>三、医院医务人员不得替乙方非法从事销售业务，一经发现按商业贿赂行为严肃处理。</w:t>
      </w:r>
    </w:p>
    <w:p>
      <w:pPr>
        <w:jc w:val="both"/>
      </w:pPr>
      <w:r>
        <w:rPr>
          <w:sz w:val="21"/>
        </w:rPr>
        <w:t>四、双方共同承诺坚决遵守不行贿、不受贿，做到廉洁自律，如出现有违法违纪行为，一经查实，依法依规处理。</w:t>
      </w:r>
    </w:p>
    <w:p>
      <w:pPr>
        <w:jc w:val="both"/>
      </w:pPr>
      <w:r>
        <w:rPr>
          <w:sz w:val="21"/>
        </w:rPr>
        <w:t>本协议书自双方签字之日起生效。</w:t>
      </w:r>
    </w:p>
    <w:p>
      <w:pPr>
        <w:jc w:val="both"/>
      </w:pPr>
    </w:p>
    <w:p>
      <w:pPr>
        <w:jc w:val="both"/>
      </w:pPr>
      <w:r>
        <w:rPr>
          <w:sz w:val="21"/>
        </w:rPr>
        <w:t>甲方单位（盖章）：中山大学附属第六医院</w:t>
      </w:r>
      <w:r>
        <w:rPr>
          <w:sz w:val="21"/>
        </w:rPr>
        <w:t xml:space="preserve">   </w:t>
      </w:r>
      <w:r>
        <w:rPr>
          <w:sz w:val="21"/>
        </w:rPr>
        <w:t>乙方单位（盖章）：</w:t>
      </w:r>
      <w:r>
        <w:rPr>
          <w:sz w:val="21"/>
        </w:rPr>
        <w:t xml:space="preserve">               </w:t>
      </w:r>
    </w:p>
    <w:p>
      <w:pPr>
        <w:jc w:val="both"/>
      </w:pPr>
      <w:r>
        <w:rPr>
          <w:sz w:val="21"/>
        </w:rPr>
        <w:t>代表人签字</w:t>
      </w:r>
      <w:r>
        <w:rPr>
          <w:sz w:val="21"/>
        </w:rPr>
        <w:t>：</w:t>
      </w:r>
      <w:r>
        <w:rPr>
          <w:sz w:val="21"/>
        </w:rPr>
        <w:t xml:space="preserve">                        </w:t>
      </w:r>
      <w:r>
        <w:rPr>
          <w:sz w:val="21"/>
        </w:rPr>
        <w:t>代表人签字</w:t>
      </w:r>
      <w:r>
        <w:rPr>
          <w:sz w:val="21"/>
        </w:rPr>
        <w:t>：</w:t>
      </w:r>
      <w:r>
        <w:rPr>
          <w:sz w:val="21"/>
        </w:rPr>
        <w:t xml:space="preserve">   </w:t>
      </w:r>
    </w:p>
    <w:p>
      <w:pPr>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440001-2024-01691</w:t>
      </w:r>
    </w:p>
    <w:p>
      <w:pPr>
        <w:jc w:val="center"/>
      </w:pPr>
      <w:r>
        <w:rPr>
          <w:b/>
          <w:sz w:val="24"/>
        </w:rPr>
        <w:t>采购项目编号：</w:t>
      </w:r>
      <w:r>
        <w:rPr>
          <w:b/>
          <w:sz w:val="24"/>
        </w:rPr>
        <w:t>GZGK23P316C1027Z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中山大学附属第六医院2024年度医疗责任保险服务项目</w:t>
      </w:r>
      <w:r>
        <w:rPr>
          <w:u w:val="single"/>
        </w:rPr>
        <w:t>”</w:t>
      </w:r>
      <w:r>
        <w:rPr/>
        <w:t>项目的招标[采购项目编号为：</w:t>
      </w:r>
      <w:r>
        <w:rPr>
          <w:u w:val="single"/>
        </w:rPr>
        <w:t>GZGK23P316C1027Z</w:t>
      </w:r>
      <w:r>
        <w:rPr/>
        <w:t>]，我方愿参与投标。</w:t>
      </w:r>
    </w:p>
    <w:p>
      <w:pPr>
        <w:ind w:firstLine="480"/>
      </w:pPr>
      <w:r>
        <w:rPr/>
        <w:t>我方确认收到贵方提供的</w:t>
      </w:r>
      <w:r>
        <w:rPr>
          <w:u w:val="single"/>
        </w:rPr>
        <w:t>“</w:t>
      </w:r>
      <w:r>
        <w:rPr>
          <w:u w:val="single"/>
        </w:rPr>
        <w:t>中山大学附属第六医院2024年度医疗责任保险服务项目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中山大学附属第六医院2024年度医疗责任保险服务项目</w:t>
      </w:r>
      <w:r>
        <w:rPr/>
        <w:t>”项目采购[采购项目编号为</w:t>
      </w:r>
      <w:r>
        <w:rPr/>
        <w:t>GZGK23P316C1027Z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中山大学附属第六医院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中山大学附属第六医院2024年度医疗责任保险服务项目</w:t>
      </w:r>
      <w:r>
        <w:rPr/>
        <w:t>招标中获中标（采购项目编号：</w:t>
      </w:r>
      <w:r>
        <w:rPr/>
        <w:t>GZGK23P316C1027Z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中山大学附属第六医院2024年度医疗责任保险服务项目</w:t>
      </w:r>
      <w:r>
        <w:rPr/>
        <w:t>”项目（采购项目编号：</w:t>
      </w:r>
      <w:r>
        <w:rPr/>
        <w:t>GZGK23P316C1027Z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