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440001-2023-49359</w:t>
      </w:r>
    </w:p>
    <w:p>
      <w:pPr>
        <w:jc w:val="center"/>
      </w:pPr>
      <w:r>
        <w:rPr>
          <w:b/>
          <w:sz w:val="24"/>
        </w:rPr>
        <w:t>采购项目编号：</w:t>
      </w:r>
      <w:r>
        <w:rPr>
          <w:b/>
          <w:sz w:val="24"/>
        </w:rPr>
        <w:t>GZGK23P235A0781Z</w:t>
      </w:r>
    </w:p>
    <w:p>
      <w:pPr>
        <w:jc w:val="center"/>
      </w:pPr>
      <w:r>
        <w:rPr>
          <w:b/>
          <w:sz w:val="24"/>
        </w:rPr>
        <w:t>项目名称：</w:t>
      </w:r>
      <w:r>
        <w:rPr>
          <w:b/>
          <w:sz w:val="24"/>
        </w:rPr>
        <w:t>南方医科大学口腔医院高灵敏Zeta电位及粒度分析仪等设备采购项目(二次)</w:t>
      </w:r>
    </w:p>
    <w:p>
      <w:pPr>
        <w:jc w:val="center"/>
      </w:pPr>
      <w:r>
        <w:rPr>
          <w:b/>
          <w:sz w:val="24"/>
        </w:rPr>
        <w:t>采购人：</w:t>
      </w:r>
      <w:r>
        <w:rPr>
          <w:b/>
          <w:sz w:val="24"/>
        </w:rPr>
        <w:t>南方医科大学口腔医院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南方医科大学口腔医院</w:t>
      </w:r>
      <w:r>
        <w:rPr/>
        <w:t>的委托，采用</w:t>
      </w:r>
      <w:r>
        <w:rPr/>
        <w:t>公开招标</w:t>
      </w:r>
      <w:r>
        <w:rPr/>
        <w:t>方式组织采购</w:t>
      </w:r>
      <w:r>
        <w:rPr/>
        <w:t>南方医科大学口腔医院高灵敏Zeta电位及粒度分析仪等设备采购项目(二次)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南方医科大学口腔医院高灵敏Zeta电位及粒度分析仪等设备采购项目(二次)</w:t>
      </w:r>
    </w:p>
    <w:p>
      <w:pPr>
        <w:ind w:firstLine="480"/>
      </w:pPr>
      <w:r>
        <w:rPr/>
        <w:t>采购计划编号：</w:t>
      </w:r>
      <w:r>
        <w:rPr/>
        <w:t>440001-2023-49359</w:t>
      </w:r>
    </w:p>
    <w:p>
      <w:pPr>
        <w:ind w:firstLine="480"/>
      </w:pPr>
      <w:r>
        <w:rPr/>
        <w:t>采购项目编号：</w:t>
      </w:r>
      <w:r>
        <w:rPr/>
        <w:t>GZGK23P235A0781Z</w:t>
      </w:r>
    </w:p>
    <w:p>
      <w:pPr>
        <w:ind w:firstLine="480"/>
      </w:pPr>
      <w:r>
        <w:rPr/>
        <w:t>采购方式：</w:t>
      </w:r>
      <w:r>
        <w:rPr/>
        <w:t>公开招标</w:t>
      </w:r>
    </w:p>
    <w:p>
      <w:pPr>
        <w:ind w:firstLine="480"/>
      </w:pPr>
      <w:r>
        <w:rPr/>
        <w:t>预算金额：</w:t>
      </w:r>
      <w:r>
        <w:rPr/>
        <w:t>550,000.00</w:t>
      </w:r>
      <w:r>
        <w:rPr/>
        <w:t>元</w:t>
      </w:r>
    </w:p>
    <w:p>
      <w:r>
        <w:rPr>
          <w:b/>
          <w:sz w:val="24"/>
        </w:rPr>
        <w:t>2.项目内容及需求情况（采购项目技术规格、参数及要求）</w:t>
      </w:r>
    </w:p>
    <w:p>
      <w:pPr>
        <w:ind w:firstLine="480"/>
      </w:pPr>
    </w:p>
    <w:p/>
    <w:p>
      <w:r>
        <w:rPr/>
        <w:t>采购包1(冻干机):</w:t>
      </w:r>
    </w:p>
    <w:p>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制冰设备</w:t>
            </w:r>
          </w:p>
        </w:tc>
        <w:tc>
          <w:tcPr>
            <w:tcW w:type="dxa" w:w="2136"/>
          </w:tcPr>
          <w:p>
            <w:r>
              <w:rPr/>
              <w:t>冻干机</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采购包2(小动物生化仪):</w:t>
      </w:r>
    </w:p>
    <w:p>
      <w:r>
        <w:rPr/>
        <w:t>采购包预算金额：250,000.00元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临床检验设备</w:t>
            </w:r>
          </w:p>
        </w:tc>
        <w:tc>
          <w:tcPr>
            <w:tcW w:type="dxa" w:w="2136"/>
          </w:tcPr>
          <w:p>
            <w:r>
              <w:rPr/>
              <w:t>小动物生化仪</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采购包1（冻干机）：</w:t>
      </w:r>
      <w:r>
        <w:rPr/>
        <w:t>本采购包不属于专门面向中小企业采购的项目。</w:t>
      </w:r>
    </w:p>
    <w:p>
      <w:pPr>
        <w:jc w:val="left"/>
      </w:pPr>
    </w:p>
    <w:p>
      <w:r>
        <w:rPr/>
        <w:t>采购包2（小动物生化仪）：</w:t>
      </w:r>
      <w:r>
        <w:rPr/>
        <w:t>本采购包不属于专门面向中小企业采购的项目。</w:t>
      </w:r>
    </w:p>
    <w:p/>
    <w:p>
      <w:r>
        <w:rPr>
          <w:b/>
          <w:sz w:val="24"/>
        </w:rPr>
        <w:t>3.本项目特定的资格要求：</w:t>
      </w:r>
    </w:p>
    <w:p>
      <w:pPr>
        <w:ind w:firstLine="480"/>
      </w:pPr>
    </w:p>
    <w:p/>
    <w:p>
      <w:r>
        <w:rPr/>
        <w:t>采购包1（冻干机）：</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t>采购包2（小动物生化仪）：</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南方医科大学口腔医院</w:t>
      </w:r>
    </w:p>
    <w:p>
      <w:pPr>
        <w:ind w:firstLine="480"/>
      </w:pPr>
      <w:r>
        <w:rPr/>
        <w:t>地址：</w:t>
      </w:r>
      <w:r>
        <w:rPr/>
        <w:t>广州市海珠区江南大道南366号</w:t>
      </w:r>
    </w:p>
    <w:p>
      <w:pPr>
        <w:ind w:firstLine="480"/>
      </w:pPr>
      <w:r>
        <w:rPr/>
        <w:t>联系方式：</w:t>
      </w:r>
      <w:r>
        <w:rPr/>
        <w:t>020-34037250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0754-87230486、020-87687817</w:t>
      </w:r>
    </w:p>
    <w:p>
      <w:r>
        <w:rPr>
          <w:b/>
          <w:sz w:val="24"/>
        </w:rPr>
        <w:t>3.项目联系方式</w:t>
      </w:r>
    </w:p>
    <w:p>
      <w:pPr>
        <w:ind w:firstLine="480"/>
      </w:pPr>
      <w:r>
        <w:rPr/>
        <w:t>项目联系人：</w:t>
      </w:r>
      <w:r>
        <w:rPr/>
        <w:t>郑淇筠、梁思瑶</w:t>
      </w:r>
    </w:p>
    <w:p>
      <w:pPr>
        <w:ind w:firstLine="480"/>
      </w:pPr>
      <w:r>
        <w:rPr/>
        <w:t>电话：</w:t>
      </w:r>
      <w:r>
        <w:rPr/>
        <w:t>0754-87230486、020-87687817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GZGK23P235A0781Z</w:t>
      </w:r>
    </w:p>
    <w:p>
      <w:pPr>
        <w:jc w:val="both"/>
      </w:pPr>
      <w:r>
        <w:rPr>
          <w:b/>
          <w:sz w:val="21"/>
        </w:rPr>
        <w:t>（二）</w:t>
      </w:r>
      <w:r>
        <w:rPr>
          <w:b/>
          <w:sz w:val="21"/>
        </w:rPr>
        <w:t>项目名称：</w:t>
      </w:r>
      <w:r>
        <w:rPr>
          <w:sz w:val="21"/>
        </w:rPr>
        <w:t>南方医科大学口腔医院高灵敏</w:t>
      </w:r>
      <w:r>
        <w:rPr>
          <w:sz w:val="21"/>
        </w:rPr>
        <w:t>Zeta电位及粒度分析仪等设备采购项目（二次）</w:t>
      </w:r>
    </w:p>
    <w:p>
      <w:pPr>
        <w:jc w:val="both"/>
      </w:pPr>
      <w:r>
        <w:rPr>
          <w:b/>
          <w:sz w:val="21"/>
        </w:rPr>
        <w:t>（三）</w:t>
      </w:r>
      <w:r>
        <w:rPr>
          <w:b/>
          <w:sz w:val="21"/>
        </w:rPr>
        <w:t>总体要求说明：</w:t>
      </w:r>
    </w:p>
    <w:p>
      <w:pPr>
        <w:jc w:val="both"/>
      </w:pPr>
      <w:r>
        <w:rPr>
          <w:sz w:val="21"/>
        </w:rPr>
        <w:t>1、</w:t>
      </w:r>
      <w:r>
        <w:rPr>
          <w:sz w:val="21"/>
        </w:rPr>
        <w:t>标有</w:t>
      </w:r>
      <w:r>
        <w:rPr>
          <w:sz w:val="21"/>
        </w:rPr>
        <w:t>“★”的条款为必须完全满足的实质性要求，投标人如有一项带“★”的条款未响应或负偏离，将按无效投标处理。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不允许中标供应商</w:t>
      </w:r>
      <w:r>
        <w:rPr>
          <w:sz w:val="21"/>
        </w:rPr>
        <w:t>转包、分包项目（中标采购</w:t>
      </w:r>
      <w:r>
        <w:rPr>
          <w:color w:val="000000"/>
          <w:sz w:val="21"/>
        </w:rPr>
        <w:t>包的）内容</w:t>
      </w:r>
      <w:r>
        <w:rPr>
          <w:color w:val="000000"/>
          <w:sz w:val="21"/>
        </w:rPr>
        <w:t>。</w:t>
      </w:r>
    </w:p>
    <w:p>
      <w:pPr>
        <w:jc w:val="both"/>
      </w:pPr>
      <w:r>
        <w:rPr>
          <w:sz w:val="21"/>
        </w:rPr>
        <w:t>14、</w:t>
      </w:r>
      <w:r>
        <w:rPr>
          <w:sz w:val="21"/>
        </w:rPr>
        <w:t>小型和微型企业、监狱企业和残疾人福利性单位必须按照投标须知的内容提供相应的资料。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提供相同品牌产品且通过资格审查、符合性审查的不同投标人参加同一合同项下投标的，按一家投标人计算。</w:t>
      </w:r>
    </w:p>
    <w:p>
      <w:pPr>
        <w:jc w:val="both"/>
      </w:pPr>
      <w:r>
        <w:rPr>
          <w:sz w:val="21"/>
        </w:rPr>
        <w:t>★17、</w:t>
      </w:r>
      <w:r>
        <w:rPr>
          <w:sz w:val="21"/>
        </w:rPr>
        <w:t>投标人非生产厂家或制造商的，且所投产品为中华人民共和国境外提供的货物，须提供投标产品来源渠道合法的证明文件（原厂授权销售协议、代理协议、授权书、原产地证明等其中之一）</w:t>
      </w:r>
      <w:r>
        <w:rPr>
          <w:sz w:val="21"/>
        </w:rPr>
        <w:t>。</w:t>
      </w:r>
    </w:p>
    <w:p>
      <w:pPr>
        <w:ind w:firstLine="210"/>
        <w:jc w:val="both"/>
      </w:pPr>
      <w:r>
        <w:rPr>
          <w:sz w:val="21"/>
        </w:rPr>
        <w:t>18、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w:t>
      </w:r>
    </w:p>
    <w:p>
      <w:pPr>
        <w:jc w:val="both"/>
      </w:pPr>
      <w:r>
        <w:rPr>
          <w:sz w:val="21"/>
        </w:rPr>
        <w:t>2、</w:t>
      </w:r>
      <w:r>
        <w:rPr>
          <w:sz w:val="21"/>
        </w:rPr>
        <w:t>纸质投标文件邮寄地址（邮寄地址：广州市先烈中路</w:t>
      </w:r>
      <w:r>
        <w:rPr>
          <w:sz w:val="21"/>
        </w:rPr>
        <w:t>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CA签章客户端，并运行CA证书。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w:t>
      </w:r>
      <w:r>
        <w:rPr>
          <w:sz w:val="21"/>
        </w:rPr>
        <w:t>校准、</w:t>
      </w:r>
      <w:r>
        <w:rPr>
          <w:sz w:val="21"/>
        </w:rPr>
        <w:t>培训、保修期服务、各项税费及合同实施过程中不可预见费用等。</w:t>
      </w:r>
    </w:p>
    <w:p>
      <w:pPr>
        <w:jc w:val="both"/>
      </w:pPr>
      <w:r>
        <w:rPr>
          <w:b/>
          <w:sz w:val="21"/>
        </w:rPr>
        <w:t>（六）</w:t>
      </w:r>
      <w:r>
        <w:rPr>
          <w:b/>
          <w:sz w:val="21"/>
        </w:rPr>
        <w:t>实现的功能</w:t>
      </w:r>
    </w:p>
    <w:p>
      <w:pPr>
        <w:ind w:firstLine="420"/>
        <w:jc w:val="both"/>
      </w:pPr>
      <w:r>
        <w:rPr>
          <w:sz w:val="21"/>
        </w:rPr>
        <w:t>采购包</w:t>
      </w:r>
      <w:r>
        <w:rPr>
          <w:sz w:val="21"/>
        </w:rPr>
        <w:t>1：该设备用于实验室生物样品,生物制剂的冷冻干燥保存。</w:t>
      </w:r>
    </w:p>
    <w:p>
      <w:pPr>
        <w:ind w:firstLine="420"/>
        <w:jc w:val="both"/>
      </w:pPr>
      <w:r>
        <w:rPr>
          <w:sz w:val="21"/>
        </w:rPr>
        <w:t>采购包</w:t>
      </w:r>
      <w:r>
        <w:rPr>
          <w:sz w:val="21"/>
        </w:rPr>
        <w:t>2：该设备用于全自动快速开展常规生化项目的检测，如肝功能、肾功能、血糖、血脂等项目的检测,满足动物实验室的需求。</w:t>
      </w:r>
    </w:p>
    <w:p>
      <w:pPr>
        <w:jc w:val="both"/>
      </w:pPr>
      <w:r>
        <w:rPr>
          <w:b/>
          <w:sz w:val="21"/>
        </w:rPr>
        <w:t>（七）</w:t>
      </w:r>
      <w:r>
        <w:rPr>
          <w:b/>
          <w:sz w:val="21"/>
        </w:rPr>
        <w:t>需执行国家相关标准、行业标准、地方标准或者其他标准、规范</w:t>
      </w:r>
    </w:p>
    <w:p/>
    <w:p>
      <w:pPr>
        <w:ind w:firstLine="480"/>
      </w:pPr>
    </w:p>
    <w:p/>
    <w:p>
      <w:r>
        <w:rPr/>
        <w:t>采购包1（冻干机）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自合同签订起70个日历日内交货。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1期：支付比例35%,全部货物交付后，采购人向中标供应商支付合同总价的35%；中标供应商向采购人提供开箱报告、培训记录表。</w:t>
            </w:r>
          </w:p>
          <w:p/>
          <w:p>
            <w:r>
              <w:rPr/>
              <w:t>2期：支付比例62%,全部货物完成安装、调试并通过验收后，采购人向中标供应商支付合同总价的62%；中标供应商向采购人提供验收合格文件（采购人出具）。</w:t>
            </w:r>
          </w:p>
          <w:p/>
          <w:p>
            <w:r>
              <w:rPr/>
              <w:t>4期：支付比例3%,验收通过36个月后，设备无故障情况且中标供应商没有违约行为情况下，中标供应商向采购人提供本合同复印件、请款函，采购人向中标供应商支付合同总金额3%。</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（一）包装与运输，1.货物的包装和发运必须符合货物特性要求。充分考虑到运输途中的各种情况（如暴露于恶劣气候等）和采购人所在地的气候特点，以及露天存放的需要。 2、专用工具及备品备件应分别包装，并在包装箱外加以注明其用处。 3、在运送货物至交货地点的路途中所发生的一切费用由中标供应商承担。 4、为了保证货物在长途运输和装卸过程中的安全，货物包装应符合国家或行业标准规定。由于包装不善导致货物锈蚀、失缺或损坏，由中标供应商承担一切责任。 5、所有设备包装费、运费已包含在投标报价内。</w:t>
            </w:r>
          </w:p>
          <w:p/>
          <w:p>
            <w:r>
              <w:rPr/>
              <w:t>（二）保险，货物从出厂运至采购人指定地点的保险费用须包含在投标报价中。</w:t>
            </w:r>
          </w:p>
          <w:p/>
          <w:p>
            <w:r>
              <w:rPr/>
              <w:t>（三）安装与调试，1. 中标供应商必须按项目进度安排计划，派出适当的技术人员到安装现场负责安装和调试工作。在安装施工期间，严格遵守采购人的有关规定。 2. 中标供应商必须依照采购文件的要求和响应文件的承诺，将设备、系统安装并调试至正常运行的最佳状态。</w:t>
            </w:r>
          </w:p>
          <w:p/>
          <w:p>
            <w:r>
              <w:rPr/>
              <w:t>（四）技术培训，1. 中标供应商每台设备提供现场安装调试和培训。 2. 仪器到达采购人指定地址后，由中标供应商向采购人提供安装、调试以及相关技术培训，至少给2名以上使用人员提供技术培训。 3.中标供应商应提供完整的培训计划和方案，列明培训人员数量、达到的水平等，培训内容包括设备的操作、日常维修、简单故障的识别及排除等。培训所需全部费用均由中标供应商支付。 4. 质保期内，按照采购人需求，无条件提供讲座和技术培训服务。</w:t>
            </w:r>
          </w:p>
          <w:p/>
          <w:p>
            <w:r>
              <w:rPr/>
              <w:t>（五）质量保证期，1.整机质保期不少于3年（采购人验收合格之日起计算），终身维修，质保期内中标供应商提供周期无条件上门服务，周期不少于3个月一次，形式为上门维修，服务内容为周期保养检修。检测系统运行状况，处理使用过程中出现的问题等，无条件提供配件；并可提供终身无条件维护保养。保修期外不收取维修费，只收取零配件费，提供专业的技术支持。如果需要更换配件，所更换配件应与被更换的品牌、类型相一致或优于原配件配置，且须征得甲方同意。因设备故障停用的时间，质保期应顺延。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4.在质量保证期内，如是仪器本身运行故障（物理性人为因素除外）由中标供应商工程师到现场维修，不收取任何配件及人工费用。 5.质量保证期内，中标供应商负责对其提供的货物整机进行维修和系统维护，不再收取任何费用，但非中标供应商责任的人为因素、自然因素（如火灾、雷击等）造成的故障除外。 6.对采购人的服务通知，维修人员接到维修通知后提供2小时内响应服务，4小时内到达现场，一般故障应在12小时内修复，重大故障应在24小时内修复，保证设备正常运作，绝不影响采购人的正常工作业务。 7.在维修过程中，若因特殊原因严重延误维修时间，中标供应商必须提前说明，并会相应延长保修期。 8.质量保证期间，同一硬件一个月内连续2次出现同一故障，中标供应商须无条件更换同一档次货物。</w:t>
            </w:r>
          </w:p>
          <w:p/>
          <w:p>
            <w:r>
              <w:rPr/>
              <w:t>（六）售后服务，1.对采购人的服务通知，中标供应商在接报后2小时内响应，4小时内到达现场，一般故障应在12小时内修复，重大故障应在24小时内修复，并履行所承诺的其它条款。若在24小时内仍未能有效解决，中标供应商须无条件提供同档次的设备给采购人使用，保证设备正常运作，绝不影响采购人的正常工作业务。如果需要更换配件，所更换配件应与被更换的品牌、类型相一致或优于原配件配置，且须征得采购人同意。因设备故障停用的时间，保修期应顺延。 2.中标供应商服务人员应定期对采购人回访，了解设备使用状况，组建采购人设备档案。</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制冰设备</w:t>
            </w:r>
          </w:p>
        </w:tc>
        <w:tc>
          <w:tcPr>
            <w:tcW w:type="dxa" w:w="831"/>
          </w:tcPr>
          <w:p>
            <w:pPr>
              <w:jc w:val="left"/>
            </w:pPr>
            <w:r>
              <w:rPr/>
              <w:t>冻干机</w:t>
            </w:r>
          </w:p>
        </w:tc>
        <w:tc>
          <w:tcPr>
            <w:tcW w:type="dxa" w:w="831"/>
          </w:tcPr>
          <w:p>
            <w:pPr>
              <w:jc w:val="left"/>
            </w:pPr>
            <w:r>
              <w:rPr/>
              <w:t>套</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冻干机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color w:val="000000"/>
                <w:sz w:val="21"/>
              </w:rPr>
              <w:t>（一）工作条件</w:t>
            </w:r>
          </w:p>
          <w:p>
            <w:pPr>
              <w:jc w:val="left"/>
            </w:pPr>
            <w:r>
              <w:rPr>
                <w:color w:val="000000"/>
                <w:sz w:val="21"/>
              </w:rPr>
              <w:t>1.工作温度：＋10℃～＋25℃；</w:t>
            </w:r>
          </w:p>
          <w:p>
            <w:pPr>
              <w:jc w:val="left"/>
            </w:pPr>
            <w:r>
              <w:rPr>
                <w:color w:val="000000"/>
                <w:sz w:val="21"/>
              </w:rPr>
              <w:t>2.电源要求：220V，50Hz。</w:t>
            </w:r>
          </w:p>
          <w:p>
            <w:pPr>
              <w:jc w:val="left"/>
            </w:pPr>
            <w:r>
              <w:rPr>
                <w:color w:val="000000"/>
                <w:sz w:val="21"/>
              </w:rPr>
              <w:t>（二）技术要求</w:t>
            </w:r>
          </w:p>
          <w:p>
            <w:pPr>
              <w:jc w:val="left"/>
            </w:pPr>
            <w:r>
              <w:rPr>
                <w:color w:val="000000"/>
                <w:sz w:val="21"/>
              </w:rPr>
              <w:t>1.主机：</w:t>
            </w:r>
          </w:p>
          <w:p>
            <w:pPr>
              <w:jc w:val="left"/>
            </w:pPr>
            <w:r>
              <w:rPr>
                <w:color w:val="000000"/>
                <w:sz w:val="21"/>
              </w:rPr>
              <w:t>▲1.1 VGA-TFT彩色触摸屏操作面板≥5.5英寸，清楚显示主要过程参数，包括但不限于冷阱温度、冻干时间、分段时间、真空度及样品温度；将冻干过程分为预冻，预热泵，主干燥，二次干燥，待机几个阶段，并能实现连续阶段的自动跳转；</w:t>
            </w:r>
          </w:p>
          <w:p>
            <w:pPr>
              <w:jc w:val="left"/>
            </w:pPr>
            <w:r>
              <w:rPr>
                <w:color w:val="000000"/>
                <w:sz w:val="21"/>
              </w:rPr>
              <w:t>▲1.2 可实现真空自动控制；</w:t>
            </w:r>
          </w:p>
          <w:p>
            <w:pPr>
              <w:jc w:val="left"/>
            </w:pPr>
            <w:r>
              <w:rPr>
                <w:color w:val="000000"/>
                <w:sz w:val="21"/>
              </w:rPr>
              <w:t>▲1.3真空度显示范围0.001-1000mbar，显示精度为0.001mbar，真空传感器为派纳尼真空传感器；</w:t>
            </w:r>
          </w:p>
          <w:p>
            <w:pPr>
              <w:jc w:val="left"/>
            </w:pPr>
            <w:r>
              <w:rPr>
                <w:color w:val="000000"/>
                <w:sz w:val="21"/>
              </w:rPr>
              <w:t>★1.4内置冰上蒸汽压曲线，实现真空度和样品温度偶联显示；</w:t>
            </w:r>
          </w:p>
          <w:p>
            <w:pPr>
              <w:jc w:val="left"/>
            </w:pPr>
            <w:r>
              <w:rPr>
                <w:color w:val="000000"/>
                <w:sz w:val="21"/>
              </w:rPr>
              <w:t>1.5冷阱最大凝冰容量：≥4Kg，容积≥6.5L；</w:t>
            </w:r>
          </w:p>
          <w:p>
            <w:pPr>
              <w:jc w:val="left"/>
            </w:pPr>
            <w:r>
              <w:rPr>
                <w:color w:val="000000"/>
                <w:sz w:val="21"/>
              </w:rPr>
              <w:t>★1.6凝冰效率：≥4kg/24h；</w:t>
            </w:r>
          </w:p>
          <w:p>
            <w:pPr>
              <w:jc w:val="left"/>
            </w:pPr>
            <w:r>
              <w:rPr>
                <w:color w:val="000000"/>
                <w:sz w:val="21"/>
              </w:rPr>
              <w:t>1.7工作温度：≤-85℃；</w:t>
            </w:r>
          </w:p>
          <w:p>
            <w:pPr>
              <w:jc w:val="left"/>
            </w:pPr>
            <w:r>
              <w:rPr>
                <w:color w:val="000000"/>
                <w:sz w:val="21"/>
              </w:rPr>
              <w:t>★1.8制冷功率：≥2*0.5 KW；</w:t>
            </w:r>
          </w:p>
          <w:p>
            <w:pPr>
              <w:jc w:val="left"/>
            </w:pPr>
            <w:r>
              <w:rPr>
                <w:color w:val="000000"/>
                <w:sz w:val="21"/>
              </w:rPr>
              <w:t>▲1.9冷阱大开口设计，直径≥300mm；</w:t>
            </w:r>
          </w:p>
          <w:p>
            <w:pPr>
              <w:jc w:val="left"/>
            </w:pPr>
            <w:r>
              <w:rPr>
                <w:color w:val="000000"/>
                <w:sz w:val="21"/>
              </w:rPr>
              <w:t>▲1.10冷阱和冷凝管由316L不锈钢制成，电解抛光处理，冷凝管暴露于冷阱内，具有冷阱预冻功能；</w:t>
            </w:r>
          </w:p>
          <w:p>
            <w:pPr>
              <w:jc w:val="left"/>
            </w:pPr>
            <w:r>
              <w:rPr>
                <w:color w:val="000000"/>
                <w:sz w:val="21"/>
              </w:rPr>
              <w:t>▲1.11操作语言设置≥10种，需包括中文操作系统；</w:t>
            </w:r>
          </w:p>
          <w:p>
            <w:pPr>
              <w:jc w:val="left"/>
            </w:pPr>
            <w:r>
              <w:rPr>
                <w:color w:val="000000"/>
                <w:sz w:val="21"/>
              </w:rPr>
              <w:t>▲1.12 采用无氟环保制冷剂，GWP（全球变暖潜能值）≤10。</w:t>
            </w:r>
          </w:p>
          <w:p>
            <w:pPr>
              <w:jc w:val="left"/>
            </w:pPr>
            <w:r>
              <w:rPr>
                <w:color w:val="000000"/>
                <w:sz w:val="21"/>
              </w:rPr>
              <w:t>2.真空系统：</w:t>
            </w:r>
          </w:p>
          <w:p>
            <w:pPr>
              <w:jc w:val="left"/>
            </w:pPr>
            <w:r>
              <w:rPr>
                <w:color w:val="000000"/>
                <w:sz w:val="21"/>
              </w:rPr>
              <w:t>▲2.1无油螺杆泵，最大抽速≥9 m</w:t>
            </w:r>
            <w:r>
              <w:rPr>
                <w:color w:val="000000"/>
                <w:sz w:val="21"/>
                <w:vertAlign w:val="superscript"/>
              </w:rPr>
              <w:t>3</w:t>
            </w:r>
            <w:r>
              <w:rPr>
                <w:color w:val="000000"/>
                <w:sz w:val="21"/>
              </w:rPr>
              <w:t>/h，极限真空度≤5 x 10</w:t>
            </w:r>
            <w:r>
              <w:rPr>
                <w:color w:val="000000"/>
                <w:sz w:val="21"/>
                <w:vertAlign w:val="superscript"/>
              </w:rPr>
              <w:t>-3</w:t>
            </w:r>
            <w:r>
              <w:rPr>
                <w:color w:val="000000"/>
                <w:sz w:val="21"/>
              </w:rPr>
              <w:t xml:space="preserve"> </w:t>
            </w:r>
            <w:r>
              <w:rPr>
                <w:color w:val="000000"/>
                <w:sz w:val="21"/>
              </w:rPr>
              <w:t>mbar</w:t>
            </w:r>
          </w:p>
          <w:p>
            <w:pPr>
              <w:jc w:val="left"/>
            </w:pPr>
            <w:r>
              <w:rPr>
                <w:color w:val="000000"/>
                <w:sz w:val="21"/>
              </w:rPr>
              <w:t>2.2 悬臂式转轴结合磁性驱动，保证100%的无油气路；</w:t>
            </w:r>
          </w:p>
          <w:p>
            <w:pPr>
              <w:jc w:val="left"/>
            </w:pPr>
            <w:r>
              <w:rPr>
                <w:color w:val="000000"/>
                <w:sz w:val="21"/>
              </w:rPr>
              <w:t>▲2.3 运行模式下，两转轴的转速为≥12500rpm</w:t>
            </w:r>
            <w:r>
              <w:rPr>
                <w:color w:val="000000"/>
                <w:sz w:val="21"/>
              </w:rPr>
              <w:t>；</w:t>
            </w:r>
          </w:p>
          <w:p>
            <w:pPr>
              <w:jc w:val="left"/>
            </w:pPr>
            <w:r>
              <w:rPr>
                <w:color w:val="000000"/>
                <w:sz w:val="21"/>
              </w:rPr>
              <w:t>2.4 两转轴间没有任何密封部件，无摩擦运行，集成再生模式，具有蒸汽和冷凝液兼容性。</w:t>
            </w:r>
          </w:p>
          <w:p>
            <w:pPr>
              <w:jc w:val="left"/>
            </w:pPr>
            <w:r>
              <w:rPr>
                <w:color w:val="000000"/>
                <w:sz w:val="21"/>
              </w:rPr>
              <w:t>3.冷冻样品干燥室:</w:t>
            </w:r>
          </w:p>
          <w:p>
            <w:pPr>
              <w:jc w:val="left"/>
            </w:pPr>
            <w:r>
              <w:rPr>
                <w:color w:val="000000"/>
                <w:sz w:val="21"/>
              </w:rPr>
              <w:t>3.1 干燥室为透明有机玻璃材质，带≥12个接口；</w:t>
            </w:r>
          </w:p>
          <w:p>
            <w:pPr>
              <w:jc w:val="left"/>
            </w:pPr>
            <w:r>
              <w:rPr>
                <w:color w:val="000000"/>
                <w:sz w:val="21"/>
              </w:rPr>
              <w:t>3.2 防老化橡胶阀内置不锈钢接头；</w:t>
            </w:r>
          </w:p>
          <w:p>
            <w:pPr>
              <w:jc w:val="left"/>
            </w:pPr>
            <w:r>
              <w:rPr>
                <w:color w:val="000000"/>
                <w:sz w:val="21"/>
              </w:rPr>
              <w:t>3.3 不锈钢隔板，最大干燥面积≥0.55m</w:t>
            </w:r>
            <w:r>
              <w:rPr>
                <w:color w:val="000000"/>
                <w:sz w:val="21"/>
                <w:vertAlign w:val="superscript"/>
              </w:rPr>
              <w:t>2</w:t>
            </w:r>
            <w:r>
              <w:rPr>
                <w:color w:val="000000"/>
                <w:sz w:val="21"/>
              </w:rPr>
              <w:t>。</w:t>
            </w:r>
          </w:p>
          <w:p>
            <w:pPr>
              <w:jc w:val="left"/>
            </w:pPr>
            <w:r>
              <w:rPr>
                <w:color w:val="000000"/>
                <w:sz w:val="21"/>
              </w:rPr>
              <w:t>4.运行噪音≤55db；</w:t>
            </w:r>
          </w:p>
          <w:p>
            <w:pPr>
              <w:jc w:val="left"/>
            </w:pPr>
            <w:r>
              <w:rPr>
                <w:color w:val="000000"/>
                <w:sz w:val="21"/>
              </w:rPr>
              <w:t>5.产品需具有中国ROHS 2.0、ISO9001等证书。</w:t>
            </w:r>
          </w:p>
          <w:p>
            <w:pPr>
              <w:jc w:val="left"/>
            </w:pPr>
            <w:r>
              <w:rPr>
                <w:color w:val="000000"/>
                <w:sz w:val="21"/>
              </w:rPr>
              <w:t>（三）配置清单：</w:t>
            </w:r>
          </w:p>
          <w:p>
            <w:pPr>
              <w:jc w:val="left"/>
            </w:pPr>
            <w:r>
              <w:rPr>
                <w:color w:val="000000"/>
                <w:sz w:val="21"/>
              </w:rPr>
              <w:t>1.冻干机主机：1台</w:t>
            </w:r>
          </w:p>
          <w:p>
            <w:pPr>
              <w:jc w:val="left"/>
            </w:pPr>
            <w:r>
              <w:rPr>
                <w:color w:val="000000"/>
                <w:sz w:val="21"/>
              </w:rPr>
              <w:t>2.真空泵：1台；真空泵专用油：2瓶；油雾过滤器：2个</w:t>
            </w:r>
          </w:p>
          <w:p>
            <w:pPr>
              <w:jc w:val="left"/>
            </w:pPr>
            <w:r>
              <w:rPr>
                <w:color w:val="000000"/>
                <w:sz w:val="21"/>
              </w:rPr>
              <w:t>3.真空电磁阀：1个</w:t>
            </w:r>
          </w:p>
          <w:p>
            <w:pPr>
              <w:jc w:val="left"/>
            </w:pPr>
            <w:r>
              <w:rPr>
                <w:color w:val="000000"/>
                <w:sz w:val="21"/>
              </w:rPr>
              <w:t>4.真空传感器：1个</w:t>
            </w:r>
          </w:p>
          <w:p>
            <w:pPr>
              <w:jc w:val="left"/>
            </w:pPr>
            <w:r>
              <w:rPr>
                <w:color w:val="000000"/>
                <w:sz w:val="21"/>
              </w:rPr>
              <w:t>5.通用底板：1个</w:t>
            </w:r>
          </w:p>
          <w:p>
            <w:pPr>
              <w:jc w:val="left"/>
            </w:pPr>
            <w:r>
              <w:rPr>
                <w:color w:val="000000"/>
                <w:sz w:val="21"/>
              </w:rPr>
              <w:t>6.干燥室：1个</w:t>
            </w:r>
          </w:p>
          <w:p>
            <w:pPr>
              <w:jc w:val="left"/>
            </w:pPr>
            <w:r>
              <w:rPr>
                <w:color w:val="000000"/>
                <w:sz w:val="21"/>
              </w:rPr>
              <w:t>7.防老化橡胶阀：12个</w:t>
            </w:r>
          </w:p>
          <w:p>
            <w:pPr>
              <w:jc w:val="left"/>
            </w:pPr>
            <w:r>
              <w:rPr>
                <w:color w:val="000000"/>
                <w:sz w:val="21"/>
              </w:rPr>
              <w:t>8.圆底冻干瓶：12个</w:t>
            </w:r>
          </w:p>
          <w:p>
            <w:pPr>
              <w:jc w:val="both"/>
            </w:pPr>
            <w:r>
              <w:rPr>
                <w:color w:val="000000"/>
                <w:sz w:val="21"/>
              </w:rPr>
              <w:t>9.三层不锈钢隔板（直径250mm）：1个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采购包2（小动物生化仪）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自合同签订起30个日历日内交货。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1期：支付比例30%,合同生效后，采购人向中标供应商支付合同总价的30%；中标供应商向采购人提供本项目合同复印件。</w:t>
            </w:r>
          </w:p>
          <w:p/>
          <w:p>
            <w:r>
              <w:rPr/>
              <w:t>2期：支付比例30%,全部货物交付后，采购人向中标供应商支付合同总价的30%；中标供应商向采购人提供开箱报告、培训记录表。</w:t>
            </w:r>
          </w:p>
          <w:p/>
          <w:p>
            <w:r>
              <w:rPr/>
              <w:t>3期：支付比例37%,全部货物完成安装、调试并通过验收后，采购人向中标供应商支付合同总价的37%；中标供应商向采购人提供验收合格文件（采购人出具）。</w:t>
            </w:r>
          </w:p>
          <w:p/>
          <w:p>
            <w:r>
              <w:rPr/>
              <w:t>4期：支付比例3%,验收通过36个月后，设备无故障情况且中标供应商没有违约行为情况下，中标供应商向采购人提供本合同复印件、请款函，采购人向中标供应商支付合同总金额3%。</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（一）包装与运输，1.货物的包装和发运必须符合货物特性要求。充分考虑到运输途中的各种情况（如暴露于恶劣气候等）和采购人所在地的气候特点，以及露天存放的需要。 2、专用工具及备品备件应分别包装，并在包装箱外加以注明其用处。 3、在运送货物至交货地点的路途中所发生的一切费用由中标供应商承担。 4、为了保证货物在长途运输和装卸过程中的安全，货物包装应符合国家或行业标准规定。由于包装不善导致货物锈蚀、失缺或损坏，由中标供应商承担一切责任。 5、所有设备包装费、运费已包含在投标报价内。</w:t>
            </w:r>
          </w:p>
          <w:p/>
          <w:p>
            <w:r>
              <w:rPr/>
              <w:t>（二）保险，货物从出厂运至采购人指定地点的保险费用须包含在投标报价中。</w:t>
            </w:r>
          </w:p>
          <w:p/>
          <w:p>
            <w:r>
              <w:rPr/>
              <w:t>（三）安装与调试，1. 中标供应商必须按项目进度安排计划，派出适当的技术人员到安装现场负责安装和调试工作。在安装施工期间，严格遵守采购人的有关规定。 2. 中标供应商必须依照采购文件的要求和响应文件的承诺，将设备、系统安装并调试至正常运行的最佳状态。</w:t>
            </w:r>
          </w:p>
          <w:p/>
          <w:p>
            <w:r>
              <w:rPr/>
              <w:t>（四）技术培训，1. 中标供应商每台设备提供现场安装调试和培训。 2. 仪器到达采购人指定地址后，由中标供应商向采购人提供安装、调试以及相关技术培训，至少给2名以上使用人员提供技术培训。 3.中标供应商应提供完整的培训计划和方案，列明培训人员数量、达到的水平等，培训内容包括设备的操作、日常维修、简单故障的识别及排除等。培训所需全部费用均由中标供应商支付。 4. 质保期内，按照采购人需求，无条件提供讲座和技术培训服务。</w:t>
            </w:r>
          </w:p>
          <w:p/>
          <w:p>
            <w:r>
              <w:rPr/>
              <w:t>（五）质量保证期，1.整机质保期不少于3年（采购人验收合格之日起计算），终身维修，质保期内中标供应商提供周期无条件上门服务，周期不少于3个月一次，形式为上门维修，服务内容为周期保养检修。检测系统运行状况，处理使用过程中出现的问题等，无条件提供配件；并可提供终身无条件维护保养。保修期外不收取维修费，只收取零配件费，提供专业的技术支持。如果需要更换配件，所更换配件应与被更换的品牌、类型相一致或优于原配件配置，且须征得甲方同意。因设备故障停用的时间，质保期应顺延。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4.在质量保证期内，如是仪器本身运行故障（物理性人为因素除外）由中标供应商工程师到现场维修，不收取任何配件及人工费用。 5.质量保证期内，中标供应商负责对其提供的货物整机进行维修和系统维护，不再收取任何费用，但非中标供应商责任的人为因素、自然因素（如火灾、雷击等）造成的故障除外。 6.对采购人的服务通知，维修人员接到维修通知后提供2小时内响应服务，4小时内到达现场，一般故障应在12小时内修复，重大故障应在24小时内修复，保证设备正常运作，绝不影响采购人的正常工作业务。 7.在维修过程中，若因特殊原因严重延误维修时间，中标供应商必须提前说明，并会相应延长保修期。 8.质量保证期间，同一硬件一个月内连续2次出现同一故障，中标供应商须无条件更换同一档次货物。</w:t>
            </w:r>
          </w:p>
          <w:p/>
          <w:p>
            <w:r>
              <w:rPr/>
              <w:t>（六）售后服务，1.对采购人的服务通知，中标供应商在接报后2小时内响应，4小时内到达现场，一般故障应在12小时内修复，重大故障应在24小时内修复，并履行所承诺的其它条款。若在24小时内仍未能有效解决，中标供应商须无条件提供同档次的设备给采购人使用，保证设备正常运作，绝不影响采购人的正常工作业务。如果需要更换配件，所更换配件应与被更换的品牌、类型相一致或优于原配件配置，且须征得采购人同意。因设备故障停用的时间，保修期应顺延。 2.中标供应商服务人员应定期对采购人回访，了解设备使用状况，组建采购人设备档案。</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临床检验设备</w:t>
            </w:r>
          </w:p>
        </w:tc>
        <w:tc>
          <w:tcPr>
            <w:tcW w:type="dxa" w:w="831"/>
          </w:tcPr>
          <w:p>
            <w:pPr>
              <w:jc w:val="left"/>
            </w:pPr>
            <w:r>
              <w:rPr/>
              <w:t>小动物生化仪</w:t>
            </w:r>
          </w:p>
        </w:tc>
        <w:tc>
          <w:tcPr>
            <w:tcW w:type="dxa" w:w="831"/>
          </w:tcPr>
          <w:p>
            <w:pPr>
              <w:jc w:val="left"/>
            </w:pPr>
            <w:r>
              <w:rPr/>
              <w:t>套</w:t>
            </w:r>
          </w:p>
        </w:tc>
        <w:tc>
          <w:tcPr>
            <w:tcW w:type="dxa" w:w="831"/>
          </w:tcPr>
          <w:p>
            <w:pPr>
              <w:jc w:val="right"/>
            </w:pPr>
            <w:r>
              <w:rPr/>
              <w:t>1.00</w:t>
            </w:r>
          </w:p>
        </w:tc>
        <w:tc>
          <w:tcPr>
            <w:tcW w:type="dxa" w:w="831"/>
          </w:tcPr>
          <w:p>
            <w:pPr>
              <w:jc w:val="right"/>
            </w:pPr>
            <w:r>
              <w:rPr/>
              <w:t>250,000.00</w:t>
            </w:r>
          </w:p>
        </w:tc>
        <w:tc>
          <w:tcPr>
            <w:tcW w:type="dxa" w:w="831"/>
          </w:tcPr>
          <w:p>
            <w:pPr>
              <w:jc w:val="right"/>
            </w:pPr>
            <w:r>
              <w:rPr/>
              <w:t>250,000.00</w:t>
            </w:r>
          </w:p>
        </w:tc>
        <w:tc>
          <w:tcPr>
            <w:tcW w:type="dxa" w:w="831"/>
          </w:tcPr>
          <w:p>
            <w:r>
              <w:rPr/>
              <w:t>工业</w:t>
            </w:r>
          </w:p>
        </w:tc>
        <w:tc>
          <w:tcPr>
            <w:tcW w:type="dxa" w:w="831"/>
          </w:tcPr>
          <w:p>
            <w:r>
              <w:rPr/>
              <w:t>详见附表一</w:t>
            </w:r>
          </w:p>
        </w:tc>
      </w:tr>
    </w:tbl>
    <w:p/>
    <w:p>
      <w:r>
        <w:rPr>
          <w:b/>
        </w:rPr>
        <w:t>附表</w:t>
      </w:r>
      <w:r>
        <w:rPr>
          <w:b/>
        </w:rPr>
        <w:t>一</w:t>
      </w:r>
      <w:r>
        <w:rPr>
          <w:b/>
        </w:rPr>
        <w:t>：</w:t>
      </w:r>
      <w:r>
        <w:rPr>
          <w:b/>
        </w:rPr>
        <w:t>小动物生化仪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（一）主要技术参数及功能要求</w:t>
            </w:r>
          </w:p>
          <w:p>
            <w:pPr>
              <w:jc w:val="both"/>
            </w:pPr>
            <w:r>
              <w:rPr>
                <w:b/>
                <w:color w:val="000000"/>
                <w:sz w:val="21"/>
              </w:rPr>
              <w:t>▲</w:t>
            </w:r>
            <w:r>
              <w:rPr>
                <w:color w:val="000000"/>
                <w:sz w:val="21"/>
              </w:rPr>
              <w:t>1.项目参数：提供≥36项常规生化及电解质参数，且仪器必须包括但不限于以下检测项目：胆红素、尿素氮、胆固醇、肌酐、尿素、尿酸、甘油三脂、葡萄糖、碱性磷酸酶、淀粉酶、肌酸肌激酶、r－谷氨酰转肽酶、谷草转氨酶、谷丙转氨酶、钾、钠、氯、钙、镁、苯巴比妥；</w:t>
            </w:r>
          </w:p>
          <w:p>
            <w:pPr>
              <w:jc w:val="both"/>
            </w:pPr>
            <w:r>
              <w:rPr>
                <w:color w:val="000000"/>
                <w:sz w:val="21"/>
              </w:rPr>
              <w:t>2.检测原理：反射光度检测法；</w:t>
            </w:r>
          </w:p>
          <w:p>
            <w:pPr>
              <w:jc w:val="both"/>
            </w:pPr>
            <w:r>
              <w:rPr>
                <w:b/>
                <w:color w:val="000000"/>
                <w:sz w:val="21"/>
              </w:rPr>
              <w:t>▲</w:t>
            </w:r>
            <w:r>
              <w:rPr>
                <w:color w:val="000000"/>
                <w:sz w:val="21"/>
              </w:rPr>
              <w:t>3.试剂技术：采用多层膜干化学技术，而且多层膜中含有特殊的过滤层，用来消除干扰物质对化学反应的影响；</w:t>
            </w:r>
          </w:p>
          <w:p>
            <w:pPr>
              <w:jc w:val="both"/>
            </w:pPr>
            <w:r>
              <w:rPr>
                <w:color w:val="000000"/>
                <w:sz w:val="21"/>
              </w:rPr>
              <w:t>4.样本类型：包括但不限于动物血清、血浆、全血、尿液；</w:t>
            </w:r>
          </w:p>
          <w:p>
            <w:pPr>
              <w:jc w:val="both"/>
            </w:pPr>
            <w:r>
              <w:rPr>
                <w:color w:val="000000"/>
                <w:sz w:val="21"/>
              </w:rPr>
              <w:t>5.内置离心机：自带内置高速离心机，全血无需处理即可上样；</w:t>
            </w:r>
          </w:p>
          <w:p>
            <w:pPr>
              <w:jc w:val="both"/>
            </w:pPr>
            <w:r>
              <w:rPr>
                <w:color w:val="000000"/>
                <w:sz w:val="21"/>
              </w:rPr>
              <w:t>6.样本量：≤10ul血清/项目；</w:t>
            </w:r>
          </w:p>
          <w:p>
            <w:pPr>
              <w:jc w:val="both"/>
            </w:pPr>
            <w:r>
              <w:rPr>
                <w:color w:val="000000"/>
                <w:sz w:val="21"/>
              </w:rPr>
              <w:t>7.反应速度：≤10分钟/批次样本；</w:t>
            </w:r>
          </w:p>
          <w:p>
            <w:pPr>
              <w:jc w:val="both"/>
            </w:pPr>
            <w:r>
              <w:rPr>
                <w:color w:val="000000"/>
                <w:sz w:val="21"/>
              </w:rPr>
              <w:t>8.检测通量：≥140个项目/小时；</w:t>
            </w:r>
          </w:p>
          <w:p>
            <w:pPr>
              <w:jc w:val="both"/>
            </w:pPr>
            <w:r>
              <w:rPr>
                <w:color w:val="000000"/>
                <w:sz w:val="21"/>
              </w:rPr>
              <w:t>9.预定标：仪器出厂前已定标，测试前无需另外定标；</w:t>
            </w:r>
          </w:p>
          <w:p>
            <w:pPr>
              <w:jc w:val="both"/>
            </w:pPr>
            <w:r>
              <w:rPr>
                <w:b/>
                <w:color w:val="000000"/>
                <w:sz w:val="21"/>
              </w:rPr>
              <w:t>▲</w:t>
            </w:r>
            <w:r>
              <w:rPr>
                <w:color w:val="000000"/>
                <w:sz w:val="21"/>
              </w:rPr>
              <w:t>10.动物专属参考值：仪器内部数据库提供≥35种不同年龄不同种属动物的参考值范围，其中包括但不限于：实验动物：大鼠、小鼠、兔子、猴子、豚鼠、迷你猪；经济动物：骆马、绵羊、山羊、猪；宠物：犬、猫、马、貂、牛、鸟禽类；</w:t>
            </w:r>
          </w:p>
          <w:p>
            <w:pPr>
              <w:jc w:val="both"/>
            </w:pPr>
            <w:r>
              <w:rPr>
                <w:color w:val="000000"/>
                <w:sz w:val="21"/>
              </w:rPr>
              <w:t>11.试剂耗材：既提供单项试剂片，又可提供试剂片套组，可根据需求自由组合。每片试剂片采用独立锡箔纸包装，即开即用；</w:t>
            </w:r>
          </w:p>
          <w:p>
            <w:pPr>
              <w:jc w:val="both"/>
            </w:pPr>
            <w:r>
              <w:rPr>
                <w:color w:val="000000"/>
                <w:sz w:val="21"/>
              </w:rPr>
              <w:t>12.试剂保存及效期：冷冻或冷藏，未开封试剂片有效期≥24个月；</w:t>
            </w:r>
          </w:p>
          <w:p>
            <w:pPr>
              <w:jc w:val="both"/>
            </w:pPr>
            <w:r>
              <w:rPr>
                <w:color w:val="000000"/>
                <w:sz w:val="21"/>
              </w:rPr>
              <w:t>13.质控与保养：配套原厂质控；自动提醒保养程序，提供每月至少一次外部清洁；</w:t>
            </w:r>
          </w:p>
          <w:p>
            <w:pPr>
              <w:jc w:val="both"/>
            </w:pPr>
            <w:r>
              <w:rPr>
                <w:color w:val="000000"/>
                <w:sz w:val="21"/>
              </w:rPr>
              <w:t>14.操作界面：全触摸屏操作，中英文自由切换，无需外接鼠标键盘；</w:t>
            </w:r>
          </w:p>
          <w:p>
            <w:pPr>
              <w:jc w:val="both"/>
            </w:pPr>
            <w:r>
              <w:rPr>
                <w:color w:val="000000"/>
                <w:sz w:val="21"/>
              </w:rPr>
              <w:t>15.数据输出：包括但不限于标准RS232C/USB输出端口，可外接打印机实现数据输出；</w:t>
            </w:r>
          </w:p>
          <w:p>
            <w:pPr>
              <w:jc w:val="both"/>
            </w:pPr>
            <w:r>
              <w:rPr>
                <w:color w:val="000000"/>
                <w:sz w:val="21"/>
              </w:rPr>
              <w:t>16.光源系统：超高亮度LED冷光源；</w:t>
            </w:r>
          </w:p>
          <w:p>
            <w:pPr>
              <w:jc w:val="both"/>
            </w:pPr>
            <w:r>
              <w:rPr>
                <w:color w:val="000000"/>
                <w:sz w:val="21"/>
              </w:rPr>
              <w:t>17.质量证书: 提供ISO9001认证证书；</w:t>
            </w:r>
          </w:p>
          <w:p>
            <w:pPr>
              <w:jc w:val="both"/>
            </w:pPr>
            <w:r>
              <w:rPr>
                <w:b/>
                <w:color w:val="000000"/>
                <w:sz w:val="21"/>
              </w:rPr>
              <w:t>▲</w:t>
            </w:r>
            <w:r>
              <w:rPr>
                <w:color w:val="000000"/>
                <w:sz w:val="21"/>
              </w:rPr>
              <w:t>18.联机：可以通过实验室管理系统至少与血细胞分析仪、血气分析仪、尿液等联机，整合成全面的中文报告单；</w:t>
            </w:r>
          </w:p>
          <w:p>
            <w:pPr>
              <w:jc w:val="both"/>
            </w:pPr>
            <w:r>
              <w:rPr>
                <w:color w:val="000000"/>
                <w:sz w:val="21"/>
              </w:rPr>
              <w:t>19.工作环境：温度15-30℃,相对湿度30-85%；</w:t>
            </w:r>
          </w:p>
          <w:p>
            <w:pPr>
              <w:jc w:val="both"/>
            </w:pPr>
            <w:r>
              <w:rPr>
                <w:color w:val="000000"/>
                <w:sz w:val="21"/>
              </w:rPr>
              <w:t>20.电源需求：110-240V，50/60 HZ。</w:t>
            </w:r>
          </w:p>
          <w:p>
            <w:pPr>
              <w:jc w:val="both"/>
            </w:pPr>
            <w:r>
              <w:rPr>
                <w:color w:val="000000"/>
                <w:sz w:val="21"/>
              </w:rPr>
              <w:t>（</w:t>
            </w:r>
            <w:r>
              <w:rPr>
                <w:color w:val="000000"/>
                <w:sz w:val="21"/>
              </w:rPr>
              <w:t>二</w:t>
            </w:r>
            <w:r>
              <w:rPr>
                <w:color w:val="000000"/>
                <w:sz w:val="21"/>
              </w:rPr>
              <w:t>）配置清单</w:t>
            </w:r>
          </w:p>
          <w:tbl>
            <w:tblPr>
              <w:tblBorders>
                <w:top w:val="none" w:color="000000" w:sz="4"/>
                <w:left w:val="none" w:color="000000" w:sz="4"/>
                <w:bottom w:val="none" w:color="000000" w:sz="4"/>
                <w:right w:val="none" w:color="000000" w:sz="4"/>
                <w:insideH w:val="none"/>
                <w:insideV w:val="none"/>
              </w:tblBorders>
            </w:tblPr>
            <w:tblGrid>
              <w:gridCol w:w="526"/>
              <w:gridCol w:w="3547"/>
              <w:gridCol w:w="1523"/>
            </w:tblGrid>
            <w:tr>
              <w:tc>
                <w:tcPr>
                  <w:tcW w:type="dxa" w:w="526"/>
                  <w:tcBorders>
                    <w:top w:val="single" w:color="000000" w:sz="4"/>
                    <w:left w:val="single" w:color="000000" w:sz="4"/>
                    <w:bottom w:val="single" w:color="000000" w:sz="4"/>
                    <w:right w:val="single" w:color="000000" w:sz="4"/>
                  </w:tcBorders>
                  <w:vAlign w:val="top"/>
                </w:tcPr>
                <w:p>
                  <w:pPr>
                    <w:jc w:val="both"/>
                  </w:pPr>
                </w:p>
              </w:tc>
              <w:tc>
                <w:tcPr>
                  <w:tcW w:type="dxa" w:w="3547"/>
                  <w:tcBorders>
                    <w:top w:val="single" w:color="000000" w:sz="4"/>
                    <w:left w:val="single" w:color="000000" w:sz="4"/>
                    <w:bottom w:val="single" w:color="000000" w:sz="4"/>
                    <w:right w:val="single" w:color="000000" w:sz="4"/>
                  </w:tcBorders>
                  <w:vAlign w:val="top"/>
                </w:tcPr>
                <w:p>
                  <w:pPr>
                    <w:jc w:val="both"/>
                  </w:pPr>
                  <w:r>
                    <w:rPr>
                      <w:color w:val="000000"/>
                      <w:sz w:val="21"/>
                    </w:rPr>
                    <w:t>配置清单</w:t>
                  </w:r>
                </w:p>
              </w:tc>
              <w:tc>
                <w:tcPr>
                  <w:tcW w:type="dxa" w:w="1523"/>
                  <w:tcBorders>
                    <w:top w:val="single" w:color="000000" w:sz="4"/>
                    <w:left w:val="single" w:color="000000" w:sz="4"/>
                    <w:bottom w:val="single" w:color="000000" w:sz="4"/>
                    <w:right w:val="single" w:color="000000" w:sz="4"/>
                  </w:tcBorders>
                  <w:vAlign w:val="top"/>
                </w:tcPr>
                <w:p>
                  <w:pPr>
                    <w:jc w:val="both"/>
                  </w:pPr>
                  <w:r>
                    <w:rPr>
                      <w:color w:val="000000"/>
                      <w:sz w:val="21"/>
                    </w:rPr>
                    <w:t>数量</w:t>
                  </w:r>
                </w:p>
              </w:tc>
            </w:tr>
            <w:tr>
              <w:tc>
                <w:tcPr>
                  <w:tcW w:type="dxa" w:w="526"/>
                  <w:tcBorders>
                    <w:top w:val="none" w:color="000000" w:sz="4"/>
                    <w:left w:val="single" w:color="000000" w:sz="4"/>
                    <w:bottom w:val="single" w:color="000000" w:sz="4"/>
                    <w:right w:val="single" w:color="000000" w:sz="4"/>
                  </w:tcBorders>
                  <w:vAlign w:val="top"/>
                </w:tcPr>
                <w:p>
                  <w:pPr>
                    <w:jc w:val="both"/>
                  </w:pPr>
                  <w:r>
                    <w:rPr>
                      <w:color w:val="000000"/>
                      <w:sz w:val="21"/>
                    </w:rPr>
                    <w:t>1</w:t>
                  </w:r>
                </w:p>
              </w:tc>
              <w:tc>
                <w:tcPr>
                  <w:tcW w:type="dxa" w:w="3547"/>
                  <w:tcBorders>
                    <w:top w:val="none" w:color="000000" w:sz="4"/>
                    <w:left w:val="none" w:color="000000" w:sz="4"/>
                    <w:bottom w:val="single" w:color="000000" w:sz="4"/>
                    <w:right w:val="single" w:color="000000" w:sz="4"/>
                  </w:tcBorders>
                  <w:vAlign w:val="top"/>
                </w:tcPr>
                <w:p>
                  <w:pPr>
                    <w:jc w:val="both"/>
                  </w:pPr>
                  <w:r>
                    <w:rPr>
                      <w:color w:val="000000"/>
                      <w:sz w:val="21"/>
                    </w:rPr>
                    <w:t>生化分析仪主机</w:t>
                  </w:r>
                </w:p>
              </w:tc>
              <w:tc>
                <w:tcPr>
                  <w:tcW w:type="dxa" w:w="1523"/>
                  <w:tcBorders>
                    <w:top w:val="none" w:color="000000" w:sz="4"/>
                    <w:left w:val="none" w:color="000000" w:sz="4"/>
                    <w:bottom w:val="single" w:color="000000" w:sz="4"/>
                    <w:right w:val="single" w:color="000000" w:sz="4"/>
                  </w:tcBorders>
                  <w:vAlign w:val="top"/>
                </w:tcPr>
                <w:p>
                  <w:pPr>
                    <w:jc w:val="both"/>
                  </w:pPr>
                  <w:r>
                    <w:rPr>
                      <w:color w:val="000000"/>
                      <w:sz w:val="21"/>
                    </w:rPr>
                    <w:t>1台</w:t>
                  </w:r>
                </w:p>
              </w:tc>
            </w:tr>
            <w:tr>
              <w:tc>
                <w:tcPr>
                  <w:tcW w:type="dxa" w:w="526"/>
                  <w:tcBorders>
                    <w:top w:val="none" w:color="000000" w:sz="4"/>
                    <w:left w:val="single" w:color="000000" w:sz="4"/>
                    <w:bottom w:val="single" w:color="000000" w:sz="4"/>
                    <w:right w:val="single" w:color="000000" w:sz="4"/>
                  </w:tcBorders>
                  <w:vAlign w:val="top"/>
                </w:tcPr>
                <w:p>
                  <w:pPr>
                    <w:jc w:val="both"/>
                  </w:pPr>
                  <w:r>
                    <w:rPr>
                      <w:color w:val="000000"/>
                      <w:sz w:val="21"/>
                    </w:rPr>
                    <w:t>2</w:t>
                  </w:r>
                </w:p>
              </w:tc>
              <w:tc>
                <w:tcPr>
                  <w:tcW w:type="dxa" w:w="3547"/>
                  <w:tcBorders>
                    <w:top w:val="none" w:color="000000" w:sz="4"/>
                    <w:left w:val="none" w:color="000000" w:sz="4"/>
                    <w:bottom w:val="single" w:color="000000" w:sz="4"/>
                    <w:right w:val="single" w:color="000000" w:sz="4"/>
                  </w:tcBorders>
                  <w:vAlign w:val="top"/>
                </w:tcPr>
                <w:p>
                  <w:pPr>
                    <w:jc w:val="both"/>
                  </w:pPr>
                  <w:r>
                    <w:rPr>
                      <w:color w:val="000000"/>
                      <w:sz w:val="21"/>
                    </w:rPr>
                    <w:t>质控专用品</w:t>
                  </w:r>
                </w:p>
              </w:tc>
              <w:tc>
                <w:tcPr>
                  <w:tcW w:type="dxa" w:w="1523"/>
                  <w:tcBorders>
                    <w:top w:val="none" w:color="000000" w:sz="4"/>
                    <w:left w:val="none" w:color="000000" w:sz="4"/>
                    <w:bottom w:val="single" w:color="000000" w:sz="4"/>
                    <w:right w:val="single" w:color="000000" w:sz="4"/>
                  </w:tcBorders>
                  <w:vAlign w:val="top"/>
                </w:tcPr>
                <w:p>
                  <w:pPr>
                    <w:jc w:val="both"/>
                  </w:pPr>
                  <w:r>
                    <w:rPr>
                      <w:color w:val="000000"/>
                      <w:sz w:val="21"/>
                    </w:rPr>
                    <w:t>3年用量</w:t>
                  </w:r>
                </w:p>
              </w:tc>
            </w:tr>
            <w:tr>
              <w:tc>
                <w:tcPr>
                  <w:tcW w:type="dxa" w:w="526"/>
                  <w:tcBorders>
                    <w:top w:val="none" w:color="000000" w:sz="4"/>
                    <w:left w:val="single" w:color="000000" w:sz="4"/>
                    <w:bottom w:val="single" w:color="000000" w:sz="4"/>
                    <w:right w:val="single" w:color="000000" w:sz="4"/>
                  </w:tcBorders>
                  <w:vAlign w:val="top"/>
                </w:tcPr>
                <w:p>
                  <w:pPr>
                    <w:jc w:val="both"/>
                  </w:pPr>
                  <w:r>
                    <w:rPr>
                      <w:color w:val="000000"/>
                      <w:sz w:val="21"/>
                    </w:rPr>
                    <w:t>3</w:t>
                  </w:r>
                </w:p>
              </w:tc>
              <w:tc>
                <w:tcPr>
                  <w:tcW w:type="dxa" w:w="3547"/>
                  <w:tcBorders>
                    <w:top w:val="none" w:color="000000" w:sz="4"/>
                    <w:left w:val="none" w:color="000000" w:sz="4"/>
                    <w:bottom w:val="single" w:color="000000" w:sz="4"/>
                    <w:right w:val="single" w:color="000000" w:sz="4"/>
                  </w:tcBorders>
                  <w:vAlign w:val="top"/>
                </w:tcPr>
                <w:p>
                  <w:pPr>
                    <w:jc w:val="both"/>
                  </w:pPr>
                  <w:r>
                    <w:rPr>
                      <w:color w:val="000000"/>
                      <w:sz w:val="21"/>
                    </w:rPr>
                    <w:t>IVLS实验室管理系统（显示器+主机）</w:t>
                  </w:r>
                </w:p>
              </w:tc>
              <w:tc>
                <w:tcPr>
                  <w:tcW w:type="dxa" w:w="1523"/>
                  <w:tcBorders>
                    <w:top w:val="none" w:color="000000" w:sz="4"/>
                    <w:left w:val="none" w:color="000000" w:sz="4"/>
                    <w:bottom w:val="single" w:color="000000" w:sz="4"/>
                    <w:right w:val="single" w:color="000000" w:sz="4"/>
                  </w:tcBorders>
                  <w:vAlign w:val="top"/>
                </w:tcPr>
                <w:p>
                  <w:pPr>
                    <w:jc w:val="both"/>
                  </w:pPr>
                  <w:r>
                    <w:rPr>
                      <w:color w:val="000000"/>
                      <w:sz w:val="21"/>
                    </w:rPr>
                    <w:t>1套</w:t>
                  </w:r>
                </w:p>
              </w:tc>
            </w:tr>
            <w:tr>
              <w:tc>
                <w:tcPr>
                  <w:tcW w:type="dxa" w:w="526"/>
                  <w:tcBorders>
                    <w:top w:val="none" w:color="000000" w:sz="4"/>
                    <w:left w:val="single" w:color="000000" w:sz="4"/>
                    <w:bottom w:val="single" w:color="000000" w:sz="4"/>
                    <w:right w:val="single" w:color="000000" w:sz="4"/>
                  </w:tcBorders>
                  <w:vAlign w:val="top"/>
                </w:tcPr>
                <w:p>
                  <w:pPr>
                    <w:jc w:val="both"/>
                  </w:pPr>
                  <w:r>
                    <w:rPr>
                      <w:color w:val="000000"/>
                      <w:sz w:val="21"/>
                    </w:rPr>
                    <w:t>4</w:t>
                  </w:r>
                </w:p>
              </w:tc>
              <w:tc>
                <w:tcPr>
                  <w:tcW w:type="dxa" w:w="3547"/>
                  <w:tcBorders>
                    <w:top w:val="none" w:color="000000" w:sz="4"/>
                    <w:left w:val="none" w:color="000000" w:sz="4"/>
                    <w:bottom w:val="single" w:color="000000" w:sz="4"/>
                    <w:right w:val="single" w:color="000000" w:sz="4"/>
                  </w:tcBorders>
                  <w:vAlign w:val="top"/>
                </w:tcPr>
                <w:p>
                  <w:pPr>
                    <w:jc w:val="both"/>
                  </w:pPr>
                  <w:r>
                    <w:rPr>
                      <w:color w:val="000000"/>
                      <w:sz w:val="21"/>
                    </w:rPr>
                    <w:t>分析仪附件包（包括但不限于电源线、网线）</w:t>
                  </w:r>
                </w:p>
              </w:tc>
              <w:tc>
                <w:tcPr>
                  <w:tcW w:type="dxa" w:w="1523"/>
                  <w:tcBorders>
                    <w:top w:val="none" w:color="000000" w:sz="4"/>
                    <w:left w:val="none" w:color="000000" w:sz="4"/>
                    <w:bottom w:val="single" w:color="000000" w:sz="4"/>
                    <w:right w:val="single" w:color="000000" w:sz="4"/>
                  </w:tcBorders>
                  <w:vAlign w:val="top"/>
                </w:tcPr>
                <w:p>
                  <w:pPr>
                    <w:jc w:val="both"/>
                  </w:pPr>
                  <w:r>
                    <w:rPr>
                      <w:color w:val="000000"/>
                      <w:sz w:val="21"/>
                    </w:rPr>
                    <w:t>1套</w:t>
                  </w:r>
                </w:p>
              </w:tc>
            </w:tr>
            <w:tr>
              <w:tc>
                <w:tcPr>
                  <w:tcW w:type="dxa" w:w="526"/>
                  <w:tcBorders>
                    <w:top w:val="none" w:color="000000" w:sz="4"/>
                    <w:left w:val="single" w:color="000000" w:sz="4"/>
                    <w:bottom w:val="single" w:color="000000" w:sz="4"/>
                    <w:right w:val="single" w:color="000000" w:sz="4"/>
                  </w:tcBorders>
                  <w:vAlign w:val="top"/>
                </w:tcPr>
                <w:p>
                  <w:pPr>
                    <w:jc w:val="both"/>
                  </w:pPr>
                  <w:r>
                    <w:rPr>
                      <w:color w:val="000000"/>
                      <w:sz w:val="21"/>
                    </w:rPr>
                    <w:t>5</w:t>
                  </w:r>
                </w:p>
              </w:tc>
              <w:tc>
                <w:tcPr>
                  <w:tcW w:type="dxa" w:w="3547"/>
                  <w:tcBorders>
                    <w:top w:val="none" w:color="000000" w:sz="4"/>
                    <w:left w:val="none" w:color="000000" w:sz="4"/>
                    <w:bottom w:val="single" w:color="000000" w:sz="4"/>
                    <w:right w:val="single" w:color="000000" w:sz="4"/>
                  </w:tcBorders>
                  <w:vAlign w:val="top"/>
                </w:tcPr>
                <w:p>
                  <w:pPr>
                    <w:jc w:val="both"/>
                  </w:pPr>
                  <w:r>
                    <w:rPr>
                      <w:color w:val="000000"/>
                      <w:sz w:val="21"/>
                    </w:rPr>
                    <w:t>中英文操作手册</w:t>
                  </w:r>
                </w:p>
              </w:tc>
              <w:tc>
                <w:tcPr>
                  <w:tcW w:type="dxa" w:w="1523"/>
                  <w:tcBorders>
                    <w:top w:val="none" w:color="000000" w:sz="4"/>
                    <w:left w:val="none" w:color="000000" w:sz="4"/>
                    <w:bottom w:val="single" w:color="000000" w:sz="4"/>
                    <w:right w:val="single" w:color="000000" w:sz="4"/>
                  </w:tcBorders>
                  <w:vAlign w:val="top"/>
                </w:tcPr>
                <w:p>
                  <w:pPr>
                    <w:jc w:val="both"/>
                  </w:pPr>
                  <w:r>
                    <w:rPr>
                      <w:color w:val="000000"/>
                      <w:sz w:val="21"/>
                    </w:rPr>
                    <w:t>1套</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南方医科大学口腔医院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可兼投但不可兼中。本项目评审按照采购包顺序（采购包1至采购包2）依次进行评审。投标人可兼投多个采购包但只能成为一个采购包的中标供应商。如投标人已经成为前面采购包的第一中标候选人，其投标文件不参与后续采购包的详细评审。由于本次为二次招标，一次招标中若已经成为中标人不得参与本二次招标的详细评审。</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郑淇筠、梁思瑶</w:t>
      </w:r>
    </w:p>
    <w:p>
      <w:pPr>
        <w:ind w:firstLine="480"/>
      </w:pPr>
      <w:r>
        <w:rPr/>
        <w:t>电话：</w:t>
      </w:r>
      <w:r>
        <w:rPr/>
        <w:t>0754-87230486、020-87687817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采购包1(冻干机)：综合评分法,是指投标文件满足招标文件全部实质性要求，且按照评审因素的量化指标评审得分最高的投标人为中标候选人的评标方法。（最低报价不是中标的唯一依据。）</w:t>
      </w:r>
    </w:p>
    <w:p/>
    <w:p>
      <w:r>
        <w:rPr/>
        <w:t>采购包2(小动物生化仪)：综合评分法,是指投标文件满足招标文件全部实质性要求，且按照评审因素的量化指标评审得分最高的投标人为中标候选人的评标方法。（最低报价不是中标的唯一依据。）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采购包1（冻干机）：</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采购包2（小动物生化仪）：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采购包1（冻干机）：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采购包2（小动物生化仪）：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采购包1（冻干机）：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采购包2（小动物生化仪）：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采购包1(冻干机):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(36.0分)</w:t>
            </w:r>
          </w:p>
        </w:tc>
        <w:tc>
          <w:tcPr>
            <w:tcW w:type="dxa" w:w="5076"/>
          </w:tcPr>
          <w:p>
            <w:pPr>
              <w:jc w:val="left"/>
            </w:pPr>
            <w:r>
              <w:rPr/>
              <w:t>根据投标人所投产品对“技术标准与要求”中所有带“▲”条款（共9项）的响应程度进行评审：完全响应或正偏离的，得36分；每项未响应或负偏离的扣4分，本项最高扣36分。 注：投标人须按照“技术标准与要求”中的规定提供证明材料，如无明确规定的则提供投标产品彩页或相应技术参数的厂家技术白皮书或使用说明书或质量认可材料或第三方机构出具的检测报告等作为技术证明文件，否则评标委员会有权视相应技术参数响应不符合招标要求。</w:t>
            </w:r>
          </w:p>
        </w:tc>
      </w:tr>
      <w:tr>
        <w:tc>
          <w:tcPr>
            <w:tcW w:type="dxa" w:w="922"/>
            <w:gridSpan w:val="2"/>
            <w:vMerge/>
          </w:tcPr>
          <w:p/>
        </w:tc>
        <w:tc>
          <w:tcPr>
            <w:tcW w:type="dxa" w:w="2307"/>
          </w:tcPr>
          <w:p>
            <w:pPr>
              <w:jc w:val="left"/>
            </w:pPr>
            <w:r>
              <w:rPr/>
              <w:t>一般技术要求响应程度 (6.6分)</w:t>
            </w:r>
          </w:p>
        </w:tc>
        <w:tc>
          <w:tcPr>
            <w:tcW w:type="dxa" w:w="5076"/>
          </w:tcPr>
          <w:p>
            <w:pPr>
              <w:jc w:val="left"/>
            </w:pPr>
            <w:r>
              <w:rPr/>
              <w:t>根据投标人所投产品对“技术标准与要求”中一般技术条款（非“▲”、非“★”指标）（共20项）的响应程度进行综合评审， 每有一项满足要求得0.33分，最高得6.6分。</w:t>
            </w:r>
          </w:p>
        </w:tc>
      </w:tr>
      <w:tr>
        <w:tc>
          <w:tcPr>
            <w:tcW w:type="dxa" w:w="922"/>
            <w:gridSpan w:val="2"/>
            <w:vMerge/>
          </w:tcPr>
          <w:p/>
        </w:tc>
        <w:tc>
          <w:tcPr>
            <w:tcW w:type="dxa" w:w="2307"/>
          </w:tcPr>
          <w:p>
            <w:pPr>
              <w:jc w:val="left"/>
            </w:pPr>
            <w:r>
              <w:rPr/>
              <w:t>项目实施方案（一） (2.0分)</w:t>
            </w:r>
          </w:p>
        </w:tc>
        <w:tc>
          <w:tcPr>
            <w:tcW w:type="dxa" w:w="5076"/>
          </w:tcPr>
          <w:p>
            <w:pPr>
              <w:jc w:val="left"/>
            </w:pPr>
            <w:r>
              <w:rPr/>
              <w:t>评标委员会根据投标人提供的项目实施方案进行评审，方案应包括（投标文件中方案标题应以下列方案名称命名）： (1)供货方案； (2)项目重点、难点分析及应对方案； (3)货物运输； (4)实施能力方案。 提供全部内容得2分，每缺1项扣0.5分。</w:t>
            </w:r>
          </w:p>
        </w:tc>
      </w:tr>
      <w:tr>
        <w:tc>
          <w:tcPr>
            <w:tcW w:type="dxa" w:w="922"/>
            <w:gridSpan w:val="2"/>
            <w:vMerge/>
          </w:tcPr>
          <w:p/>
        </w:tc>
        <w:tc>
          <w:tcPr>
            <w:tcW w:type="dxa" w:w="2307"/>
          </w:tcPr>
          <w:p>
            <w:pPr>
              <w:jc w:val="left"/>
            </w:pPr>
            <w:r>
              <w:rPr/>
              <w:t>项目实施方案（二） (6.4分)</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（1）项目实施方案对需求响应全面具体、针对项目全部重点难点全面剖析，能针对全部重点难点提出科学合理、可直接执行的实施方案，有效保障本项目实施，有利于实现服务效果，得6.4分； （2）项目实施方案对需求响应全面具体，针对部分重点难点全面剖析，只针对部分重点难点提出科学合理，具备一定执行性的实施方案，能基本保障本项目服务实施，基本满足服务效果，得3分； （3）项目实施方案对需求响应不全面，只针对部分重点难点剖析，提出方案合理性不足、针对性不强或难以执行的，无法保障本项目服务实施，达不到服务效果，得1分； （4）不提供得0分。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(3)故障解决方案 (4)售后应急措施。 提供全部内容 得2分，每缺1项扣0.5分。</w:t>
            </w:r>
          </w:p>
        </w:tc>
      </w:tr>
      <w:tr>
        <w:tc>
          <w:tcPr>
            <w:tcW w:type="dxa" w:w="922"/>
            <w:gridSpan w:val="2"/>
            <w:vMerge/>
          </w:tcPr>
          <w:p/>
        </w:tc>
        <w:tc>
          <w:tcPr>
            <w:tcW w:type="dxa" w:w="2307"/>
          </w:tcPr>
          <w:p>
            <w:pPr>
              <w:jc w:val="left"/>
            </w:pPr>
            <w:r>
              <w:rPr/>
              <w:t>售后服务方案（二） (7.0分)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（4）没提供得0分。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投标人或制造商2020年1月1日至今具有与所投产品同品牌同型号的业绩，每提供1个得1分，最高得4分。  注：需要提供合同复印件，以合同的签订日期为准，不提供或专家无法认定的不得分。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投标人自2020年1月1日至今的用户评价材料，每提供一份得0.5分；最高得2分。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质保期 (4.0分)</w:t>
            </w:r>
          </w:p>
        </w:tc>
        <w:tc>
          <w:tcPr>
            <w:tcW w:type="dxa" w:w="5076"/>
          </w:tcPr>
          <w:p>
            <w:pPr>
              <w:jc w:val="left"/>
            </w:pPr>
            <w:r>
              <w:rPr/>
              <w:t>投标人提供的质保期，每少于招标文件所要求的质保期1年扣2分，最高扣4分（不足1年的部分按1年计算）。  注：提供承诺函作为证明材料，不提供的不得分。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报总价及折扣率适用： 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采购包2(小动物生化仪):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(32.0分)</w:t>
            </w:r>
          </w:p>
        </w:tc>
        <w:tc>
          <w:tcPr>
            <w:tcW w:type="dxa" w:w="5076"/>
          </w:tcPr>
          <w:p>
            <w:pPr>
              <w:jc w:val="left"/>
            </w:pPr>
            <w:r>
              <w:rPr/>
              <w:t>根据投标人所投产品对“技术标准与要求”中所有带“▲”条款（共4项）的响应程度进行评审：完全响应或正偏离的，得32分；每项未响应或负偏离的扣8分，本项最高扣32分。 注：投标人须按照“技术标准与要求”中的规定提供证明材料，如无明确规定的则提供投标产品彩页或相应技术参数的厂家技术白皮书或使用说明书或质量认可材料或第三方机构出具的检测报告等作为技术证明文件，否则评标委员会有权视相应技术参数响应不符合招标要求。</w:t>
            </w:r>
          </w:p>
        </w:tc>
      </w:tr>
      <w:tr>
        <w:tc>
          <w:tcPr>
            <w:tcW w:type="dxa" w:w="922"/>
            <w:gridSpan w:val="2"/>
            <w:vMerge/>
          </w:tcPr>
          <w:p/>
        </w:tc>
        <w:tc>
          <w:tcPr>
            <w:tcW w:type="dxa" w:w="2307"/>
          </w:tcPr>
          <w:p>
            <w:pPr>
              <w:jc w:val="left"/>
            </w:pPr>
            <w:r>
              <w:rPr/>
              <w:t>一般技术要求响应程度 (10.5分)</w:t>
            </w:r>
          </w:p>
        </w:tc>
        <w:tc>
          <w:tcPr>
            <w:tcW w:type="dxa" w:w="5076"/>
          </w:tcPr>
          <w:p>
            <w:pPr>
              <w:jc w:val="left"/>
            </w:pPr>
            <w:r>
              <w:rPr/>
              <w:t>根据投标人所投产品对“技术标准与要求”中一般技术条款（非“▲”、非“★”指标）（共21项）的响应程度进行综合评审， 每有一项满足要求得0.5分，最高得10.5分。</w:t>
            </w:r>
          </w:p>
        </w:tc>
      </w:tr>
      <w:tr>
        <w:tc>
          <w:tcPr>
            <w:tcW w:type="dxa" w:w="922"/>
            <w:gridSpan w:val="2"/>
            <w:vMerge/>
          </w:tcPr>
          <w:p/>
        </w:tc>
        <w:tc>
          <w:tcPr>
            <w:tcW w:type="dxa" w:w="2307"/>
          </w:tcPr>
          <w:p>
            <w:pPr>
              <w:jc w:val="left"/>
            </w:pPr>
            <w:r>
              <w:rPr/>
              <w:t>项目实施方案（一） (2.0分)</w:t>
            </w:r>
          </w:p>
        </w:tc>
        <w:tc>
          <w:tcPr>
            <w:tcW w:type="dxa" w:w="5076"/>
          </w:tcPr>
          <w:p>
            <w:pPr>
              <w:jc w:val="left"/>
            </w:pPr>
            <w:r>
              <w:rPr/>
              <w:t>评标委员会根据投标人提供的项目实施方案进行评审，方案应包括（投标文件中方案标题应以下列方案名称命名）： (1)供货方案； (2)项目重点、难点分析及应对方案； (3)货物运输； (4)实施能力方案。 提供全部内容得2分，每缺1项扣0.5分。</w:t>
            </w:r>
          </w:p>
        </w:tc>
      </w:tr>
      <w:tr>
        <w:tc>
          <w:tcPr>
            <w:tcW w:type="dxa" w:w="922"/>
            <w:gridSpan w:val="2"/>
            <w:vMerge/>
          </w:tcPr>
          <w:p/>
        </w:tc>
        <w:tc>
          <w:tcPr>
            <w:tcW w:type="dxa" w:w="2307"/>
          </w:tcPr>
          <w:p>
            <w:pPr>
              <w:jc w:val="left"/>
            </w:pPr>
            <w:r>
              <w:rPr/>
              <w:t>项目实施方案（二） (6.5分)</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（1）项目实施方案对需求响应全面具体、针对项目全部重点难点全面剖析，能针对全部重点难点提出科学合理、可直接执行的实施方案，有效保障本项目实施，有利于实现服务效果，得6.5分； （2）项目实施方案对需求响应全面具体，针对部分重点难点全面剖析，只针对部分重点难点提出科学合理，具备一定执行性的实施方案，能基本保障本项目服务实施，基本满足服务效果，得4分； （3）项目实施方案对需求响应不全面，只针对部分重点难点剖析，提出方案合理性不足、针对性不强或难以执行的，无法保障本项目服务实施，达不到服务效果，得1分； （4）不提供得0分。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(3)故障解决方案 (4)售后应急措施。 提供全部内容 得2分，每缺1项扣0.5分。</w:t>
            </w:r>
          </w:p>
        </w:tc>
      </w:tr>
      <w:tr>
        <w:tc>
          <w:tcPr>
            <w:tcW w:type="dxa" w:w="922"/>
            <w:gridSpan w:val="2"/>
            <w:vMerge/>
          </w:tcPr>
          <w:p/>
        </w:tc>
        <w:tc>
          <w:tcPr>
            <w:tcW w:type="dxa" w:w="2307"/>
          </w:tcPr>
          <w:p>
            <w:pPr>
              <w:jc w:val="left"/>
            </w:pPr>
            <w:r>
              <w:rPr/>
              <w:t>售后服务方案（二） (7.0分)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（4）没提供得0分。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投标人或制造商2020年1月1日至今具有与所投产品同品牌同型号的业绩，每提供1个得1分，最高得4分。  注：需要提供合同复印件，以合同的签订日期为准，不提供或专家无法认定的不得分。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投标人自2020年1月1日至今的用户评价材料，每提供一份得0.5分；最高得2分。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质保期 (4.0分)</w:t>
            </w:r>
          </w:p>
        </w:tc>
        <w:tc>
          <w:tcPr>
            <w:tcW w:type="dxa" w:w="5076"/>
          </w:tcPr>
          <w:p>
            <w:pPr>
              <w:jc w:val="left"/>
            </w:pPr>
            <w:r>
              <w:rPr/>
              <w:t>投标人提供的质保期，每少于招标文件所要求的质保期1年扣2分，最高扣4分（不足1年的部分按1年计算）。  注：提供承诺函作为证明材料，不提供的不得分。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报总价及折扣率适用： 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每个采购包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每个采购包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注：合同具体事项须根据采购文件的约定及乙方投标文件的承诺执行。</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日星期</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南方医科大学口腔医院高灵敏</w:t>
      </w:r>
      <w:r>
        <w:rPr>
          <w:sz w:val="21"/>
          <w:u w:val="single"/>
        </w:rPr>
        <w:t>Zeta电位及粒度分析仪等设备采购项目（二次）</w:t>
      </w:r>
      <w:r>
        <w:rPr>
          <w:sz w:val="21"/>
        </w:rPr>
        <w:t>招标文件（项目编号：</w:t>
      </w:r>
      <w:r>
        <w:rPr>
          <w:sz w:val="21"/>
        </w:rPr>
        <w:t>GZGK23P235A0781Z</w:t>
      </w:r>
      <w:r>
        <w:rPr>
          <w:sz w:val="21"/>
        </w:rPr>
        <w:t>，采购包：</w:t>
      </w:r>
      <w:r>
        <w:rPr>
          <w:sz w:val="21"/>
        </w:rPr>
        <w:t>____）的要求，经双方协商，本着平等互利和诚实信用的原则，一致同意签订本合同。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6"/>
        <w:gridCol w:w="789"/>
        <w:gridCol w:w="752"/>
        <w:gridCol w:w="752"/>
        <w:gridCol w:w="752"/>
        <w:gridCol w:w="752"/>
        <w:gridCol w:w="752"/>
        <w:gridCol w:w="752"/>
        <w:gridCol w:w="752"/>
        <w:gridCol w:w="752"/>
        <w:gridCol w:w="752"/>
      </w:tblGrid>
      <w:tr>
        <w:tc>
          <w:tcPr>
            <w:tcW w:type="dxa" w:w="716"/>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color w:val="000000"/>
                <w:sz w:val="21"/>
              </w:rPr>
              <w:t>标的名称</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品目编码</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技术要求</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是否进口</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品牌</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规格参数</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采购数量</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计量单位</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单价（元）</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总价（元）</w:t>
            </w:r>
          </w:p>
        </w:tc>
      </w:tr>
      <w:tr>
        <w:tc>
          <w:tcPr>
            <w:tcW w:type="dxa" w:w="71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r>
              <w:rPr>
                <w:color w:val="000000"/>
                <w:sz w:val="21"/>
              </w:rPr>
              <w:t>详见合同文本</w:t>
            </w: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rPr>
        <w:t>____________（￥____________</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w:t>
      </w:r>
      <w:r>
        <w:rPr>
          <w:sz w:val="21"/>
        </w:rPr>
        <w:t>货款、设计、安装、随机零配件、标配工具、运输保险、调试、</w:t>
      </w:r>
      <w:r>
        <w:rPr>
          <w:sz w:val="21"/>
        </w:rPr>
        <w:t>校准、</w:t>
      </w:r>
      <w:r>
        <w:rPr>
          <w:sz w:val="21"/>
        </w:rPr>
        <w:t>培训、保修期服务、各项税费及合同实施过程中不可预见费用等</w:t>
      </w:r>
      <w:r>
        <w:rPr>
          <w:sz w:val="21"/>
        </w:rPr>
        <w:t>。</w:t>
      </w:r>
    </w:p>
    <w:p>
      <w:pPr>
        <w:jc w:val="both"/>
      </w:pPr>
      <w:r>
        <w:rPr>
          <w:b/>
          <w:sz w:val="21"/>
        </w:rPr>
        <w:t>二、</w:t>
      </w:r>
      <w:r>
        <w:rPr>
          <w:b/>
          <w:sz w:val="21"/>
        </w:rPr>
        <w:t>合同金额</w:t>
      </w:r>
    </w:p>
    <w:p>
      <w:pPr>
        <w:jc w:val="both"/>
      </w:pPr>
      <w:r>
        <w:rPr>
          <w:sz w:val="21"/>
        </w:rPr>
        <w:t>合同总金额：小写：￥</w:t>
      </w:r>
      <w:r>
        <w:rPr>
          <w:sz w:val="21"/>
        </w:rPr>
        <w:t>____________</w:t>
      </w:r>
      <w:r>
        <w:rPr>
          <w:sz w:val="21"/>
        </w:rPr>
        <w:t>；</w:t>
      </w:r>
      <w:r>
        <w:rPr>
          <w:sz w:val="21"/>
        </w:rPr>
        <w:t>大写：人民币</w:t>
      </w:r>
      <w:r>
        <w:rPr>
          <w:sz w:val="21"/>
        </w:rPr>
        <w:t>____________</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numPr>
          <w:ilvl w:val="0"/>
          <w:numId w:val="1"/>
        </w:numPr>
        <w:jc w:val="both"/>
      </w:pP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color w:val="000000"/>
          <w:sz w:val="21"/>
        </w:rPr>
        <w:t>五、</w:t>
      </w:r>
      <w:r>
        <w:rPr>
          <w:b/>
          <w:color w:val="000000"/>
          <w:sz w:val="21"/>
        </w:rPr>
        <w:t>交付时间、地点、方式</w:t>
      </w:r>
    </w:p>
    <w:p>
      <w:pPr>
        <w:jc w:val="both"/>
      </w:pPr>
      <w:r>
        <w:rPr>
          <w:color w:val="000000"/>
          <w:sz w:val="21"/>
        </w:rPr>
        <w:t>1、</w:t>
      </w:r>
      <w:r>
        <w:rPr>
          <w:color w:val="000000"/>
          <w:sz w:val="21"/>
        </w:rPr>
        <w:t>交付时间：（按采购需求要求）</w:t>
      </w:r>
    </w:p>
    <w:p>
      <w:pPr>
        <w:jc w:val="both"/>
      </w:pPr>
      <w:r>
        <w:rPr>
          <w:color w:val="000000"/>
          <w:sz w:val="21"/>
        </w:rPr>
        <w:t>2、</w:t>
      </w:r>
      <w:r>
        <w:rPr>
          <w:color w:val="000000"/>
          <w:sz w:val="21"/>
        </w:rPr>
        <w:t>交付地点：用户指定地点</w:t>
      </w:r>
    </w:p>
    <w:p>
      <w:pPr>
        <w:jc w:val="both"/>
      </w:pPr>
      <w:r>
        <w:rPr>
          <w:color w:val="000000"/>
          <w:sz w:val="21"/>
        </w:rPr>
        <w:t>3、</w:t>
      </w:r>
      <w:r>
        <w:rPr>
          <w:color w:val="000000"/>
          <w:sz w:val="21"/>
        </w:rPr>
        <w:t>交付条件：项目验收通过</w:t>
      </w:r>
    </w:p>
    <w:p>
      <w:pPr>
        <w:jc w:val="both"/>
      </w:pPr>
      <w:r>
        <w:rPr>
          <w:color w:val="000000"/>
          <w:sz w:val="21"/>
        </w:rPr>
        <w:t>4、</w:t>
      </w:r>
      <w:r>
        <w:rPr>
          <w:color w:val="000000"/>
          <w:sz w:val="21"/>
        </w:rPr>
        <w:t>甲方联系人及联系电话：</w:t>
      </w:r>
    </w:p>
    <w:p>
      <w:pPr>
        <w:jc w:val="both"/>
      </w:pPr>
      <w:r>
        <w:rPr>
          <w:color w:val="000000"/>
          <w:sz w:val="21"/>
        </w:rPr>
        <w:t>5、</w:t>
      </w:r>
      <w:r>
        <w:rPr>
          <w:color w:val="000000"/>
          <w:sz w:val="21"/>
        </w:rPr>
        <w:t>乙方联系人及联系电话：</w:t>
      </w:r>
    </w:p>
    <w:p>
      <w:pPr>
        <w:jc w:val="both"/>
      </w:pPr>
      <w:r>
        <w:rPr>
          <w:b/>
          <w:color w:val="000000"/>
          <w:sz w:val="21"/>
        </w:rPr>
        <w:t>六、</w:t>
      </w:r>
      <w:r>
        <w:rPr>
          <w:b/>
          <w:color w:val="000000"/>
          <w:sz w:val="21"/>
        </w:rPr>
        <w:t>付款方式、时间及付款条件</w:t>
      </w:r>
    </w:p>
    <w:p>
      <w:pPr>
        <w:ind w:firstLine="411"/>
        <w:jc w:val="both"/>
      </w:pPr>
      <w:r>
        <w:rPr>
          <w:color w:val="000000"/>
          <w:sz w:val="21"/>
        </w:rPr>
        <w:t>付款时间及条件：（按照采购需求要求的付款方式）</w:t>
      </w:r>
    </w:p>
    <w:p>
      <w:pPr>
        <w:ind w:firstLine="411"/>
        <w:jc w:val="both"/>
      </w:pPr>
      <w:r>
        <w:rPr>
          <w:color w:val="000000"/>
          <w:sz w:val="21"/>
        </w:rPr>
        <w:t>付款方式：</w:t>
      </w:r>
    </w:p>
    <w:p>
      <w:pPr>
        <w:jc w:val="both"/>
      </w:pPr>
      <w:r>
        <w:rPr>
          <w:b/>
          <w:color w:val="000000"/>
          <w:sz w:val="21"/>
        </w:rPr>
        <w:t>七、</w:t>
      </w:r>
      <w:r>
        <w:rPr>
          <w:b/>
          <w:color w:val="000000"/>
          <w:sz w:val="21"/>
        </w:rPr>
        <w:t>培训、质量保证期及售后服务要求</w:t>
      </w:r>
    </w:p>
    <w:p>
      <w:pPr>
        <w:jc w:val="both"/>
      </w:pPr>
      <w:r>
        <w:rPr>
          <w:color w:val="000000"/>
          <w:sz w:val="21"/>
        </w:rPr>
        <w:t>1、</w:t>
      </w:r>
      <w:r>
        <w:rPr>
          <w:color w:val="000000"/>
          <w:sz w:val="21"/>
        </w:rPr>
        <w:t>中标供应商每台设备提供现场安装调试和培训。</w:t>
      </w:r>
    </w:p>
    <w:p>
      <w:pPr>
        <w:jc w:val="both"/>
      </w:pPr>
      <w:r>
        <w:rPr>
          <w:color w:val="000000"/>
          <w:sz w:val="21"/>
        </w:rPr>
        <w:t>2、</w:t>
      </w:r>
      <w:r>
        <w:rPr>
          <w:color w:val="000000"/>
          <w:sz w:val="21"/>
        </w:rPr>
        <w:t>仪器到达甲方指定地址后，由乙方向甲方提供安装、调试以及相关技术培训，至少给</w:t>
      </w:r>
      <w:r>
        <w:rPr>
          <w:color w:val="000000"/>
          <w:sz w:val="21"/>
        </w:rPr>
        <w:t>2名以上使用人员提供技术培训。</w:t>
      </w:r>
    </w:p>
    <w:p>
      <w:pPr>
        <w:jc w:val="both"/>
      </w:pPr>
      <w:r>
        <w:rPr>
          <w:color w:val="000000"/>
          <w:sz w:val="21"/>
        </w:rPr>
        <w:t>3、</w:t>
      </w:r>
      <w:r>
        <w:rPr>
          <w:color w:val="000000"/>
          <w:sz w:val="21"/>
        </w:rPr>
        <w:t>乙方应提供完整的培训计划和方案，列明培训人员数量、达到的水平等，培训内容包括设备的操作、日常维修、简单故障的识别及排除等。培训所需全部费用均由乙方负责。</w:t>
      </w:r>
    </w:p>
    <w:p>
      <w:pPr>
        <w:jc w:val="both"/>
      </w:pPr>
      <w:r>
        <w:rPr>
          <w:color w:val="000000"/>
          <w:sz w:val="21"/>
        </w:rPr>
        <w:t>4</w:t>
      </w:r>
      <w:r>
        <w:rPr>
          <w:color w:val="000000"/>
          <w:sz w:val="21"/>
        </w:rPr>
        <w:t>、</w:t>
      </w:r>
      <w:r>
        <w:rPr>
          <w:color w:val="000000"/>
          <w:sz w:val="21"/>
        </w:rPr>
        <w:t>质保期内，按照甲方需求，无条件提供讲座和技术培训服务并移交相关的技术资料。</w:t>
      </w:r>
    </w:p>
    <w:p>
      <w:pPr>
        <w:jc w:val="both"/>
      </w:pPr>
      <w:r>
        <w:rPr>
          <w:color w:val="000000"/>
          <w:sz w:val="21"/>
        </w:rPr>
        <w:t>5、</w:t>
      </w:r>
      <w:r>
        <w:rPr>
          <w:color w:val="000000"/>
          <w:sz w:val="21"/>
        </w:rPr>
        <w:t>整机质保期不少于</w:t>
      </w:r>
      <w:r>
        <w:rPr>
          <w:color w:val="000000"/>
          <w:sz w:val="21"/>
        </w:rPr>
        <w:t>___年（采购人验收合格之日起计算），终身维修，质保期内中标供应商提供周期上门无条件服务，周期不少于3个月一次，形式为上门维修，服务内容为周期保养检修。检测系统运行状况，处理使用过程中出现的问题等，在质保期内，不收取任何配件和人工费；并可提供终身无条件维护保养。质保期外不收取维修费，只收取零配件费，并提供专业的技术支持</w:t>
      </w:r>
      <w:r>
        <w:rPr>
          <w:color w:val="000000"/>
          <w:sz w:val="21"/>
        </w:rPr>
        <w:t>。</w:t>
      </w:r>
    </w:p>
    <w:p>
      <w:pPr>
        <w:jc w:val="both"/>
      </w:pPr>
      <w:r>
        <w:rPr>
          <w:color w:val="000000"/>
          <w:sz w:val="21"/>
        </w:rPr>
        <w:t>6</w:t>
      </w:r>
      <w:r>
        <w:rPr>
          <w:color w:val="000000"/>
          <w:sz w:val="21"/>
        </w:rPr>
        <w:t>、</w:t>
      </w:r>
      <w:r>
        <w:rPr>
          <w:color w:val="000000"/>
          <w:sz w:val="21"/>
        </w:rPr>
        <w:t>提供厂家整机保修技术服务承诺书。</w:t>
      </w:r>
    </w:p>
    <w:p>
      <w:pPr>
        <w:jc w:val="both"/>
      </w:pPr>
      <w:r>
        <w:rPr>
          <w:color w:val="000000"/>
          <w:sz w:val="21"/>
        </w:rPr>
        <w:t>7</w:t>
      </w:r>
      <w:r>
        <w:rPr>
          <w:color w:val="000000"/>
          <w:sz w:val="21"/>
        </w:rPr>
        <w:t>、</w:t>
      </w:r>
      <w:r>
        <w:rPr>
          <w:color w:val="000000"/>
          <w:sz w:val="21"/>
        </w:rPr>
        <w:t>质量保证期自采购人和中标供应商代表在货物安装调试验收后的验收书上签字之日起计算。质量保证期内中标供应商对所供货物实行包修、包换、包退、包维护保养，质保期后设备维修配件更换只收取成本费用。</w:t>
      </w:r>
    </w:p>
    <w:p>
      <w:pPr>
        <w:jc w:val="both"/>
      </w:pPr>
      <w:r>
        <w:rPr>
          <w:color w:val="000000"/>
          <w:sz w:val="21"/>
        </w:rPr>
        <w:t>8、</w:t>
      </w:r>
      <w:r>
        <w:rPr>
          <w:color w:val="000000"/>
          <w:sz w:val="21"/>
        </w:rPr>
        <w:t>质量保证期内，如设备或零部件因非人为因素出现故障而造成短期停用时，则质量保证期相应顺延。如停用时间累计超过</w:t>
      </w:r>
      <w:r>
        <w:rPr>
          <w:color w:val="000000"/>
          <w:sz w:val="21"/>
        </w:rPr>
        <w:t>60天则质量保证期重新计算。</w:t>
      </w:r>
    </w:p>
    <w:p>
      <w:pPr>
        <w:jc w:val="both"/>
      </w:pPr>
      <w:r>
        <w:rPr>
          <w:color w:val="000000"/>
          <w:sz w:val="21"/>
        </w:rPr>
        <w:t>9、</w:t>
      </w:r>
      <w:r>
        <w:rPr>
          <w:color w:val="000000"/>
          <w:sz w:val="21"/>
        </w:rPr>
        <w:t>在质量保证期内，如货品非因甲方的人为原因而出现的问题由乙方负责保修、包换或包退，并承担修理、调换或退货的实际费用。</w:t>
      </w:r>
    </w:p>
    <w:p>
      <w:pPr>
        <w:jc w:val="both"/>
      </w:pPr>
      <w:r>
        <w:rPr>
          <w:color w:val="000000"/>
          <w:sz w:val="21"/>
        </w:rPr>
        <w:t>10、</w:t>
      </w:r>
      <w:r>
        <w:rPr>
          <w:color w:val="000000"/>
          <w:sz w:val="21"/>
        </w:rPr>
        <w:t>质量保证期内，乙方负责对其提供的货物整机进行维修和系统维护，不再收取任何费用，但非乙方责任的人为因素、自然因素（如火灾、雷击等）造成的故障除外。</w:t>
      </w:r>
    </w:p>
    <w:p>
      <w:pPr>
        <w:jc w:val="both"/>
      </w:pPr>
      <w:r>
        <w:rPr>
          <w:color w:val="000000"/>
          <w:sz w:val="21"/>
        </w:rPr>
        <w:t>11、</w:t>
      </w:r>
      <w:r>
        <w:rPr>
          <w:color w:val="000000"/>
          <w:sz w:val="21"/>
        </w:rPr>
        <w:t>在维修过程中，若因特殊原因严重延误维修时间，乙方必须提前说明，并相应延长质保期。</w:t>
      </w:r>
    </w:p>
    <w:p>
      <w:pPr>
        <w:jc w:val="both"/>
      </w:pPr>
      <w:r>
        <w:rPr>
          <w:color w:val="000000"/>
          <w:sz w:val="21"/>
        </w:rPr>
        <w:t>12、</w:t>
      </w:r>
      <w:r>
        <w:rPr>
          <w:color w:val="000000"/>
          <w:sz w:val="21"/>
        </w:rPr>
        <w:t>对甲方的服务通知，乙方在接报后</w:t>
      </w:r>
      <w:r>
        <w:rPr>
          <w:color w:val="000000"/>
          <w:sz w:val="21"/>
        </w:rPr>
        <w:t>___小时内响应，___小时内到达现场，___小时内处理完毕。若在___小时内仍未能有效解决，乙方须提供同档次的设备予甲方临时使用。</w:t>
      </w:r>
      <w:r>
        <w:rPr>
          <w:color w:val="000000"/>
          <w:sz w:val="21"/>
        </w:rPr>
        <w:t>若在小时内仍</w:t>
      </w:r>
      <w:r>
        <w:rPr>
          <w:sz w:val="21"/>
        </w:rPr>
        <w:t>未能有效解决，</w:t>
      </w:r>
      <w:r>
        <w:rPr>
          <w:sz w:val="21"/>
        </w:rPr>
        <w:t>乙方</w:t>
      </w:r>
      <w:r>
        <w:rPr>
          <w:sz w:val="21"/>
        </w:rPr>
        <w:t>须无条件提供同档次的设备给</w:t>
      </w:r>
      <w:r>
        <w:rPr>
          <w:sz w:val="21"/>
        </w:rPr>
        <w:t>甲方</w:t>
      </w:r>
      <w:r>
        <w:rPr>
          <w:sz w:val="21"/>
        </w:rPr>
        <w:t>使用，保证设备正常运作，绝不影响</w:t>
      </w:r>
      <w:r>
        <w:rPr>
          <w:sz w:val="21"/>
        </w:rPr>
        <w:t>甲方</w:t>
      </w:r>
      <w:r>
        <w:rPr>
          <w:sz w:val="21"/>
        </w:rPr>
        <w:t>的正常工作业务。如果需要更换配件，所更换配件应与被更换的品牌、类型相一致或优于原配件配置，且须征得</w:t>
      </w:r>
      <w:r>
        <w:rPr>
          <w:sz w:val="21"/>
        </w:rPr>
        <w:t>甲方</w:t>
      </w:r>
      <w:r>
        <w:rPr>
          <w:color w:val="000000"/>
          <w:sz w:val="21"/>
        </w:rPr>
        <w:t>同意。因设备故障停用的时间，质保期应顺延</w:t>
      </w:r>
      <w:r>
        <w:rPr>
          <w:color w:val="000000"/>
          <w:sz w:val="21"/>
        </w:rPr>
        <w:t>。</w:t>
      </w:r>
    </w:p>
    <w:p>
      <w:pPr>
        <w:jc w:val="both"/>
      </w:pPr>
      <w:r>
        <w:rPr>
          <w:color w:val="000000"/>
          <w:sz w:val="21"/>
        </w:rPr>
        <w:t>13</w:t>
      </w:r>
      <w:r>
        <w:rPr>
          <w:color w:val="000000"/>
          <w:sz w:val="21"/>
        </w:rPr>
        <w:t>、</w:t>
      </w:r>
      <w:r>
        <w:rPr>
          <w:color w:val="000000"/>
          <w:sz w:val="21"/>
        </w:rPr>
        <w:t>乙方服务人员应定期对</w:t>
      </w:r>
      <w:r>
        <w:rPr>
          <w:color w:val="000000"/>
          <w:sz w:val="21"/>
        </w:rPr>
        <w:t>甲方</w:t>
      </w:r>
      <w:r>
        <w:rPr>
          <w:color w:val="000000"/>
          <w:sz w:val="21"/>
        </w:rPr>
        <w:t>回访，了解设备使用状况，组建</w:t>
      </w:r>
      <w:r>
        <w:rPr>
          <w:color w:val="000000"/>
          <w:sz w:val="21"/>
        </w:rPr>
        <w:t>甲方</w:t>
      </w:r>
      <w:r>
        <w:rPr>
          <w:color w:val="000000"/>
          <w:sz w:val="21"/>
        </w:rPr>
        <w:t>设备档案。</w:t>
      </w:r>
    </w:p>
    <w:p>
      <w:pPr>
        <w:jc w:val="both"/>
      </w:pPr>
      <w:r>
        <w:rPr>
          <w:color w:val="000000"/>
          <w:sz w:val="21"/>
        </w:rPr>
        <w:t>14、</w:t>
      </w:r>
      <w:r>
        <w:rPr>
          <w:color w:val="000000"/>
          <w:sz w:val="21"/>
        </w:rPr>
        <w:t>质量保证期间，同一硬件一个月内连续</w:t>
      </w:r>
      <w:r>
        <w:rPr>
          <w:color w:val="000000"/>
          <w:sz w:val="21"/>
        </w:rPr>
        <w:t>2次出现同一故障，乙方须无偿更换同一档次货物。</w:t>
      </w:r>
    </w:p>
    <w:p>
      <w:pPr>
        <w:jc w:val="both"/>
      </w:pPr>
      <w:r>
        <w:rPr>
          <w:color w:val="000000"/>
          <w:sz w:val="21"/>
        </w:rPr>
        <w:t>15、</w:t>
      </w:r>
      <w:r>
        <w:rPr>
          <w:color w:val="000000"/>
          <w:sz w:val="21"/>
        </w:rPr>
        <w:t>质量保证期内，按照甲方需求，乙方需提供讲座和技术培训服务。</w:t>
      </w:r>
    </w:p>
    <w:p>
      <w:pPr>
        <w:jc w:val="both"/>
      </w:pPr>
      <w:r>
        <w:rPr>
          <w:color w:val="000000"/>
          <w:sz w:val="21"/>
        </w:rPr>
        <w:t>16、</w:t>
      </w:r>
      <w:r>
        <w:rPr>
          <w:color w:val="000000"/>
          <w:sz w:val="21"/>
        </w:rPr>
        <w:t>负责售后服务维修的单位名称（如有）：</w:t>
      </w:r>
      <w:r>
        <w:rPr>
          <w:sz w:val="21"/>
        </w:rPr>
        <w:t>_____________________</w:t>
      </w:r>
    </w:p>
    <w:p>
      <w:pPr>
        <w:ind w:firstLine="630"/>
        <w:jc w:val="both"/>
      </w:pPr>
      <w:r>
        <w:rPr>
          <w:color w:val="000000"/>
          <w:sz w:val="21"/>
        </w:rPr>
        <w:t>地址：</w:t>
      </w:r>
      <w:r>
        <w:rPr>
          <w:sz w:val="21"/>
        </w:rPr>
        <w:t>_____________________</w:t>
      </w:r>
    </w:p>
    <w:p>
      <w:pPr>
        <w:ind w:firstLine="630"/>
        <w:jc w:val="both"/>
      </w:pPr>
      <w:r>
        <w:rPr>
          <w:sz w:val="21"/>
        </w:rPr>
        <w:t>联系人：</w:t>
      </w:r>
      <w:r>
        <w:rPr>
          <w:sz w:val="21"/>
        </w:rPr>
        <w:t>_____________________</w:t>
      </w:r>
    </w:p>
    <w:p>
      <w:pPr>
        <w:ind w:firstLine="630"/>
        <w:jc w:val="both"/>
      </w:pPr>
      <w:r>
        <w:rPr>
          <w:sz w:val="21"/>
        </w:rPr>
        <w:t>联系电话：</w:t>
      </w:r>
      <w:r>
        <w:rPr>
          <w:sz w:val="21"/>
        </w:rPr>
        <w:t>_____________________</w:t>
      </w:r>
    </w:p>
    <w:p>
      <w:pPr>
        <w:ind w:firstLine="630"/>
        <w:jc w:val="both"/>
      </w:pPr>
      <w:r>
        <w:rPr>
          <w:sz w:val="21"/>
        </w:rPr>
        <w:t>手机号码：</w:t>
      </w:r>
      <w:r>
        <w:rPr>
          <w:sz w:val="21"/>
        </w:rPr>
        <w:t>_____________________</w:t>
      </w:r>
    </w:p>
    <w:p>
      <w:pPr>
        <w:ind w:firstLine="630"/>
        <w:jc w:val="both"/>
      </w:pPr>
      <w:r>
        <w:rPr>
          <w:sz w:val="21"/>
        </w:rPr>
        <w:t>传真号码：</w:t>
      </w:r>
      <w:r>
        <w:rPr>
          <w:sz w:val="21"/>
        </w:rPr>
        <w:t>_____________________</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w:t>
      </w:r>
      <w:r>
        <w:rPr>
          <w:sz w:val="21"/>
        </w:rPr>
        <w:t>货物的包装和发运必须符合货物特性要求。充分考虑到运输途中的各种情况（如暴露于恶劣气候等）和甲方所在地的气候特点，以及露天存放的需要。</w:t>
      </w:r>
    </w:p>
    <w:p>
      <w:pPr>
        <w:jc w:val="both"/>
      </w:pPr>
      <w:r>
        <w:rPr>
          <w:sz w:val="21"/>
        </w:rPr>
        <w:t>3</w:t>
      </w:r>
      <w:r>
        <w:rPr>
          <w:sz w:val="21"/>
        </w:rPr>
        <w:t>、</w:t>
      </w:r>
      <w:r>
        <w:rPr>
          <w:sz w:val="21"/>
        </w:rPr>
        <w:t>专用工具及备品备件应分别包装，并在包装箱外加以注明其用处。</w:t>
      </w:r>
    </w:p>
    <w:p>
      <w:pPr>
        <w:jc w:val="both"/>
      </w:pPr>
      <w:r>
        <w:rPr>
          <w:sz w:val="21"/>
        </w:rPr>
        <w:t>4</w:t>
      </w:r>
      <w:r>
        <w:rPr>
          <w:sz w:val="21"/>
        </w:rPr>
        <w:t>、</w:t>
      </w:r>
      <w:r>
        <w:rPr>
          <w:sz w:val="21"/>
        </w:rPr>
        <w:t>为了保证货物在长途运输和装卸过程中的安全，货物包装应符合国家或行业标准规定。由于包装不善导致货物锈蚀、失缺或损坏，由乙方承担一切责任。</w:t>
      </w:r>
    </w:p>
    <w:p>
      <w:pPr>
        <w:jc w:val="both"/>
      </w:pPr>
      <w:r>
        <w:rPr>
          <w:sz w:val="21"/>
        </w:rPr>
        <w:t>5</w:t>
      </w:r>
      <w:r>
        <w:rPr>
          <w:sz w:val="21"/>
        </w:rPr>
        <w:t>、</w:t>
      </w:r>
      <w:r>
        <w:rPr>
          <w:sz w:val="21"/>
        </w:rPr>
        <w:t>所有设备包装费、运费已包含在报价内。</w:t>
      </w:r>
    </w:p>
    <w:p>
      <w:pPr>
        <w:jc w:val="both"/>
      </w:pPr>
      <w:r>
        <w:rPr>
          <w:sz w:val="21"/>
        </w:rPr>
        <w:t>6、</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color w:val="000000"/>
          <w:sz w:val="21"/>
        </w:rPr>
        <w:t>7、</w:t>
      </w:r>
      <w:r>
        <w:rPr>
          <w:color w:val="000000"/>
          <w:sz w:val="21"/>
        </w:rPr>
        <w:t>合同货物的安装调试：</w:t>
      </w:r>
    </w:p>
    <w:p>
      <w:pPr>
        <w:jc w:val="both"/>
      </w:pPr>
      <w:r>
        <w:rPr>
          <w:color w:val="000000"/>
          <w:sz w:val="21"/>
        </w:rPr>
        <w:t>（</w:t>
      </w:r>
      <w:r>
        <w:rPr>
          <w:color w:val="000000"/>
          <w:sz w:val="21"/>
        </w:rPr>
        <w:t>1）</w:t>
      </w:r>
      <w:r>
        <w:rPr>
          <w:color w:val="000000"/>
          <w:sz w:val="21"/>
        </w:rPr>
        <w:t>乙方必须按项目进度安排计划，派出适当的技术人员到安装现场负责安装和调试工作。在安装施工期间，严格遵守甲方的有关规定。所有设备均由乙方无条件送货至甲方指定的交货地点并安装连接，将设备调试到最佳状态，安装调试应以本需求书要求的技术参数指标为标准。</w:t>
      </w:r>
    </w:p>
    <w:p>
      <w:pPr>
        <w:jc w:val="both"/>
      </w:pPr>
      <w:r>
        <w:rPr>
          <w:color w:val="000000"/>
          <w:sz w:val="21"/>
        </w:rPr>
        <w:t>（</w:t>
      </w:r>
      <w:r>
        <w:rPr>
          <w:color w:val="000000"/>
          <w:sz w:val="21"/>
        </w:rPr>
        <w:t>2）</w:t>
      </w:r>
      <w:r>
        <w:rPr>
          <w:color w:val="000000"/>
          <w:sz w:val="21"/>
        </w:rPr>
        <w:t>乙方必须依照采购文件的要求和响应文件的承诺，将设备、系统安装并调试至正常运行的最佳状态。</w:t>
      </w:r>
    </w:p>
    <w:p>
      <w:pPr>
        <w:jc w:val="both"/>
      </w:pPr>
      <w:r>
        <w:rPr>
          <w:color w:val="000000"/>
          <w:sz w:val="21"/>
        </w:rPr>
        <w:t>（</w:t>
      </w:r>
      <w:r>
        <w:rPr>
          <w:color w:val="000000"/>
          <w:sz w:val="21"/>
        </w:rPr>
        <w:t>3）</w:t>
      </w:r>
      <w:r>
        <w:rPr>
          <w:color w:val="000000"/>
          <w:sz w:val="21"/>
        </w:rPr>
        <w:t>乙方应按出厂标准及国家有关要求进行包装及运输。</w:t>
      </w:r>
    </w:p>
    <w:p>
      <w:pPr>
        <w:jc w:val="both"/>
      </w:pPr>
      <w:r>
        <w:rPr>
          <w:color w:val="000000"/>
          <w:sz w:val="21"/>
        </w:rPr>
        <w:t>（</w:t>
      </w:r>
      <w:r>
        <w:rPr>
          <w:color w:val="000000"/>
          <w:sz w:val="21"/>
        </w:rPr>
        <w:t>4）</w:t>
      </w:r>
      <w:r>
        <w:rPr>
          <w:color w:val="000000"/>
          <w:sz w:val="21"/>
        </w:rPr>
        <w:t>乙方须负责对甲方的工作人员进行操作、维修培训，帮助甲方的工作人员提高日常基本维护技能和系统的操作、管理，满足工作的需要。</w:t>
      </w:r>
    </w:p>
    <w:p>
      <w:pPr>
        <w:jc w:val="both"/>
      </w:pPr>
      <w:r>
        <w:rPr>
          <w:b/>
          <w:color w:val="000000"/>
          <w:sz w:val="21"/>
        </w:rPr>
        <w:t>九、</w:t>
      </w:r>
      <w:r>
        <w:rPr>
          <w:b/>
          <w:color w:val="000000"/>
          <w:sz w:val="21"/>
        </w:rPr>
        <w:t>验收：</w:t>
      </w:r>
    </w:p>
    <w:p>
      <w:pPr>
        <w:jc w:val="both"/>
      </w:pPr>
      <w:r>
        <w:rPr>
          <w:color w:val="000000"/>
          <w:sz w:val="21"/>
        </w:rPr>
        <w:t>1、</w:t>
      </w:r>
      <w:r>
        <w:rPr>
          <w:color w:val="000000"/>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货物为原厂商未启封全新包装，具出厂合格证，序列号、包装箱号与出厂批号一致，并可追索查阅。所有随设备的附件必须齐全。</w:t>
      </w:r>
    </w:p>
    <w:p>
      <w:pPr>
        <w:jc w:val="both"/>
      </w:pPr>
      <w:r>
        <w:rPr>
          <w:sz w:val="21"/>
        </w:rPr>
        <w:t>4、</w:t>
      </w:r>
      <w:r>
        <w:rPr>
          <w:sz w:val="21"/>
        </w:rPr>
        <w:t>乙方将货物的用户手册、保修手册、有关单证资料及备品备件、随机工具等交付给甲方，使用操作及安全须知等重要资料应附有中文说明。</w:t>
      </w:r>
    </w:p>
    <w:p>
      <w:pPr>
        <w:jc w:val="both"/>
      </w:pPr>
      <w:r>
        <w:rPr>
          <w:sz w:val="21"/>
        </w:rPr>
        <w:t>5、</w:t>
      </w:r>
      <w:r>
        <w:rPr>
          <w:sz w:val="21"/>
        </w:rPr>
        <w:t>货物验收所发生的检验费用由乙方负担。</w:t>
      </w:r>
    </w:p>
    <w:p>
      <w:pPr>
        <w:jc w:val="both"/>
      </w:pPr>
      <w:r>
        <w:rPr>
          <w:sz w:val="21"/>
        </w:rPr>
        <w:t>6、</w:t>
      </w:r>
      <w:r>
        <w:rPr>
          <w:sz w:val="21"/>
        </w:rPr>
        <w:t>设备到货并经乙方技术人员安装后，甲方有权委托中国有资格的单位对上述设备进行校准或检验。</w:t>
      </w:r>
    </w:p>
    <w:p>
      <w:pPr>
        <w:jc w:val="both"/>
      </w:pPr>
      <w:r>
        <w:rPr>
          <w:sz w:val="21"/>
        </w:rPr>
        <w:t>7、</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8、</w:t>
      </w:r>
      <w:r>
        <w:rPr>
          <w:sz w:val="21"/>
        </w:rPr>
        <w:t>当出现不合格产品时，乙方要无条件更换合格产品。除甲方认可，否则不接受任何形式的降格处理。</w:t>
      </w:r>
    </w:p>
    <w:p>
      <w:pPr>
        <w:jc w:val="both"/>
      </w:pPr>
      <w:r>
        <w:rPr>
          <w:sz w:val="21"/>
        </w:rPr>
        <w:t>9、</w:t>
      </w:r>
      <w:r>
        <w:rPr>
          <w:color w:val="000000"/>
          <w:sz w:val="21"/>
        </w:rPr>
        <w:t>验收期限：全部货物到货后</w:t>
      </w:r>
      <w:r>
        <w:rPr>
          <w:color w:val="000000"/>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1%</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w:t>
      </w:r>
      <w:r>
        <w:rPr>
          <w:b/>
          <w:sz w:val="21"/>
        </w:rPr>
        <w:t>税费</w:t>
      </w:r>
    </w:p>
    <w:p>
      <w:pPr>
        <w:ind w:firstLine="420"/>
        <w:jc w:val="both"/>
      </w:pPr>
      <w:r>
        <w:rPr>
          <w:sz w:val="21"/>
        </w:rPr>
        <w:t>在中国境内、外发生的与本合同执行有关的一切税费均由乙方负担。</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rPr>
        <w:t>___</w:t>
      </w:r>
      <w:r>
        <w:rPr>
          <w:sz w:val="21"/>
        </w:rPr>
        <w:t>份。</w:t>
      </w:r>
      <w:r>
        <w:rPr>
          <w:sz w:val="21"/>
        </w:rPr>
        <w:t>甲、乙双方各执</w:t>
      </w:r>
      <w:r>
        <w:rPr>
          <w:sz w:val="21"/>
        </w:rPr>
        <w:t>___</w:t>
      </w:r>
      <w:r>
        <w:rPr>
          <w:sz w:val="21"/>
        </w:rPr>
        <w:t>份，采购代理机构壹</w:t>
      </w:r>
      <w:r>
        <w:rPr>
          <w:sz w:val="21"/>
        </w:rPr>
        <w:t>___</w:t>
      </w:r>
      <w:r>
        <w:rPr>
          <w:sz w:val="21"/>
        </w:rPr>
        <w:t>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color w:val="000000"/>
                <w:sz w:val="21"/>
              </w:rPr>
              <w:t>甲方（公章）：</w:t>
            </w:r>
          </w:p>
          <w:p>
            <w:pPr>
              <w:jc w:val="both"/>
            </w:pPr>
            <w:r>
              <w:rPr>
                <w:color w:val="000000"/>
                <w:sz w:val="21"/>
              </w:rPr>
              <w:t>联系人：</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地址：</w:t>
            </w:r>
          </w:p>
          <w:p>
            <w:pPr>
              <w:jc w:val="both"/>
            </w:pPr>
            <w:r>
              <w:rPr>
                <w:color w:val="000000"/>
                <w:sz w:val="21"/>
              </w:rPr>
              <w:t>联系方式：</w:t>
            </w:r>
          </w:p>
          <w:p>
            <w:pPr>
              <w:jc w:val="both"/>
            </w:pPr>
            <w:r>
              <w:rPr>
                <w:color w:val="000000"/>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color w:val="000000"/>
                <w:sz w:val="21"/>
              </w:rPr>
              <w:t>乙方（公章）：</w:t>
            </w:r>
          </w:p>
          <w:p>
            <w:pPr>
              <w:jc w:val="both"/>
            </w:pPr>
            <w:r>
              <w:rPr>
                <w:color w:val="000000"/>
                <w:sz w:val="21"/>
              </w:rPr>
              <w:t>联系人：</w:t>
            </w:r>
          </w:p>
          <w:p>
            <w:pPr>
              <w:jc w:val="both"/>
            </w:pPr>
            <w:r>
              <w:rPr>
                <w:color w:val="000000"/>
                <w:sz w:val="21"/>
              </w:rPr>
              <w:t>供应商规模：（大型企业</w:t>
            </w:r>
            <w:r>
              <w:rPr>
                <w:color w:val="000000"/>
                <w:sz w:val="21"/>
              </w:rPr>
              <w:t>/中型企业/小微型企业/其他）</w:t>
            </w:r>
          </w:p>
          <w:p>
            <w:pPr>
              <w:jc w:val="both"/>
            </w:pPr>
            <w:r>
              <w:rPr>
                <w:color w:val="000000"/>
                <w:sz w:val="21"/>
              </w:rPr>
              <w:t>供应商特殊性质：（监狱企业</w:t>
            </w:r>
            <w:r>
              <w:rPr>
                <w:color w:val="000000"/>
                <w:sz w:val="21"/>
              </w:rPr>
              <w:t>/残疾人福利性单位/其他）</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供应商所在区域：</w:t>
            </w:r>
          </w:p>
          <w:p>
            <w:pPr>
              <w:jc w:val="both"/>
            </w:pPr>
            <w:r>
              <w:rPr>
                <w:color w:val="000000"/>
                <w:sz w:val="21"/>
              </w:rPr>
              <w:t>地址：</w:t>
            </w:r>
          </w:p>
          <w:p>
            <w:pPr>
              <w:jc w:val="both"/>
            </w:pPr>
            <w:r>
              <w:rPr>
                <w:color w:val="000000"/>
                <w:sz w:val="21"/>
              </w:rPr>
              <w:t>联系方式：</w:t>
            </w:r>
          </w:p>
          <w:p>
            <w:pPr>
              <w:jc w:val="both"/>
            </w:pPr>
            <w:r>
              <w:rPr>
                <w:color w:val="000000"/>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440001-2023-49359</w:t>
      </w:r>
    </w:p>
    <w:p>
      <w:pPr>
        <w:jc w:val="center"/>
      </w:pPr>
      <w:r>
        <w:rPr>
          <w:b/>
          <w:sz w:val="24"/>
        </w:rPr>
        <w:t>采购项目编号：</w:t>
      </w:r>
      <w:r>
        <w:rPr>
          <w:b/>
          <w:sz w:val="24"/>
        </w:rPr>
        <w:t>GZGK23P235A0781Z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南方医科大学口腔医院高灵敏Zeta电位及粒度分析仪等设备采购项目(二次)</w:t>
      </w:r>
      <w:r>
        <w:rPr>
          <w:u w:val="single"/>
        </w:rPr>
        <w:t>”</w:t>
      </w:r>
      <w:r>
        <w:rPr/>
        <w:t>项目的招标[采购项目编号为：</w:t>
      </w:r>
      <w:r>
        <w:rPr>
          <w:u w:val="single"/>
        </w:rPr>
        <w:t>GZGK23P235A0781Z</w:t>
      </w:r>
      <w:r>
        <w:rPr/>
        <w:t>]，我方愿参与投标。</w:t>
      </w:r>
    </w:p>
    <w:p>
      <w:pPr>
        <w:ind w:firstLine="480"/>
      </w:pPr>
      <w:r>
        <w:rPr/>
        <w:t>我方确认收到贵方提供的</w:t>
      </w:r>
      <w:r>
        <w:rPr>
          <w:u w:val="single"/>
        </w:rPr>
        <w:t>“</w:t>
      </w:r>
      <w:r>
        <w:rPr>
          <w:u w:val="single"/>
        </w:rPr>
        <w:t>南方医科大学口腔医院高灵敏Zeta电位及粒度分析仪等设备采购项目(二次)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南方医科大学口腔医院高灵敏Zeta电位及粒度分析仪等设备采购项目(二次)</w:t>
      </w:r>
      <w:r>
        <w:rPr/>
        <w:t>”项目采购[采购项目编号为</w:t>
      </w:r>
      <w:r>
        <w:rPr/>
        <w:t>GZGK23P235A0781Z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南方医科大学口腔医院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南方医科大学口腔医院高灵敏Zeta电位及粒度分析仪等设备采购项目(二次)</w:t>
      </w:r>
      <w:r>
        <w:rPr/>
        <w:t>招标中获中标（采购项目编号：</w:t>
      </w:r>
      <w:r>
        <w:rPr/>
        <w:t>GZGK23P235A0781Z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南方医科大学口腔医院高灵敏Zeta电位及粒度分析仪等设备采购项目(二次)</w:t>
      </w:r>
      <w:r>
        <w:rPr/>
        <w:t>”项目（采购项目编号：</w:t>
      </w:r>
      <w:r>
        <w:rPr/>
        <w:t>GZGK23P235A0781Z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