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440111-2024-00187</w:t>
      </w:r>
    </w:p>
    <w:p>
      <w:pPr>
        <w:jc w:val="center"/>
      </w:pPr>
      <w:r>
        <w:rPr>
          <w:b/>
          <w:sz w:val="24"/>
        </w:rPr>
        <w:t>采购项目编号：</w:t>
      </w:r>
      <w:r>
        <w:rPr>
          <w:b/>
          <w:sz w:val="24"/>
        </w:rPr>
        <w:t>GZGK23D315C0986C</w:t>
      </w:r>
    </w:p>
    <w:p>
      <w:pPr>
        <w:jc w:val="center"/>
      </w:pPr>
      <w:r>
        <w:rPr>
          <w:b/>
          <w:sz w:val="24"/>
        </w:rPr>
        <w:t>项目名称：</w:t>
      </w:r>
      <w:r>
        <w:rPr>
          <w:b/>
          <w:sz w:val="24"/>
        </w:rPr>
        <w:t>广州市白云区鹤龙街综合养老服务中心（颐康中心）运营项目</w:t>
      </w:r>
    </w:p>
    <w:p>
      <w:pPr>
        <w:jc w:val="center"/>
      </w:pPr>
      <w:r>
        <w:rPr>
          <w:b/>
          <w:sz w:val="24"/>
        </w:rPr>
        <w:t>采购人：</w:t>
      </w:r>
      <w:r>
        <w:rPr>
          <w:b/>
          <w:sz w:val="24"/>
        </w:rPr>
        <w:t>广州市白云区人民政府鹤龙街道办事处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广州市白云区人民政府鹤龙街道办事处</w:t>
      </w:r>
      <w:r>
        <w:rPr/>
        <w:t>的委托，采用</w:t>
      </w:r>
      <w:r>
        <w:rPr/>
        <w:t>竞争性磋商</w:t>
      </w:r>
      <w:r>
        <w:rPr/>
        <w:t>方式组织采购</w:t>
      </w:r>
      <w:r>
        <w:rPr/>
        <w:t>广州市白云区鹤龙街综合养老服务中心（颐康中心）运营项目</w:t>
      </w:r>
      <w:r>
        <w:rPr/>
        <w:t>。欢迎符合资格条件的供应商参加。</w:t>
      </w:r>
    </w:p>
    <w:p>
      <w:r>
        <w:rPr>
          <w:b/>
          <w:sz w:val="28"/>
        </w:rPr>
        <w:t>一.项目概述</w:t>
      </w:r>
    </w:p>
    <w:p>
      <w:r>
        <w:rPr>
          <w:b/>
          <w:sz w:val="24"/>
        </w:rPr>
        <w:t>1.名称与编号</w:t>
      </w:r>
    </w:p>
    <w:p>
      <w:pPr>
        <w:ind w:firstLine="480"/>
      </w:pPr>
      <w:r>
        <w:rPr/>
        <w:t>采购项目名称：</w:t>
      </w:r>
      <w:r>
        <w:rPr/>
        <w:t>广州市白云区鹤龙街综合养老服务中心（颐康中心）运营项目</w:t>
      </w:r>
    </w:p>
    <w:p>
      <w:pPr>
        <w:ind w:firstLine="480"/>
      </w:pPr>
      <w:r>
        <w:rPr/>
        <w:t>采购计划编号：</w:t>
      </w:r>
      <w:r>
        <w:rPr/>
        <w:t>440111-2024-00187</w:t>
      </w:r>
    </w:p>
    <w:p>
      <w:pPr>
        <w:ind w:firstLine="480"/>
      </w:pPr>
      <w:r>
        <w:rPr/>
        <w:t>采购项目编号：</w:t>
      </w:r>
      <w:r>
        <w:rPr/>
        <w:t>GZGK23D315C0986C</w:t>
      </w:r>
    </w:p>
    <w:p>
      <w:pPr>
        <w:ind w:firstLine="480"/>
      </w:pPr>
      <w:r>
        <w:rPr/>
        <w:t>采购方式：</w:t>
      </w:r>
      <w:r>
        <w:rPr/>
        <w:t>竞争性磋商</w:t>
      </w:r>
    </w:p>
    <w:p>
      <w:pPr>
        <w:ind w:firstLine="480"/>
      </w:pPr>
      <w:r>
        <w:rPr/>
        <w:t>预算金额：</w:t>
      </w:r>
      <w:r>
        <w:rPr/>
        <w:t>2,751,985.00</w:t>
      </w:r>
      <w:r>
        <w:rPr/>
        <w:t>元</w:t>
      </w:r>
    </w:p>
    <w:p>
      <w:r>
        <w:rPr>
          <w:b/>
          <w:sz w:val="24"/>
        </w:rPr>
        <w:t>2.项目内容及需求情况（采购项目技术规格、参数及要求）</w:t>
      </w:r>
    </w:p>
    <w:p>
      <w:pPr>
        <w:ind w:firstLine="480"/>
      </w:pPr>
    </w:p>
    <w:p/>
    <w:p>
      <w:r>
        <w:rPr/>
        <w:t>采购包1(广州市白云区鹤龙街综合养老服务中心（颐康中心）运营项目):</w:t>
      </w:r>
    </w:p>
    <w:p>
      <w:r>
        <w:rPr/>
        <w:t>采购包预算金额：2,751,985.00元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广州市白云区鹤龙街综合养老服务中心（颐康中心）运营项目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采购包1（广州市白云区鹤龙街综合养老服务中心（颐康中心）运营项目）：</w:t>
      </w:r>
      <w:r>
        <w:rPr/>
        <w:t>本采购包不属于专门面向中小企业采购的项目。</w:t>
      </w:r>
    </w:p>
    <w:p/>
    <w:p>
      <w:r>
        <w:rPr>
          <w:b/>
          <w:sz w:val="24"/>
        </w:rPr>
        <w:t>3.本项目特定的资格要求：</w:t>
      </w:r>
    </w:p>
    <w:p>
      <w:pPr>
        <w:ind w:firstLine="480"/>
      </w:pPr>
    </w:p>
    <w:p/>
    <w:p>
      <w:r>
        <w:rPr/>
        <w:t>采购包1（广州市白云区鹤龙街综合养老服务中心（颐康中心）运营项目）：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响应。为本项目提供整体设计、规范编制或者项目管理、监理、检测等服务的供应商，不得再参与本项目响应。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广州市白云区人民政府鹤龙街道办事处</w:t>
      </w:r>
    </w:p>
    <w:p>
      <w:pPr>
        <w:ind w:firstLine="480"/>
      </w:pPr>
      <w:r>
        <w:rPr/>
        <w:t>地址：</w:t>
      </w:r>
      <w:r>
        <w:rPr/>
        <w:t>广州市白云区鹤泰路6号</w:t>
      </w:r>
    </w:p>
    <w:p>
      <w:pPr>
        <w:ind w:firstLine="480"/>
      </w:pPr>
      <w:r>
        <w:rPr/>
        <w:t>联系方式：</w:t>
      </w:r>
      <w:r>
        <w:rPr/>
        <w:t>020-86176587/020-86170802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020-37814404、020-34283604</w:t>
      </w:r>
    </w:p>
    <w:p>
      <w:r>
        <w:rPr>
          <w:b/>
          <w:sz w:val="24"/>
        </w:rPr>
        <w:t>3.项目联系方式</w:t>
      </w:r>
    </w:p>
    <w:p>
      <w:pPr>
        <w:ind w:firstLine="480"/>
      </w:pPr>
      <w:r>
        <w:rPr/>
        <w:t>项目联系人：</w:t>
      </w:r>
      <w:r>
        <w:rPr/>
        <w:t>吕永珊、谢燕廷</w:t>
      </w:r>
    </w:p>
    <w:p>
      <w:pPr>
        <w:ind w:firstLine="480"/>
      </w:pPr>
      <w:r>
        <w:rPr/>
        <w:t>电话：</w:t>
      </w:r>
      <w:r>
        <w:rPr/>
        <w:t>020-37814404、020-34283604</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GZGK23D315C0986C</w:t>
      </w:r>
    </w:p>
    <w:p>
      <w:pPr>
        <w:jc w:val="both"/>
      </w:pPr>
      <w:r>
        <w:rPr>
          <w:b/>
          <w:sz w:val="21"/>
        </w:rPr>
        <w:t>（二）</w:t>
      </w:r>
      <w:r>
        <w:rPr>
          <w:b/>
          <w:sz w:val="21"/>
        </w:rPr>
        <w:t>项目名称：</w:t>
      </w:r>
      <w:r>
        <w:rPr>
          <w:sz w:val="21"/>
        </w:rPr>
        <w:t>广州市白云区鹤龙街综合养老服务中心（颐康中心）运营项目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响应供应商没有在响应文件中注明偏离（文字说明或在响应表注明）的条款视为被响应供应商完全接受。</w:t>
      </w:r>
    </w:p>
    <w:p>
      <w:pPr>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不允许中标（成交）供应商</w:t>
      </w:r>
      <w:r>
        <w:rPr>
          <w:sz w:val="21"/>
        </w:rPr>
        <w:t>转包、分包项目内容</w:t>
      </w:r>
      <w:r>
        <w:rPr>
          <w:sz w:val="21"/>
        </w:rPr>
        <w:t>。</w:t>
      </w:r>
    </w:p>
    <w:p>
      <w:pPr>
        <w:jc w:val="both"/>
      </w:pPr>
      <w:r>
        <w:rPr>
          <w:sz w:val="21"/>
        </w:rPr>
        <w:t>7、</w:t>
      </w:r>
      <w:r>
        <w:rPr>
          <w:sz w:val="21"/>
        </w:rPr>
        <w:t>小型和微型企业、监狱企业和残疾人福利性单位必须按照采购文件第三章内容提供相应的资料。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9、</w:t>
      </w:r>
      <w:r>
        <w:rPr>
          <w:sz w:val="21"/>
        </w:rPr>
        <w:t>本项目</w:t>
      </w:r>
      <w:r>
        <w:rPr>
          <w:sz w:val="21"/>
        </w:rPr>
        <w:t>符合《政府采购促进中小企业发展管理办法》第六条第（一）项、第（三）项的情形，故不专门面向中小企业</w:t>
      </w:r>
      <w:r>
        <w:rPr>
          <w:sz w:val="21"/>
        </w:rPr>
        <w:t>。</w:t>
      </w:r>
    </w:p>
    <w:p>
      <w:pPr>
        <w:jc w:val="both"/>
      </w:pPr>
      <w:r>
        <w:rPr>
          <w:sz w:val="21"/>
        </w:rPr>
        <w:t>10、</w:t>
      </w:r>
      <w:r>
        <w:rPr>
          <w:b/>
          <w:sz w:val="21"/>
        </w:rPr>
        <w:t>本项目涉及跨年采购，</w:t>
      </w:r>
      <w:r>
        <w:rPr>
          <w:b/>
          <w:sz w:val="21"/>
        </w:rPr>
        <w:t>其中</w:t>
      </w:r>
      <w:r>
        <w:rPr>
          <w:b/>
          <w:sz w:val="21"/>
        </w:rPr>
        <w:t>2024年2月8日至2024年12月31日（10个月22天）拟安排</w:t>
      </w:r>
      <w:r>
        <w:rPr>
          <w:b/>
          <w:sz w:val="21"/>
        </w:rPr>
        <w:t>采购预算金额预估为</w:t>
      </w:r>
      <w:r>
        <w:rPr>
          <w:b/>
          <w:sz w:val="21"/>
        </w:rPr>
        <w:t>851</w:t>
      </w:r>
      <w:r>
        <w:rPr>
          <w:b/>
          <w:sz w:val="21"/>
        </w:rPr>
        <w:t>,</w:t>
      </w:r>
      <w:r>
        <w:rPr>
          <w:b/>
          <w:sz w:val="21"/>
        </w:rPr>
        <w:t>985</w:t>
      </w:r>
      <w:r>
        <w:rPr>
          <w:b/>
          <w:sz w:val="21"/>
        </w:rPr>
        <w:t>.00元</w:t>
      </w:r>
      <w:r>
        <w:rPr>
          <w:b/>
          <w:sz w:val="21"/>
        </w:rPr>
        <w:t>，</w:t>
      </w:r>
      <w:r>
        <w:rPr>
          <w:b/>
          <w:sz w:val="21"/>
        </w:rPr>
        <w:t>2025年度和2026年度拟安排采购预算金额预估为95万元/年。</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实现的目标</w:t>
      </w:r>
    </w:p>
    <w:p>
      <w:pPr>
        <w:ind w:firstLine="420"/>
        <w:jc w:val="both"/>
      </w:pPr>
      <w:r>
        <w:rPr>
          <w:sz w:val="21"/>
        </w:rPr>
        <w:t>根据广州市养老服务规定，为了更好地满足服务区域内的老年人多元化、个性化的服务需求，通过上门和到服务点等形式，为有需要的老年人提供养老服务向导、助餐配餐、生活照料、定期</w:t>
      </w:r>
      <w:r>
        <w:rPr>
          <w:sz w:val="21"/>
        </w:rPr>
        <w:t>巡访</w:t>
      </w:r>
      <w:r>
        <w:rPr>
          <w:sz w:val="21"/>
        </w:rPr>
        <w:t>、辅具租赁、平安通、家庭照护培训、文体教育、居家适老化改造、家庭养老床位、日间托管、临时托养、医养康养、康复护理等基本养老服务的功能，重点为有需求的失能、失智老年人提供服务。</w:t>
      </w:r>
    </w:p>
    <w:p>
      <w:pPr>
        <w:jc w:val="both"/>
      </w:pPr>
      <w:r>
        <w:rPr>
          <w:b/>
          <w:sz w:val="21"/>
        </w:rPr>
        <w:t>（六）</w:t>
      </w:r>
      <w:r>
        <w:rPr>
          <w:b/>
          <w:sz w:val="21"/>
        </w:rPr>
        <w:t>需执行国家相关标准、行业标准、地方标准或者其他标准、规范</w:t>
      </w:r>
    </w:p>
    <w:p/>
    <w:p>
      <w:pPr>
        <w:ind w:firstLine="480"/>
      </w:pPr>
    </w:p>
    <w:p/>
    <w:p>
      <w:r>
        <w:rPr/>
        <w:t>采购包1（广州市白云区鹤龙街综合养老服务中心（颐康中心）运营项目）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服务期限：本项目采购服务周期为 34个月22天（2024年2月8日-2026年12月31日），其中第一个服务年度为 10个月22天（2024年2月8日-2024年12月31日），第二、第三个服务年度均为 12 个月（2025年1月1日-2025年12月31日；2026年1月1日-2026年12月31日）。合同一年一签。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1期：支付比例100%,1.本项目采购预算共为275.1985万元，其中第一个服务年度为 85.1985万元(颐康中心运营经费为35.8731万元，11 个颐康服务站运营经费共为49.3254万元)，第二个服务年度为95万元(颐康中心运营经费为 40万元，11个康服务站运营经费共为 55万元)，第三个服务年度为95万元(颐康中心运营经费为 40万元，11个颐康服务站运营经费共为 55万元)。服务期为 34个月22天（2024年2月8日-2026年12月31日），其中第一个服务年度为 10个月22天（2024年2月8日-2024年12月31日），第二、第三个服务年度均为12个月（2025年1月1日-2025年12月31日；2026年1月1日-2026年12月31日）。合同一年一签。服务期内经营本项目的全部成本(包含但不限于场地建设、设备采购、人力成本、能耗成本、日常维修、水电费、物业费、场地租金以及其他各项税费等)中超出项目预算外的部分由成交供应商自行承担支付；除上级文件政策规定外，在服务期内采购人不再增加任何费用。 2.项目经费根据合同约定的方式分期拨付。合同签订后，采购人在收到成交人提供的正式发票等相关申请拨款资料后，经财政审批后5个工作日内支付当年运营经费的60%；项目运营期满后，采购人验收确认成交供应商完成本项目内容、街道辖内社区满意度测评为满意以上且收到成交供应商提供的正式发票等相关拨款资料后，经财政审批后5个工作日内，支付当年剩余的项目费用。（实际付款方式具体以签订合同及采购人所在区相关部门规定为准。）</w:t>
            </w:r>
          </w:p>
        </w:tc>
      </w:tr>
      <w:tr>
        <w:tc>
          <w:tcPr>
            <w:tcW w:type="dxa" w:w="4153"/>
          </w:tcPr>
          <w:p>
            <w:r>
              <w:rPr/>
              <w:t>验收要求</w:t>
            </w:r>
          </w:p>
        </w:tc>
        <w:tc>
          <w:tcPr>
            <w:tcW w:type="dxa" w:w="4153"/>
          </w:tcPr>
          <w:p/>
          <w:p/>
          <w:p/>
          <w:p>
            <w:r>
              <w:rPr/>
              <w:t>1期：自合同签订之日起，成交供应商每运营满1年需向采购人提交自评报告，由采购人向上级相关主管部门申请服务评估。对承接的服务项目评估定级不合格的成交供应商，由采购人上级相关主管部门督促整改，整改后仍不合格的，采购人有权追究其违约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广州市白云区鹤龙街综合养老服务中心（颐康中心）运营项目</w:t>
            </w:r>
          </w:p>
        </w:tc>
        <w:tc>
          <w:tcPr>
            <w:tcW w:type="dxa" w:w="933"/>
          </w:tcPr>
          <w:p>
            <w:pPr>
              <w:jc w:val="left"/>
            </w:pPr>
            <w:r>
              <w:rPr/>
              <w:t>项</w:t>
            </w:r>
          </w:p>
        </w:tc>
        <w:tc>
          <w:tcPr>
            <w:tcW w:type="dxa" w:w="933"/>
          </w:tcPr>
          <w:p>
            <w:pPr>
              <w:jc w:val="right"/>
            </w:pPr>
            <w:r>
              <w:rPr/>
              <w:t>1.00</w:t>
            </w:r>
          </w:p>
        </w:tc>
        <w:tc>
          <w:tcPr>
            <w:tcW w:type="dxa" w:w="933"/>
          </w:tcPr>
          <w:p>
            <w:pPr>
              <w:jc w:val="right"/>
            </w:pPr>
            <w:r>
              <w:rPr/>
              <w:t>2,751,985.00</w:t>
            </w:r>
          </w:p>
        </w:tc>
        <w:tc>
          <w:tcPr>
            <w:tcW w:type="dxa" w:w="933"/>
          </w:tcPr>
          <w:p>
            <w:pPr>
              <w:jc w:val="right"/>
            </w:pPr>
            <w:r>
              <w:rPr/>
              <w:t>2,751,985.00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广州市白云区鹤龙街综合养老服务中心（颐康中心）运营项目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（一）采购内容</w:t>
            </w:r>
          </w:p>
          <w:p>
            <w:pPr>
              <w:ind w:firstLine="420"/>
              <w:jc w:val="both"/>
            </w:pPr>
            <w:r>
              <w:rPr>
                <w:sz w:val="21"/>
              </w:rPr>
              <w:t>本项目采购预算共为</w:t>
            </w:r>
            <w:r>
              <w:rPr>
                <w:sz w:val="21"/>
              </w:rPr>
              <w:t>275.1985万元，其中第一个服务年度为 85.1985万元(颐康中心运营经费为35.8731万元，11 个颐康服务站运营经费共为49.3254万元)，第二个服务年度为95万元(颐康中心运营经费为 40万元，11个康服务站运营经费共为 55万元)，第三个服务年度为95万元(颐康中心运营经费为 40万元，11个颐康服务站运营经费共为 55万元)。服务期为 34个月22天（2024年2月8日-2026年12月31日），其中第一个服务年度为 10个月22天（2024年2月8日-2024年12月31日），第二、第三个服务年度均为12个月（2025年1月1日-2025年12月31日；2026年1月1日-2026年12月31日）。合同一年一签。服务期内经营本项目的全部成本(包含但不限于场地建设、设备采购、人力成本、能耗成本、日常维修、水电费、物业费、场地租金以及其他各项税费等)中超出项目预算外的部分由成交供应商自行承担支付；除上级文件政策规定外，在服务期内采购人不再增加任何费用。</w:t>
            </w:r>
          </w:p>
          <w:p/>
          <w:tbl>
            <w:tblPr>
              <w:tblBorders>
                <w:top w:val="none" w:color="000000" w:sz="4"/>
                <w:left w:val="none" w:color="000000" w:sz="4"/>
                <w:bottom w:val="none" w:color="000000" w:sz="4"/>
                <w:right w:val="none" w:color="000000" w:sz="4"/>
                <w:insideH w:val="none"/>
                <w:insideV w:val="none"/>
              </w:tblBorders>
            </w:tblPr>
            <w:tblGrid>
              <w:gridCol w:w="1469"/>
              <w:gridCol w:w="1225"/>
              <w:gridCol w:w="523"/>
              <w:gridCol w:w="912"/>
              <w:gridCol w:w="1469"/>
            </w:tblGrid>
            <w:tr>
              <w:tc>
                <w:tcPr>
                  <w:tcW w:type="dxa" w:w="1469"/>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1225"/>
                  <w:tcBorders>
                    <w:top w:val="single" w:color="000000" w:sz="4"/>
                    <w:left w:val="single" w:color="000000" w:sz="4"/>
                    <w:bottom w:val="single" w:color="000000" w:sz="4"/>
                    <w:right w:val="single" w:color="000000" w:sz="4"/>
                  </w:tcBorders>
                  <w:vAlign w:val="top"/>
                </w:tcPr>
                <w:p>
                  <w:pPr>
                    <w:jc w:val="center"/>
                  </w:pPr>
                  <w:r>
                    <w:rPr>
                      <w:sz w:val="21"/>
                    </w:rPr>
                    <w:t>项目运营内容</w:t>
                  </w:r>
                </w:p>
              </w:tc>
              <w:tc>
                <w:tcPr>
                  <w:tcW w:type="dxa" w:w="523"/>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12"/>
                  <w:tcBorders>
                    <w:top w:val="single" w:color="000000" w:sz="4"/>
                    <w:left w:val="single" w:color="000000" w:sz="4"/>
                    <w:bottom w:val="single" w:color="000000" w:sz="4"/>
                    <w:right w:val="single" w:color="000000" w:sz="4"/>
                  </w:tcBorders>
                  <w:vAlign w:val="top"/>
                </w:tcPr>
                <w:p>
                  <w:pPr>
                    <w:jc w:val="center"/>
                  </w:pPr>
                  <w:r>
                    <w:rPr>
                      <w:sz w:val="21"/>
                    </w:rPr>
                    <w:t>服务期</w:t>
                  </w:r>
                </w:p>
              </w:tc>
              <w:tc>
                <w:tcPr>
                  <w:tcW w:type="dxa" w:w="1469"/>
                  <w:tcBorders>
                    <w:top w:val="single" w:color="000000" w:sz="4"/>
                    <w:left w:val="single" w:color="000000" w:sz="4"/>
                    <w:bottom w:val="single" w:color="000000" w:sz="4"/>
                    <w:right w:val="single" w:color="000000" w:sz="4"/>
                  </w:tcBorders>
                  <w:vAlign w:val="top"/>
                </w:tcPr>
                <w:p>
                  <w:pPr>
                    <w:jc w:val="center"/>
                  </w:pPr>
                  <w:r>
                    <w:rPr>
                      <w:sz w:val="21"/>
                    </w:rPr>
                    <w:t>采购预算</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广州市白云区鹤龙街综合养老服务中心（颐康中心）运营项目</w:t>
                  </w:r>
                </w:p>
              </w:tc>
              <w:tc>
                <w:tcPr>
                  <w:tcW w:type="dxa" w:w="1225"/>
                  <w:tcBorders>
                    <w:top w:val="none" w:color="000000" w:sz="4"/>
                    <w:left w:val="single" w:color="000000" w:sz="4"/>
                    <w:bottom w:val="single" w:color="000000" w:sz="4"/>
                    <w:right w:val="single" w:color="000000" w:sz="4"/>
                  </w:tcBorders>
                  <w:vAlign w:val="top"/>
                </w:tcPr>
                <w:p>
                  <w:pPr>
                    <w:jc w:val="center"/>
                  </w:pPr>
                  <w:r>
                    <w:rPr>
                      <w:sz w:val="21"/>
                    </w:rPr>
                    <w:t>颐康中心</w:t>
                  </w:r>
                </w:p>
              </w:tc>
              <w:tc>
                <w:tcPr>
                  <w:tcW w:type="dxa" w:w="523"/>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912"/>
                  <w:tcBorders>
                    <w:top w:val="none" w:color="000000" w:sz="4"/>
                    <w:left w:val="single" w:color="000000" w:sz="4"/>
                    <w:bottom w:val="single" w:color="000000" w:sz="4"/>
                    <w:right w:val="single" w:color="000000" w:sz="4"/>
                  </w:tcBorders>
                  <w:vAlign w:val="top"/>
                </w:tcPr>
                <w:p>
                  <w:pPr>
                    <w:jc w:val="center"/>
                  </w:pPr>
                  <w:r>
                    <w:rPr>
                      <w:sz w:val="21"/>
                    </w:rPr>
                    <w:t>34个月22天</w:t>
                  </w:r>
                </w:p>
              </w:tc>
              <w:tc>
                <w:tcPr>
                  <w:tcW w:type="dxa" w:w="1469"/>
                  <w:tcBorders>
                    <w:top w:val="none" w:color="000000" w:sz="4"/>
                    <w:left w:val="single" w:color="000000" w:sz="4"/>
                    <w:bottom w:val="single" w:color="000000" w:sz="4"/>
                    <w:right w:val="single" w:color="000000" w:sz="4"/>
                  </w:tcBorders>
                  <w:vAlign w:val="top"/>
                </w:tcPr>
                <w:p>
                  <w:pPr>
                    <w:jc w:val="center"/>
                  </w:pPr>
                  <w:r>
                    <w:rPr>
                      <w:sz w:val="21"/>
                    </w:rPr>
                    <w:t>人民币</w:t>
                  </w:r>
                  <w:r>
                    <w:rPr>
                      <w:sz w:val="21"/>
                    </w:rPr>
                    <w:t>275.1985万</w:t>
                  </w:r>
                  <w:r>
                    <w:rPr>
                      <w:sz w:val="21"/>
                    </w:rPr>
                    <w:t>元</w:t>
                  </w:r>
                </w:p>
              </w:tc>
            </w:tr>
          </w:tbl>
          <w:p>
            <w:r>
              <w:rPr/>
              <w:t xml:space="preserve"> </w:t>
            </w:r>
          </w:p>
          <w:p>
            <w:pPr>
              <w:jc w:val="both"/>
            </w:pPr>
            <w:r>
              <w:rPr>
                <w:b/>
                <w:sz w:val="21"/>
              </w:rPr>
              <w:t>（二）</w:t>
            </w:r>
            <w:r>
              <w:rPr>
                <w:b/>
                <w:sz w:val="21"/>
              </w:rPr>
              <w:t>项目报价</w:t>
            </w:r>
          </w:p>
          <w:p>
            <w:pPr>
              <w:ind w:firstLine="420"/>
              <w:jc w:val="both"/>
            </w:pPr>
            <w:r>
              <w:rPr>
                <w:sz w:val="21"/>
              </w:rPr>
              <w:t>本项目最低服务工时量</w:t>
            </w:r>
            <w:r>
              <w:rPr>
                <w:sz w:val="21"/>
              </w:rPr>
              <w:t>/年：9122小时；最高服务工时量/年：12936小时。响应供应商报价最高不得超过项目年度最高服务总工时，最低不得低于项目年度最低服务工时。</w:t>
            </w:r>
          </w:p>
          <w:p>
            <w:pPr>
              <w:ind w:firstLine="456"/>
              <w:jc w:val="both"/>
            </w:pPr>
            <w:r>
              <w:rPr>
                <w:sz w:val="21"/>
              </w:rPr>
              <w:t>★因采购文件中的格式为自动生成格式，与实际报价需求不符。为保证响应报价清晰合理，各响应供应商的《分项报价表》以下面格式为准。</w:t>
            </w: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ind w:firstLine="456"/>
                    <w:jc w:val="center"/>
                  </w:pPr>
                  <w:r>
                    <w:rPr>
                      <w:sz w:val="21"/>
                    </w:rPr>
                    <w:t>分项报价表</w:t>
                  </w:r>
                </w:p>
              </w:tc>
            </w:tr>
            <w:tr>
              <w:tc>
                <w:tcPr>
                  <w:tcW w:type="dxa" w:w="5598"/>
                  <w:tcBorders>
                    <w:top w:val="none" w:color="000000" w:sz="4"/>
                    <w:left w:val="single" w:color="000000" w:sz="4"/>
                    <w:bottom w:val="single" w:color="000000" w:sz="4"/>
                    <w:right w:val="single" w:color="000000" w:sz="4"/>
                  </w:tcBorders>
                  <w:vAlign w:val="top"/>
                </w:tcPr>
                <w:p>
                  <w:pPr>
                    <w:ind w:firstLine="456"/>
                    <w:jc w:val="both"/>
                  </w:pPr>
                  <w:r>
                    <w:rPr>
                      <w:sz w:val="21"/>
                    </w:rPr>
                    <w:t>项目编号：</w:t>
                  </w:r>
                </w:p>
                <w:p>
                  <w:pPr>
                    <w:ind w:firstLine="456"/>
                    <w:jc w:val="both"/>
                  </w:pPr>
                  <w:r>
                    <w:rPr>
                      <w:sz w:val="21"/>
                    </w:rPr>
                    <w:t>项目名称：</w:t>
                  </w:r>
                </w:p>
                <w:p>
                  <w:pPr>
                    <w:ind w:firstLine="456"/>
                    <w:jc w:val="both"/>
                  </w:pPr>
                  <w:r>
                    <w:rPr>
                      <w:sz w:val="21"/>
                    </w:rPr>
                    <w:t>响应供应商名称：</w:t>
                  </w:r>
                </w:p>
                <w:tbl>
                  <w:tblPr>
                    <w:tblBorders>
                      <w:top w:val="none" w:color="000000" w:sz="4"/>
                      <w:left w:val="none" w:color="000000" w:sz="4"/>
                      <w:bottom w:val="none" w:color="000000" w:sz="4"/>
                      <w:right w:val="none" w:color="000000" w:sz="4"/>
                      <w:insideH w:val="none"/>
                      <w:insideV w:val="none"/>
                    </w:tblBorders>
                  </w:tblPr>
                  <w:tblGrid>
                    <w:gridCol w:w="1554"/>
                    <w:gridCol w:w="1512"/>
                    <w:gridCol w:w="1296"/>
                    <w:gridCol w:w="1017"/>
                  </w:tblGrid>
                  <w:tr>
                    <w:tc>
                      <w:tcPr>
                        <w:tcW w:type="dxa" w:w="1554"/>
                        <w:tcBorders>
                          <w:top w:val="single" w:color="000000" w:sz="4"/>
                          <w:left w:val="single" w:color="000000" w:sz="4"/>
                          <w:bottom w:val="single" w:color="000000" w:sz="4"/>
                          <w:right w:val="single" w:color="000000" w:sz="4"/>
                        </w:tcBorders>
                        <w:vAlign w:val="top"/>
                      </w:tcPr>
                      <w:p>
                        <w:pPr>
                          <w:ind w:firstLine="456"/>
                          <w:jc w:val="both"/>
                        </w:pPr>
                        <w:r>
                          <w:rPr>
                            <w:sz w:val="21"/>
                          </w:rPr>
                          <w:t>项目名称</w:t>
                        </w:r>
                      </w:p>
                    </w:tc>
                    <w:tc>
                      <w:tcPr>
                        <w:tcW w:type="dxa" w:w="1512"/>
                        <w:tcBorders>
                          <w:top w:val="single" w:color="000000" w:sz="4"/>
                          <w:left w:val="single" w:color="000000" w:sz="4"/>
                          <w:bottom w:val="single" w:color="000000" w:sz="4"/>
                          <w:right w:val="single" w:color="000000" w:sz="4"/>
                        </w:tcBorders>
                        <w:vAlign w:val="top"/>
                      </w:tcPr>
                      <w:p>
                        <w:pPr>
                          <w:ind w:firstLine="456"/>
                          <w:jc w:val="both"/>
                        </w:pPr>
                        <w:r>
                          <w:rPr>
                            <w:sz w:val="21"/>
                          </w:rPr>
                          <w:t>响应报价</w:t>
                        </w:r>
                      </w:p>
                    </w:tc>
                    <w:tc>
                      <w:tcPr>
                        <w:tcW w:type="dxa" w:w="1296"/>
                        <w:tcBorders>
                          <w:top w:val="single" w:color="000000" w:sz="4"/>
                          <w:left w:val="single" w:color="000000" w:sz="4"/>
                          <w:bottom w:val="single" w:color="000000" w:sz="4"/>
                          <w:right w:val="single" w:color="000000" w:sz="4"/>
                        </w:tcBorders>
                        <w:vAlign w:val="top"/>
                      </w:tcPr>
                      <w:p>
                        <w:pPr>
                          <w:ind w:firstLine="456"/>
                          <w:jc w:val="both"/>
                        </w:pPr>
                        <w:r>
                          <w:rPr>
                            <w:sz w:val="21"/>
                          </w:rPr>
                          <w:t>年度服务总工时</w:t>
                        </w:r>
                      </w:p>
                      <w:p>
                        <w:pPr>
                          <w:ind w:firstLine="456"/>
                          <w:jc w:val="both"/>
                        </w:pPr>
                        <w:r>
                          <w:rPr>
                            <w:sz w:val="21"/>
                          </w:rPr>
                          <w:t>（小时</w:t>
                        </w:r>
                        <w:r>
                          <w:rPr>
                            <w:sz w:val="21"/>
                          </w:rPr>
                          <w:t>/年）</w:t>
                        </w:r>
                      </w:p>
                    </w:tc>
                    <w:tc>
                      <w:tcPr>
                        <w:tcW w:type="dxa" w:w="1017"/>
                        <w:tcBorders>
                          <w:top w:val="single" w:color="000000" w:sz="4"/>
                          <w:left w:val="single" w:color="000000" w:sz="4"/>
                          <w:bottom w:val="single" w:color="000000" w:sz="4"/>
                          <w:right w:val="single" w:color="000000" w:sz="4"/>
                        </w:tcBorders>
                        <w:vAlign w:val="top"/>
                      </w:tcPr>
                      <w:p>
                        <w:pPr>
                          <w:ind w:firstLine="456"/>
                          <w:jc w:val="both"/>
                        </w:pPr>
                        <w:r>
                          <w:rPr>
                            <w:sz w:val="21"/>
                          </w:rPr>
                          <w:t>备注</w:t>
                        </w:r>
                      </w:p>
                    </w:tc>
                  </w:tr>
                  <w:tr>
                    <w:tc>
                      <w:tcPr>
                        <w:tcW w:type="dxa" w:w="1554"/>
                        <w:tcBorders>
                          <w:top w:val="none" w:color="000000" w:sz="4"/>
                          <w:left w:val="single" w:color="000000" w:sz="4"/>
                          <w:bottom w:val="single" w:color="000000" w:sz="4"/>
                          <w:right w:val="single" w:color="000000" w:sz="4"/>
                        </w:tcBorders>
                        <w:vAlign w:val="top"/>
                      </w:tcPr>
                      <w:p>
                        <w:r>
                          <w:rPr>
                            <w:sz w:val="21"/>
                          </w:rPr>
                          <w:t>广州市白云区鹤龙街综合养老服务中心（颐康中心）运营项目</w:t>
                        </w:r>
                      </w:p>
                    </w:tc>
                    <w:tc>
                      <w:tcPr>
                        <w:tcW w:type="dxa" w:w="1512"/>
                        <w:tcBorders>
                          <w:top w:val="none" w:color="000000" w:sz="4"/>
                          <w:left w:val="single" w:color="000000" w:sz="4"/>
                          <w:bottom w:val="single" w:color="000000" w:sz="4"/>
                          <w:right w:val="single" w:color="000000" w:sz="4"/>
                        </w:tcBorders>
                        <w:vAlign w:val="top"/>
                      </w:tcPr>
                      <w:p>
                        <w:pPr>
                          <w:ind w:firstLine="456"/>
                          <w:jc w:val="both"/>
                        </w:pPr>
                        <w:r>
                          <w:rPr>
                            <w:sz w:val="21"/>
                          </w:rPr>
                          <w:t>275.1985</w:t>
                        </w:r>
                        <w:r>
                          <w:rPr>
                            <w:sz w:val="21"/>
                          </w:rPr>
                          <w:t>万元</w:t>
                        </w:r>
                      </w:p>
                    </w:tc>
                    <w:tc>
                      <w:tcPr>
                        <w:tcW w:type="dxa" w:w="1296"/>
                        <w:tcBorders>
                          <w:top w:val="none" w:color="000000" w:sz="4"/>
                          <w:left w:val="single" w:color="000000" w:sz="4"/>
                          <w:bottom w:val="single" w:color="000000" w:sz="4"/>
                          <w:right w:val="single" w:color="000000" w:sz="4"/>
                        </w:tcBorders>
                        <w:vAlign w:val="top"/>
                      </w:tcPr>
                      <w:p>
                        <w:pPr>
                          <w:ind w:firstLine="456"/>
                          <w:jc w:val="both"/>
                        </w:pPr>
                      </w:p>
                    </w:tc>
                    <w:tc>
                      <w:tcPr>
                        <w:tcW w:type="dxa" w:w="1017"/>
                        <w:tcBorders>
                          <w:top w:val="none" w:color="000000" w:sz="4"/>
                          <w:left w:val="single" w:color="000000" w:sz="4"/>
                          <w:bottom w:val="single" w:color="000000" w:sz="4"/>
                          <w:right w:val="single" w:color="000000" w:sz="4"/>
                        </w:tcBorders>
                        <w:vAlign w:val="top"/>
                      </w:tcPr>
                      <w:p>
                        <w:pPr>
                          <w:ind w:firstLine="456"/>
                          <w:jc w:val="both"/>
                        </w:pPr>
                      </w:p>
                    </w:tc>
                  </w:tr>
                </w:tbl>
                <w:p>
                  <w:pPr>
                    <w:ind w:firstLine="456"/>
                    <w:jc w:val="both"/>
                  </w:pPr>
                  <w:r>
                    <w:rPr>
                      <w:sz w:val="21"/>
                    </w:rPr>
                    <w:t>备注：</w:t>
                  </w:r>
                  <w:r>
                    <w:rPr>
                      <w:sz w:val="21"/>
                    </w:rPr>
                    <w:t>1.服务总工时必须固定唯一且在采购文件规定的范围之内，否则视为无效响应。本项目年度最低服务总工时：9122小时；项目年度最高服务总工时：</w:t>
                  </w:r>
                  <w:r>
                    <w:rPr>
                      <w:sz w:val="21"/>
                    </w:rPr>
                    <w:t>12936</w:t>
                  </w:r>
                  <w:r>
                    <w:rPr>
                      <w:sz w:val="21"/>
                    </w:rPr>
                    <w:t>小时。</w:t>
                  </w:r>
                </w:p>
                <w:p>
                  <w:pPr>
                    <w:ind w:firstLine="456"/>
                    <w:jc w:val="both"/>
                  </w:pPr>
                  <w:r>
                    <w:rPr>
                      <w:sz w:val="21"/>
                    </w:rPr>
                    <w:t>2.本项目的报价总价为采购预算金额，不得修改，否则按无效响应处理。</w:t>
                  </w:r>
                </w:p>
                <w:p>
                  <w:pPr>
                    <w:ind w:firstLine="456"/>
                    <w:jc w:val="both"/>
                  </w:pPr>
                </w:p>
                <w:p>
                  <w:pPr>
                    <w:ind w:firstLine="456"/>
                    <w:jc w:val="both"/>
                  </w:pPr>
                  <w:r>
                    <w:rPr>
                      <w:sz w:val="21"/>
                    </w:rPr>
                    <w:t>响应供应商签章：</w:t>
                  </w:r>
                  <w:r>
                    <w:rPr>
                      <w:sz w:val="21"/>
                    </w:rPr>
                    <w:t>__________________</w:t>
                  </w:r>
                </w:p>
                <w:p>
                  <w:pPr>
                    <w:ind w:firstLine="456"/>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tc>
            </w:tr>
          </w:tbl>
          <w:p>
            <w:pPr>
              <w:ind w:firstLine="422"/>
              <w:jc w:val="both"/>
            </w:pPr>
          </w:p>
          <w:p>
            <w:pPr>
              <w:jc w:val="both"/>
            </w:pPr>
            <w:r>
              <w:rPr>
                <w:b/>
                <w:sz w:val="21"/>
              </w:rPr>
              <w:t>（三）</w:t>
            </w:r>
            <w:r>
              <w:rPr>
                <w:b/>
                <w:sz w:val="21"/>
              </w:rPr>
              <w:t>项目需求</w:t>
            </w:r>
          </w:p>
          <w:p>
            <w:pPr>
              <w:ind w:firstLine="420"/>
              <w:jc w:val="both"/>
            </w:pPr>
            <w:r>
              <w:rPr>
                <w:sz w:val="21"/>
              </w:rPr>
              <w:t>一）服务区域：广州市白云区</w:t>
            </w:r>
            <w:r>
              <w:rPr>
                <w:sz w:val="21"/>
              </w:rPr>
              <w:t>鹤龙</w:t>
            </w:r>
            <w:r>
              <w:rPr>
                <w:sz w:val="21"/>
              </w:rPr>
              <w:t>街。</w:t>
            </w:r>
          </w:p>
          <w:p>
            <w:pPr>
              <w:ind w:firstLine="420"/>
              <w:jc w:val="both"/>
            </w:pPr>
            <w:r>
              <w:rPr>
                <w:sz w:val="21"/>
              </w:rPr>
              <w:t>二）服务对象：</w:t>
            </w:r>
            <w:r>
              <w:rPr>
                <w:sz w:val="21"/>
              </w:rPr>
              <w:t>鹤龙</w:t>
            </w:r>
            <w:r>
              <w:rPr>
                <w:sz w:val="21"/>
              </w:rPr>
              <w:t>街户籍以及居住在</w:t>
            </w:r>
            <w:r>
              <w:rPr>
                <w:sz w:val="21"/>
              </w:rPr>
              <w:t>鹤龙</w:t>
            </w:r>
            <w:r>
              <w:rPr>
                <w:sz w:val="21"/>
              </w:rPr>
              <w:t>街辖内的</w:t>
            </w:r>
            <w:r>
              <w:rPr>
                <w:sz w:val="21"/>
              </w:rPr>
              <w:t>60周岁及以上老年人。以享受政府资助的居家社区养老服务的老年群体作为重点对象，服务率须达到100%；同时发展区域内的老年群体成为服务对象，覆盖率须达到100%。</w:t>
            </w:r>
          </w:p>
          <w:p>
            <w:pPr>
              <w:ind w:firstLine="420"/>
              <w:jc w:val="both"/>
            </w:pPr>
            <w:r>
              <w:rPr>
                <w:sz w:val="21"/>
              </w:rPr>
              <w:t>三）服务形式：根据提供服务时的场所不同，分为上门服务和到服务点服务。</w:t>
            </w:r>
          </w:p>
          <w:p>
            <w:pPr>
              <w:ind w:firstLine="420"/>
              <w:jc w:val="both"/>
            </w:pPr>
            <w:r>
              <w:rPr>
                <w:sz w:val="21"/>
              </w:rPr>
              <w:t>四）项目内容：</w:t>
            </w:r>
            <w:r>
              <w:rPr>
                <w:sz w:val="21"/>
              </w:rPr>
              <w:t>根据《广州市人民政府办公厅关于印发广州市居家社区养老服务管理办法的通知》（穗府办规〔</w:t>
            </w:r>
            <w:r>
              <w:rPr>
                <w:sz w:val="21"/>
              </w:rPr>
              <w:t>2022〕13 号）规定，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服务项目应当根据</w:t>
            </w:r>
            <w:r>
              <w:rPr>
                <w:sz w:val="21"/>
              </w:rPr>
              <w:t>广州</w:t>
            </w:r>
            <w:r>
              <w:rPr>
                <w:sz w:val="21"/>
              </w:rPr>
              <w:t>市基本养老服务清单进行动态调整。</w:t>
            </w:r>
          </w:p>
          <w:p>
            <w:pPr>
              <w:ind w:firstLine="420"/>
              <w:jc w:val="both"/>
            </w:pPr>
            <w:r>
              <w:rPr>
                <w:sz w:val="21"/>
              </w:rPr>
              <w:t>五）服务设施：街道级社区</w:t>
            </w:r>
            <w:r>
              <w:rPr>
                <w:sz w:val="21"/>
              </w:rPr>
              <w:t>养老服务设施</w:t>
            </w:r>
            <w:r>
              <w:rPr>
                <w:sz w:val="21"/>
              </w:rPr>
              <w:t>1个，社区级社区养老服务设施11个</w:t>
            </w:r>
            <w:r>
              <w:rPr>
                <w:sz w:val="21"/>
              </w:rPr>
              <w:t>，充分发挥场地设备的功能作用，以片区服务点为依托，为长者开展专业化服务。</w:t>
            </w:r>
          </w:p>
          <w:p>
            <w:pPr>
              <w:ind w:firstLine="420"/>
              <w:jc w:val="both"/>
            </w:pPr>
            <w:r>
              <w:rPr>
                <w:sz w:val="21"/>
              </w:rPr>
              <w:t>注：</w:t>
            </w:r>
            <w:r>
              <w:rPr>
                <w:sz w:val="21"/>
              </w:rPr>
              <w:t>1.</w:t>
            </w:r>
            <w:r>
              <w:rPr>
                <w:sz w:val="21"/>
              </w:rPr>
              <w:t>街道级、社区级社区养老服务设施满</w:t>
            </w:r>
            <w:r>
              <w:rPr>
                <w:sz w:val="21"/>
              </w:rPr>
              <w:t>12个月且经服务评估评定为合格及以上等级的，可享受相应等级的服务奖励，不足规定服务时间的按比例扣除奖励资金，具体标准按</w:t>
            </w:r>
            <w:r>
              <w:rPr>
                <w:sz w:val="21"/>
              </w:rPr>
              <w:t>《广州市人民政府办公厅关于印发广州市居家社区养老服务管理办法的通知》（穗府办规〔</w:t>
            </w:r>
            <w:r>
              <w:rPr>
                <w:sz w:val="21"/>
              </w:rPr>
              <w:t>2022〕13 号）</w:t>
            </w:r>
            <w:r>
              <w:rPr>
                <w:sz w:val="21"/>
              </w:rPr>
              <w:t>执行</w:t>
            </w:r>
            <w:r>
              <w:rPr>
                <w:sz w:val="21"/>
              </w:rPr>
              <w:t>；奖励资金由区民政局列入年度部门预算。</w:t>
            </w:r>
          </w:p>
          <w:p>
            <w:pPr>
              <w:ind w:firstLine="422"/>
              <w:jc w:val="both"/>
            </w:pPr>
            <w:r>
              <w:rPr>
                <w:b/>
                <w:sz w:val="21"/>
              </w:rPr>
              <w:t>★</w:t>
            </w:r>
            <w:r>
              <w:rPr>
                <w:b/>
                <w:sz w:val="21"/>
              </w:rPr>
              <w:t>2.</w:t>
            </w:r>
            <w:r>
              <w:rPr>
                <w:b/>
                <w:sz w:val="21"/>
              </w:rPr>
              <w:t>成交供应商应配合采购人根据上级工作要求完成</w:t>
            </w:r>
            <w:r>
              <w:rPr>
                <w:b/>
                <w:sz w:val="21"/>
              </w:rPr>
              <w:t>综合养老服务中心（颐康中心）</w:t>
            </w:r>
            <w:r>
              <w:rPr>
                <w:b/>
                <w:sz w:val="21"/>
              </w:rPr>
              <w:t>、</w:t>
            </w:r>
            <w:r>
              <w:rPr>
                <w:b/>
                <w:sz w:val="21"/>
              </w:rPr>
              <w:t>社区颐康服务站建设、</w:t>
            </w:r>
            <w:r>
              <w:rPr>
                <w:b/>
                <w:sz w:val="21"/>
              </w:rPr>
              <w:t>改造、</w:t>
            </w:r>
            <w:r>
              <w:rPr>
                <w:b/>
                <w:sz w:val="21"/>
              </w:rPr>
              <w:t>验收并负责其运营工作。（如广州养老服务政策变更，则遵照最新政策执行）</w:t>
            </w:r>
            <w:r>
              <w:rPr>
                <w:b/>
                <w:sz w:val="21"/>
              </w:rPr>
              <w:t>（响应供应商须提供承诺函，格式自拟）</w:t>
            </w:r>
          </w:p>
          <w:p>
            <w:pPr>
              <w:ind w:firstLine="422"/>
              <w:jc w:val="both"/>
            </w:pPr>
          </w:p>
          <w:p>
            <w:pPr>
              <w:jc w:val="both"/>
            </w:pPr>
            <w:r>
              <w:rPr>
                <w:b/>
                <w:sz w:val="21"/>
              </w:rPr>
              <w:t>（四）</w:t>
            </w:r>
            <w:r>
              <w:rPr>
                <w:b/>
                <w:sz w:val="21"/>
              </w:rPr>
              <w:t>运营要求</w:t>
            </w:r>
          </w:p>
          <w:p>
            <w:pPr>
              <w:ind w:firstLine="420"/>
              <w:jc w:val="both"/>
            </w:pPr>
            <w:r>
              <w:rPr>
                <w:sz w:val="21"/>
              </w:rPr>
              <w:t>一）总体要求：街道级社区养老服务设施应当具备全托、日托、上门服务、对下指导、统筹调配资源等功能，为有需要的长者重点是失能、失智长者提供养老服务向导、助餐配餐、生活照料、定期巡访、辅具租赁、平安通、家庭照护培训、文体教育、居家适老化改造、家庭养老床位、日间托管、临时托养、医养康养、康复护理等覆盖长者全生命周期的一站式和到户式综合养老服务</w:t>
            </w:r>
            <w:r>
              <w:rPr>
                <w:sz w:val="21"/>
              </w:rPr>
              <w:t>（根据广州市基本养老服务清单进行动态调整）</w:t>
            </w:r>
            <w:r>
              <w:rPr>
                <w:sz w:val="21"/>
              </w:rPr>
              <w:t>。</w:t>
            </w:r>
          </w:p>
          <w:p>
            <w:pPr>
              <w:ind w:firstLine="420"/>
              <w:jc w:val="both"/>
            </w:pPr>
            <w:r>
              <w:rPr>
                <w:sz w:val="21"/>
              </w:rPr>
              <w:t>二）功能要求：街道级社区养老服务设施应符合养老设施建筑设计规范及国家、省、市养老机构和社区居家养老服务相关规范，符合环境保护、消防安全、卫生和食品药品安全等相应技术标准及安全质量、适老化和无障碍设施要求。提供餐饮、医疗服务的，服务设施应取得相应行政许可。合理设置长者的生活服务、医疗康复、娱乐及辅助用房，并设置长者饭堂。中心应配置供电、给排水、采暖通风、通讯、消防和网络，以及生活服务、保健康复、娱乐、安防、疫情防控等设施设备和必要的交通工具（至少配备一台能保证</w:t>
            </w:r>
            <w:r>
              <w:rPr>
                <w:sz w:val="21"/>
              </w:rPr>
              <w:t>24 小时都能提供服务的工作车辆）。除全托外的日间照料、餐饮服务等功能区域不少于200平方米。</w:t>
            </w:r>
          </w:p>
          <w:p>
            <w:pPr>
              <w:ind w:firstLine="420"/>
              <w:jc w:val="both"/>
            </w:pPr>
            <w:r>
              <w:rPr>
                <w:sz w:val="21"/>
              </w:rPr>
              <w:t>三）床位要求：</w:t>
            </w:r>
          </w:p>
          <w:p>
            <w:pPr>
              <w:ind w:firstLine="420"/>
              <w:jc w:val="both"/>
            </w:pPr>
            <w:r>
              <w:rPr>
                <w:sz w:val="21"/>
              </w:rPr>
              <w:t>1.街道级社区养老服务设施全托区设置床位数不少于10张，其中护理型床位占总床位数不低于80%；日托区日间照料床位数占总床位数不低于10%。成交供应商应投入资金用于街道级社区养老服务设施固定资产改建和完善,根据养老机构的相关文件要求配齐、配足、配强工作人员。</w:t>
            </w:r>
          </w:p>
          <w:p>
            <w:pPr>
              <w:ind w:firstLine="420"/>
              <w:jc w:val="both"/>
            </w:pPr>
            <w:r>
              <w:rPr>
                <w:sz w:val="21"/>
              </w:rPr>
              <w:t>2.成交供应商需按实际总床位数的 10%（不少于1张）预留床位，无条件接收</w:t>
            </w:r>
            <w:r>
              <w:rPr>
                <w:sz w:val="21"/>
              </w:rPr>
              <w:t>鹤龙</w:t>
            </w:r>
            <w:r>
              <w:rPr>
                <w:sz w:val="21"/>
              </w:rPr>
              <w:t>街户籍的政府保障对象。如政府保障对象人数超出床位数</w:t>
            </w:r>
            <w:r>
              <w:rPr>
                <w:sz w:val="21"/>
              </w:rPr>
              <w:t>10%的，双方另行协商解决。</w:t>
            </w:r>
            <w:r>
              <w:rPr>
                <w:sz w:val="21"/>
              </w:rPr>
              <w:t>鹤龙</w:t>
            </w:r>
            <w:r>
              <w:rPr>
                <w:sz w:val="21"/>
              </w:rPr>
              <w:t>街户籍的自费长者实施优先办理入住。政府保障人员所享受的养老服务标准与自费入住长者一致。</w:t>
            </w:r>
          </w:p>
          <w:p>
            <w:pPr>
              <w:ind w:firstLine="420"/>
              <w:jc w:val="both"/>
            </w:pPr>
            <w:r>
              <w:rPr>
                <w:sz w:val="21"/>
              </w:rPr>
              <w:t>3.成交供应商须按照广州市养老政策规定，设置家庭养老床位，将专业照料服务延伸至家庭。设置数量以政策任务规定为准。</w:t>
            </w:r>
          </w:p>
          <w:p>
            <w:pPr>
              <w:ind w:firstLine="420"/>
              <w:jc w:val="both"/>
            </w:pPr>
            <w:r>
              <w:rPr>
                <w:sz w:val="21"/>
              </w:rPr>
              <w:t>四）资质要求：成交供应商应按广州市养老政策有关规定进行运营登记并取得开展养老、医疗、餐饮等各类专项服务的法定资质。街道级社区养老服务设施开展全托服务前，成交供应商应到白云区民政局完成养老机构备案手续。</w:t>
            </w:r>
          </w:p>
          <w:p>
            <w:pPr>
              <w:ind w:firstLine="420"/>
              <w:jc w:val="both"/>
            </w:pPr>
            <w:r>
              <w:rPr>
                <w:sz w:val="21"/>
              </w:rPr>
              <w:t>五）人员要求：</w:t>
            </w:r>
          </w:p>
          <w:p>
            <w:pPr>
              <w:ind w:firstLine="420"/>
              <w:jc w:val="both"/>
            </w:pPr>
            <w:r>
              <w:rPr>
                <w:sz w:val="21"/>
              </w:rPr>
              <w:t>1.成交供应商应按照养老机构标准规范、居家社区养老服务规范，配备与服务和运营相适应且具备相应从业资格的养老护理员、执业医师、执业护士、家政服务员、康复治疗师、心理咨询师、社会工作师、财务人员、工勤人员等。</w:t>
            </w:r>
          </w:p>
          <w:p>
            <w:pPr>
              <w:ind w:firstLine="420"/>
              <w:jc w:val="both"/>
            </w:pPr>
            <w:r>
              <w:rPr>
                <w:sz w:val="21"/>
              </w:rPr>
              <w:t>2.成交供应商投入项目服务的养老护理员或家政员须参加由市、区民政、人社等部门组织的培训课程。成交供应商应根据市、区民政、人社等部门的通知，及时组织有关人员参加培训。保证有关人员100%参加培训并持证上岗。</w:t>
            </w:r>
          </w:p>
          <w:p>
            <w:pPr>
              <w:jc w:val="both"/>
            </w:pPr>
            <w:r>
              <w:rPr>
                <w:sz w:val="21"/>
              </w:rPr>
              <w:t xml:space="preserve">    </w:t>
            </w:r>
            <w:r>
              <w:rPr>
                <w:sz w:val="21"/>
              </w:rPr>
              <w:t>3.成交供应商应为本项目配备经验丰富的专职项目负责人1名</w:t>
            </w:r>
            <w:r>
              <w:rPr>
                <w:sz w:val="21"/>
              </w:rPr>
              <w:t>（应具备大专以上学历并有</w:t>
            </w:r>
            <w:r>
              <w:rPr>
                <w:sz w:val="21"/>
              </w:rPr>
              <w:t>2年以上养老行业工作经验，除本项目外不得同时兼任其他居家社区养老项目负责人）</w:t>
            </w:r>
            <w:r>
              <w:rPr>
                <w:sz w:val="21"/>
              </w:rPr>
              <w:t>，执业医师</w:t>
            </w:r>
            <w:r>
              <w:rPr>
                <w:sz w:val="21"/>
              </w:rPr>
              <w:t>1名，执业护士1名，康复治疗师1名，社会工作师1名，养老护理员1名，其他工作人员5名（专职工作人员不少于 6 人）。</w:t>
            </w:r>
          </w:p>
          <w:p>
            <w:pPr>
              <w:ind w:firstLine="420"/>
              <w:jc w:val="both"/>
            </w:pPr>
            <w:r>
              <w:rPr>
                <w:sz w:val="21"/>
              </w:rPr>
              <w:t>（注：应根据项目实际需求及时进行人员要求设置。）</w:t>
            </w:r>
          </w:p>
          <w:p>
            <w:pPr>
              <w:ind w:firstLine="422"/>
              <w:jc w:val="both"/>
            </w:pPr>
            <w:r>
              <w:rPr>
                <w:b/>
                <w:sz w:val="21"/>
              </w:rPr>
              <w:t>★</w:t>
            </w:r>
            <w:r>
              <w:rPr>
                <w:b/>
                <w:sz w:val="21"/>
              </w:rPr>
              <w:t>成交供应商须承诺在服务期内必须保证投入的专职工作人员数量不能减少，服务期中如有人事变动问题，必须保证能达到响应时承诺投入的人员（提供响应承诺函，并加盖响应供应商公章</w:t>
            </w:r>
            <w:r>
              <w:rPr>
                <w:b/>
                <w:sz w:val="21"/>
              </w:rPr>
              <w:t>，</w:t>
            </w:r>
            <w:r>
              <w:rPr>
                <w:b/>
                <w:sz w:val="21"/>
              </w:rPr>
              <w:t>格式自拟）。</w:t>
            </w:r>
          </w:p>
          <w:p>
            <w:pPr>
              <w:ind w:firstLine="420"/>
              <w:jc w:val="both"/>
            </w:pPr>
            <w:r>
              <w:rPr>
                <w:sz w:val="21"/>
              </w:rPr>
              <w:t>4.提供上门生活照料服务的，保障上门服务人员与服务对象的比例不低于1:10。</w:t>
            </w:r>
          </w:p>
          <w:p>
            <w:pPr>
              <w:ind w:firstLine="420"/>
              <w:jc w:val="both"/>
            </w:pPr>
            <w:r>
              <w:rPr>
                <w:sz w:val="21"/>
              </w:rPr>
              <w:t>5.养老管理员与自主对象配备比例不低于1：50。</w:t>
            </w:r>
          </w:p>
          <w:p>
            <w:pPr>
              <w:ind w:firstLine="420"/>
              <w:jc w:val="both"/>
            </w:pPr>
            <w:r>
              <w:rPr>
                <w:sz w:val="21"/>
              </w:rPr>
              <w:t>6.每百张养老床位至少配备1名社会工作者。</w:t>
            </w:r>
          </w:p>
          <w:p>
            <w:pPr>
              <w:ind w:firstLine="420"/>
              <w:jc w:val="both"/>
            </w:pPr>
            <w:r>
              <w:rPr>
                <w:sz w:val="21"/>
              </w:rPr>
              <w:t>7.养老护理人员数（含护士、护理员）与自理对象人数比例达到1：10，与轻度及中度失能对象人数比例达到1：5，与重度失能对象人数比例达到1：3；护理人员应具有护理、康复治疗专业技术教育背景或从业资格。</w:t>
            </w:r>
          </w:p>
          <w:p>
            <w:pPr>
              <w:ind w:firstLine="420"/>
              <w:jc w:val="both"/>
            </w:pPr>
            <w:r>
              <w:rPr>
                <w:sz w:val="21"/>
              </w:rPr>
              <w:t>8.提供医疗保健类服务的，应配备执业医生、执业护士、康复治疗师等专业人员。</w:t>
            </w:r>
          </w:p>
          <w:p>
            <w:pPr>
              <w:ind w:firstLine="420"/>
              <w:jc w:val="both"/>
            </w:pPr>
            <w:r>
              <w:rPr>
                <w:sz w:val="21"/>
              </w:rPr>
              <w:t>9.应配备具有财会专业教育背景或持有财会职业资格证书的人员管理财务。</w:t>
            </w:r>
          </w:p>
          <w:p>
            <w:pPr>
              <w:ind w:firstLine="420"/>
              <w:jc w:val="both"/>
            </w:pPr>
            <w:r>
              <w:rPr>
                <w:sz w:val="21"/>
              </w:rPr>
              <w:t>10.成交供应商应保证服务人员上岗前接受不少于10学时的岗前培训；管理人员每年参加不少于1次的区级及以上管理培训活动，专业人员每年在岗培训不少于15学时，服务人员每年在岗培训不少于12学时。</w:t>
            </w:r>
          </w:p>
          <w:p>
            <w:pPr>
              <w:ind w:firstLine="420"/>
              <w:jc w:val="both"/>
            </w:pPr>
            <w:r>
              <w:rPr>
                <w:sz w:val="21"/>
              </w:rPr>
              <w:t>11.</w:t>
            </w:r>
            <w:r>
              <w:rPr>
                <w:sz w:val="21"/>
              </w:rPr>
              <w:t>成交供应商建立防范服务风险制度，为工作人员购买人身意外保险。</w:t>
            </w:r>
          </w:p>
          <w:p>
            <w:pPr>
              <w:ind w:firstLine="420"/>
              <w:jc w:val="both"/>
            </w:pPr>
            <w:r>
              <w:rPr>
                <w:sz w:val="21"/>
              </w:rPr>
              <w:t>六）财务要求：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pPr>
              <w:ind w:firstLine="420"/>
              <w:jc w:val="both"/>
            </w:pPr>
            <w:r>
              <w:rPr>
                <w:sz w:val="21"/>
              </w:rPr>
              <w:t>七）其他要求：</w:t>
            </w:r>
          </w:p>
          <w:p>
            <w:pPr>
              <w:ind w:firstLine="420"/>
              <w:jc w:val="both"/>
            </w:pPr>
            <w:r>
              <w:rPr>
                <w:sz w:val="21"/>
              </w:rPr>
              <w:t>1.成交供应商应当按照建筑、消防、食品安全、医疗卫生等法律、法规和国家、省、市有关标准开展服务活动；应与服务对象签订服务协议，购买机构责任保险和场地险。</w:t>
            </w:r>
          </w:p>
          <w:p>
            <w:pPr>
              <w:ind w:firstLine="420"/>
              <w:jc w:val="both"/>
            </w:pPr>
            <w:r>
              <w:rPr>
                <w:sz w:val="21"/>
              </w:rPr>
              <w:t>2.运营期间，成交供应商应守法经营，遵守国家的各项法律规定，遵守上级部门的管理公约，必须按有关部门要求认真落实安全生产工作，如因成交供应商原因（包括但不限于安全生产等工作落实不到位等）造成发生事故，或被有关行政主管部门处罚或者责令整改的，因此造成的一切损害损失及有关法律责任均由成交供应商承担。</w:t>
            </w:r>
          </w:p>
          <w:p>
            <w:pPr>
              <w:ind w:firstLine="420"/>
              <w:jc w:val="both"/>
            </w:pPr>
            <w:r>
              <w:rPr>
                <w:sz w:val="21"/>
              </w:rPr>
              <w:t>3.成交供应商不得以本项目的经营权向第三方进行分包、转包、担保、保证、抵押、融资、贷款或其他有损害</w:t>
            </w:r>
            <w:r>
              <w:rPr>
                <w:sz w:val="21"/>
              </w:rPr>
              <w:t>采购人</w:t>
            </w:r>
            <w:r>
              <w:rPr>
                <w:sz w:val="21"/>
              </w:rPr>
              <w:t>权益的行为。</w:t>
            </w:r>
          </w:p>
          <w:p>
            <w:pPr>
              <w:ind w:firstLine="420"/>
              <w:jc w:val="both"/>
            </w:pPr>
            <w:r>
              <w:rPr>
                <w:sz w:val="21"/>
              </w:rPr>
              <w:t>4.成交供应商应自行负责相关行政审批。运营期间未经采购人同意，成交供应商不得转租或改变经营项目。</w:t>
            </w:r>
          </w:p>
          <w:p>
            <w:pPr>
              <w:ind w:firstLine="420"/>
              <w:jc w:val="both"/>
            </w:pPr>
            <w:r>
              <w:rPr>
                <w:sz w:val="21"/>
              </w:rPr>
              <w:t>5.运营期间，不得发生欺老、虐老等违法行为，不得从事与养老服务无关的经营活动，不得利用本项目场地从事违法犯罪行为（包括但不限于生产、销售、经营国家规定的违禁品等），不得从事任何其他违法活动。成交供应商不得发行与本项目相关的商业预付卡，不得利用本项目的任何场地以产品展示的方式向服务对象推销所谓的保健食品或者保健器材等，如经发现上述任一情况的，采购人可视严重程度自行选择单方立即解除合同并按相关法律追究法律责任。运营期间，因成交供应商经营活动发生的一切纠纷，由成交供应商自行承担全部法律责任。</w:t>
            </w:r>
          </w:p>
          <w:p>
            <w:pPr>
              <w:ind w:firstLine="420"/>
              <w:jc w:val="both"/>
            </w:pPr>
            <w:r>
              <w:rPr>
                <w:sz w:val="21"/>
              </w:rPr>
              <w:t>6.如采购人或政府职能部门收到关于成交供应商违反建设、对老人存在暴力或不文明的行为的投诉或反映，采购人有权责令成交供应商限期内改正，并依照相关的规定追究成交供应商的违约责任。</w:t>
            </w:r>
          </w:p>
          <w:p>
            <w:pPr>
              <w:ind w:firstLine="420"/>
              <w:jc w:val="both"/>
            </w:pPr>
            <w:r>
              <w:rPr>
                <w:sz w:val="21"/>
              </w:rPr>
              <w:t>7.</w:t>
            </w:r>
            <w:r>
              <w:rPr>
                <w:sz w:val="21"/>
              </w:rPr>
              <w:t>成交供应商</w:t>
            </w:r>
            <w:r>
              <w:rPr>
                <w:color w:val="000000"/>
                <w:sz w:val="21"/>
              </w:rPr>
              <w:t>需参与支持辖区公益事业建设，辖区社区治理，帮扶辖区困难群众。</w:t>
            </w:r>
          </w:p>
          <w:p>
            <w:pPr>
              <w:ind w:firstLine="420"/>
              <w:jc w:val="both"/>
            </w:pPr>
            <w:r>
              <w:rPr>
                <w:color w:val="000000"/>
                <w:sz w:val="21"/>
              </w:rPr>
              <w:t>8.项目合同期满或响应供应商原因提前终止的，场地上装修、装饰、固定资产等权属归采购人。</w:t>
            </w:r>
          </w:p>
          <w:p>
            <w:pPr>
              <w:jc w:val="both"/>
            </w:pPr>
            <w:r>
              <w:rPr>
                <w:color w:val="000000"/>
                <w:sz w:val="21"/>
              </w:rPr>
              <w:t xml:space="preserve">    </w:t>
            </w:r>
            <w:r>
              <w:rPr>
                <w:color w:val="000000"/>
                <w:sz w:val="21"/>
              </w:rPr>
              <w:t>9.项目合同期内，响应供应商不能擅自转让、出租运营权；不能擅自改变项目场地用途。</w:t>
            </w:r>
          </w:p>
          <w:p>
            <w:pPr>
              <w:jc w:val="both"/>
            </w:pPr>
            <w:r>
              <w:rPr>
                <w:color w:val="000000"/>
                <w:sz w:val="21"/>
              </w:rPr>
              <w:t xml:space="preserve">    </w:t>
            </w:r>
            <w:r>
              <w:rPr>
                <w:color w:val="000000"/>
                <w:sz w:val="21"/>
              </w:rPr>
              <w:t>10.本项目服务对象及对象服务数据须面向采购人公开，接受采购人业务监督，不得利用本项目信息数据为其他单位（包括自办单位）服务。本项目终止后响应供应商须将服务数据移交街道，不得以任何形式另外存储的服务信息数据。</w:t>
            </w:r>
          </w:p>
          <w:p>
            <w:pPr>
              <w:ind w:firstLine="420"/>
              <w:jc w:val="both"/>
            </w:pPr>
            <w:r>
              <w:rPr>
                <w:sz w:val="21"/>
              </w:rPr>
              <w:t>八）与成交供应商的特殊约定：</w:t>
            </w:r>
          </w:p>
          <w:p>
            <w:pPr>
              <w:ind w:firstLine="420"/>
              <w:jc w:val="both"/>
            </w:pPr>
            <w:r>
              <w:rPr>
                <w:sz w:val="21"/>
              </w:rPr>
              <w:t>1.街道养老服务设施及社区养老服务设施由采购人按上级要求命名，成交供应商不得冠名。</w:t>
            </w:r>
          </w:p>
          <w:p>
            <w:pPr>
              <w:ind w:firstLine="422"/>
              <w:jc w:val="both"/>
            </w:pPr>
            <w:r>
              <w:rPr>
                <w:b/>
                <w:sz w:val="21"/>
              </w:rPr>
              <w:t>★2.服务期间，如市、区关于养老服务的相关政策调整（包括但不限于居家社区养老政策、综合养老服务项目建设及运营政策等）、重点服务对象人数、补贴标准发生变化等，成交供应商必须无条件接受，并严格按有关要求执行，成交供应商与采购人应根据最新政策签订补充协议，补充协议和原运营合同具有同等法律效力。（提供承诺函，格式自拟）</w:t>
            </w:r>
          </w:p>
          <w:p>
            <w:pPr>
              <w:ind w:firstLine="420"/>
              <w:jc w:val="both"/>
            </w:pPr>
            <w:r>
              <w:rPr>
                <w:sz w:val="21"/>
              </w:rPr>
              <w:t>3.</w:t>
            </w:r>
            <w:r>
              <w:rPr>
                <w:sz w:val="21"/>
              </w:rPr>
              <w:t>服务期间，政府资助、奖励、补助经费（包括但不限于助餐配餐补贴、政府资助对象上门补助等经费）根据《广州市居家社区养老服务管理办法》等养老相关政策规定拨付。根据实际服务时间及服务量进行结算。</w:t>
            </w:r>
          </w:p>
          <w:p>
            <w:pPr>
              <w:ind w:firstLine="456"/>
              <w:jc w:val="both"/>
            </w:pPr>
            <w:r>
              <w:rPr>
                <w:sz w:val="21"/>
              </w:rPr>
              <w:t>★</w:t>
            </w:r>
            <w:r>
              <w:rPr>
                <w:sz w:val="21"/>
              </w:rPr>
              <w:t>4.</w:t>
            </w:r>
            <w:r>
              <w:rPr>
                <w:sz w:val="21"/>
              </w:rPr>
              <w:t>本项目预计服务期</w:t>
            </w:r>
            <w:r>
              <w:rPr>
                <w:sz w:val="21"/>
              </w:rPr>
              <w:t>34个月22天</w:t>
            </w:r>
            <w:r>
              <w:rPr>
                <w:sz w:val="21"/>
              </w:rPr>
              <w:t>，具体时间视区经费下拨情况而定，若</w:t>
            </w:r>
            <w:r>
              <w:rPr>
                <w:sz w:val="21"/>
              </w:rPr>
              <w:t>2024至2026年</w:t>
            </w:r>
            <w:r>
              <w:rPr>
                <w:sz w:val="21"/>
              </w:rPr>
              <w:t>三</w:t>
            </w:r>
            <w:r>
              <w:rPr>
                <w:sz w:val="21"/>
              </w:rPr>
              <w:t>年中区停止下拨该经费，则终止服务，采购人不承担任何由此造成的损失费用。</w:t>
            </w:r>
            <w:r>
              <w:rPr>
                <w:sz w:val="21"/>
              </w:rPr>
              <w:t>(供应商</w:t>
            </w:r>
            <w:r>
              <w:rPr>
                <w:sz w:val="21"/>
              </w:rPr>
              <w:t>须</w:t>
            </w:r>
            <w:r>
              <w:rPr>
                <w:sz w:val="21"/>
              </w:rPr>
              <w:t>提供承诺函并加盖公章</w:t>
            </w:r>
            <w:r>
              <w:rPr>
                <w:sz w:val="21"/>
              </w:rPr>
              <w:t>，</w:t>
            </w:r>
            <w:r>
              <w:rPr>
                <w:sz w:val="21"/>
              </w:rPr>
              <w:t>格式自拟）</w:t>
            </w:r>
          </w:p>
          <w:p>
            <w:pPr>
              <w:ind w:firstLine="420"/>
              <w:jc w:val="both"/>
            </w:pPr>
            <w:r>
              <w:rPr>
                <w:sz w:val="21"/>
              </w:rPr>
              <w:t>九</w:t>
            </w:r>
            <w:r>
              <w:rPr>
                <w:sz w:val="21"/>
              </w:rPr>
              <w:t>）服务指标表</w:t>
            </w:r>
          </w:p>
          <w:tbl>
            <w:tblPr>
              <w:tblBorders>
                <w:top w:val="none" w:color="000000" w:sz="4"/>
                <w:left w:val="none" w:color="000000" w:sz="4"/>
                <w:bottom w:val="none" w:color="000000" w:sz="4"/>
                <w:right w:val="none" w:color="000000" w:sz="4"/>
                <w:insideH w:val="none"/>
                <w:insideV w:val="none"/>
              </w:tblBorders>
            </w:tblPr>
            <w:tblGrid>
              <w:gridCol w:w="361"/>
              <w:gridCol w:w="659"/>
              <w:gridCol w:w="436"/>
              <w:gridCol w:w="2318"/>
              <w:gridCol w:w="700"/>
              <w:gridCol w:w="561"/>
              <w:gridCol w:w="561"/>
            </w:tblGrid>
            <w:tr>
              <w:tc>
                <w:tcPr>
                  <w:tcW w:type="dxa" w:w="36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59"/>
                  <w:tcBorders>
                    <w:top w:val="single" w:color="000000" w:sz="4"/>
                    <w:left w:val="single" w:color="000000" w:sz="4"/>
                    <w:bottom w:val="single" w:color="000000" w:sz="4"/>
                    <w:right w:val="single" w:color="000000" w:sz="4"/>
                  </w:tcBorders>
                  <w:vAlign w:val="top"/>
                </w:tcPr>
                <w:p>
                  <w:pPr>
                    <w:jc w:val="center"/>
                  </w:pPr>
                  <w:r>
                    <w:rPr>
                      <w:sz w:val="21"/>
                    </w:rPr>
                    <w:t>服务类别</w:t>
                  </w:r>
                </w:p>
              </w:tc>
              <w:tc>
                <w:tcPr>
                  <w:tcW w:type="dxa" w:w="436"/>
                  <w:tcBorders>
                    <w:top w:val="single" w:color="000000" w:sz="4"/>
                    <w:left w:val="single" w:color="000000" w:sz="4"/>
                    <w:bottom w:val="single" w:color="000000" w:sz="4"/>
                    <w:right w:val="single" w:color="000000" w:sz="4"/>
                  </w:tcBorders>
                  <w:vAlign w:val="top"/>
                </w:tcPr>
                <w:p>
                  <w:pPr>
                    <w:jc w:val="center"/>
                  </w:pPr>
                  <w:r>
                    <w:rPr>
                      <w:sz w:val="21"/>
                    </w:rPr>
                    <w:t>服务项目</w:t>
                  </w:r>
                </w:p>
              </w:tc>
              <w:tc>
                <w:tcPr>
                  <w:tcW w:type="dxa" w:w="2318"/>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700"/>
                  <w:tcBorders>
                    <w:top w:val="single" w:color="000000" w:sz="4"/>
                    <w:left w:val="single" w:color="000000" w:sz="4"/>
                    <w:bottom w:val="single" w:color="000000" w:sz="4"/>
                    <w:right w:val="single" w:color="000000" w:sz="4"/>
                  </w:tcBorders>
                  <w:vAlign w:val="top"/>
                </w:tcPr>
                <w:p>
                  <w:pPr>
                    <w:jc w:val="center"/>
                  </w:pPr>
                  <w:r>
                    <w:rPr>
                      <w:sz w:val="21"/>
                    </w:rPr>
                    <w:t>指标单位</w:t>
                  </w:r>
                </w:p>
              </w:tc>
              <w:tc>
                <w:tcPr>
                  <w:tcW w:type="dxa" w:w="561"/>
                  <w:tcBorders>
                    <w:top w:val="single" w:color="000000" w:sz="4"/>
                    <w:left w:val="single" w:color="000000" w:sz="4"/>
                    <w:bottom w:val="single" w:color="000000" w:sz="4"/>
                    <w:right w:val="single" w:color="000000" w:sz="4"/>
                  </w:tcBorders>
                  <w:vAlign w:val="top"/>
                </w:tcPr>
                <w:p>
                  <w:pPr>
                    <w:jc w:val="center"/>
                  </w:pPr>
                  <w:r>
                    <w:rPr>
                      <w:sz w:val="21"/>
                    </w:rPr>
                    <w:t>最低量化指标</w:t>
                  </w:r>
                </w:p>
              </w:tc>
              <w:tc>
                <w:tcPr>
                  <w:tcW w:type="dxa" w:w="561"/>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361"/>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（通用服务）</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助洁服务</w:t>
                  </w:r>
                </w:p>
              </w:tc>
              <w:tc>
                <w:tcPr>
                  <w:tcW w:type="dxa" w:w="2318"/>
                  <w:tcBorders>
                    <w:top w:val="none" w:color="000000" w:sz="4"/>
                    <w:left w:val="single" w:color="000000" w:sz="4"/>
                    <w:bottom w:val="single" w:color="000000" w:sz="4"/>
                    <w:right w:val="single" w:color="000000" w:sz="4"/>
                  </w:tcBorders>
                  <w:vAlign w:val="top"/>
                </w:tcPr>
                <w:p>
                  <w:pPr>
                    <w:jc w:val="center"/>
                  </w:pPr>
                  <w:r>
                    <w:rPr>
                      <w:sz w:val="21"/>
                    </w:rPr>
                    <w:t>1.居家清洁：对客厅、卧室、厨房、洗浴间、卫生间等居家环境进行清扫、清洁；</w:t>
                  </w:r>
                </w:p>
                <w:p>
                  <w:pPr>
                    <w:jc w:val="center"/>
                  </w:pPr>
                  <w:r>
                    <w:rPr>
                      <w:sz w:val="21"/>
                    </w:rPr>
                    <w:t>2.物品整理：整理床铺（铺床、叠被子）及其他物品。</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1800</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可由养老护理员或家政服务员提供服务。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洗涤服务</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清洗与晾晒衣物、床上用品（床单、被套、枕套）、窗帘、毛巾等。洗涤方式分为上门洗涤和集中送洗，大件、贵重衣物可采用集中送洗方式。</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陪伴就医</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代预约挂号</w:t>
                  </w:r>
                  <w:r>
                    <w:rPr>
                      <w:sz w:val="21"/>
                    </w:rPr>
                    <w:t>、陪诊、协助与医生沟通、取药、缴费、陪同往返、协助出行等。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陪同外出</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户外活动陪伴，陪护行动不便的服务对象到户外活动、包括（但不限于）参加社区活动、散步、购物等。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上门做餐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代买食材、清洗烹饪、协助进食、餐后卫生等。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代办服务</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代预约挂号、</w:t>
                  </w:r>
                  <w:r>
                    <w:rPr>
                      <w:sz w:val="21"/>
                    </w:rPr>
                    <w:t>银行打薄、排队；代缴纳水电、煤气、话费等；代收寄快递；代领物品；代送物品；代买生活必需品；协助报修设备及物品；协助申请相关事务等。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根据医嘱或家属要求按时提醒老年人吃药、取药，提醒就医或办理相关事务。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陪同聊天、定期探访（上门</w:t>
                  </w:r>
                  <w:r>
                    <w:rPr>
                      <w:sz w:val="21"/>
                    </w:rPr>
                    <w:t>/电访）。</w:t>
                  </w:r>
                </w:p>
              </w:tc>
            </w:tr>
            <w:tr>
              <w:tc>
                <w:tcPr>
                  <w:tcW w:type="dxa" w:w="361"/>
                  <w:vMerge/>
                  <w:tcBorders>
                    <w:top w:val="none" w:color="000000" w:sz="4"/>
                    <w:left w:val="single" w:color="000000" w:sz="4"/>
                    <w:bottom w:val="single" w:color="000000" w:sz="4"/>
                    <w:right w:val="single" w:color="000000" w:sz="4"/>
                  </w:tcBorders>
                </w:tcP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（专业服务）</w:t>
                  </w:r>
                </w:p>
              </w:tc>
              <w:tc>
                <w:tcPr>
                  <w:tcW w:type="dxa" w:w="436"/>
                  <w:tcBorders>
                    <w:top w:val="none" w:color="000000" w:sz="4"/>
                    <w:left w:val="single" w:color="000000" w:sz="4"/>
                    <w:bottom w:val="single" w:color="000000" w:sz="4"/>
                    <w:right w:val="single" w:color="000000" w:sz="4"/>
                  </w:tcBorders>
                  <w:vAlign w:val="top"/>
                </w:tcPr>
                <w:p>
                  <w:pPr>
                    <w:jc w:val="both"/>
                  </w:pPr>
                  <w:r>
                    <w:rPr>
                      <w:sz w:val="21"/>
                    </w:rPr>
                    <w:t>个人护理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1.皮肤外用药物涂擦；留置尿管护理；人工肛门便袋护理；口腔清洁；协助翻身；褥疮预防；叩背排痰等；</w:t>
                  </w:r>
                </w:p>
                <w:p>
                  <w:pPr>
                    <w:jc w:val="both"/>
                  </w:pPr>
                  <w:r>
                    <w:rPr>
                      <w:sz w:val="21"/>
                    </w:rPr>
                    <w:t>2.协助穿（脱）衣；洗脸；梳头；剪发；剃须；刷牙；漱口、洗手；洗足；会阴清洁；修剪指（趾）甲。</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800</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由养老护理员、康复治疗师、护士等专业人员提供服务。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转移护理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协助床上移动；床上体位转换；轮椅转移；移动辅助器应用指导等。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排泄护理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协助排便；更换一次性尿裤；会阴护理；留置尿管护理；人工肛门便袋护理等。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协助进餐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喂食或帮助服务对象使用辅助器材进食，包括喂水、喂饭、鼻饲、喂药等。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助浴服务</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洗头；洗澡（温水擦浴、沐浴）；床上浴、更换衣物。</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助行服务</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协助服务对象行走、外出、散步，协助其使用助行器</w:t>
                  </w:r>
                  <w:r>
                    <w:rPr>
                      <w:sz w:val="21"/>
                    </w:rPr>
                    <w:t>/步行器移动。</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其他护理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睡眠照顾（协助脱去衣裤就寝，盖被，定时翻身）；热水袋保暖；更换床上用品。</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根据医嘱或家属要求按时提醒老年人吃药、取药，提醒就医或办理相关事宜。</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陪同聊天、定期探访（上门</w:t>
                  </w:r>
                  <w:r>
                    <w:rPr>
                      <w:sz w:val="21"/>
                    </w:rPr>
                    <w:t>/电访）。</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2</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436"/>
                  <w:tcBorders>
                    <w:top w:val="none" w:color="000000" w:sz="4"/>
                    <w:left w:val="single" w:color="000000" w:sz="4"/>
                    <w:bottom w:val="single" w:color="000000" w:sz="4"/>
                    <w:right w:val="single" w:color="000000" w:sz="4"/>
                  </w:tcBorders>
                  <w:vAlign w:val="top"/>
                </w:tcPr>
                <w:p>
                  <w:pPr>
                    <w:jc w:val="both"/>
                  </w:pPr>
                  <w:r>
                    <w:rPr>
                      <w:sz w:val="21"/>
                    </w:rPr>
                    <w:t>集中用餐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在社区长者饭堂集中用餐、打包外带。</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1372</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由助餐配餐点提供服务。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上门送餐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老年助餐配餐服务机构送餐到家服务；由居家服务员协助使用网络订餐；居家服务员代购餐后送餐上门。</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3</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康复护理</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康复咨询</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健康咨询、康复咨询、康复指引。</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784</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由康复治疗师、执业护士、执业医师提供服务。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器材锻炼</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安全性高、操作简便、老人可自行开展的一般器材锻炼（如按摩椅、手指训练器、拼图、握力器等）。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肢体类康复训练（如腰椎康复训练、关节放松训练等）、认知感官类训练（如记忆力训练、认知测试等）。</w:t>
                  </w:r>
                </w:p>
              </w:tc>
              <w:tc>
                <w:tcPr>
                  <w:tcW w:type="dxa" w:w="700"/>
                  <w:vMerge/>
                  <w:tcBorders>
                    <w:top w:val="none" w:color="000000" w:sz="4"/>
                    <w:left w:val="single" w:color="000000" w:sz="4"/>
                    <w:bottom w:val="single" w:color="000000" w:sz="4"/>
                    <w:right w:val="single" w:color="000000" w:sz="4"/>
                  </w:tcBorders>
                </w:tcP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196</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康复理疗</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针灸理疗、穴位针灸、足部理疗、器械按摩、中风物理治疗、颈肩推拿、按摩推拿、拔罐刮痧。</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4</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医养康养</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健康档案</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建立健康档案，进行病历记录、个人药物记录、体检记录等，定时跟踪健康情况。</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1160</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由专业医疗机构、医护人员提供。</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预防保健</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1.提供健康咨询、饮食咨询、营养指导、锻炼指导、活动指导服务；</w:t>
                  </w:r>
                </w:p>
                <w:p>
                  <w:pPr>
                    <w:jc w:val="both"/>
                  </w:pPr>
                  <w:r>
                    <w:rPr>
                      <w:sz w:val="21"/>
                    </w:rPr>
                    <w:t>2.用药指导与用药观察，日常提示吃药、取药；</w:t>
                  </w:r>
                </w:p>
                <w:p>
                  <w:pPr>
                    <w:jc w:val="both"/>
                  </w:pPr>
                  <w:r>
                    <w:rPr>
                      <w:sz w:val="21"/>
                    </w:rPr>
                    <w:t>3.健康宣教、保健知识讲座、保健学习及相关的小组活动；</w:t>
                  </w:r>
                </w:p>
                <w:p>
                  <w:pPr>
                    <w:jc w:val="both"/>
                  </w:pPr>
                  <w:r>
                    <w:rPr>
                      <w:sz w:val="21"/>
                    </w:rPr>
                    <w:t>4.社区义诊、上门巡诊。</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基础监测</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常规生理指数监测，如体温、血压、心率、呼吸、血糖、体重等。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健康体检</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常规体格检查、血常规、尿常规、大便常规、肝功能、肾功能、空腹血糖、血脂和心电图检测等项目。</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医疗护理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鼻饲、物理降温、导尿、压疮护理、创口换药、吸氧、造口护理、其他专业护理项目。</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5</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文体教育</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娱乐活动</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如棋牌、歌舞、打球、书画、阅读、太极、健康操、八段锦、茶话会、生日会、游园会等。</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561"/>
                  <w:vMerge w:val="restart"/>
                  <w:tcBorders>
                    <w:top w:val="none" w:color="000000" w:sz="4"/>
                    <w:left w:val="single" w:color="000000" w:sz="4"/>
                    <w:bottom w:val="single" w:color="000000" w:sz="4"/>
                    <w:right w:val="single" w:color="000000" w:sz="4"/>
                  </w:tcBorders>
                  <w:vAlign w:val="top"/>
                </w:tcPr>
                <w:p>
                  <w:pPr>
                    <w:jc w:val="center"/>
                  </w:pP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老年教育</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老年课堂，如钢琴、摄影、书法绘画、英语、计算机、编织、手工等。</w:t>
                  </w:r>
                </w:p>
              </w:tc>
              <w:tc>
                <w:tcPr>
                  <w:tcW w:type="dxa" w:w="700"/>
                  <w:vMerge/>
                  <w:tcBorders>
                    <w:top w:val="none" w:color="000000" w:sz="4"/>
                    <w:left w:val="single" w:color="000000" w:sz="4"/>
                    <w:bottom w:val="single" w:color="000000" w:sz="4"/>
                    <w:right w:val="single" w:color="000000" w:sz="4"/>
                  </w:tcBorders>
                </w:tcPr>
                <w:p/>
              </w:tc>
              <w:tc>
                <w:tcPr>
                  <w:tcW w:type="dxa" w:w="561"/>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6</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定期巡访</w:t>
                  </w:r>
                </w:p>
              </w:tc>
              <w:tc>
                <w:tcPr>
                  <w:tcW w:type="dxa" w:w="436"/>
                  <w:tcBorders>
                    <w:top w:val="none" w:color="000000" w:sz="4"/>
                    <w:left w:val="single" w:color="000000" w:sz="4"/>
                    <w:bottom w:val="single" w:color="000000" w:sz="4"/>
                    <w:right w:val="single" w:color="000000" w:sz="4"/>
                  </w:tcBorders>
                  <w:vAlign w:val="top"/>
                </w:tcPr>
                <w:p>
                  <w:pPr>
                    <w:jc w:val="both"/>
                  </w:pPr>
                  <w:r>
                    <w:rPr>
                      <w:sz w:val="21"/>
                    </w:rPr>
                    <w:t>电话问候</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定期电话问候、聊天、遇恶劣天气提醒服务对象注意安全。</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670</w:t>
                  </w:r>
                </w:p>
              </w:tc>
              <w:tc>
                <w:tcPr>
                  <w:tcW w:type="dxa" w:w="561"/>
                  <w:vMerge w:val="restart"/>
                  <w:tcBorders>
                    <w:top w:val="none" w:color="000000" w:sz="4"/>
                    <w:left w:val="single" w:color="000000" w:sz="4"/>
                    <w:bottom w:val="single" w:color="000000" w:sz="4"/>
                    <w:right w:val="single" w:color="000000" w:sz="4"/>
                  </w:tcBorders>
                  <w:vAlign w:val="top"/>
                </w:tcPr>
                <w:p>
                  <w:pPr>
                    <w:jc w:val="center"/>
                  </w:pP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关怀访视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定期上门探访、关怀问候，排除安全隐患。</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服务回访</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定期回访，了解服务对象满意度。</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心理关怀</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提供心理上的安慰、支持、疏导等关怀服务。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个案服务</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由社工开展的紧急介入、个案辅导、探访等。</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7</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安全援助</w:t>
                  </w:r>
                </w:p>
              </w:tc>
              <w:tc>
                <w:tcPr>
                  <w:tcW w:type="dxa" w:w="436"/>
                  <w:tcBorders>
                    <w:top w:val="none" w:color="000000" w:sz="4"/>
                    <w:left w:val="single" w:color="000000" w:sz="4"/>
                    <w:bottom w:val="single" w:color="000000" w:sz="4"/>
                    <w:right w:val="single" w:color="000000" w:sz="4"/>
                  </w:tcBorders>
                  <w:vAlign w:val="top"/>
                </w:tcPr>
                <w:p>
                  <w:pPr>
                    <w:jc w:val="both"/>
                  </w:pPr>
                  <w:r>
                    <w:rPr>
                      <w:sz w:val="21"/>
                    </w:rPr>
                    <w:t>紧急呼援</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主要指平安通服务，包括紧急呼援服务、定位服务、咨询转介服务、心理慰藉、定期关怀服务、提示服务等。</w:t>
                  </w:r>
                </w:p>
              </w:tc>
              <w:tc>
                <w:tcPr>
                  <w:tcW w:type="dxa" w:w="700"/>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561"/>
                  <w:tcBorders>
                    <w:top w:val="none" w:color="000000" w:sz="4"/>
                    <w:left w:val="single" w:color="000000" w:sz="4"/>
                    <w:bottom w:val="single" w:color="000000" w:sz="4"/>
                    <w:right w:val="single" w:color="000000" w:sz="4"/>
                  </w:tcBorders>
                  <w:vAlign w:val="top"/>
                </w:tcPr>
                <w:p>
                  <w:pPr>
                    <w:jc w:val="center"/>
                  </w:pPr>
                  <w:r>
                    <w:rPr>
                      <w:sz w:val="21"/>
                    </w:rPr>
                    <w:t>由平安通服务机构提供服务，服务机构需与平安通服务公司进行对接。</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居家适老化改造</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1.上门查看服务对象家居安全，进行安全评估、居家安全教育。</w:t>
                  </w:r>
                </w:p>
                <w:p>
                  <w:pPr>
                    <w:jc w:val="both"/>
                  </w:pPr>
                  <w:r>
                    <w:rPr>
                      <w:sz w:val="21"/>
                    </w:rPr>
                    <w:t>2.根据《广州市老年人居家适老化改造工作实施方案》等文件要求，完成辖内特殊困难老年人家庭居家适老化改造工作，并为辖内其他有需求的老年人家庭提供居家适老化改造服务。</w:t>
                  </w:r>
                </w:p>
              </w:tc>
              <w:tc>
                <w:tcPr>
                  <w:tcW w:type="dxa" w:w="700"/>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561"/>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561"/>
                  <w:tcBorders>
                    <w:top w:val="none" w:color="000000" w:sz="4"/>
                    <w:left w:val="single" w:color="000000" w:sz="4"/>
                    <w:bottom w:val="single" w:color="000000" w:sz="4"/>
                    <w:right w:val="single" w:color="000000" w:sz="4"/>
                  </w:tcBorders>
                  <w:vAlign w:val="top"/>
                </w:tcPr>
                <w:p>
                  <w:pPr>
                    <w:jc w:val="center"/>
                  </w:pP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8</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老年用品服务</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展示与咨询</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拐杖、轮椅、坐便器、助行器、生活辅助器具等老年用品展示与介绍。</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不计入服务总工时</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辅具租赁</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助行器（四脚拐杖、三脚拐杖）、轮椅、代步车、护理床、防褥疮床垫、床面桌、制氧机、助力转移车、洗澡椅、斜躺椅、坐便椅等辅具租赁。</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捐赠与受赠</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老年用品、物资捐赠与受赠。</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9</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color w:val="000000"/>
                      <w:sz w:val="21"/>
                    </w:rPr>
                    <w:t>临终关怀</w:t>
                  </w:r>
                </w:p>
              </w:tc>
              <w:tc>
                <w:tcPr>
                  <w:tcW w:type="dxa" w:w="436"/>
                  <w:tcBorders>
                    <w:top w:val="none" w:color="000000" w:sz="4"/>
                    <w:left w:val="single" w:color="000000" w:sz="4"/>
                    <w:bottom w:val="single" w:color="000000" w:sz="4"/>
                    <w:right w:val="single" w:color="000000" w:sz="4"/>
                  </w:tcBorders>
                  <w:vAlign w:val="top"/>
                </w:tcPr>
                <w:p>
                  <w:pPr>
                    <w:jc w:val="both"/>
                  </w:pPr>
                  <w:r>
                    <w:rPr>
                      <w:color w:val="000000"/>
                      <w:sz w:val="21"/>
                    </w:rPr>
                    <w:t>护理服务</w:t>
                  </w:r>
                </w:p>
              </w:tc>
              <w:tc>
                <w:tcPr>
                  <w:tcW w:type="dxa" w:w="2318"/>
                  <w:tcBorders>
                    <w:top w:val="none" w:color="000000" w:sz="4"/>
                    <w:left w:val="single" w:color="000000" w:sz="4"/>
                    <w:bottom w:val="single" w:color="000000" w:sz="4"/>
                    <w:right w:val="single" w:color="000000" w:sz="4"/>
                  </w:tcBorders>
                  <w:vAlign w:val="top"/>
                </w:tcPr>
                <w:p>
                  <w:pPr>
                    <w:jc w:val="both"/>
                  </w:pPr>
                  <w:r>
                    <w:rPr>
                      <w:color w:val="000000"/>
                      <w:sz w:val="21"/>
                    </w:rPr>
                    <w:t>包括护理评估、基础护理、症状特殊护理等。</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color w:val="000000"/>
                      <w:sz w:val="21"/>
                    </w:rPr>
                    <w:t>提供</w:t>
                  </w:r>
                  <w:r>
                    <w:rPr>
                      <w:color w:val="000000"/>
                      <w:sz w:val="21"/>
                    </w:rPr>
                    <w:t>/不提供</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color w:val="000000"/>
                      <w:sz w:val="21"/>
                    </w:rPr>
                    <w:t>提供</w:t>
                  </w:r>
                </w:p>
              </w:tc>
              <w:tc>
                <w:tcPr>
                  <w:tcW w:type="dxa" w:w="561"/>
                  <w:vMerge w:val="restart"/>
                  <w:tcBorders>
                    <w:top w:val="none" w:color="000000" w:sz="4"/>
                    <w:left w:val="single" w:color="000000" w:sz="4"/>
                    <w:bottom w:val="single" w:color="000000" w:sz="4"/>
                    <w:right w:val="single" w:color="000000" w:sz="4"/>
                  </w:tcBorders>
                  <w:vAlign w:val="top"/>
                </w:tcPr>
                <w:p>
                  <w:pPr>
                    <w:jc w:val="center"/>
                  </w:pP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color w:val="000000"/>
                      <w:sz w:val="21"/>
                    </w:rPr>
                    <w:t>膳食服务</w:t>
                  </w:r>
                </w:p>
              </w:tc>
              <w:tc>
                <w:tcPr>
                  <w:tcW w:type="dxa" w:w="2318"/>
                  <w:tcBorders>
                    <w:top w:val="none" w:color="000000" w:sz="4"/>
                    <w:left w:val="single" w:color="000000" w:sz="4"/>
                    <w:bottom w:val="single" w:color="000000" w:sz="4"/>
                    <w:right w:val="single" w:color="000000" w:sz="4"/>
                  </w:tcBorders>
                  <w:vAlign w:val="top"/>
                </w:tcPr>
                <w:p>
                  <w:pPr>
                    <w:jc w:val="both"/>
                  </w:pPr>
                  <w:r>
                    <w:rPr>
                      <w:color w:val="000000"/>
                      <w:sz w:val="21"/>
                    </w:rPr>
                    <w:t>由营养师设计适宜的食谱，鼓励进食、口腔护理以及鼻饲、胃肠外静脉营养输入等。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color w:val="000000"/>
                      <w:sz w:val="21"/>
                    </w:rPr>
                    <w:t>社会、心理、灵性照顾</w:t>
                  </w:r>
                </w:p>
              </w:tc>
              <w:tc>
                <w:tcPr>
                  <w:tcW w:type="dxa" w:w="2318"/>
                  <w:tcBorders>
                    <w:top w:val="none" w:color="000000" w:sz="4"/>
                    <w:left w:val="single" w:color="000000" w:sz="4"/>
                    <w:bottom w:val="single" w:color="000000" w:sz="4"/>
                    <w:right w:val="single" w:color="000000" w:sz="4"/>
                  </w:tcBorders>
                  <w:vAlign w:val="top"/>
                </w:tcPr>
                <w:p>
                  <w:pPr>
                    <w:jc w:val="both"/>
                  </w:pPr>
                  <w:r>
                    <w:rPr>
                      <w:color w:val="000000"/>
                      <w:sz w:val="21"/>
                    </w:rPr>
                    <w:t>对临终者和家属的心理、社会照顾，及灵性需求上的照顾服务。</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color w:val="000000"/>
                      <w:sz w:val="21"/>
                    </w:rPr>
                    <w:t>善后服务</w:t>
                  </w:r>
                </w:p>
              </w:tc>
              <w:tc>
                <w:tcPr>
                  <w:tcW w:type="dxa" w:w="2318"/>
                  <w:tcBorders>
                    <w:top w:val="none" w:color="000000" w:sz="4"/>
                    <w:left w:val="single" w:color="000000" w:sz="4"/>
                    <w:bottom w:val="single" w:color="000000" w:sz="4"/>
                    <w:right w:val="single" w:color="000000" w:sz="4"/>
                  </w:tcBorders>
                  <w:vAlign w:val="top"/>
                </w:tcPr>
                <w:p>
                  <w:pPr>
                    <w:jc w:val="both"/>
                  </w:pPr>
                  <w:r>
                    <w:rPr>
                      <w:color w:val="000000"/>
                      <w:sz w:val="21"/>
                    </w:rPr>
                    <w:t>协助临终者家属完成殡葬事宜，帮助临终者家属进行丧亲的调适等。</w:t>
                  </w:r>
                </w:p>
              </w:tc>
            </w:tr>
            <w:tr>
              <w:tc>
                <w:tcPr>
                  <w:tcW w:type="dxa" w:w="361"/>
                  <w:vMerge w:val="restart"/>
                  <w:tcBorders>
                    <w:top w:val="none" w:color="000000" w:sz="4"/>
                    <w:left w:val="single" w:color="000000" w:sz="4"/>
                    <w:bottom w:val="single" w:color="000000" w:sz="4"/>
                    <w:right w:val="single" w:color="000000" w:sz="4"/>
                  </w:tcBorders>
                  <w:vAlign w:val="top"/>
                </w:tcPr>
                <w:p>
                  <w:pPr>
                    <w:jc w:val="both"/>
                  </w:pPr>
                  <w:r>
                    <w:rPr>
                      <w:sz w:val="21"/>
                    </w:rPr>
                    <w:t>10</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日间托管</w:t>
                  </w:r>
                </w:p>
              </w:tc>
              <w:tc>
                <w:tcPr>
                  <w:tcW w:type="dxa" w:w="436"/>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午餐</w:t>
                  </w:r>
                </w:p>
              </w:tc>
              <w:tc>
                <w:tcPr>
                  <w:tcW w:type="dxa" w:w="700"/>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vAlign w:val="top"/>
                </w:tcPr>
                <w:p>
                  <w:pPr>
                    <w:jc w:val="center"/>
                  </w:pPr>
                  <w:r>
                    <w:rPr>
                      <w:sz w:val="21"/>
                    </w:rPr>
                    <w:t>960</w:t>
                  </w:r>
                </w:p>
              </w:tc>
              <w:tc>
                <w:tcPr>
                  <w:tcW w:type="dxa" w:w="561"/>
                  <w:vMerge w:val="restart"/>
                  <w:tcBorders>
                    <w:top w:val="none" w:color="000000" w:sz="4"/>
                    <w:left w:val="single" w:color="000000" w:sz="4"/>
                    <w:bottom w:val="single" w:color="000000" w:sz="4"/>
                    <w:right w:val="single" w:color="000000" w:sz="4"/>
                  </w:tcBorders>
                  <w:vAlign w:val="top"/>
                </w:tcPr>
                <w:p>
                  <w:pPr>
                    <w:jc w:val="center"/>
                  </w:pP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使用中心器械：步行器、固定单车、手臂滑轮、平衡杠、肋木、扶梯、手指训练器等器械开展的康复或保健训练。</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健康管理</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体温、血压、血糖监测，健康操运动等。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文化娱乐</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棋牌、歌舞、打球、绘画、看书、兴趣学习等。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vAlign w:val="top"/>
                </w:tcPr>
                <w:p>
                  <w:pPr>
                    <w:jc w:val="both"/>
                  </w:pPr>
                  <w:r>
                    <w:rPr>
                      <w:sz w:val="21"/>
                    </w:rPr>
                    <w:t>日间休息</w:t>
                  </w:r>
                </w:p>
              </w:tc>
              <w:tc>
                <w:tcPr>
                  <w:tcW w:type="dxa" w:w="2318"/>
                  <w:tcBorders>
                    <w:top w:val="none" w:color="000000" w:sz="4"/>
                    <w:left w:val="single" w:color="000000" w:sz="4"/>
                    <w:bottom w:val="single" w:color="000000" w:sz="4"/>
                    <w:right w:val="single" w:color="000000" w:sz="4"/>
                  </w:tcBorders>
                  <w:vAlign w:val="top"/>
                </w:tcPr>
                <w:p>
                  <w:pPr>
                    <w:jc w:val="both"/>
                  </w:pPr>
                  <w:r>
                    <w:rPr>
                      <w:sz w:val="21"/>
                    </w:rPr>
                    <w:t>提供床位。</w:t>
                  </w:r>
                </w:p>
              </w:tc>
              <w:tc>
                <w:tcPr>
                  <w:tcW w:type="dxa" w:w="700"/>
                  <w:tcBorders>
                    <w:top w:val="none" w:color="000000" w:sz="4"/>
                    <w:left w:val="single" w:color="000000" w:sz="4"/>
                    <w:bottom w:val="single" w:color="000000" w:sz="4"/>
                    <w:right w:val="single" w:color="000000" w:sz="4"/>
                  </w:tcBorders>
                  <w:vAlign w:val="top"/>
                </w:tcPr>
                <w:p>
                  <w:pPr>
                    <w:jc w:val="center"/>
                  </w:pPr>
                  <w:r>
                    <w:rPr>
                      <w:sz w:val="21"/>
                    </w:rPr>
                    <w:t>床位数</w:t>
                  </w:r>
                </w:p>
              </w:tc>
              <w:tc>
                <w:tcPr>
                  <w:tcW w:type="dxa" w:w="561"/>
                  <w:tcBorders>
                    <w:top w:val="none" w:color="000000" w:sz="4"/>
                    <w:left w:val="single" w:color="000000" w:sz="4"/>
                    <w:bottom w:val="single" w:color="000000" w:sz="4"/>
                    <w:right w:val="single" w:color="000000" w:sz="4"/>
                  </w:tcBorders>
                  <w:vAlign w:val="top"/>
                </w:tcPr>
                <w:p>
                  <w:pPr>
                    <w:jc w:val="center"/>
                  </w:pPr>
                  <w:r>
                    <w:rPr>
                      <w:sz w:val="21"/>
                    </w:rPr>
                    <w:t>不少于总床位数的</w:t>
                  </w:r>
                  <w:r>
                    <w:rPr>
                      <w:sz w:val="21"/>
                    </w:rPr>
                    <w:t>10%</w:t>
                  </w:r>
                </w:p>
              </w:tc>
              <w:tc>
                <w:tcPr>
                  <w:tcW w:type="dxa" w:w="561"/>
                  <w:tcBorders>
                    <w:top w:val="none" w:color="000000" w:sz="4"/>
                    <w:left w:val="single" w:color="000000" w:sz="4"/>
                    <w:bottom w:val="single" w:color="000000" w:sz="4"/>
                    <w:right w:val="single" w:color="000000" w:sz="4"/>
                  </w:tcBorders>
                  <w:vAlign w:val="top"/>
                </w:tcPr>
                <w:p>
                  <w:pPr>
                    <w:jc w:val="center"/>
                  </w:pPr>
                </w:p>
              </w:tc>
            </w:tr>
            <w:tr>
              <w:tc>
                <w:tcPr>
                  <w:tcW w:type="dxa" w:w="361"/>
                  <w:vMerge w:val="restart"/>
                  <w:tcBorders>
                    <w:top w:val="none" w:color="000000" w:sz="4"/>
                    <w:left w:val="single" w:color="000000" w:sz="4"/>
                    <w:bottom w:val="single" w:color="000000" w:sz="4"/>
                    <w:right w:val="single" w:color="000000" w:sz="4"/>
                  </w:tcBorders>
                  <w:shd w:fill="FFFFFF"/>
                  <w:vAlign w:val="top"/>
                </w:tcPr>
                <w:p>
                  <w:pPr>
                    <w:jc w:val="both"/>
                  </w:pPr>
                  <w:r>
                    <w:rPr>
                      <w:sz w:val="21"/>
                    </w:rPr>
                    <w:t>11</w:t>
                  </w:r>
                </w:p>
              </w:tc>
              <w:tc>
                <w:tcPr>
                  <w:tcW w:type="dxa" w:w="659"/>
                  <w:vMerge w:val="restart"/>
                  <w:tcBorders>
                    <w:top w:val="none" w:color="000000" w:sz="4"/>
                    <w:left w:val="single" w:color="000000" w:sz="4"/>
                    <w:bottom w:val="single" w:color="000000" w:sz="4"/>
                    <w:right w:val="single" w:color="000000" w:sz="4"/>
                  </w:tcBorders>
                  <w:vAlign w:val="top"/>
                </w:tcPr>
                <w:p>
                  <w:pPr>
                    <w:jc w:val="both"/>
                  </w:pPr>
                  <w:r>
                    <w:rPr>
                      <w:sz w:val="21"/>
                    </w:rPr>
                    <w:t>临时托养</w:t>
                  </w: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助餐配餐</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早餐、午餐、晚餐。</w:t>
                  </w:r>
                </w:p>
              </w:tc>
              <w:tc>
                <w:tcPr>
                  <w:tcW w:type="dxa" w:w="700"/>
                  <w:vMerge w:val="restart"/>
                  <w:tcBorders>
                    <w:top w:val="none" w:color="000000" w:sz="4"/>
                    <w:left w:val="single" w:color="000000" w:sz="4"/>
                    <w:bottom w:val="single" w:color="000000" w:sz="4"/>
                    <w:right w:val="single" w:color="000000" w:sz="4"/>
                  </w:tcBorders>
                  <w:shd w:fill="FFFFFF"/>
                  <w:vAlign w:val="top"/>
                </w:tcPr>
                <w:p>
                  <w:pPr>
                    <w:jc w:val="center"/>
                  </w:pPr>
                  <w:r>
                    <w:rPr>
                      <w:sz w:val="21"/>
                    </w:rPr>
                    <w:t>工时</w:t>
                  </w:r>
                </w:p>
              </w:tc>
              <w:tc>
                <w:tcPr>
                  <w:tcW w:type="dxa" w:w="561"/>
                  <w:vMerge w:val="restart"/>
                  <w:tcBorders>
                    <w:top w:val="none" w:color="000000" w:sz="4"/>
                    <w:left w:val="single" w:color="000000" w:sz="4"/>
                    <w:bottom w:val="single" w:color="000000" w:sz="4"/>
                    <w:right w:val="single" w:color="000000" w:sz="4"/>
                  </w:tcBorders>
                  <w:shd w:fill="FFFFFF"/>
                  <w:vAlign w:val="top"/>
                </w:tcPr>
                <w:p>
                  <w:pPr>
                    <w:jc w:val="center"/>
                  </w:pPr>
                  <w:r>
                    <w:rPr>
                      <w:sz w:val="21"/>
                    </w:rPr>
                    <w:t>540</w:t>
                  </w:r>
                </w:p>
              </w:tc>
              <w:tc>
                <w:tcPr>
                  <w:tcW w:type="dxa" w:w="561"/>
                  <w:vMerge w:val="restart"/>
                  <w:tcBorders>
                    <w:top w:val="none" w:color="000000" w:sz="4"/>
                    <w:left w:val="single" w:color="000000" w:sz="4"/>
                    <w:bottom w:val="single" w:color="000000" w:sz="4"/>
                    <w:right w:val="single" w:color="000000" w:sz="4"/>
                  </w:tcBorders>
                  <w:shd w:fill="FFFFFF"/>
                  <w:vAlign w:val="top"/>
                </w:tcPr>
                <w:p>
                  <w:pPr>
                    <w:jc w:val="center"/>
                  </w:pP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个人护理</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康复训练</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使用中心器械：步行器、固定单车、手臂滑轮、平衡杠、肋木、扶梯、手指训练器等器械开展的康复或训练。</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文化娱乐</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棋牌、歌舞、打球、绘画、看书、兴趣学习等。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医疗保健</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体温、心率、血压、血糖监测，健康操运动、用药等。</w:t>
                  </w:r>
                </w:p>
              </w:tc>
            </w:tr>
            <w:tr>
              <w:tc>
                <w:tcPr>
                  <w:tcW w:type="dxa" w:w="361"/>
                  <w:vMerge/>
                  <w:tcBorders>
                    <w:top w:val="none" w:color="000000" w:sz="4"/>
                    <w:left w:val="single" w:color="000000" w:sz="4"/>
                    <w:bottom w:val="single" w:color="000000" w:sz="4"/>
                    <w:right w:val="single" w:color="000000" w:sz="4"/>
                  </w:tcBorders>
                </w:tcPr>
                <w:p/>
              </w:tc>
              <w:tc>
                <w:tcPr>
                  <w:tcW w:type="dxa" w:w="659"/>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夜间住宿</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提供床位。</w:t>
                  </w:r>
                </w:p>
              </w:tc>
              <w:tc>
                <w:tcPr>
                  <w:tcW w:type="dxa" w:w="700"/>
                  <w:tcBorders>
                    <w:top w:val="none" w:color="000000" w:sz="4"/>
                    <w:left w:val="single" w:color="000000" w:sz="4"/>
                    <w:bottom w:val="single" w:color="000000" w:sz="4"/>
                    <w:right w:val="single" w:color="000000" w:sz="4"/>
                  </w:tcBorders>
                  <w:shd w:fill="FFFFFF"/>
                  <w:vAlign w:val="top"/>
                </w:tcPr>
                <w:p>
                  <w:pPr>
                    <w:jc w:val="center"/>
                  </w:pPr>
                  <w:r>
                    <w:rPr>
                      <w:sz w:val="21"/>
                    </w:rPr>
                    <w:t>床位数</w:t>
                  </w:r>
                </w:p>
              </w:tc>
              <w:tc>
                <w:tcPr>
                  <w:tcW w:type="dxa" w:w="561"/>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561"/>
                  <w:tcBorders>
                    <w:top w:val="none" w:color="000000" w:sz="4"/>
                    <w:left w:val="single" w:color="000000" w:sz="4"/>
                    <w:bottom w:val="single" w:color="000000" w:sz="4"/>
                    <w:right w:val="single" w:color="000000" w:sz="4"/>
                  </w:tcBorders>
                  <w:shd w:fill="FFFFFF"/>
                  <w:vAlign w:val="top"/>
                </w:tcPr>
                <w:p>
                  <w:pPr>
                    <w:jc w:val="center"/>
                  </w:pPr>
                </w:p>
              </w:tc>
            </w:tr>
            <w:tr>
              <w:tc>
                <w:tcPr>
                  <w:tcW w:type="dxa" w:w="361"/>
                  <w:tcBorders>
                    <w:top w:val="none" w:color="000000" w:sz="4"/>
                    <w:left w:val="single" w:color="000000" w:sz="4"/>
                    <w:bottom w:val="single" w:color="000000" w:sz="4"/>
                    <w:right w:val="single" w:color="000000" w:sz="4"/>
                  </w:tcBorders>
                  <w:shd w:fill="FFFFFF"/>
                  <w:vAlign w:val="top"/>
                </w:tcPr>
                <w:p>
                  <w:pPr>
                    <w:jc w:val="both"/>
                  </w:pPr>
                  <w:r>
                    <w:rPr>
                      <w:sz w:val="21"/>
                    </w:rPr>
                    <w:t>12</w:t>
                  </w:r>
                </w:p>
              </w:tc>
              <w:tc>
                <w:tcPr>
                  <w:tcW w:type="dxa" w:w="659"/>
                  <w:tcBorders>
                    <w:top w:val="none" w:color="000000" w:sz="4"/>
                    <w:left w:val="single" w:color="000000" w:sz="4"/>
                    <w:bottom w:val="single" w:color="000000" w:sz="4"/>
                    <w:right w:val="single" w:color="000000" w:sz="4"/>
                  </w:tcBorders>
                  <w:vAlign w:val="top"/>
                </w:tcPr>
                <w:p>
                  <w:pPr>
                    <w:jc w:val="both"/>
                  </w:pPr>
                  <w:r>
                    <w:rPr>
                      <w:sz w:val="21"/>
                    </w:rPr>
                    <w:t>家庭养老床位建设</w:t>
                  </w: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为辖</w:t>
                  </w:r>
                  <w:r>
                    <w:rPr>
                      <w:sz w:val="21"/>
                    </w:rPr>
                    <w:t>区</w:t>
                  </w:r>
                  <w:r>
                    <w:rPr>
                      <w:sz w:val="21"/>
                    </w:rPr>
                    <w:t>内有需求的老年人家庭提供适老化及智能化家居改造，在家中设置具备机构化服务功能的床位，根据其意愿需求提供照料护理服务。</w:t>
                  </w:r>
                </w:p>
              </w:tc>
              <w:tc>
                <w:tcPr>
                  <w:tcW w:type="dxa" w:w="700"/>
                  <w:tcBorders>
                    <w:top w:val="none" w:color="000000" w:sz="4"/>
                    <w:left w:val="single" w:color="000000" w:sz="4"/>
                    <w:bottom w:val="single" w:color="000000" w:sz="4"/>
                    <w:right w:val="single" w:color="000000" w:sz="4"/>
                  </w:tcBorders>
                  <w:shd w:fill="FFFFFF"/>
                  <w:vAlign w:val="top"/>
                </w:tcPr>
                <w:p>
                  <w:pPr>
                    <w:jc w:val="center"/>
                  </w:pPr>
                  <w:r>
                    <w:rPr>
                      <w:sz w:val="21"/>
                    </w:rPr>
                    <w:t>床位数</w:t>
                  </w:r>
                </w:p>
              </w:tc>
              <w:tc>
                <w:tcPr>
                  <w:tcW w:type="dxa" w:w="561"/>
                  <w:tcBorders>
                    <w:top w:val="none" w:color="000000" w:sz="4"/>
                    <w:left w:val="single" w:color="000000" w:sz="4"/>
                    <w:bottom w:val="single" w:color="000000" w:sz="4"/>
                    <w:right w:val="single" w:color="000000" w:sz="4"/>
                  </w:tcBorders>
                  <w:shd w:fill="FFFFFF"/>
                  <w:vAlign w:val="top"/>
                </w:tcPr>
                <w:p>
                  <w:pPr>
                    <w:jc w:val="center"/>
                  </w:pPr>
                  <w:r>
                    <w:rPr>
                      <w:sz w:val="21"/>
                    </w:rPr>
                    <w:t>不少于上级政策任务指标数量</w:t>
                  </w:r>
                </w:p>
              </w:tc>
              <w:tc>
                <w:tcPr>
                  <w:tcW w:type="dxa" w:w="561"/>
                  <w:tcBorders>
                    <w:top w:val="none" w:color="000000" w:sz="4"/>
                    <w:left w:val="single" w:color="000000" w:sz="4"/>
                    <w:bottom w:val="single" w:color="000000" w:sz="4"/>
                    <w:right w:val="single" w:color="000000" w:sz="4"/>
                  </w:tcBorders>
                  <w:shd w:fill="FFFFFF"/>
                  <w:vAlign w:val="top"/>
                </w:tcPr>
                <w:p>
                  <w:pPr>
                    <w:jc w:val="center"/>
                  </w:pPr>
                </w:p>
              </w:tc>
            </w:tr>
            <w:tr>
              <w:tc>
                <w:tcPr>
                  <w:tcW w:type="dxa" w:w="361"/>
                  <w:tcBorders>
                    <w:top w:val="none" w:color="000000" w:sz="4"/>
                    <w:left w:val="single" w:color="000000" w:sz="4"/>
                    <w:bottom w:val="single" w:color="000000" w:sz="4"/>
                    <w:right w:val="single" w:color="000000" w:sz="4"/>
                  </w:tcBorders>
                  <w:shd w:fill="FFFFFF"/>
                  <w:vAlign w:val="top"/>
                </w:tcPr>
                <w:p>
                  <w:pPr>
                    <w:jc w:val="both"/>
                  </w:pPr>
                  <w:r>
                    <w:rPr>
                      <w:sz w:val="21"/>
                    </w:rPr>
                    <w:t>13</w:t>
                  </w:r>
                </w:p>
              </w:tc>
              <w:tc>
                <w:tcPr>
                  <w:tcW w:type="dxa" w:w="659"/>
                  <w:tcBorders>
                    <w:top w:val="none" w:color="000000" w:sz="4"/>
                    <w:left w:val="single" w:color="000000" w:sz="4"/>
                    <w:bottom w:val="single" w:color="000000" w:sz="4"/>
                    <w:right w:val="single" w:color="000000" w:sz="4"/>
                  </w:tcBorders>
                  <w:vAlign w:val="top"/>
                </w:tcPr>
                <w:p>
                  <w:pPr>
                    <w:jc w:val="both"/>
                  </w:pPr>
                  <w:r>
                    <w:rPr>
                      <w:sz w:val="21"/>
                    </w:rPr>
                    <w:t>家庭照护培训</w:t>
                  </w: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为老年人及其家庭照护者提供家庭照护技能培训。</w:t>
                  </w:r>
                </w:p>
              </w:tc>
              <w:tc>
                <w:tcPr>
                  <w:tcW w:type="dxa" w:w="700"/>
                  <w:tcBorders>
                    <w:top w:val="none" w:color="000000" w:sz="4"/>
                    <w:left w:val="single" w:color="000000" w:sz="4"/>
                    <w:bottom w:val="single" w:color="000000" w:sz="4"/>
                    <w:right w:val="single" w:color="000000" w:sz="4"/>
                  </w:tcBorders>
                  <w:shd w:fill="FFFFFF"/>
                  <w:vAlign w:val="top"/>
                </w:tcPr>
                <w:p>
                  <w:pPr>
                    <w:jc w:val="center"/>
                  </w:pPr>
                  <w:r>
                    <w:rPr>
                      <w:sz w:val="21"/>
                    </w:rPr>
                    <w:t>提供</w:t>
                  </w:r>
                  <w:r>
                    <w:rPr>
                      <w:sz w:val="21"/>
                    </w:rPr>
                    <w:t>/不提供</w:t>
                  </w:r>
                </w:p>
              </w:tc>
              <w:tc>
                <w:tcPr>
                  <w:tcW w:type="dxa" w:w="561"/>
                  <w:tcBorders>
                    <w:top w:val="none" w:color="000000" w:sz="4"/>
                    <w:left w:val="single" w:color="000000" w:sz="4"/>
                    <w:bottom w:val="single" w:color="000000" w:sz="4"/>
                    <w:right w:val="single" w:color="000000" w:sz="4"/>
                  </w:tcBorders>
                  <w:shd w:fill="FFFFFF"/>
                  <w:vAlign w:val="top"/>
                </w:tcPr>
                <w:p>
                  <w:pPr>
                    <w:jc w:val="center"/>
                  </w:pPr>
                  <w:r>
                    <w:rPr>
                      <w:sz w:val="21"/>
                    </w:rPr>
                    <w:t>提供</w:t>
                  </w:r>
                </w:p>
              </w:tc>
              <w:tc>
                <w:tcPr>
                  <w:tcW w:type="dxa" w:w="561"/>
                  <w:tcBorders>
                    <w:top w:val="none" w:color="000000" w:sz="4"/>
                    <w:left w:val="single" w:color="000000" w:sz="4"/>
                    <w:bottom w:val="single" w:color="000000" w:sz="4"/>
                    <w:right w:val="single" w:color="000000" w:sz="4"/>
                  </w:tcBorders>
                  <w:shd w:fill="FFFFFF"/>
                  <w:vAlign w:val="top"/>
                </w:tcPr>
                <w:p>
                  <w:pPr>
                    <w:jc w:val="center"/>
                  </w:pPr>
                </w:p>
              </w:tc>
            </w:tr>
            <w:tr>
              <w:tc>
                <w:tcPr>
                  <w:tcW w:type="dxa" w:w="361"/>
                  <w:tcBorders>
                    <w:top w:val="none" w:color="000000" w:sz="4"/>
                    <w:left w:val="single" w:color="000000" w:sz="4"/>
                    <w:bottom w:val="single" w:color="000000" w:sz="4"/>
                    <w:right w:val="single" w:color="000000" w:sz="4"/>
                  </w:tcBorders>
                  <w:shd w:fill="FFFFFF"/>
                  <w:vAlign w:val="top"/>
                </w:tcPr>
                <w:p>
                  <w:pPr>
                    <w:jc w:val="both"/>
                  </w:pPr>
                  <w:r>
                    <w:rPr>
                      <w:sz w:val="21"/>
                    </w:rPr>
                    <w:t>14</w:t>
                  </w:r>
                </w:p>
              </w:tc>
              <w:tc>
                <w:tcPr>
                  <w:tcW w:type="dxa" w:w="659"/>
                  <w:tcBorders>
                    <w:top w:val="none" w:color="000000" w:sz="4"/>
                    <w:left w:val="single" w:color="000000" w:sz="4"/>
                    <w:bottom w:val="single" w:color="000000" w:sz="4"/>
                    <w:right w:val="single" w:color="000000" w:sz="4"/>
                  </w:tcBorders>
                  <w:vAlign w:val="top"/>
                </w:tcPr>
                <w:p>
                  <w:pPr>
                    <w:jc w:val="both"/>
                  </w:pPr>
                  <w:r>
                    <w:rPr>
                      <w:sz w:val="21"/>
                    </w:rPr>
                    <w:t>养老服务向导</w:t>
                  </w:r>
                </w:p>
              </w:tc>
              <w:tc>
                <w:tcPr>
                  <w:tcW w:type="dxa" w:w="436"/>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2318"/>
                  <w:tcBorders>
                    <w:top w:val="none" w:color="000000" w:sz="4"/>
                    <w:left w:val="single" w:color="000000" w:sz="4"/>
                    <w:bottom w:val="single" w:color="000000" w:sz="4"/>
                    <w:right w:val="single" w:color="000000" w:sz="4"/>
                  </w:tcBorders>
                  <w:shd w:fill="FFFFFF"/>
                  <w:vAlign w:val="top"/>
                </w:tcPr>
                <w:p>
                  <w:pPr>
                    <w:jc w:val="both"/>
                  </w:pPr>
                  <w:r>
                    <w:rPr>
                      <w:sz w:val="21"/>
                    </w:rPr>
                    <w:t>为老年人提供养老政策咨询、服务查询、办事指引、服务转介等服务。</w:t>
                  </w:r>
                </w:p>
              </w:tc>
              <w:tc>
                <w:tcPr>
                  <w:tcW w:type="dxa" w:w="700"/>
                  <w:tcBorders>
                    <w:top w:val="none" w:color="000000" w:sz="4"/>
                    <w:left w:val="single" w:color="000000" w:sz="4"/>
                    <w:bottom w:val="single" w:color="000000" w:sz="4"/>
                    <w:right w:val="single" w:color="000000" w:sz="4"/>
                  </w:tcBorders>
                  <w:shd w:fill="FFFFFF"/>
                  <w:vAlign w:val="top"/>
                </w:tcPr>
                <w:p>
                  <w:pPr>
                    <w:jc w:val="center"/>
                  </w:pPr>
                  <w:r>
                    <w:rPr>
                      <w:sz w:val="21"/>
                    </w:rPr>
                    <w:t>提供</w:t>
                  </w:r>
                  <w:r>
                    <w:rPr>
                      <w:sz w:val="21"/>
                    </w:rPr>
                    <w:t>/不提供</w:t>
                  </w:r>
                </w:p>
              </w:tc>
              <w:tc>
                <w:tcPr>
                  <w:tcW w:type="dxa" w:w="561"/>
                  <w:tcBorders>
                    <w:top w:val="none" w:color="000000" w:sz="4"/>
                    <w:left w:val="single" w:color="000000" w:sz="4"/>
                    <w:bottom w:val="single" w:color="000000" w:sz="4"/>
                    <w:right w:val="single" w:color="000000" w:sz="4"/>
                  </w:tcBorders>
                  <w:shd w:fill="FFFFFF"/>
                  <w:vAlign w:val="top"/>
                </w:tcPr>
                <w:p>
                  <w:pPr>
                    <w:jc w:val="center"/>
                  </w:pPr>
                  <w:r>
                    <w:rPr>
                      <w:sz w:val="21"/>
                    </w:rPr>
                    <w:t>提供</w:t>
                  </w:r>
                </w:p>
              </w:tc>
              <w:tc>
                <w:tcPr>
                  <w:tcW w:type="dxa" w:w="561"/>
                  <w:tcBorders>
                    <w:top w:val="none" w:color="000000" w:sz="4"/>
                    <w:left w:val="single" w:color="000000" w:sz="4"/>
                    <w:bottom w:val="single" w:color="000000" w:sz="4"/>
                    <w:right w:val="single" w:color="000000" w:sz="4"/>
                  </w:tcBorders>
                  <w:shd w:fill="FFFFFF"/>
                  <w:vAlign w:val="top"/>
                </w:tcPr>
                <w:p>
                  <w:pPr>
                    <w:jc w:val="center"/>
                  </w:pPr>
                </w:p>
              </w:tc>
            </w:tr>
          </w:tbl>
          <w:p>
            <w:r>
              <w:rPr/>
              <w:t xml:space="preserve"> </w:t>
            </w:r>
          </w:p>
          <w:p>
            <w:pPr>
              <w:ind w:firstLine="420"/>
              <w:jc w:val="both"/>
            </w:pPr>
            <w:r>
              <w:rPr>
                <w:sz w:val="21"/>
              </w:rPr>
              <w:t>注：</w:t>
            </w:r>
            <w:r>
              <w:rPr>
                <w:sz w:val="21"/>
              </w:rPr>
              <w:t>1.工时计算：（1）个人年度总工时=8小时/天*245天=1960小时；（2）项目专业服务年度总工时=1960小时*6人=</w:t>
            </w:r>
            <w:r>
              <w:rPr>
                <w:sz w:val="21"/>
              </w:rPr>
              <w:t>11760</w:t>
            </w:r>
            <w:r>
              <w:rPr>
                <w:sz w:val="21"/>
              </w:rPr>
              <w:t>小时；（</w:t>
            </w:r>
            <w:r>
              <w:rPr>
                <w:sz w:val="21"/>
              </w:rPr>
              <w:t>3）个人年度间接服务工时=年度会议时数+年度培训时数=2小时/周*49周+15小时=113小时；（4）项目年度直接服务工时=项目专业服务年度总工时﹣项目年度间接服务工时﹣1名预留员工年度服务工时=</w:t>
            </w:r>
            <w:r>
              <w:rPr>
                <w:sz w:val="21"/>
              </w:rPr>
              <w:t>11760</w:t>
            </w:r>
            <w:r>
              <w:rPr>
                <w:sz w:val="21"/>
              </w:rPr>
              <w:t>﹣</w:t>
            </w:r>
            <w:r>
              <w:rPr>
                <w:sz w:val="21"/>
              </w:rPr>
              <w:t>113*6﹣1960=9122小时；（5）项目年度最低服务工时=项目年度直接服务工时=9122小时；项目年度最高服务工时=项目专业服务年度总工时×110%=</w:t>
            </w:r>
            <w:r>
              <w:rPr>
                <w:sz w:val="21"/>
              </w:rPr>
              <w:t>11760</w:t>
            </w:r>
            <w:r>
              <w:rPr>
                <w:sz w:val="21"/>
              </w:rPr>
              <w:t>×110%=12936小时。</w:t>
            </w:r>
          </w:p>
          <w:p>
            <w:pPr>
              <w:ind w:firstLine="420"/>
              <w:jc w:val="both"/>
            </w:pPr>
            <w:r>
              <w:rPr>
                <w:sz w:val="21"/>
              </w:rPr>
              <w:t>2.服务工时可采用综合定额方式计算，其中生活照料、助餐配餐、康复护理、医养康养、日间托管等5项服务的工时合计不少于年度最低服务总工时的75%。</w:t>
            </w:r>
          </w:p>
          <w:p>
            <w:pPr>
              <w:ind w:firstLine="420"/>
              <w:jc w:val="both"/>
            </w:pPr>
            <w:r>
              <w:rPr>
                <w:sz w:val="21"/>
              </w:rPr>
              <w:t>3.服务指标可以由</w:t>
            </w:r>
            <w:r>
              <w:rPr>
                <w:sz w:val="21"/>
              </w:rPr>
              <w:t>采购人</w:t>
            </w:r>
            <w:r>
              <w:rPr>
                <w:sz w:val="21"/>
              </w:rPr>
              <w:t>根据实际情况进行修订。</w:t>
            </w:r>
          </w:p>
          <w:p>
            <w:pPr>
              <w:ind w:firstLine="420"/>
              <w:jc w:val="both"/>
            </w:pPr>
            <w:r>
              <w:rPr>
                <w:sz w:val="21"/>
              </w:rPr>
              <w:t>十</w:t>
            </w:r>
            <w:r>
              <w:rPr>
                <w:sz w:val="21"/>
              </w:rPr>
              <w:t>）</w:t>
            </w:r>
            <w:r>
              <w:rPr>
                <w:sz w:val="21"/>
              </w:rPr>
              <w:t>年度最低</w:t>
            </w:r>
            <w:r>
              <w:rPr>
                <w:sz w:val="21"/>
              </w:rPr>
              <w:t>服务</w:t>
            </w:r>
            <w:r>
              <w:rPr>
                <w:sz w:val="21"/>
              </w:rPr>
              <w:t>人次指标表</w:t>
            </w:r>
          </w:p>
          <w:p>
            <w:pPr>
              <w:ind w:firstLine="420"/>
              <w:jc w:val="center"/>
            </w:pPr>
            <w:r>
              <w:rPr>
                <w:sz w:val="21"/>
              </w:rPr>
              <w:t>表</w:t>
            </w:r>
            <w:r>
              <w:rPr>
                <w:sz w:val="21"/>
              </w:rPr>
              <w:t>1 街道颐康中心最低服务人次指标</w:t>
            </w:r>
          </w:p>
          <w:tbl>
            <w:tblPr>
              <w:tblBorders>
                <w:top w:val="none" w:color="000000" w:sz="4"/>
                <w:left w:val="none" w:color="000000" w:sz="4"/>
                <w:bottom w:val="none" w:color="000000" w:sz="4"/>
                <w:right w:val="none" w:color="000000" w:sz="4"/>
                <w:insideH w:val="none"/>
                <w:insideV w:val="none"/>
              </w:tblBorders>
            </w:tblPr>
            <w:tblGrid>
              <w:gridCol w:w="402"/>
              <w:gridCol w:w="894"/>
              <w:gridCol w:w="4302"/>
            </w:tblGrid>
            <w:tr>
              <w:tc>
                <w:tcPr>
                  <w:tcW w:type="dxa" w:w="4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4"/>
                  <w:tcBorders>
                    <w:top w:val="single" w:color="000000" w:sz="4"/>
                    <w:left w:val="none" w:color="000000" w:sz="4"/>
                    <w:bottom w:val="single" w:color="000000" w:sz="4"/>
                    <w:right w:val="single" w:color="000000" w:sz="4"/>
                  </w:tcBorders>
                  <w:vAlign w:val="top"/>
                </w:tcPr>
                <w:p>
                  <w:pPr>
                    <w:jc w:val="center"/>
                  </w:pPr>
                  <w:r>
                    <w:rPr>
                      <w:b/>
                      <w:sz w:val="21"/>
                    </w:rPr>
                    <w:t>服务内容</w:t>
                  </w:r>
                </w:p>
              </w:tc>
              <w:tc>
                <w:tcPr>
                  <w:tcW w:type="dxa" w:w="4302"/>
                  <w:tcBorders>
                    <w:top w:val="single" w:color="000000" w:sz="4"/>
                    <w:left w:val="none" w:color="000000" w:sz="4"/>
                    <w:bottom w:val="single" w:color="000000" w:sz="4"/>
                    <w:right w:val="single" w:color="000000" w:sz="4"/>
                  </w:tcBorders>
                  <w:vAlign w:val="top"/>
                </w:tcPr>
                <w:p>
                  <w:pPr>
                    <w:jc w:val="center"/>
                  </w:pPr>
                  <w:r>
                    <w:rPr>
                      <w:b/>
                      <w:sz w:val="21"/>
                    </w:rPr>
                    <w:t>最低服务人次要求</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养老服务向导</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≥50，或服务人次大于(含本数)所在镇街户籍老年人数的0.5%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助餐配餐服务</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≥2000，或服务人次大于(含本数)所在镇街户籍老年人数的20%</w:t>
                  </w:r>
                </w:p>
              </w:tc>
            </w:tr>
            <w:tr>
              <w:tc>
                <w:tcPr>
                  <w:tcW w:type="dxa" w:w="402"/>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4"/>
                  <w:vMerge w:val="restart"/>
                  <w:tcBorders>
                    <w:top w:val="none" w:color="000000" w:sz="4"/>
                    <w:left w:val="none" w:color="000000" w:sz="4"/>
                    <w:bottom w:val="single" w:color="000000" w:sz="4"/>
                    <w:right w:val="single" w:color="000000" w:sz="4"/>
                  </w:tcBorders>
                  <w:vAlign w:val="top"/>
                </w:tcPr>
                <w:p>
                  <w:pPr>
                    <w:jc w:val="center"/>
                  </w:pPr>
                  <w:r>
                    <w:rPr>
                      <w:sz w:val="21"/>
                    </w:rPr>
                    <w:t>生活照料服务</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服务项目多样化，实际开展的上门生活照料服务项目</w:t>
                  </w:r>
                  <w:r>
                    <w:rPr>
                      <w:sz w:val="21"/>
                    </w:rPr>
                    <w:t>≥3项</w:t>
                  </w:r>
                </w:p>
              </w:tc>
            </w:tr>
            <w:tr>
              <w:tc>
                <w:tcPr>
                  <w:tcW w:type="dxa" w:w="402"/>
                  <w:vMerge/>
                  <w:tcBorders>
                    <w:top w:val="none" w:color="000000" w:sz="4"/>
                    <w:left w:val="single" w:color="000000" w:sz="4"/>
                    <w:bottom w:val="single" w:color="000000" w:sz="4"/>
                    <w:right w:val="single" w:color="000000" w:sz="4"/>
                  </w:tcBorders>
                </w:tcPr>
                <w:p/>
              </w:tc>
              <w:tc>
                <w:tcPr>
                  <w:tcW w:type="dxa" w:w="894"/>
                  <w:vMerge/>
                  <w:tcBorders>
                    <w:top w:val="none" w:color="000000" w:sz="4"/>
                    <w:left w:val="none" w:color="000000" w:sz="4"/>
                    <w:bottom w:val="single" w:color="000000" w:sz="4"/>
                    <w:right w:val="single" w:color="000000" w:sz="4"/>
                  </w:tcBorders>
                </w:tcP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≥300，或服务人次大于(含本数)所在镇街户籍老年人数的3%</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定期巡访</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≥500，或服务人次大于(含本数)所在镇街户籍老年人数的5%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4"/>
                  <w:tcBorders>
                    <w:top w:val="none" w:color="000000" w:sz="4"/>
                    <w:left w:val="none" w:color="000000" w:sz="4"/>
                    <w:bottom w:val="single" w:color="000000" w:sz="4"/>
                    <w:right w:val="single" w:color="000000" w:sz="4"/>
                  </w:tcBorders>
                  <w:vAlign w:val="top"/>
                </w:tcPr>
                <w:p>
                  <w:pPr>
                    <w:jc w:val="center"/>
                  </w:pPr>
                  <w:r>
                    <w:rPr>
                      <w:sz w:val="21"/>
                    </w:rPr>
                    <w:t>辅具租赁</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≥5，或服务人次大于(含本数)所在镇街户籍老年人数的0.05%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家庭照护培训</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≥15，或服务人次大于(含本数)所在镇街户籍老年人数的0.15%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4"/>
                  <w:tcBorders>
                    <w:top w:val="none" w:color="000000" w:sz="4"/>
                    <w:left w:val="none" w:color="000000" w:sz="4"/>
                    <w:bottom w:val="single" w:color="000000" w:sz="4"/>
                    <w:right w:val="single" w:color="000000" w:sz="4"/>
                  </w:tcBorders>
                  <w:vAlign w:val="top"/>
                </w:tcPr>
                <w:p>
                  <w:pPr>
                    <w:jc w:val="center"/>
                  </w:pPr>
                  <w:r>
                    <w:rPr>
                      <w:sz w:val="21"/>
                    </w:rPr>
                    <w:t>文体教育</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≥1500，或服务人次大于(含本数)所在镇街户籍老年人数的15%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居家适老化改造</w:t>
                  </w:r>
                </w:p>
              </w:tc>
              <w:tc>
                <w:tcPr>
                  <w:tcW w:type="dxa" w:w="4302"/>
                  <w:tcBorders>
                    <w:top w:val="none" w:color="000000" w:sz="4"/>
                    <w:left w:val="none" w:color="000000" w:sz="4"/>
                    <w:bottom w:val="single" w:color="000000" w:sz="4"/>
                    <w:right w:val="single" w:color="000000" w:sz="4"/>
                  </w:tcBorders>
                  <w:vAlign w:val="top"/>
                </w:tcPr>
                <w:p>
                  <w:pPr>
                    <w:jc w:val="left"/>
                  </w:pPr>
                  <w:r>
                    <w:rPr>
                      <w:sz w:val="21"/>
                    </w:rPr>
                    <w:t>实际完成改造的户数</w:t>
                  </w:r>
                  <w:r>
                    <w:rPr>
                      <w:sz w:val="21"/>
                    </w:rPr>
                    <w:t>≥5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家庭养老床位</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≥50，或服务人次大于(含本数)所在镇街户籍老年人数的0.5%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4"/>
                  <w:tcBorders>
                    <w:top w:val="none" w:color="000000" w:sz="4"/>
                    <w:left w:val="none" w:color="000000" w:sz="4"/>
                    <w:bottom w:val="single" w:color="000000" w:sz="4"/>
                    <w:right w:val="single" w:color="000000" w:sz="4"/>
                  </w:tcBorders>
                  <w:vAlign w:val="top"/>
                </w:tcPr>
                <w:p>
                  <w:pPr>
                    <w:jc w:val="center"/>
                  </w:pPr>
                  <w:r>
                    <w:rPr>
                      <w:sz w:val="21"/>
                    </w:rPr>
                    <w:t>日间托管</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≥100，或服务人次大于(含本数)所在镇街户籍老年人数的1%</w:t>
                  </w:r>
                </w:p>
              </w:tc>
            </w:tr>
            <w:tr>
              <w:tc>
                <w:tcPr>
                  <w:tcW w:type="dxa" w:w="402"/>
                  <w:vMerge w:val="restart"/>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4"/>
                  <w:vMerge w:val="restart"/>
                  <w:tcBorders>
                    <w:top w:val="none" w:color="000000" w:sz="4"/>
                    <w:left w:val="none" w:color="000000" w:sz="4"/>
                    <w:bottom w:val="single" w:color="000000" w:sz="4"/>
                    <w:right w:val="single" w:color="000000" w:sz="4"/>
                  </w:tcBorders>
                  <w:vAlign w:val="top"/>
                </w:tcPr>
                <w:p>
                  <w:pPr>
                    <w:jc w:val="center"/>
                  </w:pPr>
                  <w:r>
                    <w:rPr>
                      <w:sz w:val="21"/>
                    </w:rPr>
                    <w:t>临时托养</w:t>
                  </w:r>
                  <w:r>
                    <w:rPr>
                      <w:sz w:val="21"/>
                    </w:rPr>
                    <w:t>/长期托养</w:t>
                  </w:r>
                </w:p>
              </w:tc>
              <w:tc>
                <w:tcPr>
                  <w:tcW w:type="dxa" w:w="4302"/>
                  <w:tcBorders>
                    <w:top w:val="none" w:color="000000" w:sz="4"/>
                    <w:left w:val="none" w:color="000000" w:sz="4"/>
                    <w:bottom w:val="single" w:color="000000" w:sz="4"/>
                    <w:right w:val="single" w:color="000000" w:sz="4"/>
                  </w:tcBorders>
                  <w:vAlign w:val="top"/>
                </w:tcPr>
                <w:p>
                  <w:pPr>
                    <w:jc w:val="left"/>
                  </w:pPr>
                  <w:r>
                    <w:rPr>
                      <w:sz w:val="21"/>
                    </w:rPr>
                    <w:t>临时托养服务人次</w:t>
                  </w:r>
                  <w:r>
                    <w:rPr>
                      <w:sz w:val="21"/>
                    </w:rPr>
                    <w:t>≥2，或服务人次大于(含本数)所在镇街户籍老年人数的0.02%</w:t>
                  </w:r>
                </w:p>
              </w:tc>
            </w:tr>
            <w:tr>
              <w:tc>
                <w:tcPr>
                  <w:tcW w:type="dxa" w:w="402"/>
                  <w:vMerge/>
                  <w:tcBorders>
                    <w:top w:val="none" w:color="000000" w:sz="4"/>
                    <w:left w:val="single" w:color="000000" w:sz="4"/>
                    <w:bottom w:val="single" w:color="000000" w:sz="4"/>
                    <w:right w:val="single" w:color="000000" w:sz="4"/>
                  </w:tcBorders>
                </w:tcPr>
                <w:p/>
              </w:tc>
              <w:tc>
                <w:tcPr>
                  <w:tcW w:type="dxa" w:w="894"/>
                  <w:vMerge/>
                  <w:tcBorders>
                    <w:top w:val="none" w:color="000000" w:sz="4"/>
                    <w:left w:val="none" w:color="000000" w:sz="4"/>
                    <w:bottom w:val="single" w:color="000000" w:sz="4"/>
                    <w:right w:val="single" w:color="000000" w:sz="4"/>
                  </w:tcBorders>
                </w:tcPr>
                <w:p/>
              </w:tc>
              <w:tc>
                <w:tcPr>
                  <w:tcW w:type="dxa" w:w="4302"/>
                  <w:tcBorders>
                    <w:top w:val="none" w:color="000000" w:sz="4"/>
                    <w:left w:val="none" w:color="000000" w:sz="4"/>
                    <w:bottom w:val="single" w:color="000000" w:sz="4"/>
                    <w:right w:val="single" w:color="000000" w:sz="4"/>
                  </w:tcBorders>
                  <w:vAlign w:val="top"/>
                </w:tcPr>
                <w:p>
                  <w:pPr>
                    <w:jc w:val="left"/>
                  </w:pPr>
                  <w:r>
                    <w:rPr>
                      <w:sz w:val="21"/>
                    </w:rPr>
                    <w:t>长期托养床位入住率</w:t>
                  </w:r>
                  <w:r>
                    <w:rPr>
                      <w:sz w:val="21"/>
                    </w:rPr>
                    <w:t>≥10%</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4"/>
                  <w:tcBorders>
                    <w:top w:val="none" w:color="000000" w:sz="4"/>
                    <w:left w:val="none" w:color="000000" w:sz="4"/>
                    <w:bottom w:val="single" w:color="000000" w:sz="4"/>
                    <w:right w:val="single" w:color="000000" w:sz="4"/>
                  </w:tcBorders>
                  <w:vAlign w:val="top"/>
                </w:tcPr>
                <w:p>
                  <w:pPr>
                    <w:jc w:val="center"/>
                  </w:pPr>
                  <w:r>
                    <w:rPr>
                      <w:sz w:val="21"/>
                    </w:rPr>
                    <w:t>医养康养</w:t>
                  </w:r>
                  <w:r>
                    <w:rPr>
                      <w:sz w:val="21"/>
                    </w:rPr>
                    <w:t>/康复护理</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≥150，或服务人次大于(含本数)所在镇街户籍老年人数的1.5%</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94"/>
                  <w:tcBorders>
                    <w:top w:val="none" w:color="000000" w:sz="4"/>
                    <w:left w:val="none" w:color="000000" w:sz="4"/>
                    <w:bottom w:val="single" w:color="000000" w:sz="4"/>
                    <w:right w:val="single" w:color="000000" w:sz="4"/>
                  </w:tcBorders>
                  <w:vAlign w:val="top"/>
                </w:tcPr>
                <w:p>
                  <w:pPr>
                    <w:jc w:val="center"/>
                  </w:pPr>
                  <w:r>
                    <w:rPr>
                      <w:sz w:val="21"/>
                    </w:rPr>
                    <w:t>自费服务对象</w:t>
                  </w:r>
                </w:p>
              </w:tc>
              <w:tc>
                <w:tcPr>
                  <w:tcW w:type="dxa" w:w="4302"/>
                  <w:tcBorders>
                    <w:top w:val="none" w:color="000000" w:sz="4"/>
                    <w:left w:val="none" w:color="000000" w:sz="4"/>
                    <w:bottom w:val="single" w:color="000000" w:sz="4"/>
                    <w:right w:val="single" w:color="000000" w:sz="4"/>
                  </w:tcBorders>
                  <w:vAlign w:val="top"/>
                </w:tcPr>
                <w:p>
                  <w:pPr>
                    <w:jc w:val="left"/>
                  </w:pPr>
                  <w:r>
                    <w:rPr>
                      <w:sz w:val="21"/>
                    </w:rPr>
                    <w:t>服务人次</w:t>
                  </w:r>
                  <w:r>
                    <w:rPr>
                      <w:sz w:val="21"/>
                    </w:rPr>
                    <w:t>≥2500</w:t>
                  </w:r>
                </w:p>
              </w:tc>
            </w:tr>
            <w:tr>
              <w:tc>
                <w:tcPr>
                  <w:tcW w:type="dxa" w:w="4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94"/>
                  <w:tcBorders>
                    <w:top w:val="none" w:color="000000" w:sz="4"/>
                    <w:left w:val="none" w:color="000000" w:sz="4"/>
                    <w:bottom w:val="single" w:color="000000" w:sz="4"/>
                    <w:right w:val="single" w:color="000000" w:sz="4"/>
                  </w:tcBorders>
                  <w:vAlign w:val="top"/>
                </w:tcPr>
                <w:p>
                  <w:pPr>
                    <w:jc w:val="center"/>
                  </w:pPr>
                  <w:r>
                    <w:rPr>
                      <w:sz w:val="21"/>
                    </w:rPr>
                    <w:t>总服务人次</w:t>
                  </w:r>
                </w:p>
              </w:tc>
              <w:tc>
                <w:tcPr>
                  <w:tcW w:type="dxa" w:w="4302"/>
                  <w:tcBorders>
                    <w:top w:val="none" w:color="000000" w:sz="4"/>
                    <w:left w:val="none" w:color="000000" w:sz="4"/>
                    <w:bottom w:val="single" w:color="000000" w:sz="4"/>
                    <w:right w:val="single" w:color="000000" w:sz="4"/>
                  </w:tcBorders>
                  <w:vAlign w:val="top"/>
                </w:tcPr>
                <w:p>
                  <w:pPr>
                    <w:jc w:val="left"/>
                  </w:pPr>
                  <w:r>
                    <w:rPr>
                      <w:sz w:val="21"/>
                    </w:rPr>
                    <w:t>直接为老人提供的居家社区养老服务总人次</w:t>
                  </w:r>
                  <w:r>
                    <w:rPr>
                      <w:sz w:val="21"/>
                    </w:rPr>
                    <w:t>≥15000，或服务人次大于(含本数)所在镇街户籍老年人数的150%</w:t>
                  </w:r>
                </w:p>
              </w:tc>
            </w:tr>
          </w:tbl>
          <w:p>
            <w:pPr>
              <w:jc w:val="center"/>
            </w:pPr>
            <w:r>
              <w:rPr/>
              <w:t xml:space="preserve"> </w:t>
            </w:r>
            <w:r>
              <w:rPr>
                <w:sz w:val="21"/>
              </w:rPr>
              <w:t>表</w:t>
            </w:r>
            <w:r>
              <w:rPr>
                <w:sz w:val="21"/>
              </w:rPr>
              <w:t>2 各社区颐康服务站最低服务人次指标</w:t>
            </w:r>
          </w:p>
          <w:tbl>
            <w:tblPr>
              <w:tblBorders>
                <w:top w:val="none" w:color="000000" w:sz="4"/>
                <w:left w:val="none" w:color="000000" w:sz="4"/>
                <w:bottom w:val="none" w:color="000000" w:sz="4"/>
                <w:right w:val="none" w:color="000000" w:sz="4"/>
                <w:insideH w:val="none"/>
                <w:insideV w:val="none"/>
              </w:tblBorders>
            </w:tblPr>
            <w:tblGrid>
              <w:gridCol w:w="469"/>
              <w:gridCol w:w="794"/>
              <w:gridCol w:w="4335"/>
            </w:tblGrid>
            <w:tr>
              <w:tc>
                <w:tcPr>
                  <w:tcW w:type="dxa" w:w="4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94"/>
                  <w:tcBorders>
                    <w:top w:val="single" w:color="000000" w:sz="4"/>
                    <w:left w:val="none" w:color="000000" w:sz="4"/>
                    <w:bottom w:val="single" w:color="000000" w:sz="4"/>
                    <w:right w:val="single" w:color="000000" w:sz="4"/>
                  </w:tcBorders>
                  <w:vAlign w:val="top"/>
                </w:tcPr>
                <w:p>
                  <w:pPr>
                    <w:jc w:val="center"/>
                  </w:pPr>
                  <w:r>
                    <w:rPr>
                      <w:b/>
                      <w:sz w:val="21"/>
                    </w:rPr>
                    <w:t>服务内容</w:t>
                  </w:r>
                </w:p>
              </w:tc>
              <w:tc>
                <w:tcPr>
                  <w:tcW w:type="dxa" w:w="4335"/>
                  <w:tcBorders>
                    <w:top w:val="single" w:color="000000" w:sz="4"/>
                    <w:left w:val="none" w:color="000000" w:sz="4"/>
                    <w:bottom w:val="single" w:color="000000" w:sz="4"/>
                    <w:right w:val="single" w:color="000000" w:sz="4"/>
                  </w:tcBorders>
                  <w:vAlign w:val="top"/>
                </w:tcPr>
                <w:p>
                  <w:pPr>
                    <w:jc w:val="center"/>
                  </w:pPr>
                  <w:r>
                    <w:rPr>
                      <w:b/>
                      <w:sz w:val="21"/>
                    </w:rPr>
                    <w:t>最低</w:t>
                  </w:r>
                  <w:r>
                    <w:rPr>
                      <w:b/>
                      <w:sz w:val="21"/>
                    </w:rPr>
                    <w:t>服务人次要求</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94"/>
                  <w:tcBorders>
                    <w:top w:val="none" w:color="000000" w:sz="4"/>
                    <w:left w:val="none" w:color="000000" w:sz="4"/>
                    <w:bottom w:val="single" w:color="000000" w:sz="4"/>
                    <w:right w:val="single" w:color="000000" w:sz="4"/>
                  </w:tcBorders>
                  <w:vAlign w:val="top"/>
                </w:tcPr>
                <w:p>
                  <w:pPr>
                    <w:jc w:val="center"/>
                  </w:pPr>
                  <w:r>
                    <w:rPr>
                      <w:sz w:val="21"/>
                    </w:rPr>
                    <w:t>养老服务向导</w:t>
                  </w:r>
                </w:p>
              </w:tc>
              <w:tc>
                <w:tcPr>
                  <w:tcW w:type="dxa" w:w="4335"/>
                  <w:tcBorders>
                    <w:top w:val="none" w:color="000000" w:sz="4"/>
                    <w:left w:val="none" w:color="000000" w:sz="4"/>
                    <w:bottom w:val="single" w:color="000000" w:sz="4"/>
                    <w:right w:val="single" w:color="000000" w:sz="4"/>
                  </w:tcBorders>
                  <w:vAlign w:val="top"/>
                </w:tcPr>
                <w:p>
                  <w:pPr>
                    <w:jc w:val="left"/>
                  </w:pPr>
                  <w:r>
                    <w:rPr>
                      <w:sz w:val="21"/>
                    </w:rPr>
                    <w:t>服务人次</w:t>
                  </w:r>
                  <w:r>
                    <w:rPr>
                      <w:sz w:val="21"/>
                    </w:rPr>
                    <w:t>≥25，或服务人次大于(含本数)所在镇街户籍老年人数的0.25%</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94"/>
                  <w:tcBorders>
                    <w:top w:val="none" w:color="000000" w:sz="4"/>
                    <w:left w:val="none" w:color="000000" w:sz="4"/>
                    <w:bottom w:val="single" w:color="000000" w:sz="4"/>
                    <w:right w:val="single" w:color="000000" w:sz="4"/>
                  </w:tcBorders>
                  <w:vAlign w:val="top"/>
                </w:tcPr>
                <w:p>
                  <w:pPr>
                    <w:jc w:val="center"/>
                  </w:pPr>
                  <w:r>
                    <w:rPr>
                      <w:sz w:val="21"/>
                    </w:rPr>
                    <w:t>助餐配餐服务</w:t>
                  </w:r>
                </w:p>
              </w:tc>
              <w:tc>
                <w:tcPr>
                  <w:tcW w:type="dxa" w:w="4335"/>
                  <w:tcBorders>
                    <w:top w:val="none" w:color="000000" w:sz="4"/>
                    <w:left w:val="none" w:color="000000" w:sz="4"/>
                    <w:bottom w:val="single" w:color="000000" w:sz="4"/>
                    <w:right w:val="single" w:color="000000" w:sz="4"/>
                  </w:tcBorders>
                  <w:vAlign w:val="top"/>
                </w:tcPr>
                <w:p>
                  <w:pPr>
                    <w:jc w:val="left"/>
                  </w:pPr>
                  <w:r>
                    <w:rPr>
                      <w:sz w:val="21"/>
                    </w:rPr>
                    <w:t>服务人次</w:t>
                  </w:r>
                  <w:r>
                    <w:rPr>
                      <w:sz w:val="21"/>
                    </w:rPr>
                    <w:t>≥200，或服务人次大于(含本数)所在镇街户籍老年人数的2%</w:t>
                  </w:r>
                </w:p>
              </w:tc>
            </w:tr>
            <w:tr>
              <w:tc>
                <w:tcPr>
                  <w:tcW w:type="dxa" w:w="4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94"/>
                  <w:tcBorders>
                    <w:top w:val="none" w:color="000000" w:sz="4"/>
                    <w:left w:val="none" w:color="000000" w:sz="4"/>
                    <w:bottom w:val="single" w:color="000000" w:sz="4"/>
                    <w:right w:val="single" w:color="000000" w:sz="4"/>
                  </w:tcBorders>
                  <w:vAlign w:val="top"/>
                </w:tcPr>
                <w:p>
                  <w:pPr>
                    <w:jc w:val="center"/>
                  </w:pPr>
                  <w:r>
                    <w:rPr>
                      <w:sz w:val="21"/>
                    </w:rPr>
                    <w:t>生活照料服务</w:t>
                  </w:r>
                </w:p>
              </w:tc>
              <w:tc>
                <w:tcPr>
                  <w:tcW w:type="dxa" w:w="4335"/>
                  <w:tcBorders>
                    <w:top w:val="none" w:color="000000" w:sz="4"/>
                    <w:left w:val="none" w:color="000000" w:sz="4"/>
                    <w:bottom w:val="single" w:color="000000" w:sz="4"/>
                    <w:right w:val="single" w:color="000000" w:sz="4"/>
                  </w:tcBorders>
                  <w:vAlign w:val="top"/>
                </w:tcPr>
                <w:p>
                  <w:pPr>
                    <w:jc w:val="left"/>
                  </w:pPr>
                  <w:r>
                    <w:rPr>
                      <w:sz w:val="21"/>
                    </w:rPr>
                    <w:t>服务人次</w:t>
                  </w:r>
                  <w:r>
                    <w:rPr>
                      <w:sz w:val="21"/>
                    </w:rPr>
                    <w:t>≥25，或服务人次大于(含本数)所在镇街户籍老年人数的0.25%</w:t>
                  </w:r>
                </w:p>
              </w:tc>
            </w:tr>
            <w:tr>
              <w:tc>
                <w:tcPr>
                  <w:tcW w:type="dxa" w:w="469"/>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94"/>
                  <w:vMerge w:val="restart"/>
                  <w:tcBorders>
                    <w:top w:val="none" w:color="000000" w:sz="4"/>
                    <w:left w:val="none" w:color="000000" w:sz="4"/>
                    <w:bottom w:val="single" w:color="000000" w:sz="4"/>
                    <w:right w:val="single" w:color="000000" w:sz="4"/>
                  </w:tcBorders>
                  <w:vAlign w:val="top"/>
                </w:tcPr>
                <w:p>
                  <w:pPr>
                    <w:jc w:val="center"/>
                  </w:pPr>
                  <w:r>
                    <w:rPr>
                      <w:sz w:val="21"/>
                    </w:rPr>
                    <w:t>文体教育</w:t>
                  </w:r>
                </w:p>
              </w:tc>
              <w:tc>
                <w:tcPr>
                  <w:tcW w:type="dxa" w:w="4335"/>
                  <w:tcBorders>
                    <w:top w:val="none" w:color="000000" w:sz="4"/>
                    <w:left w:val="none" w:color="000000" w:sz="4"/>
                    <w:bottom w:val="single" w:color="000000" w:sz="4"/>
                    <w:right w:val="single" w:color="000000" w:sz="4"/>
                  </w:tcBorders>
                  <w:vAlign w:val="top"/>
                </w:tcPr>
                <w:p>
                  <w:pPr>
                    <w:jc w:val="left"/>
                  </w:pPr>
                  <w:r>
                    <w:rPr>
                      <w:sz w:val="21"/>
                    </w:rPr>
                    <w:t>服务人次</w:t>
                  </w:r>
                  <w:r>
                    <w:rPr>
                      <w:sz w:val="21"/>
                    </w:rPr>
                    <w:t>≥150，或服务人次大于(含本数)所在镇街户籍老年人数的1.5%</w:t>
                  </w:r>
                </w:p>
              </w:tc>
            </w:tr>
            <w:tr>
              <w:tc>
                <w:tcPr>
                  <w:tcW w:type="dxa" w:w="469"/>
                  <w:vMerge/>
                  <w:tcBorders>
                    <w:top w:val="none" w:color="000000" w:sz="4"/>
                    <w:left w:val="singl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4335"/>
                  <w:tcBorders>
                    <w:top w:val="none" w:color="000000" w:sz="4"/>
                    <w:left w:val="none" w:color="000000" w:sz="4"/>
                    <w:bottom w:val="single" w:color="000000" w:sz="4"/>
                    <w:right w:val="single" w:color="000000" w:sz="4"/>
                  </w:tcBorders>
                  <w:vAlign w:val="top"/>
                </w:tcPr>
                <w:p>
                  <w:pPr>
                    <w:jc w:val="left"/>
                  </w:pPr>
                  <w:r>
                    <w:rPr>
                      <w:sz w:val="21"/>
                    </w:rPr>
                    <w:t>开展的文体康乐活动</w:t>
                  </w:r>
                  <w:r>
                    <w:rPr>
                      <w:sz w:val="21"/>
                    </w:rPr>
                    <w:t>≥6项，如阅览、书法、绘画、音乐、棋牌、歌舞等。</w:t>
                  </w:r>
                </w:p>
              </w:tc>
            </w:tr>
            <w:tr>
              <w:tc>
                <w:tcPr>
                  <w:tcW w:type="dxa" w:w="469"/>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94"/>
                  <w:vMerge w:val="restart"/>
                  <w:tcBorders>
                    <w:top w:val="none" w:color="000000" w:sz="4"/>
                    <w:left w:val="none" w:color="000000" w:sz="4"/>
                    <w:bottom w:val="single" w:color="000000" w:sz="4"/>
                    <w:right w:val="single" w:color="000000" w:sz="4"/>
                  </w:tcBorders>
                  <w:vAlign w:val="top"/>
                </w:tcPr>
                <w:p>
                  <w:pPr>
                    <w:jc w:val="center"/>
                  </w:pPr>
                  <w:r>
                    <w:rPr>
                      <w:sz w:val="21"/>
                    </w:rPr>
                    <w:t>日间托管</w:t>
                  </w:r>
                </w:p>
              </w:tc>
              <w:tc>
                <w:tcPr>
                  <w:tcW w:type="dxa" w:w="4335"/>
                  <w:tcBorders>
                    <w:top w:val="none" w:color="000000" w:sz="4"/>
                    <w:left w:val="none" w:color="000000" w:sz="4"/>
                    <w:bottom w:val="single" w:color="000000" w:sz="4"/>
                    <w:right w:val="single" w:color="000000" w:sz="4"/>
                  </w:tcBorders>
                  <w:vAlign w:val="top"/>
                </w:tcPr>
                <w:p>
                  <w:pPr>
                    <w:jc w:val="left"/>
                  </w:pPr>
                  <w:r>
                    <w:rPr>
                      <w:sz w:val="21"/>
                    </w:rPr>
                    <w:t>每日有相对固定的活动安排。</w:t>
                  </w:r>
                </w:p>
              </w:tc>
            </w:tr>
            <w:tr>
              <w:tc>
                <w:tcPr>
                  <w:tcW w:type="dxa" w:w="469"/>
                  <w:vMerge/>
                  <w:tcBorders>
                    <w:top w:val="none" w:color="000000" w:sz="4"/>
                    <w:left w:val="singl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4335"/>
                  <w:tcBorders>
                    <w:top w:val="none" w:color="000000" w:sz="4"/>
                    <w:left w:val="none" w:color="000000" w:sz="4"/>
                    <w:bottom w:val="single" w:color="000000" w:sz="4"/>
                    <w:right w:val="single" w:color="000000" w:sz="4"/>
                  </w:tcBorders>
                  <w:vAlign w:val="top"/>
                </w:tcPr>
                <w:p>
                  <w:pPr>
                    <w:jc w:val="left"/>
                  </w:pPr>
                  <w:r>
                    <w:rPr>
                      <w:sz w:val="21"/>
                    </w:rPr>
                    <w:t>服务人次</w:t>
                  </w:r>
                  <w:r>
                    <w:rPr>
                      <w:sz w:val="21"/>
                    </w:rPr>
                    <w:t>≥5，或服务人次大于(含本数)所在镇街户籍老年人数的0.05%</w:t>
                  </w:r>
                </w:p>
              </w:tc>
            </w:tr>
          </w:tbl>
          <w:p>
            <w:r>
              <w:rPr/>
              <w:t xml:space="preserve"> </w:t>
            </w:r>
            <w:r>
              <w:rPr>
                <w:sz w:val="21"/>
              </w:rPr>
              <w:t>十</w:t>
            </w:r>
            <w:r>
              <w:rPr>
                <w:sz w:val="21"/>
              </w:rPr>
              <w:t>一</w:t>
            </w:r>
            <w:r>
              <w:rPr>
                <w:sz w:val="21"/>
              </w:rPr>
              <w:t>）关键指标要求</w:t>
            </w:r>
          </w:p>
          <w:tbl>
            <w:tblPr>
              <w:tblBorders>
                <w:top w:val="none" w:color="000000" w:sz="4"/>
                <w:left w:val="none" w:color="000000" w:sz="4"/>
                <w:bottom w:val="none" w:color="000000" w:sz="4"/>
                <w:right w:val="none" w:color="000000" w:sz="4"/>
                <w:insideH w:val="none"/>
                <w:insideV w:val="none"/>
              </w:tblBorders>
            </w:tblPr>
            <w:tblGrid>
              <w:gridCol w:w="3765"/>
              <w:gridCol w:w="1833"/>
            </w:tblGrid>
            <w:tr>
              <w:tc>
                <w:tcPr>
                  <w:tcW w:type="dxa" w:w="3765"/>
                  <w:tcBorders>
                    <w:top w:val="single" w:color="000000" w:sz="4"/>
                    <w:left w:val="single" w:color="000000" w:sz="4"/>
                    <w:bottom w:val="single" w:color="000000" w:sz="4"/>
                    <w:right w:val="single" w:color="000000" w:sz="4"/>
                  </w:tcBorders>
                  <w:vAlign w:val="top"/>
                </w:tcPr>
                <w:p>
                  <w:pPr>
                    <w:jc w:val="center"/>
                  </w:pPr>
                  <w:r>
                    <w:rPr>
                      <w:b/>
                      <w:sz w:val="21"/>
                    </w:rPr>
                    <w:t>指标</w:t>
                  </w:r>
                </w:p>
              </w:tc>
              <w:tc>
                <w:tcPr>
                  <w:tcW w:type="dxa" w:w="1833"/>
                  <w:tcBorders>
                    <w:top w:val="single" w:color="000000" w:sz="4"/>
                    <w:left w:val="single" w:color="000000" w:sz="4"/>
                    <w:bottom w:val="single" w:color="000000" w:sz="4"/>
                    <w:right w:val="single" w:color="000000" w:sz="4"/>
                  </w:tcBorders>
                  <w:vAlign w:val="top"/>
                </w:tcPr>
                <w:p>
                  <w:pPr>
                    <w:jc w:val="center"/>
                  </w:pPr>
                  <w:r>
                    <w:rPr>
                      <w:b/>
                      <w:sz w:val="21"/>
                    </w:rPr>
                    <w:t>任务目标</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街道</w:t>
                  </w:r>
                  <w:r>
                    <w:rPr>
                      <w:sz w:val="21"/>
                    </w:rPr>
                    <w:t>颐康中心建设、运营</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社区颐康服务站建设、运营</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11</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辖内老年人服务覆盖率</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“家政+养老”服务社区覆盖率</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享受助餐配餐服务的</w:t>
                  </w:r>
                  <w:r>
                    <w:rPr>
                      <w:sz w:val="21"/>
                    </w:rPr>
                    <w:t>60周岁及以上老年人覆盖率</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享受助餐配餐的老年人数量</w:t>
                  </w:r>
                  <w:r>
                    <w:rPr>
                      <w:sz w:val="21"/>
                    </w:rPr>
                    <w:t>/辖内户籍老年人数≥</w:t>
                  </w:r>
                  <w:r>
                    <w:rPr>
                      <w:sz w:val="21"/>
                    </w:rPr>
                    <w:t>3</w:t>
                  </w:r>
                  <w:r>
                    <w:rPr>
                      <w:sz w:val="21"/>
                    </w:rPr>
                    <w:t>%</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与基层卫生服务机构（含护理站）签约开展医疗服务的签约率</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完成上级民政部门下发的各项养老服务考核指标</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765"/>
                  <w:tcBorders>
                    <w:top w:val="none" w:color="000000" w:sz="4"/>
                    <w:left w:val="single" w:color="000000" w:sz="4"/>
                    <w:bottom w:val="single" w:color="000000" w:sz="4"/>
                    <w:right w:val="single" w:color="000000" w:sz="4"/>
                  </w:tcBorders>
                  <w:vAlign w:val="top"/>
                </w:tcPr>
                <w:p>
                  <w:pPr>
                    <w:jc w:val="center"/>
                  </w:pPr>
                  <w:r>
                    <w:rPr>
                      <w:color w:val="000000"/>
                      <w:sz w:val="21"/>
                    </w:rPr>
                    <w:t>自建厨房模式的长者饭堂建设</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765"/>
                  <w:tcBorders>
                    <w:top w:val="none" w:color="000000" w:sz="4"/>
                    <w:left w:val="single" w:color="000000" w:sz="4"/>
                    <w:bottom w:val="single" w:color="000000" w:sz="4"/>
                    <w:right w:val="single" w:color="000000" w:sz="4"/>
                  </w:tcBorders>
                  <w:vAlign w:val="top"/>
                </w:tcPr>
                <w:p>
                  <w:pPr>
                    <w:jc w:val="center"/>
                  </w:pPr>
                  <w:r>
                    <w:rPr>
                      <w:sz w:val="21"/>
                    </w:rPr>
                    <w:t>建设家庭养老床位完成率</w:t>
                  </w:r>
                </w:p>
                <w:p>
                  <w:pPr>
                    <w:jc w:val="center"/>
                  </w:pPr>
                  <w:r>
                    <w:rPr>
                      <w:sz w:val="21"/>
                    </w:rPr>
                    <w:t>（根据上级部门文件规定确定）</w:t>
                  </w:r>
                </w:p>
              </w:tc>
              <w:tc>
                <w:tcPr>
                  <w:tcW w:type="dxa" w:w="1833"/>
                  <w:tcBorders>
                    <w:top w:val="none" w:color="000000" w:sz="4"/>
                    <w:left w:val="single" w:color="000000" w:sz="4"/>
                    <w:bottom w:val="single" w:color="000000" w:sz="4"/>
                    <w:right w:val="single" w:color="000000" w:sz="4"/>
                  </w:tcBorders>
                  <w:vAlign w:val="top"/>
                </w:tcPr>
                <w:p>
                  <w:pPr>
                    <w:jc w:val="center"/>
                  </w:pPr>
                  <w:r>
                    <w:rPr>
                      <w:sz w:val="21"/>
                    </w:rPr>
                    <w:t>100%</w:t>
                  </w:r>
                </w:p>
              </w:tc>
            </w:tr>
          </w:tbl>
          <w:p>
            <w:r>
              <w:rPr/>
              <w:t xml:space="preserve"> </w:t>
            </w:r>
          </w:p>
          <w:p>
            <w:pPr>
              <w:ind w:firstLine="420"/>
              <w:jc w:val="both"/>
            </w:pPr>
            <w:r>
              <w:rPr>
                <w:sz w:val="21"/>
              </w:rPr>
              <w:t>注：截止</w:t>
            </w:r>
            <w:r>
              <w:rPr>
                <w:sz w:val="21"/>
              </w:rPr>
              <w:t>202</w:t>
            </w:r>
            <w:r>
              <w:rPr>
                <w:sz w:val="21"/>
              </w:rPr>
              <w:t>3</w:t>
            </w:r>
            <w:r>
              <w:rPr>
                <w:sz w:val="21"/>
              </w:rPr>
              <w:t>年</w:t>
            </w:r>
            <w:r>
              <w:rPr>
                <w:sz w:val="21"/>
              </w:rPr>
              <w:t>1</w:t>
            </w:r>
            <w:r>
              <w:rPr>
                <w:sz w:val="21"/>
              </w:rPr>
              <w:t>1</w:t>
            </w:r>
            <w:r>
              <w:rPr>
                <w:sz w:val="21"/>
              </w:rPr>
              <w:t>月，</w:t>
            </w:r>
            <w:r>
              <w:rPr>
                <w:sz w:val="21"/>
              </w:rPr>
              <w:t>鹤龙</w:t>
            </w:r>
            <w:r>
              <w:rPr>
                <w:sz w:val="21"/>
              </w:rPr>
              <w:t>街辖内户籍长者</w:t>
            </w:r>
            <w:r>
              <w:rPr>
                <w:sz w:val="21"/>
              </w:rPr>
              <w:t>3354</w:t>
            </w:r>
            <w:r>
              <w:rPr>
                <w:sz w:val="21"/>
              </w:rPr>
              <w:t>人，如人数变更，以采购人通知为准。</w:t>
            </w:r>
          </w:p>
          <w:p>
            <w:pPr>
              <w:jc w:val="both"/>
            </w:pPr>
          </w:p>
          <w:p>
            <w:pPr>
              <w:jc w:val="both"/>
            </w:pPr>
            <w:r>
              <w:rPr>
                <w:b/>
                <w:sz w:val="21"/>
              </w:rPr>
              <w:t>（五）</w:t>
            </w:r>
            <w:r>
              <w:rPr>
                <w:b/>
                <w:sz w:val="21"/>
              </w:rPr>
              <w:t>收费方式约定</w:t>
            </w:r>
          </w:p>
          <w:p>
            <w:pPr>
              <w:ind w:firstLine="420"/>
              <w:jc w:val="both"/>
            </w:pPr>
            <w:r>
              <w:rPr>
                <w:sz w:val="21"/>
              </w:rPr>
              <w:t>1.</w:t>
            </w:r>
            <w:r>
              <w:rPr>
                <w:sz w:val="21"/>
              </w:rPr>
              <w:t>鹤龙</w:t>
            </w:r>
            <w:r>
              <w:rPr>
                <w:sz w:val="21"/>
              </w:rPr>
              <w:t>街级养老服务设施收住政府保障对象的，</w:t>
            </w:r>
            <w:r>
              <w:rPr>
                <w:sz w:val="21"/>
              </w:rPr>
              <w:t>其基本养老服务收费按照广州市公布的城镇最低生活保障标准收取；政府保障对象以外的其他社会老年人收费标准不得高于普惠性养老服务标准，其中全托床位每月最高收费（含床位费、餐费、护理费、管理费等全部费用，不含特需照护）不高于</w:t>
            </w:r>
            <w:r>
              <w:rPr>
                <w:sz w:val="21"/>
              </w:rPr>
              <w:t>本市</w:t>
            </w:r>
            <w:r>
              <w:rPr>
                <w:sz w:val="21"/>
              </w:rPr>
              <w:t>居民人均可支配收入的</w:t>
            </w:r>
            <w:r>
              <w:rPr>
                <w:sz w:val="21"/>
              </w:rPr>
              <w:t>1.</w:t>
            </w:r>
            <w:r>
              <w:rPr>
                <w:sz w:val="21"/>
              </w:rPr>
              <w:t>5</w:t>
            </w:r>
            <w:r>
              <w:rPr>
                <w:sz w:val="21"/>
              </w:rPr>
              <w:t>倍</w:t>
            </w:r>
            <w:r>
              <w:rPr>
                <w:sz w:val="21"/>
              </w:rPr>
              <w:t>或整体收费价格不超过同等情况市场化价格的</w:t>
            </w:r>
            <w:r>
              <w:rPr>
                <w:sz w:val="21"/>
              </w:rPr>
              <w:t>70%</w:t>
            </w:r>
            <w:r>
              <w:rPr>
                <w:sz w:val="21"/>
              </w:rPr>
              <w:t>，其他居家社区养老服务按项目收费的在协议中明确参照《广州市居家养老服务指导中心关于印发</w:t>
            </w:r>
            <w:r>
              <w:rPr>
                <w:sz w:val="21"/>
              </w:rPr>
              <w:t>&lt;广州市社区居家养老服务项目清单与指导参考价（试行）&gt;的通知》（穗居家养老服务指导中心办〔2018〕6号）执行，否则成交供应商退出运营。</w:t>
            </w:r>
          </w:p>
          <w:p>
            <w:pPr>
              <w:ind w:firstLine="420"/>
              <w:jc w:val="both"/>
            </w:pPr>
            <w:r>
              <w:rPr>
                <w:sz w:val="21"/>
              </w:rPr>
              <w:t>2.成交供应商不得向政府保障对象收取一次性生活设施设备费。</w:t>
            </w:r>
          </w:p>
          <w:p>
            <w:pPr>
              <w:ind w:firstLine="420"/>
              <w:jc w:val="both"/>
            </w:pPr>
            <w:r>
              <w:rPr>
                <w:sz w:val="21"/>
              </w:rPr>
              <w:t>3.成交供应商收费标准必须向社会公开，公开载体包括各级人民政府或民政部门官方网站、成交供应商的网站、宣传栏等。</w:t>
            </w:r>
          </w:p>
          <w:p>
            <w:pPr>
              <w:ind w:firstLine="422"/>
              <w:jc w:val="both"/>
            </w:pPr>
          </w:p>
          <w:p>
            <w:pPr>
              <w:jc w:val="both"/>
            </w:pPr>
            <w:r>
              <w:rPr>
                <w:b/>
                <w:sz w:val="21"/>
              </w:rPr>
              <w:t>（六）</w:t>
            </w:r>
            <w:r>
              <w:rPr>
                <w:b/>
                <w:sz w:val="21"/>
              </w:rPr>
              <w:t>监管条款</w:t>
            </w:r>
          </w:p>
          <w:p>
            <w:pPr>
              <w:ind w:firstLine="420"/>
              <w:jc w:val="both"/>
            </w:pPr>
            <w:r>
              <w:rPr>
                <w:sz w:val="21"/>
              </w:rPr>
              <w:t>1.成交供应商必须无条件接受</w:t>
            </w:r>
            <w:r>
              <w:rPr>
                <w:sz w:val="21"/>
              </w:rPr>
              <w:t>采购人</w:t>
            </w:r>
            <w:r>
              <w:rPr>
                <w:sz w:val="21"/>
              </w:rPr>
              <w:t>及上级部门的监督管理。</w:t>
            </w:r>
          </w:p>
          <w:p>
            <w:pPr>
              <w:ind w:firstLine="420"/>
              <w:jc w:val="both"/>
            </w:pPr>
            <w:r>
              <w:rPr>
                <w:sz w:val="21"/>
              </w:rPr>
              <w:t>2.</w:t>
            </w:r>
            <w:r>
              <w:rPr>
                <w:sz w:val="21"/>
              </w:rPr>
              <w:t>采购人</w:t>
            </w:r>
            <w:r>
              <w:rPr>
                <w:sz w:val="21"/>
              </w:rPr>
              <w:t>有权制定、修订对本项目的考核制度和评分标准，对成交供应商的运营行为进行考核、评分，并根据考评结果作出相应的处理。</w:t>
            </w:r>
          </w:p>
          <w:p>
            <w:pPr>
              <w:ind w:firstLine="420"/>
              <w:jc w:val="both"/>
            </w:pPr>
            <w:r>
              <w:rPr>
                <w:sz w:val="21"/>
              </w:rPr>
              <w:t>3.运营期间发生安全卫生责任事故（包括但不限于消防事故、食品药品事故、人身安全事故等），或出现欺老虐老行为、伙食费未按照非营利性原则收取、未购买机构意外责任保险或服务对象满意率调查低于80%的，采购人有权责令成交供应商限期完成整改，出现其他管理服务、安全稳定问题的，依据《广东省养老服务条例》、《养老机构管理办法》等相关规定予以处理。</w:t>
            </w:r>
          </w:p>
          <w:p>
            <w:pPr>
              <w:jc w:val="both"/>
            </w:pPr>
            <w:r>
              <w:rPr>
                <w:b/>
                <w:sz w:val="21"/>
              </w:rPr>
              <w:t>（七）退出机制</w:t>
            </w:r>
          </w:p>
          <w:p>
            <w:pPr>
              <w:ind w:firstLine="420"/>
              <w:jc w:val="both"/>
            </w:pPr>
            <w:r>
              <w:rPr>
                <w:sz w:val="21"/>
              </w:rPr>
              <w:t>项目运营过程中，如运营期届满或成交供应商提前终止时，成交供应商应及时做好机构交接工作，保障机构正常运营或入住老人妥善安置，双方应在合同终止</w:t>
            </w:r>
            <w:r>
              <w:rPr>
                <w:sz w:val="21"/>
              </w:rPr>
              <w:t>60日前向白云区民政部门提交终止合同情况报告及入住对象安置方案，经批准后实施。双方共同委托专业会计师事务所进行资产清算，妥善做好资产和账目交接，运营届满应按时移交政府，移交前产生的一切债务或纠纷由成交供应商自行负责。</w:t>
            </w:r>
          </w:p>
          <w:p>
            <w:pPr>
              <w:ind w:firstLine="420"/>
              <w:jc w:val="both"/>
            </w:pPr>
            <w:r>
              <w:rPr>
                <w:sz w:val="21"/>
              </w:rPr>
              <w:t>因不可抗力因素或政府政策原因影响本合同执行的，双方不承担违约责任，相关补偿按当期有关政策执行。</w:t>
            </w:r>
          </w:p>
          <w:p>
            <w:pPr>
              <w:ind w:firstLine="420"/>
              <w:jc w:val="both"/>
            </w:pPr>
            <w:r>
              <w:rPr>
                <w:sz w:val="21"/>
              </w:rPr>
              <w:t>本项目合同生效后即具有法律约束力，双方均不得随意变更或解除。合同需要变更或解除时，须经双方共同协商，达成一致意见。</w:t>
            </w:r>
          </w:p>
          <w:p>
            <w:pPr>
              <w:ind w:firstLine="420"/>
              <w:jc w:val="both"/>
            </w:pPr>
            <w:r>
              <w:rPr>
                <w:sz w:val="21"/>
              </w:rPr>
              <w:t>成交供应商有下列情形之一的，</w:t>
            </w:r>
            <w:r>
              <w:rPr>
                <w:sz w:val="21"/>
              </w:rPr>
              <w:t>采购人</w:t>
            </w:r>
            <w:r>
              <w:rPr>
                <w:sz w:val="21"/>
              </w:rPr>
              <w:t>及民政部门有权责令其限期整改；情节严重的，解除合同，并移交有关部门依法追究责任：</w:t>
            </w:r>
          </w:p>
          <w:p>
            <w:pPr>
              <w:ind w:firstLine="420"/>
              <w:jc w:val="both"/>
            </w:pPr>
            <w:r>
              <w:rPr>
                <w:sz w:val="21"/>
              </w:rPr>
              <w:t>1.利用本项目场所实施非法活动，违法经营或损害公共利益及违反本合同相关约定的。若因成交供应商违悖法律法规行为可能造成</w:t>
            </w:r>
            <w:r>
              <w:rPr>
                <w:sz w:val="21"/>
              </w:rPr>
              <w:t>采购人</w:t>
            </w:r>
            <w:r>
              <w:rPr>
                <w:sz w:val="21"/>
              </w:rPr>
              <w:t>在行政、经济上的责任，对造成损失的由成交供应商负全责；</w:t>
            </w:r>
          </w:p>
          <w:p>
            <w:pPr>
              <w:ind w:firstLine="420"/>
              <w:jc w:val="both"/>
            </w:pPr>
            <w:r>
              <w:rPr>
                <w:sz w:val="21"/>
              </w:rPr>
              <w:t>2.以本项目的经营权向第三方进行转包、担保、保证、抵押或其他有损害</w:t>
            </w:r>
            <w:r>
              <w:rPr>
                <w:sz w:val="21"/>
              </w:rPr>
              <w:t>采购人</w:t>
            </w:r>
            <w:r>
              <w:rPr>
                <w:sz w:val="21"/>
              </w:rPr>
              <w:t>权益的，以及以国有资产进行抵押、融资、贷款，或违反协议约定的收费标准或捐赠管理制度，造成严重后果的；</w:t>
            </w:r>
          </w:p>
          <w:p>
            <w:pPr>
              <w:ind w:firstLine="420"/>
              <w:jc w:val="both"/>
            </w:pPr>
            <w:r>
              <w:rPr>
                <w:sz w:val="21"/>
              </w:rPr>
              <w:t>3.未经</w:t>
            </w:r>
            <w:r>
              <w:rPr>
                <w:sz w:val="21"/>
              </w:rPr>
              <w:t>采购人</w:t>
            </w:r>
            <w:r>
              <w:rPr>
                <w:sz w:val="21"/>
              </w:rPr>
              <w:t>同意，擅自变更法人代表或运营方的；</w:t>
            </w:r>
          </w:p>
          <w:p>
            <w:pPr>
              <w:ind w:firstLine="420"/>
              <w:jc w:val="both"/>
            </w:pPr>
            <w:r>
              <w:rPr>
                <w:sz w:val="21"/>
              </w:rPr>
              <w:t>4.擅自改变经营范围的；</w:t>
            </w:r>
          </w:p>
          <w:p>
            <w:pPr>
              <w:ind w:firstLine="420"/>
              <w:jc w:val="both"/>
            </w:pPr>
            <w:r>
              <w:rPr>
                <w:sz w:val="21"/>
              </w:rPr>
              <w:t>5.损毁设施或改变设施用途的，无法保障养老机构设施、设备正常运转的；</w:t>
            </w:r>
          </w:p>
          <w:p>
            <w:pPr>
              <w:ind w:firstLine="420"/>
              <w:jc w:val="both"/>
            </w:pPr>
            <w:r>
              <w:rPr>
                <w:sz w:val="21"/>
              </w:rPr>
              <w:t>6.造成重大安全事故的；</w:t>
            </w:r>
          </w:p>
          <w:p>
            <w:pPr>
              <w:ind w:firstLine="420"/>
              <w:jc w:val="both"/>
            </w:pPr>
            <w:r>
              <w:rPr>
                <w:sz w:val="21"/>
              </w:rPr>
              <w:t>7.经</w:t>
            </w:r>
            <w:r>
              <w:rPr>
                <w:sz w:val="21"/>
              </w:rPr>
              <w:t>采购人</w:t>
            </w:r>
            <w:r>
              <w:rPr>
                <w:sz w:val="21"/>
              </w:rPr>
              <w:t>或上级部门评估为不合格、要求整改后未按时整改或整改后仍然不合要求的；</w:t>
            </w:r>
          </w:p>
          <w:p>
            <w:pPr>
              <w:ind w:firstLine="420"/>
              <w:jc w:val="both"/>
            </w:pPr>
            <w:r>
              <w:rPr>
                <w:sz w:val="21"/>
              </w:rPr>
              <w:t>8.经营资质降级或丧失的；</w:t>
            </w:r>
          </w:p>
          <w:p>
            <w:pPr>
              <w:ind w:firstLine="420"/>
              <w:jc w:val="both"/>
            </w:pPr>
            <w:r>
              <w:rPr>
                <w:sz w:val="21"/>
              </w:rPr>
              <w:t>9.违反国家法律法规、违反本合同的其他情形。</w:t>
            </w:r>
          </w:p>
          <w:p>
            <w:pPr>
              <w:jc w:val="both"/>
            </w:pPr>
            <w:r>
              <w:rPr>
                <w:b/>
                <w:sz w:val="21"/>
              </w:rPr>
              <w:t>（八）</w:t>
            </w:r>
            <w:r>
              <w:rPr>
                <w:b/>
                <w:sz w:val="21"/>
              </w:rPr>
              <w:t>其他要求</w:t>
            </w:r>
          </w:p>
          <w:p>
            <w:pPr>
              <w:ind w:firstLine="420"/>
              <w:jc w:val="both"/>
            </w:pPr>
            <w:r>
              <w:rPr>
                <w:sz w:val="21"/>
              </w:rPr>
              <w:t>1.成交供应商应承担社会公共服务职能，保证</w:t>
            </w:r>
            <w:r>
              <w:rPr>
                <w:sz w:val="21"/>
              </w:rPr>
              <w:t>养老服务设施</w:t>
            </w:r>
            <w:r>
              <w:rPr>
                <w:sz w:val="21"/>
              </w:rPr>
              <w:t>公益性。</w:t>
            </w:r>
          </w:p>
          <w:p>
            <w:pPr>
              <w:ind w:firstLine="420"/>
              <w:jc w:val="both"/>
            </w:pPr>
            <w:r>
              <w:rPr>
                <w:sz w:val="21"/>
              </w:rPr>
              <w:t>2.严格按照《广州市人民政府办公厅关于印发广州市居家社区养老服务管理办法的通知》和广州市地方标准《社区居家养老服务规范》的要求开展服务。</w:t>
            </w:r>
          </w:p>
          <w:p>
            <w:pPr>
              <w:ind w:firstLine="420"/>
              <w:jc w:val="both"/>
            </w:pPr>
            <w:r>
              <w:rPr>
                <w:sz w:val="21"/>
              </w:rPr>
              <w:t>3.根据服务对象实际需求制订详细具体服务方案，并做好服务记录。</w:t>
            </w:r>
          </w:p>
          <w:p>
            <w:pPr>
              <w:ind w:firstLine="420"/>
              <w:jc w:val="both"/>
            </w:pPr>
            <w:r>
              <w:rPr>
                <w:sz w:val="21"/>
              </w:rPr>
              <w:t>4.服务期间如遇到国家规定的广州市职工最低工资标准发生调整，须以广州市有关部门颁发的文件为准，成交供应商须及时调整本项目工作人员工作。</w:t>
            </w:r>
          </w:p>
          <w:p>
            <w:pPr>
              <w:ind w:firstLine="420"/>
              <w:jc w:val="both"/>
            </w:pPr>
            <w:r>
              <w:rPr>
                <w:sz w:val="21"/>
              </w:rPr>
              <w:t>5.成交供应商须对本项目涉及服务对象的个人相关信息进行保密，未经服务对象或其法定监护人</w:t>
            </w:r>
            <w:r>
              <w:rPr>
                <w:sz w:val="21"/>
              </w:rPr>
              <w:t>事前</w:t>
            </w:r>
            <w:r>
              <w:rPr>
                <w:sz w:val="21"/>
              </w:rPr>
              <w:t>书面许可，不得对外披露，不得以任何形式提供给第三方，不得在参与本项目工作之外使用这些保密信息。</w:t>
            </w:r>
          </w:p>
          <w:p>
            <w:pPr>
              <w:ind w:firstLine="420"/>
              <w:jc w:val="left"/>
            </w:pPr>
            <w:r>
              <w:rPr>
                <w:sz w:val="21"/>
              </w:rPr>
              <w:t>6.成交供应商在本项目终止后不得保留以任何形式存储的服务对象的任何信息数据，不得利用该项目的信息数据为其他的单位（包括自办单位）或项目服务。</w:t>
            </w:r>
          </w:p>
          <w:p>
            <w:pPr>
              <w:ind w:firstLine="420"/>
              <w:jc w:val="left"/>
            </w:pPr>
            <w:r>
              <w:rPr>
                <w:sz w:val="21"/>
              </w:rPr>
              <w:t>7.</w:t>
            </w:r>
            <w:r>
              <w:rPr>
                <w:sz w:val="21"/>
              </w:rPr>
              <w:t>服务机构要求：</w:t>
            </w:r>
          </w:p>
          <w:p>
            <w:pPr>
              <w:ind w:firstLine="420"/>
              <w:jc w:val="left"/>
            </w:pPr>
            <w:r>
              <w:rPr>
                <w:sz w:val="21"/>
              </w:rPr>
              <w:t>（</w:t>
            </w:r>
            <w:r>
              <w:rPr>
                <w:sz w:val="21"/>
              </w:rPr>
              <w:t>1）配备与服务和运营相适应且具备相应从业资格的人员，包括养老护理员、执业医师、执业护士、康复治疗师、社会工作师、家政服务员、心理咨询师、财务人员、行政人员，配备经验丰富的专职中心主任、颐康服务站专职管理员。</w:t>
            </w:r>
          </w:p>
          <w:p>
            <w:pPr>
              <w:ind w:firstLine="420"/>
              <w:jc w:val="left"/>
            </w:pPr>
            <w:r>
              <w:rPr>
                <w:sz w:val="21"/>
              </w:rPr>
              <w:t>（</w:t>
            </w:r>
            <w:r>
              <w:rPr>
                <w:sz w:val="21"/>
              </w:rPr>
              <w:t>2）具备从事养老、餐饮服务、医疗服务等相关资质。</w:t>
            </w:r>
          </w:p>
          <w:p>
            <w:pPr>
              <w:ind w:firstLine="420"/>
              <w:jc w:val="left"/>
            </w:pPr>
            <w:r>
              <w:rPr>
                <w:sz w:val="21"/>
              </w:rPr>
              <w:t>（</w:t>
            </w:r>
            <w:r>
              <w:rPr>
                <w:sz w:val="21"/>
              </w:rPr>
              <w:t>3）机构认为有需要提供的以证明其经营及综合实力相关证明材料或商务资料。</w:t>
            </w:r>
          </w:p>
          <w:p>
            <w:pPr>
              <w:ind w:firstLine="420"/>
              <w:jc w:val="left"/>
            </w:pPr>
            <w:r>
              <w:rPr>
                <w:sz w:val="21"/>
              </w:rPr>
              <w:t>（</w:t>
            </w:r>
            <w:r>
              <w:rPr>
                <w:sz w:val="21"/>
              </w:rPr>
              <w:t>4</w:t>
            </w:r>
            <w:r>
              <w:rPr>
                <w:sz w:val="21"/>
              </w:rPr>
              <w:t>）项目实行普惠性收费，收费标准不得高于广州市养老服务普惠性收费标准，否则</w:t>
            </w:r>
            <w:r>
              <w:rPr>
                <w:sz w:val="21"/>
              </w:rPr>
              <w:t>成交供应商</w:t>
            </w:r>
            <w:r>
              <w:rPr>
                <w:sz w:val="21"/>
              </w:rPr>
              <w:t>退出运营服务。</w:t>
            </w:r>
          </w:p>
          <w:p>
            <w:pPr>
              <w:jc w:val="both"/>
            </w:pPr>
          </w:p>
          <w:p>
            <w:pPr>
              <w:jc w:val="both"/>
            </w:pP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广州市白云区人民政府鹤龙街道办事处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以下金额： ￥29,015.00元（大写：人民币贰万玖仟零壹拾伍元整）。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吕永珊、谢燕廷</w:t>
      </w:r>
    </w:p>
    <w:p>
      <w:pPr>
        <w:ind w:firstLine="480"/>
      </w:pPr>
      <w:r>
        <w:rPr/>
        <w:t>电话：</w:t>
      </w:r>
      <w:r>
        <w:rPr/>
        <w:t>020-37814404、020-34283604</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白云区鹤龙街综合养老服务中心（颐康中心）运营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采购包1（广州市白云区鹤龙街综合养老服务中心（颐康中心）运营项目）：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响应价×（1-P1）。 5、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采购包1（广州市白云区鹤龙街综合养老服务中心（颐康中心）运营项目）：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响应。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采购包1（广州市白云区鹤龙街综合养老服务中心（颐康中心）运营项目）：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计划投入本项目的年度服务总工时唯一且在规定的范围内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采购包1(广州市白云区鹤龙街综合养老服务中心（颐康中心）运营项目):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综合信用分5.0分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项目服务场地设计及布置（一） (1.0分)</w:t>
            </w:r>
          </w:p>
        </w:tc>
        <w:tc>
          <w:tcPr>
            <w:tcW w:type="dxa" w:w="5076"/>
          </w:tcPr>
          <w:p>
            <w:pPr>
              <w:jc w:val="left"/>
            </w:pPr>
            <w:r>
              <w:rPr/>
              <w:t>磋商小组根据响应供应商对本项目项目服务场地设计及布置进行评审，内容包括：  1.平面布置设计图； 2.功能设置、场地效果。 注：提供全部内容得1分，每缺1项扣0.5分。</w:t>
            </w:r>
          </w:p>
        </w:tc>
      </w:tr>
      <w:tr>
        <w:tc>
          <w:tcPr>
            <w:tcW w:type="dxa" w:w="922"/>
            <w:gridSpan w:val="2"/>
            <w:vMerge/>
          </w:tcPr>
          <w:p/>
        </w:tc>
        <w:tc>
          <w:tcPr>
            <w:tcW w:type="dxa" w:w="2307"/>
          </w:tcPr>
          <w:p>
            <w:pPr>
              <w:jc w:val="left"/>
            </w:pPr>
            <w:r>
              <w:rPr/>
              <w:t>项目服务场地设计及布置（二） (10.0分)</w:t>
            </w:r>
            <w:r>
              <w:rPr/>
              <w:t>，（等次分值选择：</w:t>
            </w:r>
            <w:r>
              <w:rPr/>
              <w:t>0.0;</w:t>
            </w:r>
            <w:r>
              <w:rPr/>
              <w:t>1.0;</w:t>
            </w:r>
            <w:r>
              <w:rPr/>
              <w:t>4.0;</w:t>
            </w:r>
            <w:r>
              <w:rPr/>
              <w:t>7.0;</w:t>
            </w:r>
            <w:r>
              <w:rPr/>
              <w:t>10.0;</w:t>
            </w:r>
            <w:r>
              <w:rPr/>
              <w:t>）</w:t>
            </w:r>
          </w:p>
        </w:tc>
        <w:tc>
          <w:tcPr>
            <w:tcW w:type="dxa" w:w="5076"/>
          </w:tcPr>
          <w:p>
            <w:pPr>
              <w:jc w:val="left"/>
            </w:pPr>
            <w:r>
              <w:rPr/>
              <w:t>根据响应供应商针对本项目提供的项目服务场地设计及布置方案进行评审：  1.对项目服务场地设计及布置非常符合居家社区养老服务的要求，能充分发挥场地设备的功能作用，以片区服务点为依托，为老年人开展专业化服务，得10分； 2.对项目服务场地设计及布置基本符合居家社区养老服务的要求，基本能充分发挥场地设备的功能作用，得7分； 3.对项目服务场地设计及布置部分符合居家社区养老服务的要求，不能完全发挥场地设备的功能作用，得4分； 4.对项目服务场地设计及布置不符合居家社区养老服务的要求，不能充分发挥场地设备的功能作用，布置不合理的，得1分； 5.不提供方案不得分。</w:t>
            </w:r>
          </w:p>
        </w:tc>
      </w:tr>
      <w:tr>
        <w:tc>
          <w:tcPr>
            <w:tcW w:type="dxa" w:w="922"/>
            <w:gridSpan w:val="2"/>
            <w:vMerge/>
          </w:tcPr>
          <w:p/>
        </w:tc>
        <w:tc>
          <w:tcPr>
            <w:tcW w:type="dxa" w:w="2307"/>
          </w:tcPr>
          <w:p>
            <w:pPr>
              <w:jc w:val="left"/>
            </w:pPr>
            <w:r>
              <w:rPr/>
              <w:t>项目整体实施方案（一） (2.0分)</w:t>
            </w:r>
          </w:p>
        </w:tc>
        <w:tc>
          <w:tcPr>
            <w:tcW w:type="dxa" w:w="5076"/>
          </w:tcPr>
          <w:p>
            <w:pPr>
              <w:jc w:val="left"/>
            </w:pPr>
            <w:r>
              <w:rPr/>
              <w:t>磋商小组根据响应供应商对本项目项目整体实施方案进行评审，内容包括：  1.对项目的了解程度； 2.实施计划； 3.人员结构及分工、服务供给； 4.应急预案、进度及质量保证措施。 注：提供全部内容得2分，每缺1项扣0.5分。</w:t>
            </w:r>
          </w:p>
        </w:tc>
      </w:tr>
      <w:tr>
        <w:tc>
          <w:tcPr>
            <w:tcW w:type="dxa" w:w="922"/>
            <w:gridSpan w:val="2"/>
            <w:vMerge/>
          </w:tcPr>
          <w:p/>
        </w:tc>
        <w:tc>
          <w:tcPr>
            <w:tcW w:type="dxa" w:w="2307"/>
          </w:tcPr>
          <w:p>
            <w:pPr>
              <w:jc w:val="left"/>
            </w:pPr>
            <w:r>
              <w:rPr/>
              <w:t>项目整体实施方案（二） (10.0分)</w:t>
            </w:r>
            <w:r>
              <w:rPr/>
              <w:t>，（等次分值选择：</w:t>
            </w:r>
            <w:r>
              <w:rPr/>
              <w:t>0.0;</w:t>
            </w:r>
            <w:r>
              <w:rPr/>
              <w:t>1.0;</w:t>
            </w:r>
            <w:r>
              <w:rPr/>
              <w:t>4.0;</w:t>
            </w:r>
            <w:r>
              <w:rPr/>
              <w:t>7.0;</w:t>
            </w:r>
            <w:r>
              <w:rPr/>
              <w:t>10.0;</w:t>
            </w:r>
            <w:r>
              <w:rPr/>
              <w:t>）</w:t>
            </w:r>
          </w:p>
        </w:tc>
        <w:tc>
          <w:tcPr>
            <w:tcW w:type="dxa" w:w="5076"/>
          </w:tcPr>
          <w:p>
            <w:pPr>
              <w:jc w:val="left"/>
            </w:pPr>
            <w:r>
              <w:rPr/>
              <w:t>根据响应供应商针对本项目提供的项目整体实施方案进行评审： 1.非常熟悉项目内容，针对本项目制定了完善的实施计划、人员结构及分工、服务供给、应急预案等内容，对进度把控及方案质量保证有详细说明，有创新特色的，有利于实现服务效果，得10分； 2.熟悉项目内容，能针对本项目制定相应的实施计划，人员结构及分工、服务供给、应急预案等内容，对进度把控及方案质量保证有相关的说明的，得7分； 3.了解项目的内容，能针对本项目制定相应的实施计划、人员结构及分工、服务供给等内容，对进度把控及方案质量保证有一些说明的，得4分； 4.基本了解项目内容，针对本项目制定基本相应的实施计划、人员结构及分工、服务供给等内容，对进度把控及方案质量保证说明过于简单的，得1分； 5.不提供方案不得分。</w:t>
            </w:r>
          </w:p>
        </w:tc>
      </w:tr>
      <w:tr>
        <w:tc>
          <w:tcPr>
            <w:tcW w:type="dxa" w:w="922"/>
            <w:gridSpan w:val="2"/>
            <w:vMerge/>
          </w:tcPr>
          <w:p/>
        </w:tc>
        <w:tc>
          <w:tcPr>
            <w:tcW w:type="dxa" w:w="2307"/>
          </w:tcPr>
          <w:p>
            <w:pPr>
              <w:jc w:val="left"/>
            </w:pPr>
            <w:r>
              <w:rPr/>
              <w:t>为本项目配备执业护士的情况 (3.0分)</w:t>
            </w:r>
          </w:p>
        </w:tc>
        <w:tc>
          <w:tcPr>
            <w:tcW w:type="dxa" w:w="5076"/>
          </w:tcPr>
          <w:p>
            <w:pPr>
              <w:jc w:val="left"/>
            </w:pPr>
            <w:r>
              <w:rPr/>
              <w:t>为本项目配备执业护士的情况： 1.配备的执业护士具有中级（或以上）职称证书，每配备1位，得3分； 2.配备的执业护士具有初级职称证书，每配备1位，得1分； 可累计，本项最高得3分。 注： 1.需提供职称证书复印件。 2.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为本项目配备执业医师的情况 (3.0分)</w:t>
            </w:r>
          </w:p>
        </w:tc>
        <w:tc>
          <w:tcPr>
            <w:tcW w:type="dxa" w:w="5076"/>
          </w:tcPr>
          <w:p>
            <w:pPr>
              <w:jc w:val="left"/>
            </w:pPr>
            <w:r>
              <w:rPr/>
              <w:t>本项目配备执业医师的情况： 1.配备的执业医师且具有中级（或以上）职称证书，每配备1位，得3分； 2.配备的执业医师且具有初级职称证书，每配备1位，得1分； 可累计，本项最高得3分。 注： 1.需提供职称证书复印件。 2.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为本项目配备执业康复治疗师的情况 (3.0分)</w:t>
            </w:r>
          </w:p>
        </w:tc>
        <w:tc>
          <w:tcPr>
            <w:tcW w:type="dxa" w:w="5076"/>
          </w:tcPr>
          <w:p>
            <w:pPr>
              <w:jc w:val="left"/>
            </w:pPr>
            <w:r>
              <w:rPr/>
              <w:t>本项目配备执业康复治疗师的情况： 1.属专职的康复治疗师的，每配备1位，得3分； 2.属兼职的康复治疗师的，每配备1位，得1分。 可累计，本项最高得3分。 注： 1.需提供身份证及相关证件复印件。 3.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为本项目配备养老护理员的情况 (3.0分)</w:t>
            </w:r>
          </w:p>
        </w:tc>
        <w:tc>
          <w:tcPr>
            <w:tcW w:type="dxa" w:w="5076"/>
          </w:tcPr>
          <w:p>
            <w:pPr>
              <w:jc w:val="left"/>
            </w:pPr>
            <w:r>
              <w:rPr/>
              <w:t>本项目配备养老护理员的情况： 1.属专职的养老护理员的，每配备1位，得3分； 2.属兼职的养老护理员的，每配备1位，得1分。 可累计，本项最高得3分。 注： 1.需提供身份证及相关证件复印件。 2.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为本项目配备持证社会工作师的情况 (3.0分)</w:t>
            </w:r>
          </w:p>
        </w:tc>
        <w:tc>
          <w:tcPr>
            <w:tcW w:type="dxa" w:w="5076"/>
          </w:tcPr>
          <w:p>
            <w:pPr>
              <w:jc w:val="left"/>
            </w:pPr>
            <w:r>
              <w:rPr/>
              <w:t>为本项目配备持证社会工作师的情况： 1.属专职持证社会工作师的，每配置1位，得3分； 2.属兼职持证社会工作师的，每配置1位，得1分。 可累计，本项最高得3分。 注： 1.需提供身份证及相关证件复印件。 2.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为本项目配备项目负责人情况 (3.0分)</w:t>
            </w:r>
          </w:p>
        </w:tc>
        <w:tc>
          <w:tcPr>
            <w:tcW w:type="dxa" w:w="5076"/>
          </w:tcPr>
          <w:p>
            <w:pPr>
              <w:jc w:val="left"/>
            </w:pPr>
            <w:r>
              <w:rPr/>
              <w:t>为本项目配备的专职的项目负责人情况： 1.具有3年(或以上)管理工作经验，得3分； 2.具有3年以下管理工作经验，得1分。 注： 1.需提供身份证复印件及管理工作经验的相关证明复印件。 2.除上述资料外，同时提供项目负责人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财会专业人员情况 (5.0分)</w:t>
            </w:r>
          </w:p>
        </w:tc>
        <w:tc>
          <w:tcPr>
            <w:tcW w:type="dxa" w:w="5076"/>
          </w:tcPr>
          <w:p>
            <w:pPr>
              <w:jc w:val="left"/>
            </w:pPr>
            <w:r>
              <w:rPr/>
              <w:t>财会专业人员情况： 1.配备有财会专业教育背景或持财会职业资格证书的财会人员，会计和出纳均为专职的得5分； 2.配备有财会专业教育背景或持财会职业资格证书的财会人员，会计或出纳为兼职的得3分； 3.没明确财务人员配置不得分。 注： 1.需提供身份证及相关证件复印件。 2.除上述资料外，同时提供对应人员任职证明，如劳动合同，或聘书或响应截止日前6个月中任意1个月在供应商单位购买的社保缴费流水或响应截止日前6个月中任意1个月供应商单位代缴个人所得税的证明文件（须加盖政府有关部门印章）【若依法免缴社保的，提供相关证明材料】；无或缺项或未按要求递交证明材料的不得分。</w:t>
            </w:r>
          </w:p>
        </w:tc>
      </w:tr>
      <w:tr>
        <w:tc>
          <w:tcPr>
            <w:tcW w:type="dxa" w:w="922"/>
            <w:gridSpan w:val="2"/>
            <w:vMerge/>
          </w:tcPr>
          <w:p/>
        </w:tc>
        <w:tc>
          <w:tcPr>
            <w:tcW w:type="dxa" w:w="2307"/>
          </w:tcPr>
          <w:p>
            <w:pPr>
              <w:jc w:val="left"/>
            </w:pPr>
            <w:r>
              <w:rPr/>
              <w:t>人员培训方案 (9.0分)</w:t>
            </w:r>
            <w:r>
              <w:rPr/>
              <w:t>，（等次分值选择：</w:t>
            </w:r>
            <w:r>
              <w:rPr/>
              <w:t>0.0;</w:t>
            </w:r>
            <w:r>
              <w:rPr/>
              <w:t>1.0;</w:t>
            </w:r>
            <w:r>
              <w:rPr/>
              <w:t>3.0;</w:t>
            </w:r>
            <w:r>
              <w:rPr/>
              <w:t>6.0;</w:t>
            </w:r>
            <w:r>
              <w:rPr/>
              <w:t>9.0;</w:t>
            </w:r>
            <w:r>
              <w:rPr/>
              <w:t>）</w:t>
            </w:r>
          </w:p>
        </w:tc>
        <w:tc>
          <w:tcPr>
            <w:tcW w:type="dxa" w:w="5076"/>
          </w:tcPr>
          <w:p>
            <w:pPr>
              <w:jc w:val="left"/>
            </w:pPr>
            <w:r>
              <w:rPr/>
              <w:t>根据响应供应商针对本项目提供的人员培训方案（包括但不限于培训团队的人员安排、安排培训计划、培训内容的设置等）进行评审： 1.针对本项目培训方案，人员配置、培训内容详细，考虑全面，有利于实现服务效果，得9分；  2.针对本项目培训方案，人员配置、培训内容完整，基本满足服务效果，得6分； 3.针对本项目培训方案，人员配置、培训内容基本完整，考虑不够全面，难以达到服务效果，得3分； 4.针对本项目售后服务及培训方案，人员配置、培训内容不合理，考虑不全面的，无法保障本项目服务实施，得1分；  5.不提供方案不得分。</w:t>
            </w:r>
          </w:p>
        </w:tc>
      </w:tr>
      <w:tr>
        <w:tc>
          <w:tcPr>
            <w:tcW w:type="dxa" w:w="922"/>
            <w:gridSpan w:val="2"/>
            <w:vMerge w:val="restart"/>
          </w:tcPr>
          <w:p>
            <w:pPr>
              <w:jc w:val="center"/>
            </w:pPr>
            <w:r>
              <w:rPr/>
              <w:t>商务部分</w:t>
            </w:r>
          </w:p>
        </w:tc>
        <w:tc>
          <w:tcPr>
            <w:tcW w:type="dxa" w:w="2307"/>
          </w:tcPr>
          <w:p>
            <w:pPr>
              <w:jc w:val="left"/>
            </w:pPr>
            <w:r>
              <w:rPr/>
              <w:t>2020年1月1日至今同类项目服务业绩 (5.0分)</w:t>
            </w:r>
          </w:p>
        </w:tc>
        <w:tc>
          <w:tcPr>
            <w:tcW w:type="dxa" w:w="5076"/>
          </w:tcPr>
          <w:p>
            <w:pPr>
              <w:jc w:val="left"/>
            </w:pPr>
            <w:r>
              <w:rPr/>
              <w:t>响应供应商2020年1月1日（以合同签订时间为准）至今承接过居家养老服务或托老服务类相关的同类项目业绩，提供得5分，不提供不得分。 备注：须提供合同复印件（含签订合同双方的单位名称、合同项目名称、合同概况、签订合同双方的落款盖章、签订日期的关键页）。未显示签订时间或未显示服务内容的合同不予以计分。</w:t>
            </w:r>
          </w:p>
        </w:tc>
      </w:tr>
      <w:tr>
        <w:tc>
          <w:tcPr>
            <w:tcW w:type="dxa" w:w="922"/>
            <w:gridSpan w:val="2"/>
            <w:vMerge/>
          </w:tcPr>
          <w:p/>
        </w:tc>
        <w:tc>
          <w:tcPr>
            <w:tcW w:type="dxa" w:w="2307"/>
          </w:tcPr>
          <w:p>
            <w:pPr>
              <w:jc w:val="left"/>
            </w:pPr>
            <w:r>
              <w:rPr/>
              <w:t>保密方案（一） (1.0分)</w:t>
            </w:r>
          </w:p>
        </w:tc>
        <w:tc>
          <w:tcPr>
            <w:tcW w:type="dxa" w:w="5076"/>
          </w:tcPr>
          <w:p>
            <w:pPr>
              <w:jc w:val="left"/>
            </w:pPr>
            <w:r>
              <w:rPr/>
              <w:t>磋商小组根据响应供应商对本项目保密方案进行评审，内容包括：  1.保密的原则及需要保密的事项； 2.保密具体措施。 注：提供全部内容得1分，每缺1项扣0.5分。</w:t>
            </w:r>
          </w:p>
        </w:tc>
      </w:tr>
      <w:tr>
        <w:tc>
          <w:tcPr>
            <w:tcW w:type="dxa" w:w="922"/>
            <w:gridSpan w:val="2"/>
            <w:vMerge/>
          </w:tcPr>
          <w:p/>
        </w:tc>
        <w:tc>
          <w:tcPr>
            <w:tcW w:type="dxa" w:w="2307"/>
          </w:tcPr>
          <w:p>
            <w:pPr>
              <w:jc w:val="left"/>
            </w:pPr>
            <w:r>
              <w:rPr/>
              <w:t>保密方案（二） (3.0分)</w:t>
            </w:r>
            <w:r>
              <w:rPr/>
              <w:t>，（等次分值选择：</w:t>
            </w:r>
            <w:r>
              <w:rPr/>
              <w:t>0.0;</w:t>
            </w:r>
            <w:r>
              <w:rPr/>
              <w:t>1.0;</w:t>
            </w:r>
            <w:r>
              <w:rPr/>
              <w:t>2.0;</w:t>
            </w:r>
            <w:r>
              <w:rPr/>
              <w:t>3.0;</w:t>
            </w:r>
            <w:r>
              <w:rPr/>
              <w:t>）</w:t>
            </w:r>
          </w:p>
        </w:tc>
        <w:tc>
          <w:tcPr>
            <w:tcW w:type="dxa" w:w="5076"/>
          </w:tcPr>
          <w:p>
            <w:pPr>
              <w:jc w:val="left"/>
            </w:pPr>
            <w:r>
              <w:rPr/>
              <w:t>根据响应供应商提供的保密方案进行评审： 1.保密方案全面详细、合理可行，有利于实现服务效果，得3分； 2.保密方案基本达到全面详细、有合理可行之处，基本满足服务效果，得2分； 3.保密方案不全面、不合理可行，难以达到服务效果，得1分； 4.无或其它不得分。</w:t>
            </w:r>
          </w:p>
        </w:tc>
      </w:tr>
      <w:tr>
        <w:tc>
          <w:tcPr>
            <w:tcW w:type="dxa" w:w="922"/>
            <w:gridSpan w:val="2"/>
            <w:vMerge/>
          </w:tcPr>
          <w:p/>
        </w:tc>
        <w:tc>
          <w:tcPr>
            <w:tcW w:type="dxa" w:w="2307"/>
          </w:tcPr>
          <w:p>
            <w:pPr>
              <w:jc w:val="left"/>
            </w:pPr>
            <w:r>
              <w:rPr/>
              <w:t>财务管理制度情况（一） (1.0分)</w:t>
            </w:r>
          </w:p>
        </w:tc>
        <w:tc>
          <w:tcPr>
            <w:tcW w:type="dxa" w:w="5076"/>
          </w:tcPr>
          <w:p>
            <w:pPr>
              <w:jc w:val="left"/>
            </w:pPr>
            <w:r>
              <w:rPr/>
              <w:t>磋商小组根据响应供应商对本项目财务管理制度情况进行评审，内容包括：  1.财务管理、财务审核、财务监督机制； 2.经费预算、费用报批、物资釆购程序。 注：提供全部内容得1分，每缺1项扣0.5分。</w:t>
            </w:r>
          </w:p>
        </w:tc>
      </w:tr>
      <w:tr>
        <w:tc>
          <w:tcPr>
            <w:tcW w:type="dxa" w:w="922"/>
            <w:gridSpan w:val="2"/>
            <w:vMerge/>
          </w:tcPr>
          <w:p/>
        </w:tc>
        <w:tc>
          <w:tcPr>
            <w:tcW w:type="dxa" w:w="2307"/>
          </w:tcPr>
          <w:p>
            <w:pPr>
              <w:jc w:val="left"/>
            </w:pPr>
            <w:r>
              <w:rPr/>
              <w:t>财务管理制度情况（一） (7.0分)</w:t>
            </w:r>
            <w:r>
              <w:rPr/>
              <w:t>，（等次分值选择：</w:t>
            </w:r>
            <w:r>
              <w:rPr/>
              <w:t>0.0;</w:t>
            </w:r>
            <w:r>
              <w:rPr/>
              <w:t>1.0;</w:t>
            </w:r>
            <w:r>
              <w:rPr/>
              <w:t>3.0;</w:t>
            </w:r>
            <w:r>
              <w:rPr/>
              <w:t>5.0;</w:t>
            </w:r>
            <w:r>
              <w:rPr/>
              <w:t>7.0;</w:t>
            </w:r>
            <w:r>
              <w:rPr/>
              <w:t>）</w:t>
            </w:r>
          </w:p>
        </w:tc>
        <w:tc>
          <w:tcPr>
            <w:tcW w:type="dxa" w:w="5076"/>
          </w:tcPr>
          <w:p>
            <w:pPr>
              <w:jc w:val="left"/>
            </w:pPr>
            <w:r>
              <w:rPr/>
              <w:t>根据响应供应商财务管理制度情况进行评审： 1.财务管理、财务审核、财务监督机制健全，有清晰的经费预算、费用报批、物资釆购程序，财务记录详细，有利于实现服务效果，得7分； 2.财务管理、财务审核、财务监督制度基本健全，有清晰的经费预算、费用报批、物资采购程序，有财务记录，基本满足服务效果，得5分； 3.财务管理、财务审核、财务监督制度不够健全，有简单的经费预算、费用报批、物资采购程序，有财务记录，难以达到服务效果，得3分； 4.财务管理、财务审核、财务监督制度不健全，无法保障本项目服务实施，得1分； 5.无财务管理制度，不得分。</w:t>
            </w:r>
          </w:p>
        </w:tc>
      </w:tr>
      <w:tr>
        <w:tc>
          <w:tcPr>
            <w:tcW w:type="dxa" w:w="922"/>
            <w:gridSpan w:val="2"/>
            <w:vMerge/>
          </w:tcPr>
          <w:p/>
        </w:tc>
        <w:tc>
          <w:tcPr>
            <w:tcW w:type="dxa" w:w="2307"/>
          </w:tcPr>
          <w:p>
            <w:pPr>
              <w:jc w:val="left"/>
            </w:pPr>
            <w:r>
              <w:rPr/>
              <w:t>服务响应时间 (3.0分)</w:t>
            </w:r>
          </w:p>
        </w:tc>
        <w:tc>
          <w:tcPr>
            <w:tcW w:type="dxa" w:w="5076"/>
          </w:tcPr>
          <w:p>
            <w:pPr>
              <w:jc w:val="left"/>
            </w:pPr>
            <w:r>
              <w:rPr/>
              <w:t>响应供应商提供用户需求服务响应时间承诺，根据所承诺的响应时间进行评审： （1）响应时间＜30分钟，得3分； （2）30分钟≤响应时间＜1小时，得2分；  （3）1小时≤响应时间＜2小时，得1分；  （4）响应时间≥2 小时，得0分。  备注：提供服务响应时间承诺函并加盖供应商公章，未按要求提供不得分。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统一采用量多优先法计算，即按采购文件要求且计划投入本项目的年度服务总工时数量最多的为评审基准工时，其年度服务总工时评审为满分。其他响应供应商年度服务总工时分统一按照下列公式计算：响应年度服务总工时得分=（投入本项目的年度服务总工时量÷评审基准工时）×20。 评审过程中，不得去掉最高年度服务总工时和最低年度服务总工时。 因落实政府采购政策进行工时调整的，以调整后的评审基准工时和响应年度服务总工时为准。</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审结果按评审后总得分由高到低顺序排列。总得分相同的按响应供应商年度服务总工时由高到低顺序排列。得分且响应年度服务总工时相同的，由磋商小组采取随机抽取的方式确定。排名第一的响应供应商为第一成交候选供应商，排名第二的响应供应商为第二成交候选供应商，排名第三的响应供应商为第三成交候选供应商，评审后得分最高的响应供应商获得成交供应商推荐资格；评审得分相同的，由采购人或者采购人委托磋商小组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合同具体事项须根据采购文件的约定及乙方响应文件的承诺执行。</w:t>
      </w:r>
    </w:p>
    <w:p>
      <w:pPr>
        <w:ind w:firstLine="456"/>
        <w:jc w:val="both"/>
      </w:pPr>
      <w:r>
        <w:rPr>
          <w:sz w:val="21"/>
        </w:rPr>
        <w:t>协议编号：</w:t>
      </w:r>
    </w:p>
    <w:p>
      <w:pPr>
        <w:jc w:val="both"/>
      </w:pPr>
    </w:p>
    <w:p>
      <w:pPr>
        <w:jc w:val="both"/>
      </w:pPr>
    </w:p>
    <w:p>
      <w:pPr>
        <w:jc w:val="center"/>
      </w:pPr>
      <w:r>
        <w:rPr>
          <w:b/>
          <w:sz w:val="21"/>
        </w:rPr>
        <w:t>广州市白云区鹤龙街综合养老服务中心（颐康中心）</w:t>
      </w:r>
    </w:p>
    <w:p>
      <w:pPr>
        <w:jc w:val="center"/>
      </w:pPr>
      <w:r>
        <w:rPr>
          <w:b/>
          <w:sz w:val="21"/>
        </w:rPr>
        <w:t>运营项目合同</w:t>
      </w:r>
    </w:p>
    <w:p>
      <w:pPr>
        <w:jc w:val="left"/>
      </w:pPr>
    </w:p>
    <w:p>
      <w:pPr>
        <w:jc w:val="both"/>
      </w:pPr>
      <w:r>
        <w:rPr>
          <w:b/>
          <w:sz w:val="21"/>
        </w:rPr>
        <w:t>甲方：</w:t>
      </w:r>
      <w:r>
        <w:rPr>
          <w:b/>
          <w:sz w:val="21"/>
        </w:rPr>
        <w:t>(采购人)</w:t>
      </w:r>
    </w:p>
    <w:p>
      <w:pPr>
        <w:jc w:val="both"/>
      </w:pPr>
      <w:r>
        <w:rPr>
          <w:sz w:val="21"/>
        </w:rPr>
        <w:t>单位名称：</w:t>
      </w:r>
      <w:r>
        <w:rPr>
          <w:sz w:val="21"/>
          <w:u w:val="single"/>
        </w:rPr>
        <w:t xml:space="preserve">                     </w:t>
      </w:r>
    </w:p>
    <w:p>
      <w:pPr>
        <w:jc w:val="both"/>
      </w:pPr>
      <w:r>
        <w:rPr>
          <w:sz w:val="21"/>
        </w:rPr>
        <w:t>单位地址：</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联</w:t>
      </w:r>
      <w:r>
        <w:rPr>
          <w:sz w:val="21"/>
        </w:rPr>
        <w:t>系</w:t>
      </w:r>
      <w:r>
        <w:rPr>
          <w:sz w:val="21"/>
        </w:rPr>
        <w:t>人</w:t>
      </w:r>
      <w:r>
        <w:rPr>
          <w:sz w:val="21"/>
        </w:rPr>
        <w:t>：</w:t>
      </w:r>
      <w:r>
        <w:rPr>
          <w:sz w:val="21"/>
          <w:u w:val="single"/>
        </w:rPr>
        <w:t xml:space="preserve">                    </w:t>
      </w:r>
      <w:r>
        <w:rPr>
          <w:sz w:val="21"/>
        </w:rPr>
        <w:t xml:space="preserve">     </w:t>
      </w:r>
      <w:r>
        <w:rPr>
          <w:sz w:val="21"/>
        </w:rPr>
        <w:t>联系电话：</w:t>
      </w:r>
      <w:r>
        <w:rPr>
          <w:sz w:val="21"/>
          <w:u w:val="single"/>
        </w:rPr>
        <w:t xml:space="preserve">                     </w:t>
      </w:r>
    </w:p>
    <w:p>
      <w:pPr>
        <w:jc w:val="both"/>
      </w:pPr>
      <w:r>
        <w:rPr>
          <w:b/>
          <w:sz w:val="21"/>
        </w:rPr>
        <w:t>乙方：</w:t>
      </w:r>
      <w:r>
        <w:rPr>
          <w:b/>
          <w:sz w:val="21"/>
        </w:rPr>
        <w:t>(成交供应商)</w:t>
      </w:r>
    </w:p>
    <w:p>
      <w:pPr>
        <w:jc w:val="both"/>
      </w:pPr>
      <w:r>
        <w:rPr>
          <w:sz w:val="21"/>
        </w:rPr>
        <w:t>单位名称：</w:t>
      </w:r>
      <w:r>
        <w:rPr>
          <w:sz w:val="21"/>
          <w:u w:val="single"/>
        </w:rPr>
        <w:t xml:space="preserve">                     </w:t>
      </w:r>
    </w:p>
    <w:p>
      <w:pPr>
        <w:jc w:val="both"/>
      </w:pPr>
      <w:r>
        <w:rPr>
          <w:sz w:val="21"/>
        </w:rPr>
        <w:t>单位地址：</w:t>
      </w:r>
      <w:r>
        <w:rPr>
          <w:sz w:val="21"/>
          <w:u w:val="single"/>
        </w:rPr>
        <w:t xml:space="preserve">                     </w:t>
      </w:r>
    </w:p>
    <w:p>
      <w:pPr>
        <w:jc w:val="both"/>
      </w:pPr>
      <w:r>
        <w:rPr>
          <w:sz w:val="21"/>
        </w:rPr>
        <w:t>法定代表人：</w:t>
      </w:r>
      <w:r>
        <w:rPr>
          <w:sz w:val="21"/>
          <w:u w:val="single"/>
        </w:rPr>
        <w:t xml:space="preserve">                   </w:t>
      </w:r>
      <w:r>
        <w:rPr>
          <w:sz w:val="21"/>
        </w:rPr>
        <w:t xml:space="preserve">      </w:t>
      </w:r>
      <w:r>
        <w:rPr>
          <w:sz w:val="21"/>
        </w:rPr>
        <w:t>联系电话：</w:t>
      </w:r>
      <w:r>
        <w:rPr>
          <w:sz w:val="21"/>
          <w:u w:val="single"/>
        </w:rPr>
        <w:t xml:space="preserve">                     </w:t>
      </w:r>
    </w:p>
    <w:p>
      <w:pPr>
        <w:jc w:val="both"/>
      </w:pPr>
      <w:r>
        <w:rPr>
          <w:sz w:val="21"/>
        </w:rPr>
        <w:t>联</w:t>
      </w:r>
      <w:r>
        <w:rPr>
          <w:sz w:val="21"/>
        </w:rPr>
        <w:t>系</w:t>
      </w:r>
      <w:r>
        <w:rPr>
          <w:sz w:val="21"/>
        </w:rPr>
        <w:t>人</w:t>
      </w:r>
      <w:r>
        <w:rPr>
          <w:sz w:val="21"/>
        </w:rPr>
        <w:t>：</w:t>
      </w:r>
      <w:r>
        <w:rPr>
          <w:sz w:val="21"/>
          <w:u w:val="single"/>
        </w:rPr>
        <w:t xml:space="preserve">                    </w:t>
      </w:r>
      <w:r>
        <w:rPr>
          <w:sz w:val="21"/>
        </w:rPr>
        <w:t xml:space="preserve">      </w:t>
      </w:r>
      <w:r>
        <w:rPr>
          <w:sz w:val="21"/>
        </w:rPr>
        <w:t>联系电话：</w:t>
      </w:r>
      <w:r>
        <w:rPr>
          <w:sz w:val="21"/>
          <w:u w:val="single"/>
        </w:rPr>
        <w:t xml:space="preserve">                     </w:t>
      </w:r>
    </w:p>
    <w:p>
      <w:pPr>
        <w:jc w:val="both"/>
      </w:pPr>
    </w:p>
    <w:p>
      <w:pPr>
        <w:ind w:firstLine="420"/>
        <w:jc w:val="both"/>
      </w:pPr>
      <w:r>
        <w:rPr>
          <w:sz w:val="21"/>
        </w:rPr>
        <w:t>根据《中华人民共和国民法典》《中华人民共和国老年人权益保障法》《中华人民共和国政府采购法》《广东省养老服务条例》《广东省老年人权益保障条例》《广州市养老服务条例》《广</w:t>
      </w:r>
      <w:r>
        <w:rPr>
          <w:sz w:val="21"/>
        </w:rPr>
        <w:t>州市居家社区养老服务管理办法》等相关法律法规及政策文件规定，甲乙双方在平等自愿、协商一致的基础上，就甲方委托乙方承接，</w:t>
      </w:r>
      <w:r>
        <w:rPr>
          <w:sz w:val="21"/>
          <w:u w:val="single"/>
        </w:rPr>
        <w:t xml:space="preserve">       </w:t>
      </w:r>
      <w:r>
        <w:rPr>
          <w:sz w:val="21"/>
        </w:rPr>
        <w:t>区综合养老服务中心</w:t>
      </w:r>
      <w:r>
        <w:rPr>
          <w:sz w:val="21"/>
          <w:u w:val="single"/>
        </w:rPr>
        <w:t xml:space="preserve">/      </w:t>
      </w:r>
      <w:r>
        <w:rPr>
          <w:sz w:val="21"/>
        </w:rPr>
        <w:t>街道</w:t>
      </w:r>
      <w:r>
        <w:rPr>
          <w:sz w:val="21"/>
        </w:rPr>
        <w:t>(镇)综合养老服务中心(颐康中心)/</w:t>
      </w:r>
      <w:r>
        <w:rPr>
          <w:sz w:val="21"/>
          <w:u w:val="single"/>
        </w:rPr>
        <w:t xml:space="preserve">                </w:t>
      </w:r>
      <w:r>
        <w:rPr>
          <w:sz w:val="21"/>
        </w:rPr>
        <w:t>社区</w:t>
      </w:r>
      <w:r>
        <w:rPr>
          <w:sz w:val="21"/>
        </w:rPr>
        <w:t>(村)颐康服务站项且事宜，签订协议如下：</w:t>
      </w:r>
    </w:p>
    <w:p>
      <w:pPr>
        <w:ind w:firstLine="456"/>
        <w:jc w:val="both"/>
      </w:pPr>
      <w:r>
        <w:rPr>
          <w:sz w:val="21"/>
        </w:rPr>
        <w:t>一</w:t>
      </w:r>
      <w:r>
        <w:rPr>
          <w:sz w:val="21"/>
        </w:rPr>
        <w:t xml:space="preserve"> </w:t>
      </w:r>
      <w:r>
        <w:rPr>
          <w:sz w:val="21"/>
        </w:rPr>
        <w:t>、项目期限</w:t>
      </w:r>
    </w:p>
    <w:p>
      <w:pPr>
        <w:ind w:firstLine="400"/>
        <w:jc w:val="both"/>
      </w:pPr>
      <w:r>
        <w:rPr>
          <w:sz w:val="21"/>
        </w:rPr>
        <w:t>本项目周期为</w:t>
      </w:r>
      <w:r>
        <w:rPr>
          <w:sz w:val="21"/>
          <w:u w:val="single"/>
        </w:rPr>
        <w:t xml:space="preserve">   </w:t>
      </w:r>
      <w:r>
        <w:rPr>
          <w:sz w:val="21"/>
        </w:rPr>
        <w:t xml:space="preserve"> </w:t>
      </w:r>
      <w:r>
        <w:rPr>
          <w:sz w:val="21"/>
        </w:rPr>
        <w:t>(</w:t>
      </w:r>
      <w:r>
        <w:rPr>
          <w:sz w:val="21"/>
        </w:rPr>
        <w:t xml:space="preserve"> </w:t>
      </w:r>
      <w:r>
        <w:rPr>
          <w:sz w:val="21"/>
          <w:u w:val="single"/>
        </w:rPr>
        <w:t xml:space="preserve">  </w:t>
      </w:r>
      <w:r>
        <w:rPr>
          <w:sz w:val="21"/>
        </w:rPr>
        <w:t xml:space="preserve"> </w:t>
      </w:r>
      <w:r>
        <w:rPr>
          <w:sz w:val="21"/>
        </w:rPr>
        <w:t>年</w:t>
      </w:r>
      <w:r>
        <w:rPr>
          <w:sz w:val="21"/>
          <w:u w:val="single"/>
        </w:rPr>
        <w:t xml:space="preserve">   </w:t>
      </w:r>
      <w:r>
        <w:rPr>
          <w:sz w:val="21"/>
        </w:rPr>
        <w:t xml:space="preserve"> </w:t>
      </w:r>
      <w:r>
        <w:rPr>
          <w:sz w:val="21"/>
        </w:rPr>
        <w:t>月</w:t>
      </w:r>
      <w:r>
        <w:rPr>
          <w:sz w:val="21"/>
        </w:rPr>
        <w:t xml:space="preserve"> </w:t>
      </w:r>
      <w:r>
        <w:rPr>
          <w:sz w:val="21"/>
          <w:u w:val="single"/>
        </w:rPr>
        <w:t xml:space="preserve">  </w:t>
      </w:r>
      <w:r>
        <w:rPr>
          <w:sz w:val="21"/>
        </w:rPr>
        <w:t xml:space="preserve"> </w:t>
      </w:r>
      <w:r>
        <w:rPr>
          <w:sz w:val="21"/>
        </w:rPr>
        <w:t>日至</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),项目协议一年一签。本协议服务期限为</w:t>
      </w:r>
      <w:r>
        <w:rPr>
          <w:sz w:val="21"/>
          <w:u w:val="single"/>
        </w:rPr>
        <w:t xml:space="preserve">     </w:t>
      </w:r>
      <w:r>
        <w:rPr>
          <w:sz w:val="21"/>
        </w:rPr>
        <w:t>，自</w:t>
      </w:r>
      <w:r>
        <w:rPr>
          <w:sz w:val="21"/>
        </w:rPr>
        <w:t xml:space="preserve"> </w:t>
      </w:r>
      <w:r>
        <w:rPr>
          <w:sz w:val="21"/>
          <w:u w:val="single"/>
        </w:rPr>
        <w:t xml:space="preserve">   </w:t>
      </w:r>
      <w:r>
        <w:rPr>
          <w:sz w:val="21"/>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 xml:space="preserve"> </w:t>
      </w:r>
      <w:r>
        <w:rPr>
          <w:sz w:val="21"/>
        </w:rPr>
        <w:t>年</w:t>
      </w:r>
      <w:r>
        <w:rPr>
          <w:sz w:val="21"/>
        </w:rPr>
        <w:t xml:space="preserve"> </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w:t>
      </w:r>
    </w:p>
    <w:p>
      <w:pPr>
        <w:ind w:firstLine="438"/>
        <w:jc w:val="both"/>
      </w:pPr>
      <w:r>
        <w:rPr>
          <w:b/>
          <w:sz w:val="21"/>
        </w:rPr>
        <w:t>二</w:t>
      </w:r>
      <w:r>
        <w:rPr>
          <w:sz w:val="21"/>
        </w:rPr>
        <w:t xml:space="preserve"> </w:t>
      </w:r>
      <w:r>
        <w:rPr>
          <w:b/>
          <w:sz w:val="21"/>
        </w:rPr>
        <w:t>、项目内容</w:t>
      </w:r>
    </w:p>
    <w:p>
      <w:pPr>
        <w:ind w:firstLine="466"/>
        <w:jc w:val="both"/>
      </w:pPr>
      <w:r>
        <w:rPr>
          <w:b/>
          <w:sz w:val="21"/>
        </w:rPr>
        <w:t>(一)运营设施</w:t>
      </w:r>
    </w:p>
    <w:p>
      <w:pPr>
        <w:ind w:firstLine="456"/>
        <w:jc w:val="both"/>
      </w:pPr>
      <w:r>
        <w:rPr>
          <w:sz w:val="21"/>
        </w:rPr>
        <w:t>甲方委托乙方承办以下社区养老服务设施：</w:t>
      </w:r>
    </w:p>
    <w:p>
      <w:pPr>
        <w:ind w:firstLine="456"/>
        <w:jc w:val="both"/>
      </w:pPr>
      <w:r>
        <w:rPr>
          <w:sz w:val="21"/>
        </w:rPr>
        <w:t xml:space="preserve"> </w:t>
      </w:r>
      <w:r>
        <w:rPr>
          <w:b/>
          <w:sz w:val="21"/>
        </w:rPr>
        <w:t>区综合养老服务中心</w:t>
      </w:r>
      <w:r>
        <w:rPr>
          <w:b/>
          <w:sz w:val="21"/>
        </w:rPr>
        <w:t>/</w:t>
      </w:r>
      <w:r>
        <w:rPr>
          <w:sz w:val="21"/>
        </w:rPr>
        <w:t xml:space="preserve"> </w:t>
      </w:r>
      <w:r>
        <w:rPr>
          <w:sz w:val="21"/>
          <w:u w:val="single"/>
        </w:rPr>
        <w:t xml:space="preserve">     </w:t>
      </w:r>
      <w:r>
        <w:rPr>
          <w:sz w:val="21"/>
        </w:rPr>
        <w:t xml:space="preserve"> </w:t>
      </w:r>
      <w:r>
        <w:rPr>
          <w:b/>
          <w:sz w:val="21"/>
        </w:rPr>
        <w:t>街道</w:t>
      </w:r>
      <w:r>
        <w:rPr>
          <w:b/>
          <w:sz w:val="21"/>
        </w:rPr>
        <w:t>(镇)综合养老服</w:t>
      </w:r>
      <w:r>
        <w:rPr>
          <w:sz w:val="21"/>
        </w:rPr>
        <w:t xml:space="preserve"> </w:t>
      </w:r>
      <w:r>
        <w:rPr>
          <w:b/>
          <w:sz w:val="21"/>
        </w:rPr>
        <w:t>务中心</w:t>
      </w:r>
      <w:r>
        <w:rPr>
          <w:b/>
          <w:sz w:val="21"/>
        </w:rPr>
        <w:t>(颐康中心)/</w:t>
      </w:r>
      <w:r>
        <w:rPr>
          <w:sz w:val="21"/>
          <w:u w:val="single"/>
        </w:rPr>
        <w:t xml:space="preserve">     </w:t>
      </w:r>
      <w:r>
        <w:rPr>
          <w:sz w:val="21"/>
        </w:rPr>
        <w:t xml:space="preserve"> </w:t>
      </w:r>
      <w:r>
        <w:rPr>
          <w:b/>
          <w:sz w:val="21"/>
        </w:rPr>
        <w:t>社区</w:t>
      </w:r>
      <w:r>
        <w:rPr>
          <w:b/>
          <w:sz w:val="21"/>
        </w:rPr>
        <w:t>(村)颐康服务站的</w:t>
      </w:r>
      <w:r>
        <w:rPr>
          <w:sz w:val="21"/>
        </w:rPr>
        <w:t>□建设、□改造、□运营、□其他：</w:t>
      </w:r>
      <w:r>
        <w:rPr>
          <w:sz w:val="21"/>
          <w:u w:val="single"/>
        </w:rPr>
        <w:t xml:space="preserve">     </w:t>
      </w:r>
      <w:r>
        <w:rPr>
          <w:sz w:val="21"/>
        </w:rPr>
        <w:t xml:space="preserve">        </w:t>
      </w:r>
    </w:p>
    <w:p>
      <w:pPr>
        <w:ind w:firstLine="456"/>
        <w:jc w:val="both"/>
      </w:pPr>
      <w:r>
        <w:rPr>
          <w:sz w:val="21"/>
        </w:rPr>
        <w:t>设施地址：</w:t>
      </w:r>
      <w:r>
        <w:rPr>
          <w:sz w:val="21"/>
        </w:rPr>
        <w:t xml:space="preserve">                                        </w:t>
      </w:r>
    </w:p>
    <w:p>
      <w:pPr>
        <w:ind w:firstLine="456"/>
        <w:jc w:val="both"/>
      </w:pPr>
      <w:r>
        <w:rPr>
          <w:sz w:val="21"/>
        </w:rPr>
        <w:t>建筑面积：</w:t>
      </w:r>
      <w:r>
        <w:rPr>
          <w:sz w:val="21"/>
        </w:rPr>
        <w:t xml:space="preserve">      </w:t>
      </w:r>
      <w:r>
        <w:rPr>
          <w:sz w:val="21"/>
        </w:rPr>
        <w:t xml:space="preserve">μ、使用面积：       m, 楼层：        </w:t>
      </w:r>
    </w:p>
    <w:p>
      <w:pPr>
        <w:ind w:firstLine="456"/>
        <w:jc w:val="both"/>
      </w:pPr>
      <w:r>
        <w:rPr>
          <w:sz w:val="21"/>
        </w:rPr>
        <w:t>产权方：</w:t>
      </w:r>
      <w:r>
        <w:rPr>
          <w:sz w:val="21"/>
        </w:rPr>
        <w:t xml:space="preserve">                                      </w:t>
      </w:r>
      <w:r>
        <w:rPr>
          <w:sz w:val="21"/>
        </w:rPr>
        <w:t xml:space="preserve">, 场地提供方式：□甲方免费提供/□甲方优惠租赁□乙方自有产权/□乙方自行租赁/□其他                </w:t>
      </w:r>
    </w:p>
    <w:p>
      <w:pPr>
        <w:ind w:firstLine="432"/>
        <w:jc w:val="both"/>
      </w:pPr>
      <w:r>
        <w:rPr>
          <w:sz w:val="21"/>
        </w:rPr>
        <w:t>乙方应当于</w:t>
      </w:r>
      <w:r>
        <w:rPr>
          <w:sz w:val="21"/>
          <w:u w:val="single"/>
        </w:rPr>
        <w:t xml:space="preserve">    </w:t>
      </w:r>
      <w:r>
        <w:rPr>
          <w:sz w:val="21"/>
        </w:rPr>
        <w:t xml:space="preserve"> </w:t>
      </w:r>
      <w:r>
        <w:rPr>
          <w:sz w:val="21"/>
        </w:rPr>
        <w:t>年</w:t>
      </w:r>
      <w:r>
        <w:rPr>
          <w:sz w:val="21"/>
        </w:rPr>
        <w:t xml:space="preserve"> </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日前完成场地建设、装修改</w:t>
      </w:r>
      <w:r>
        <w:rPr>
          <w:sz w:val="21"/>
        </w:rPr>
        <w:t xml:space="preserve"> </w:t>
      </w:r>
      <w:r>
        <w:rPr>
          <w:sz w:val="21"/>
        </w:rPr>
        <w:t>造及设施设备配置，并于</w:t>
      </w:r>
      <w:r>
        <w:rPr>
          <w:sz w:val="21"/>
          <w:u w:val="single"/>
        </w:rPr>
        <w:t xml:space="preserve">    </w:t>
      </w:r>
      <w:r>
        <w:rPr>
          <w:sz w:val="21"/>
        </w:rPr>
        <w:t>年</w:t>
      </w:r>
      <w:r>
        <w:rPr>
          <w:sz w:val="21"/>
        </w:rPr>
        <w:t xml:space="preserve"> </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日前投入使用，对</w:t>
      </w:r>
      <w:r>
        <w:rPr>
          <w:sz w:val="21"/>
        </w:rPr>
        <w:t>外开展服务。</w:t>
      </w:r>
    </w:p>
    <w:p>
      <w:pPr>
        <w:ind w:firstLine="456"/>
        <w:jc w:val="both"/>
      </w:pPr>
      <w:r>
        <w:rPr>
          <w:sz w:val="21"/>
        </w:rPr>
        <w:t>设施开放时间为上午</w:t>
      </w:r>
      <w:r>
        <w:rPr>
          <w:sz w:val="21"/>
          <w:u w:val="single"/>
        </w:rPr>
        <w:t xml:space="preserve">      </w:t>
      </w:r>
      <w:r>
        <w:rPr>
          <w:sz w:val="21"/>
        </w:rPr>
        <w:t xml:space="preserve"> </w:t>
      </w:r>
      <w:r>
        <w:rPr>
          <w:sz w:val="21"/>
        </w:rPr>
        <w:t>、下午</w:t>
      </w:r>
      <w:r>
        <w:rPr>
          <w:sz w:val="21"/>
        </w:rPr>
        <w:t xml:space="preserve"> </w:t>
      </w:r>
      <w:r>
        <w:rPr>
          <w:sz w:val="21"/>
          <w:u w:val="single"/>
        </w:rPr>
        <w:t xml:space="preserve">      </w:t>
      </w:r>
      <w:r>
        <w:rPr>
          <w:sz w:val="21"/>
        </w:rPr>
        <w:t>。其</w:t>
      </w:r>
      <w:r>
        <w:rPr>
          <w:sz w:val="21"/>
        </w:rPr>
        <w:t>中，工作</w:t>
      </w:r>
      <w:r>
        <w:rPr>
          <w:sz w:val="21"/>
        </w:rPr>
        <w:t>日面向老年人开放时间不少于</w:t>
      </w:r>
      <w:r>
        <w:rPr>
          <w:sz w:val="21"/>
        </w:rPr>
        <w:t xml:space="preserve"> </w:t>
      </w:r>
      <w:r>
        <w:rPr>
          <w:sz w:val="21"/>
          <w:u w:val="single"/>
        </w:rPr>
        <w:t xml:space="preserve">   </w:t>
      </w:r>
      <w:r>
        <w:rPr>
          <w:sz w:val="21"/>
          <w:u w:val="single"/>
        </w:rPr>
        <w:t xml:space="preserve">   </w:t>
      </w:r>
      <w:r>
        <w:rPr>
          <w:color w:val="FFFFFF"/>
          <w:sz w:val="21"/>
          <w:u w:val="single"/>
        </w:rPr>
        <w:t>8</w:t>
      </w:r>
      <w:r>
        <w:rPr>
          <w:sz w:val="21"/>
          <w:u w:val="single"/>
        </w:rPr>
        <w:t xml:space="preserve">    </w:t>
      </w:r>
      <w:r>
        <w:rPr>
          <w:sz w:val="21"/>
        </w:rPr>
        <w:t>小时。</w:t>
      </w:r>
    </w:p>
    <w:p>
      <w:pPr>
        <w:ind w:firstLine="466"/>
        <w:jc w:val="both"/>
      </w:pPr>
      <w:r>
        <w:rPr>
          <w:b/>
          <w:sz w:val="21"/>
        </w:rPr>
        <w:t>(二)服务对象</w:t>
      </w:r>
    </w:p>
    <w:p>
      <w:pPr>
        <w:ind w:firstLine="432"/>
        <w:jc w:val="both"/>
      </w:pPr>
      <w:r>
        <w:rPr>
          <w:sz w:val="21"/>
        </w:rPr>
        <w:t>乙方运营的</w:t>
      </w:r>
      <w:r>
        <w:rPr>
          <w:sz w:val="21"/>
          <w:u w:val="single"/>
        </w:rPr>
        <w:t xml:space="preserve">               </w:t>
      </w:r>
      <w:r>
        <w:rPr>
          <w:sz w:val="21"/>
        </w:rPr>
        <w:t>( 设 施 名 称 ) 应当按规定面向本市常住老年人提供居家社区养老服务，重点为有需求的失能、失 智老年人提供服务，优先保障特殊困难老年人群服务需求。其中，符合《广州市居家社区养老服务管理办法》规定的资助对象的服务率须达到100%。</w:t>
      </w:r>
    </w:p>
    <w:p>
      <w:pPr>
        <w:ind w:firstLine="466"/>
        <w:jc w:val="both"/>
      </w:pPr>
      <w:r>
        <w:rPr>
          <w:b/>
          <w:sz w:val="21"/>
        </w:rPr>
        <w:t>(三)服务内容</w:t>
      </w:r>
    </w:p>
    <w:p>
      <w:pPr>
        <w:ind w:firstLine="456"/>
        <w:jc w:val="both"/>
      </w:pPr>
      <w:r>
        <w:rPr>
          <w:sz w:val="21"/>
        </w:rPr>
        <w:t>1.乙方运营的区级综合养老服务中心应当具备区域统筹、服务示范、人员实训、技术支持等功能，并提供养老服务向导、助餐配餐、生活照料、定期巡访、辅具租赁、家庭照护培训、文体教育、居家适老化改造、家庭养老床位、日间托管、临时托养、医养康养、康复护理、等服务项目。</w:t>
      </w:r>
    </w:p>
    <w:p>
      <w:pPr>
        <w:ind w:firstLine="456"/>
        <w:jc w:val="both"/>
      </w:pPr>
      <w:r>
        <w:rPr>
          <w:sz w:val="21"/>
        </w:rPr>
        <w:t>2.乙方运营的街道(镇)级综合养老服务中心(颐康中心) 应当具备全托、日托、上门服务、对下指导、统筹调配资源等  功能，并提供养老服务向导、助餐配餐、生活照料、定期巡访、  辅具租赁、家庭照护培训、文体教育、居家适老化改造、家庭养老床位、日间托管、临时托养、医养康养、康复护理 等服务项目。</w:t>
      </w:r>
    </w:p>
    <w:p>
      <w:pPr>
        <w:ind w:firstLine="456"/>
        <w:jc w:val="both"/>
      </w:pPr>
      <w:r>
        <w:rPr>
          <w:sz w:val="21"/>
        </w:rPr>
        <w:t>3.乙方运营的社区(村)级颐康服务站应当具备日间照料、上门服务、助餐配餐、文体康乐等功能，并提供</w:t>
      </w:r>
      <w:r>
        <w:rPr>
          <w:sz w:val="21"/>
          <w:u w:val="single"/>
        </w:rPr>
        <w:t>养老服务向导、助餐配餐</w:t>
      </w:r>
      <w:r>
        <w:rPr>
          <w:sz w:val="21"/>
        </w:rPr>
        <w:t>等服务项目。</w:t>
      </w:r>
    </w:p>
    <w:p>
      <w:pPr>
        <w:ind w:firstLine="456"/>
        <w:jc w:val="both"/>
      </w:pPr>
      <w:r>
        <w:rPr>
          <w:sz w:val="21"/>
        </w:rPr>
        <w:t>4.乙方在甲方支持和协助下，统筹管理辖内所有社区养老服务设施和长者饭堂，形成“1+N”服务网络，增加嵌入式、综合性、多功能、普惠性养老服务供给，为有需要的老年人提供一站式和到户式综合养老服务。乙方应统筹整合为老资源，对上述服务设施提供业务指导、资源协调、人员培训等服务。</w:t>
      </w:r>
    </w:p>
    <w:p>
      <w:pPr>
        <w:ind w:firstLine="456"/>
        <w:jc w:val="both"/>
      </w:pPr>
      <w:r>
        <w:rPr>
          <w:sz w:val="21"/>
        </w:rPr>
        <w:t>5.乙方运营的所有服务设施设置养老服务向导点，提供养老 政策咨询、服务查询、办事指引、服务转介等服务。应与“平安通”运营机构建立服务转介机制。</w:t>
      </w:r>
    </w:p>
    <w:p>
      <w:pPr>
        <w:ind w:firstLine="456"/>
        <w:jc w:val="both"/>
      </w:pPr>
      <w:r>
        <w:rPr>
          <w:sz w:val="21"/>
        </w:rPr>
        <w:t>6.乙方提供的服务项目根据本市基本养老服务清单和政策法规要求进行动态调整。</w:t>
      </w:r>
    </w:p>
    <w:p>
      <w:pPr>
        <w:ind w:firstLine="456"/>
        <w:jc w:val="both"/>
      </w:pPr>
      <w:r>
        <w:rPr>
          <w:sz w:val="21"/>
        </w:rPr>
        <w:t>7.经双方约定，以下服务项目及服务场地由乙方免费向老年人提供：</w:t>
      </w:r>
      <w:r>
        <w:rPr>
          <w:sz w:val="21"/>
          <w:u w:val="single"/>
        </w:rPr>
        <w:t>养老服务向导、文化娱乐</w:t>
      </w:r>
      <w:r>
        <w:rPr>
          <w:sz w:val="21"/>
          <w:u w:val="single"/>
        </w:rPr>
        <w:t xml:space="preserve"> </w:t>
      </w:r>
      <w:r>
        <w:rPr>
          <w:sz w:val="21"/>
          <w:u w:val="single"/>
        </w:rPr>
        <w:t>。</w:t>
      </w:r>
    </w:p>
    <w:p>
      <w:pPr>
        <w:ind w:firstLine="458"/>
        <w:jc w:val="both"/>
      </w:pPr>
      <w:r>
        <w:rPr>
          <w:b/>
          <w:sz w:val="21"/>
        </w:rPr>
        <w:t>(四)服务指标</w:t>
      </w:r>
    </w:p>
    <w:p>
      <w:pPr>
        <w:ind w:firstLine="376"/>
        <w:jc w:val="both"/>
      </w:pPr>
      <w:r>
        <w:rPr>
          <w:sz w:val="21"/>
        </w:rPr>
        <w:t>1.乙方以服务设施为单位，每年在服务区域内开展服务对象</w:t>
      </w:r>
      <w:r>
        <w:rPr>
          <w:sz w:val="21"/>
        </w:rPr>
        <w:t xml:space="preserve"> </w:t>
      </w:r>
      <w:r>
        <w:rPr>
          <w:sz w:val="21"/>
        </w:rPr>
        <w:t>需求调查至少</w:t>
      </w:r>
      <w:r>
        <w:rPr>
          <w:sz w:val="21"/>
          <w:u w:val="single"/>
        </w:rPr>
        <w:t xml:space="preserve">   </w:t>
      </w:r>
      <w:r>
        <w:rPr>
          <w:sz w:val="21"/>
        </w:rPr>
        <w:t>次，开展线下服务宣传活动至少</w:t>
      </w:r>
      <w:r>
        <w:rPr>
          <w:sz w:val="21"/>
          <w:u w:val="single"/>
        </w:rPr>
        <w:t xml:space="preserve">    </w:t>
      </w:r>
      <w:r>
        <w:rPr>
          <w:sz w:val="21"/>
        </w:rPr>
        <w:t>场，开展</w:t>
      </w:r>
      <w:r>
        <w:rPr>
          <w:sz w:val="21"/>
        </w:rPr>
        <w:t>服务对象满意度调查至少</w:t>
      </w:r>
      <w:r>
        <w:rPr>
          <w:sz w:val="21"/>
          <w:u w:val="single"/>
        </w:rPr>
        <w:t xml:space="preserve">   </w:t>
      </w:r>
      <w:r>
        <w:rPr>
          <w:sz w:val="21"/>
        </w:rPr>
        <w:t xml:space="preserve"> </w:t>
      </w:r>
      <w:r>
        <w:rPr>
          <w:sz w:val="21"/>
        </w:rPr>
        <w:t>次。</w:t>
      </w:r>
    </w:p>
    <w:p>
      <w:pPr>
        <w:ind w:firstLine="456"/>
        <w:jc w:val="both"/>
      </w:pPr>
      <w:r>
        <w:rPr>
          <w:sz w:val="21"/>
        </w:rPr>
        <w:t>2.乙方直接为老年人提供的服务总人次不低</w:t>
      </w:r>
      <w:r>
        <w:rPr>
          <w:sz w:val="21"/>
        </w:rPr>
        <w:t>于</w:t>
      </w:r>
      <w:r>
        <w:rPr>
          <w:sz w:val="21"/>
          <w:u w:val="single"/>
        </w:rPr>
        <w:t xml:space="preserve">     </w:t>
      </w:r>
      <w:r>
        <w:rPr>
          <w:sz w:val="21"/>
        </w:rPr>
        <w:t>,</w:t>
      </w:r>
      <w:r>
        <w:rPr>
          <w:sz w:val="21"/>
        </w:rPr>
        <w:t xml:space="preserve"> </w:t>
      </w:r>
      <w:r>
        <w:rPr>
          <w:sz w:val="21"/>
        </w:rPr>
        <w:t>其中</w:t>
      </w:r>
      <w:r>
        <w:rPr>
          <w:sz w:val="21"/>
        </w:rPr>
        <w:t>自费服务对象服务总人次不低于</w:t>
      </w:r>
      <w:r>
        <w:rPr>
          <w:sz w:val="21"/>
          <w:u w:val="single"/>
        </w:rPr>
        <w:t xml:space="preserve">      </w:t>
      </w:r>
    </w:p>
    <w:p>
      <w:pPr>
        <w:ind w:firstLine="456"/>
        <w:jc w:val="both"/>
      </w:pPr>
      <w:r>
        <w:rPr>
          <w:sz w:val="21"/>
        </w:rPr>
        <w:t>3.乙方具体提供以下服务项目并完成相应指</w:t>
      </w:r>
      <w:r>
        <w:rPr>
          <w:sz w:val="21"/>
        </w:rPr>
        <w:t>标：</w:t>
      </w:r>
    </w:p>
    <w:tbl>
      <w:tblPr>
        <w:tblW w:w="0" w:type="auto"/>
        <w:tblBorders>
          <w:top w:val="none" w:color="000000" w:sz="4"/>
          <w:left w:val="none" w:color="000000" w:sz="4"/>
          <w:bottom w:val="none" w:color="000000" w:sz="4"/>
          <w:right w:val="none" w:color="000000" w:sz="4"/>
          <w:insideH w:val="none"/>
          <w:insideV w:val="none"/>
        </w:tblBorders>
      </w:tblPr>
      <w:tblGrid>
        <w:gridCol w:w="535"/>
        <w:gridCol w:w="979"/>
        <w:gridCol w:w="648"/>
        <w:gridCol w:w="3439"/>
        <w:gridCol w:w="1041"/>
        <w:gridCol w:w="833"/>
        <w:gridCol w:w="831"/>
      </w:tblGrid>
      <w:tr>
        <w:tc>
          <w:tcPr>
            <w:tcW w:type="dxa" w:w="53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79"/>
            <w:tcBorders>
              <w:top w:val="single" w:color="000000" w:sz="4"/>
              <w:left w:val="single" w:color="000000" w:sz="4"/>
              <w:bottom w:val="single" w:color="000000" w:sz="4"/>
              <w:right w:val="single" w:color="000000" w:sz="4"/>
            </w:tcBorders>
            <w:vAlign w:val="top"/>
          </w:tcPr>
          <w:p>
            <w:pPr>
              <w:jc w:val="center"/>
            </w:pPr>
            <w:r>
              <w:rPr>
                <w:sz w:val="21"/>
              </w:rPr>
              <w:t>服务类别</w:t>
            </w:r>
          </w:p>
        </w:tc>
        <w:tc>
          <w:tcPr>
            <w:tcW w:type="dxa" w:w="648"/>
            <w:tcBorders>
              <w:top w:val="single" w:color="000000" w:sz="4"/>
              <w:left w:val="single" w:color="000000" w:sz="4"/>
              <w:bottom w:val="single" w:color="000000" w:sz="4"/>
              <w:right w:val="single" w:color="000000" w:sz="4"/>
            </w:tcBorders>
            <w:vAlign w:val="top"/>
          </w:tcPr>
          <w:p>
            <w:pPr>
              <w:jc w:val="center"/>
            </w:pPr>
            <w:r>
              <w:rPr>
                <w:sz w:val="21"/>
              </w:rPr>
              <w:t>服务项目</w:t>
            </w:r>
          </w:p>
        </w:tc>
        <w:tc>
          <w:tcPr>
            <w:tcW w:type="dxa" w:w="3439"/>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1041"/>
            <w:tcBorders>
              <w:top w:val="single" w:color="000000" w:sz="4"/>
              <w:left w:val="single" w:color="000000" w:sz="4"/>
              <w:bottom w:val="single" w:color="000000" w:sz="4"/>
              <w:right w:val="single" w:color="000000" w:sz="4"/>
            </w:tcBorders>
            <w:vAlign w:val="top"/>
          </w:tcPr>
          <w:p>
            <w:pPr>
              <w:jc w:val="center"/>
            </w:pPr>
            <w:r>
              <w:rPr>
                <w:sz w:val="21"/>
              </w:rPr>
              <w:t>指标单位</w:t>
            </w:r>
          </w:p>
        </w:tc>
        <w:tc>
          <w:tcPr>
            <w:tcW w:type="dxa" w:w="833"/>
            <w:tcBorders>
              <w:top w:val="single" w:color="000000" w:sz="4"/>
              <w:left w:val="single" w:color="000000" w:sz="4"/>
              <w:bottom w:val="single" w:color="000000" w:sz="4"/>
              <w:right w:val="single" w:color="000000" w:sz="4"/>
            </w:tcBorders>
            <w:vAlign w:val="top"/>
          </w:tcPr>
          <w:p>
            <w:pPr>
              <w:jc w:val="center"/>
            </w:pPr>
            <w:r>
              <w:rPr>
                <w:sz w:val="21"/>
              </w:rPr>
              <w:t>最低量化指标</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535"/>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（通用服务）</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助洁服务</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1.居家清洁：对客厅、卧室、厨房、洗浴间、卫生间等居家环境进行清扫、清洁；</w:t>
            </w:r>
          </w:p>
          <w:p>
            <w:pPr>
              <w:jc w:val="left"/>
            </w:pPr>
            <w:r>
              <w:rPr>
                <w:sz w:val="21"/>
              </w:rPr>
              <w:t>2.物品整理：整理床铺（铺床、叠被子）及其他物品。</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1800</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可由养老护理员或家政服务员提供服务。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洗涤服务</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清洗与晾晒衣物、床上用品（床单、被套、枕套）、窗帘、毛巾等。洗涤方式分为上门洗涤和集中送洗，大件、贵重衣物可采用集中送洗方式。</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陪伴就医</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代预约挂号</w:t>
            </w:r>
            <w:r>
              <w:rPr>
                <w:sz w:val="21"/>
              </w:rPr>
              <w:t>、陪诊、协助与医生沟通、取药、缴费、陪同往返、协助出行等。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陪同外出</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户外活动陪伴，陪护行动不便的服务对象到户外活动、包括（但不限于）参加社区活动、散步、购物等。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上门做餐</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代买食材、清洗烹饪、协助进食、餐后卫生等。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代办服务</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代预约挂号、</w:t>
            </w:r>
            <w:r>
              <w:rPr>
                <w:sz w:val="21"/>
              </w:rPr>
              <w:t>银行打薄、排队；代缴纳水电、煤气、话费等；代收寄快递；代领物品；代送物品；代买生活必需品；协助报修设备及物品；协助申请相关事务等。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根据医嘱或家属要求按时提醒老年人吃药、取药，提醒就医或办理相关事务。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陪同聊天、定期探访（上门</w:t>
            </w:r>
            <w:r>
              <w:rPr>
                <w:sz w:val="21"/>
              </w:rPr>
              <w:t>/电访）。</w:t>
            </w:r>
          </w:p>
        </w:tc>
      </w:tr>
      <w:tr>
        <w:tc>
          <w:tcPr>
            <w:tcW w:type="dxa" w:w="535"/>
            <w:vMerge/>
            <w:tcBorders>
              <w:top w:val="none" w:color="000000" w:sz="4"/>
              <w:left w:val="single" w:color="000000" w:sz="4"/>
              <w:bottom w:val="single" w:color="000000" w:sz="4"/>
              <w:right w:val="single" w:color="000000" w:sz="4"/>
            </w:tcBorders>
          </w:tcP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生活照料</w:t>
            </w:r>
          </w:p>
          <w:p>
            <w:pPr>
              <w:jc w:val="both"/>
            </w:pPr>
            <w:r>
              <w:rPr>
                <w:sz w:val="21"/>
              </w:rPr>
              <w:t>（专业服务）</w:t>
            </w:r>
          </w:p>
        </w:tc>
        <w:tc>
          <w:tcPr>
            <w:tcW w:type="dxa" w:w="648"/>
            <w:tcBorders>
              <w:top w:val="none" w:color="000000" w:sz="4"/>
              <w:left w:val="single" w:color="000000" w:sz="4"/>
              <w:bottom w:val="single" w:color="000000" w:sz="4"/>
              <w:right w:val="single" w:color="000000" w:sz="4"/>
            </w:tcBorders>
            <w:vAlign w:val="top"/>
          </w:tcPr>
          <w:p>
            <w:pPr>
              <w:jc w:val="both"/>
            </w:pPr>
            <w:r>
              <w:rPr>
                <w:sz w:val="21"/>
              </w:rPr>
              <w:t>个人护理</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1.皮肤外用药物涂擦；留置尿管护理；人工肛门便袋护理；口腔清洁；协助翻身；褥疮预防；叩背排痰等；</w:t>
            </w:r>
          </w:p>
          <w:p>
            <w:pPr>
              <w:jc w:val="left"/>
            </w:pPr>
            <w:r>
              <w:rPr>
                <w:sz w:val="21"/>
              </w:rPr>
              <w:t>2.协助穿（脱）衣；洗脸；梳头；剪发；剃须；刷牙；漱口、洗手；洗足；会阴清洁；修剪指（趾）甲。</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800</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由养老护理员、康复治疗师、护士等专业人员提供服务。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转移护理</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协助床上移动；床上体位转换；轮椅转移；移动辅助器应用指导等。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排泄护理</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协助排便；更换一次性尿裤；会阴护理；留置尿管护理；人工肛门便袋护理等。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协助进餐</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喂食或帮助服务对象使用辅助器材进食，包括喂水、喂饭、鼻饲、喂药等。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助浴服务</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洗头；洗澡（温水擦浴、沐浴）；床上浴、更换衣物。</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助行服务</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协助服务对象行走、外出、散步，协助其使用助行器</w:t>
            </w:r>
            <w:r>
              <w:rPr>
                <w:sz w:val="21"/>
              </w:rPr>
              <w:t>/步行器移动。</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其他护理</w:t>
            </w:r>
          </w:p>
        </w:tc>
        <w:tc>
          <w:tcPr>
            <w:tcW w:type="dxa" w:w="3439"/>
            <w:tcBorders>
              <w:top w:val="none" w:color="000000" w:sz="4"/>
              <w:left w:val="single" w:color="000000" w:sz="4"/>
              <w:bottom w:val="single" w:color="000000" w:sz="4"/>
              <w:right w:val="single" w:color="000000" w:sz="4"/>
            </w:tcBorders>
            <w:vAlign w:val="top"/>
          </w:tcPr>
          <w:p>
            <w:pPr>
              <w:jc w:val="left"/>
            </w:pPr>
            <w:r>
              <w:rPr>
                <w:sz w:val="21"/>
              </w:rPr>
              <w:t>睡眠照顾（协助脱去衣裤就寝，盖被，定时翻身）；热水袋保暖；更换床上用品。</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日常提示</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根据医嘱或家属要求按时提醒老年人吃药、取药，提醒就医或办理相关事宜。</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情感关怀</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陪同聊天、定期探访（上门</w:t>
            </w:r>
            <w:r>
              <w:rPr>
                <w:sz w:val="21"/>
              </w:rPr>
              <w:t>/电访）。</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2</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648"/>
            <w:tcBorders>
              <w:top w:val="none" w:color="000000" w:sz="4"/>
              <w:left w:val="single" w:color="000000" w:sz="4"/>
              <w:bottom w:val="single" w:color="000000" w:sz="4"/>
              <w:right w:val="single" w:color="000000" w:sz="4"/>
            </w:tcBorders>
            <w:vAlign w:val="top"/>
          </w:tcPr>
          <w:p>
            <w:pPr>
              <w:jc w:val="both"/>
            </w:pPr>
            <w:r>
              <w:rPr>
                <w:sz w:val="21"/>
              </w:rPr>
              <w:t>集中用餐</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在社区长者饭堂集中用餐、打包外带。</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1372</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由助餐配餐点提供服务。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上门送餐</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老年助餐配餐服务机构送餐到家服务；由居家服务员协助使用网络订餐；居家服务员代购餐后送餐上门。</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3</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康复护理</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康复咨询</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健康咨询、康复咨询、康复指引。</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784</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由康复治疗师、执业护士、执业医师提供服务。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器材锻炼</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安全性高、操作简便、老人可自行开展的一般器材锻炼（如按摩椅、手指训练器、拼图、握力器等）。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肢体类康复训练（如腰椎康复训练、关节放松训练等）、认知感官类训练（如记忆力训练、认知测试等）。</w:t>
            </w:r>
          </w:p>
        </w:tc>
        <w:tc>
          <w:tcPr>
            <w:tcW w:type="dxa" w:w="1041"/>
            <w:vMerge/>
            <w:tcBorders>
              <w:top w:val="none" w:color="000000" w:sz="4"/>
              <w:left w:val="single" w:color="000000" w:sz="4"/>
              <w:bottom w:val="single" w:color="000000" w:sz="4"/>
              <w:right w:val="single" w:color="000000" w:sz="4"/>
            </w:tcBorders>
          </w:tcP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196</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康复理疗</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针灸理疗、穴位针灸、足部理疗、器械按摩、中风物理治疗、颈肩推拿、按摩推拿、拔罐刮痧。</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4</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医养康养</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健康档案</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建立健康档案，进行病历记录、个人药物记录、体检记录等，定时跟踪健康情况。</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1160</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由专业医疗机构、医护人员提供。</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预防保健</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1.提供健康咨询、饮食咨询、营养指导、锻炼指导、活动指导服务；</w:t>
            </w:r>
          </w:p>
          <w:p>
            <w:pPr>
              <w:jc w:val="both"/>
            </w:pPr>
            <w:r>
              <w:rPr>
                <w:sz w:val="21"/>
              </w:rPr>
              <w:t>2.用药指导与用药观察，日常提示吃药、取药；</w:t>
            </w:r>
          </w:p>
          <w:p>
            <w:pPr>
              <w:jc w:val="both"/>
            </w:pPr>
            <w:r>
              <w:rPr>
                <w:sz w:val="21"/>
              </w:rPr>
              <w:t>3.健康宣教、保健知识讲座、保健学习及相关的小组活动；</w:t>
            </w:r>
          </w:p>
          <w:p>
            <w:pPr>
              <w:jc w:val="both"/>
            </w:pPr>
            <w:r>
              <w:rPr>
                <w:sz w:val="21"/>
              </w:rPr>
              <w:t>4.社区义诊、上门巡诊。</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基础监测</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常规生理指数监测，如体温、血压、心率、呼吸、血糖、体重等。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健康体检</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常规体格检查、血常规、尿常规、大便常规、肝功能、肾功能、空腹血糖、血脂和心电图检测等项目。</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医疗护理</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鼻饲、物理降温、导尿、压疮护理、创口换药、吸氧、造口护理、其他专业护理项目。</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5</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文体教育</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娱乐活动</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如棋牌、歌舞、打球、书画、阅读、太极、健康操、八段锦、茶话会、生日会、游园会等。</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31"/>
            <w:vMerge w:val="restart"/>
            <w:tcBorders>
              <w:top w:val="none" w:color="000000" w:sz="4"/>
              <w:left w:val="single" w:color="000000" w:sz="4"/>
              <w:bottom w:val="single" w:color="000000" w:sz="4"/>
              <w:right w:val="single" w:color="000000" w:sz="4"/>
            </w:tcBorders>
            <w:vAlign w:val="top"/>
          </w:tcPr>
          <w:p>
            <w:pPr>
              <w:jc w:val="center"/>
            </w:pP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老年教育</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老年课堂，如钢琴、摄影、书法绘画、英语、计算机、编织、手工等。</w:t>
            </w:r>
          </w:p>
        </w:tc>
        <w:tc>
          <w:tcPr>
            <w:tcW w:type="dxa" w:w="1041"/>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vAlign w:val="top"/>
          </w:tcPr>
          <w:p>
            <w:pPr>
              <w:jc w:val="center"/>
            </w:pPr>
            <w:r>
              <w:rPr>
                <w:sz w:val="21"/>
              </w:rPr>
              <w:t>300</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6</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定期巡访</w:t>
            </w:r>
          </w:p>
        </w:tc>
        <w:tc>
          <w:tcPr>
            <w:tcW w:type="dxa" w:w="648"/>
            <w:tcBorders>
              <w:top w:val="none" w:color="000000" w:sz="4"/>
              <w:left w:val="single" w:color="000000" w:sz="4"/>
              <w:bottom w:val="single" w:color="000000" w:sz="4"/>
              <w:right w:val="single" w:color="000000" w:sz="4"/>
            </w:tcBorders>
            <w:vAlign w:val="top"/>
          </w:tcPr>
          <w:p>
            <w:pPr>
              <w:jc w:val="both"/>
            </w:pPr>
            <w:r>
              <w:rPr>
                <w:sz w:val="21"/>
              </w:rPr>
              <w:t>电话问候</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定期电话问候、聊天、遇恶劣天气提醒服务对象注意安全。</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670</w:t>
            </w:r>
          </w:p>
        </w:tc>
        <w:tc>
          <w:tcPr>
            <w:tcW w:type="dxa" w:w="831"/>
            <w:vMerge w:val="restart"/>
            <w:tcBorders>
              <w:top w:val="none" w:color="000000" w:sz="4"/>
              <w:left w:val="single" w:color="000000" w:sz="4"/>
              <w:bottom w:val="single" w:color="000000" w:sz="4"/>
              <w:right w:val="single" w:color="000000" w:sz="4"/>
            </w:tcBorders>
            <w:vAlign w:val="top"/>
          </w:tcPr>
          <w:p>
            <w:pPr>
              <w:jc w:val="center"/>
            </w:pP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关怀访视</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定期上门探访、关怀问候，排除安全隐患。</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服务回访</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定期回访，了解服务对象满意度。</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心理关怀</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提供心理上的安慰、支持、疏导等关怀服务。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个案服务</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由社工开展的紧急介入、个案辅导、探访等。</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7</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安全援助</w:t>
            </w:r>
          </w:p>
        </w:tc>
        <w:tc>
          <w:tcPr>
            <w:tcW w:type="dxa" w:w="648"/>
            <w:tcBorders>
              <w:top w:val="none" w:color="000000" w:sz="4"/>
              <w:left w:val="single" w:color="000000" w:sz="4"/>
              <w:bottom w:val="single" w:color="000000" w:sz="4"/>
              <w:right w:val="single" w:color="000000" w:sz="4"/>
            </w:tcBorders>
            <w:vAlign w:val="top"/>
          </w:tcPr>
          <w:p>
            <w:pPr>
              <w:jc w:val="both"/>
            </w:pPr>
            <w:r>
              <w:rPr>
                <w:sz w:val="21"/>
              </w:rPr>
              <w:t>紧急呼援</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主要指平安通服务，包括紧急呼援服务、定位服务、咨询转介服务、心理慰藉、定期关怀服务、提示服务等。</w:t>
            </w:r>
          </w:p>
        </w:tc>
        <w:tc>
          <w:tcPr>
            <w:tcW w:type="dxa" w:w="1041"/>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831"/>
            <w:tcBorders>
              <w:top w:val="none" w:color="000000" w:sz="4"/>
              <w:left w:val="single" w:color="000000" w:sz="4"/>
              <w:bottom w:val="single" w:color="000000" w:sz="4"/>
              <w:right w:val="single" w:color="000000" w:sz="4"/>
            </w:tcBorders>
            <w:vAlign w:val="top"/>
          </w:tcPr>
          <w:p>
            <w:pPr>
              <w:jc w:val="center"/>
            </w:pPr>
            <w:r>
              <w:rPr>
                <w:sz w:val="21"/>
              </w:rPr>
              <w:t>由平安通服务机构提供服务，服务机构需与平安通服务公司进行对接。</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居家适老化改造</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1.上门查看服务对象家居安全，进行安全评估、居家安全教育。</w:t>
            </w:r>
          </w:p>
          <w:p>
            <w:pPr>
              <w:jc w:val="both"/>
            </w:pPr>
            <w:r>
              <w:rPr>
                <w:sz w:val="21"/>
              </w:rPr>
              <w:t>2.根据《广州市老年人居家适老化改造工作实施方案》等文件要求，完成辖内特殊困难老年人家庭居家适老化改造工作，并为辖内其他有需求的老年人家庭提供居家适老化改造服务。</w:t>
            </w:r>
          </w:p>
        </w:tc>
        <w:tc>
          <w:tcPr>
            <w:tcW w:type="dxa" w:w="1041"/>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8</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老年用品服务</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展示与咨询</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拐杖、轮椅、坐便器、助行器、生活辅助器具等老年用品展示与介绍。</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提供</w:t>
            </w:r>
            <w:r>
              <w:rPr>
                <w:sz w:val="21"/>
              </w:rPr>
              <w:t>/不提供</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提供</w:t>
            </w:r>
          </w:p>
        </w:tc>
        <w:tc>
          <w:tcPr>
            <w:tcW w:type="dxa" w:w="831"/>
            <w:vMerge w:val="restart"/>
            <w:tcBorders>
              <w:top w:val="none" w:color="000000" w:sz="4"/>
              <w:left w:val="single" w:color="000000" w:sz="4"/>
              <w:bottom w:val="single" w:color="000000" w:sz="4"/>
              <w:right w:val="single" w:color="000000" w:sz="4"/>
            </w:tcBorders>
            <w:vAlign w:val="top"/>
          </w:tcPr>
          <w:p>
            <w:pPr>
              <w:jc w:val="center"/>
            </w:pPr>
            <w:r>
              <w:rPr>
                <w:sz w:val="21"/>
              </w:rPr>
              <w:t>不计入服务总工时</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辅具租赁</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助行器（四脚拐杖、三脚拐杖）、轮椅、代步车、护理床、防褥疮床垫、床面桌、制氧机、助力转移车、洗澡椅、斜躺椅、坐便椅等辅具租赁。</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捐赠与受赠</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老年用品、物资捐赠与受赠。</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9</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color w:val="000000"/>
                <w:sz w:val="21"/>
              </w:rPr>
              <w:t>临终关怀</w:t>
            </w:r>
          </w:p>
        </w:tc>
        <w:tc>
          <w:tcPr>
            <w:tcW w:type="dxa" w:w="648"/>
            <w:tcBorders>
              <w:top w:val="none" w:color="000000" w:sz="4"/>
              <w:left w:val="single" w:color="000000" w:sz="4"/>
              <w:bottom w:val="single" w:color="000000" w:sz="4"/>
              <w:right w:val="single" w:color="000000" w:sz="4"/>
            </w:tcBorders>
            <w:vAlign w:val="top"/>
          </w:tcPr>
          <w:p>
            <w:pPr>
              <w:jc w:val="both"/>
            </w:pPr>
            <w:r>
              <w:rPr>
                <w:color w:val="000000"/>
                <w:sz w:val="21"/>
              </w:rPr>
              <w:t>护理服务</w:t>
            </w:r>
          </w:p>
        </w:tc>
        <w:tc>
          <w:tcPr>
            <w:tcW w:type="dxa" w:w="3439"/>
            <w:tcBorders>
              <w:top w:val="none" w:color="000000" w:sz="4"/>
              <w:left w:val="single" w:color="000000" w:sz="4"/>
              <w:bottom w:val="single" w:color="000000" w:sz="4"/>
              <w:right w:val="single" w:color="000000" w:sz="4"/>
            </w:tcBorders>
            <w:vAlign w:val="top"/>
          </w:tcPr>
          <w:p>
            <w:pPr>
              <w:jc w:val="both"/>
            </w:pPr>
            <w:r>
              <w:rPr>
                <w:color w:val="000000"/>
                <w:sz w:val="21"/>
              </w:rPr>
              <w:t>包括护理评估、基础护理、症状特殊护理等。</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color w:val="000000"/>
                <w:sz w:val="21"/>
              </w:rPr>
              <w:t>提供</w:t>
            </w:r>
            <w:r>
              <w:rPr>
                <w:color w:val="000000"/>
                <w:sz w:val="21"/>
              </w:rPr>
              <w:t>/不提供</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color w:val="000000"/>
                <w:sz w:val="21"/>
              </w:rPr>
              <w:t>提供</w:t>
            </w:r>
          </w:p>
        </w:tc>
        <w:tc>
          <w:tcPr>
            <w:tcW w:type="dxa" w:w="831"/>
            <w:vMerge w:val="restart"/>
            <w:tcBorders>
              <w:top w:val="none" w:color="000000" w:sz="4"/>
              <w:left w:val="single" w:color="000000" w:sz="4"/>
              <w:bottom w:val="single" w:color="000000" w:sz="4"/>
              <w:right w:val="single" w:color="000000" w:sz="4"/>
            </w:tcBorders>
            <w:vAlign w:val="top"/>
          </w:tcPr>
          <w:p>
            <w:pPr>
              <w:jc w:val="center"/>
            </w:pP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color w:val="000000"/>
                <w:sz w:val="21"/>
              </w:rPr>
              <w:t>膳食服务</w:t>
            </w:r>
          </w:p>
        </w:tc>
        <w:tc>
          <w:tcPr>
            <w:tcW w:type="dxa" w:w="3439"/>
            <w:tcBorders>
              <w:top w:val="none" w:color="000000" w:sz="4"/>
              <w:left w:val="single" w:color="000000" w:sz="4"/>
              <w:bottom w:val="single" w:color="000000" w:sz="4"/>
              <w:right w:val="single" w:color="000000" w:sz="4"/>
            </w:tcBorders>
            <w:vAlign w:val="top"/>
          </w:tcPr>
          <w:p>
            <w:pPr>
              <w:jc w:val="both"/>
            </w:pPr>
            <w:r>
              <w:rPr>
                <w:color w:val="000000"/>
                <w:sz w:val="21"/>
              </w:rPr>
              <w:t>由营养师设计适宜的食谱，鼓励进食、口腔护理以及鼻饲、胃肠外静脉营养输入等。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color w:val="000000"/>
                <w:sz w:val="21"/>
              </w:rPr>
              <w:t>社会、心理、灵性照顾</w:t>
            </w:r>
          </w:p>
        </w:tc>
        <w:tc>
          <w:tcPr>
            <w:tcW w:type="dxa" w:w="3439"/>
            <w:tcBorders>
              <w:top w:val="none" w:color="000000" w:sz="4"/>
              <w:left w:val="single" w:color="000000" w:sz="4"/>
              <w:bottom w:val="single" w:color="000000" w:sz="4"/>
              <w:right w:val="single" w:color="000000" w:sz="4"/>
            </w:tcBorders>
            <w:vAlign w:val="top"/>
          </w:tcPr>
          <w:p>
            <w:pPr>
              <w:jc w:val="both"/>
            </w:pPr>
            <w:r>
              <w:rPr>
                <w:color w:val="000000"/>
                <w:sz w:val="21"/>
              </w:rPr>
              <w:t>对临终者和家属的心理、社会照顾，及灵性需求上的照顾服务。</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color w:val="000000"/>
                <w:sz w:val="21"/>
              </w:rPr>
              <w:t>善后服务</w:t>
            </w:r>
          </w:p>
        </w:tc>
        <w:tc>
          <w:tcPr>
            <w:tcW w:type="dxa" w:w="3439"/>
            <w:tcBorders>
              <w:top w:val="none" w:color="000000" w:sz="4"/>
              <w:left w:val="single" w:color="000000" w:sz="4"/>
              <w:bottom w:val="single" w:color="000000" w:sz="4"/>
              <w:right w:val="single" w:color="000000" w:sz="4"/>
            </w:tcBorders>
            <w:vAlign w:val="top"/>
          </w:tcPr>
          <w:p>
            <w:pPr>
              <w:jc w:val="both"/>
            </w:pPr>
            <w:r>
              <w:rPr>
                <w:color w:val="000000"/>
                <w:sz w:val="21"/>
              </w:rPr>
              <w:t>协助临终者家属完成殡葬事宜，帮助临终者家属进行丧亲的调适等。</w:t>
            </w:r>
          </w:p>
        </w:tc>
      </w:tr>
      <w:tr>
        <w:tc>
          <w:tcPr>
            <w:tcW w:type="dxa" w:w="535"/>
            <w:vMerge w:val="restart"/>
            <w:tcBorders>
              <w:top w:val="none" w:color="000000" w:sz="4"/>
              <w:left w:val="single" w:color="000000" w:sz="4"/>
              <w:bottom w:val="single" w:color="000000" w:sz="4"/>
              <w:right w:val="single" w:color="000000" w:sz="4"/>
            </w:tcBorders>
            <w:vAlign w:val="top"/>
          </w:tcPr>
          <w:p>
            <w:pPr>
              <w:jc w:val="both"/>
            </w:pPr>
            <w:r>
              <w:rPr>
                <w:sz w:val="21"/>
              </w:rPr>
              <w:t>10</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日间托管</w:t>
            </w:r>
          </w:p>
        </w:tc>
        <w:tc>
          <w:tcPr>
            <w:tcW w:type="dxa" w:w="648"/>
            <w:tcBorders>
              <w:top w:val="none" w:color="000000" w:sz="4"/>
              <w:left w:val="single" w:color="000000" w:sz="4"/>
              <w:bottom w:val="single" w:color="000000" w:sz="4"/>
              <w:right w:val="single" w:color="000000" w:sz="4"/>
            </w:tcBorders>
            <w:vAlign w:val="top"/>
          </w:tcPr>
          <w:p>
            <w:pPr>
              <w:jc w:val="both"/>
            </w:pPr>
            <w:r>
              <w:rPr>
                <w:sz w:val="21"/>
              </w:rPr>
              <w:t>助餐配餐</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午餐</w:t>
            </w:r>
          </w:p>
        </w:tc>
        <w:tc>
          <w:tcPr>
            <w:tcW w:type="dxa" w:w="1041"/>
            <w:vMerge w:val="restart"/>
            <w:tcBorders>
              <w:top w:val="none" w:color="000000" w:sz="4"/>
              <w:left w:val="single" w:color="000000" w:sz="4"/>
              <w:bottom w:val="single" w:color="000000" w:sz="4"/>
              <w:right w:val="single" w:color="000000" w:sz="4"/>
            </w:tcBorders>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vAlign w:val="top"/>
          </w:tcPr>
          <w:p>
            <w:pPr>
              <w:jc w:val="center"/>
            </w:pPr>
            <w:r>
              <w:rPr>
                <w:sz w:val="21"/>
              </w:rPr>
              <w:t>960</w:t>
            </w:r>
          </w:p>
        </w:tc>
        <w:tc>
          <w:tcPr>
            <w:tcW w:type="dxa" w:w="831"/>
            <w:vMerge w:val="restart"/>
            <w:tcBorders>
              <w:top w:val="none" w:color="000000" w:sz="4"/>
              <w:left w:val="single" w:color="000000" w:sz="4"/>
              <w:bottom w:val="single" w:color="000000" w:sz="4"/>
              <w:right w:val="single" w:color="000000" w:sz="4"/>
            </w:tcBorders>
            <w:vAlign w:val="top"/>
          </w:tcPr>
          <w:p>
            <w:pPr>
              <w:jc w:val="center"/>
            </w:pP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康复训练</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使用中心器械：步行器、固定单车、手臂滑轮、平衡杠、肋木、扶梯、手指训练器等器械开展的康复或保健训练。</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健康管理</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体温、血压、血糖监测，健康操运动等。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文化娱乐</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棋牌、歌舞、打球、绘画、看书、兴趣学习等。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vAlign w:val="top"/>
          </w:tcPr>
          <w:p>
            <w:pPr>
              <w:jc w:val="both"/>
            </w:pPr>
            <w:r>
              <w:rPr>
                <w:sz w:val="21"/>
              </w:rPr>
              <w:t>日间休息</w:t>
            </w:r>
          </w:p>
        </w:tc>
        <w:tc>
          <w:tcPr>
            <w:tcW w:type="dxa" w:w="3439"/>
            <w:tcBorders>
              <w:top w:val="none" w:color="000000" w:sz="4"/>
              <w:left w:val="single" w:color="000000" w:sz="4"/>
              <w:bottom w:val="single" w:color="000000" w:sz="4"/>
              <w:right w:val="single" w:color="000000" w:sz="4"/>
            </w:tcBorders>
            <w:vAlign w:val="top"/>
          </w:tcPr>
          <w:p>
            <w:pPr>
              <w:jc w:val="both"/>
            </w:pPr>
            <w:r>
              <w:rPr>
                <w:sz w:val="21"/>
              </w:rPr>
              <w:t>提供床位。</w:t>
            </w:r>
          </w:p>
        </w:tc>
        <w:tc>
          <w:tcPr>
            <w:tcW w:type="dxa" w:w="1041"/>
            <w:tcBorders>
              <w:top w:val="none" w:color="000000" w:sz="4"/>
              <w:left w:val="single" w:color="000000" w:sz="4"/>
              <w:bottom w:val="single" w:color="000000" w:sz="4"/>
              <w:right w:val="single" w:color="000000" w:sz="4"/>
            </w:tcBorders>
            <w:vAlign w:val="top"/>
          </w:tcPr>
          <w:p>
            <w:pPr>
              <w:jc w:val="center"/>
            </w:pPr>
            <w:r>
              <w:rPr>
                <w:sz w:val="21"/>
              </w:rPr>
              <w:t>床位数</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不少于总床位数的</w:t>
            </w:r>
            <w:r>
              <w:rPr>
                <w:sz w:val="21"/>
              </w:rPr>
              <w:t>10%</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535"/>
            <w:vMerge w:val="restart"/>
            <w:tcBorders>
              <w:top w:val="none" w:color="000000" w:sz="4"/>
              <w:left w:val="single" w:color="000000" w:sz="4"/>
              <w:bottom w:val="single" w:color="000000" w:sz="4"/>
              <w:right w:val="single" w:color="000000" w:sz="4"/>
            </w:tcBorders>
            <w:shd w:fill="FFFFFF"/>
            <w:vAlign w:val="top"/>
          </w:tcPr>
          <w:p>
            <w:pPr>
              <w:jc w:val="both"/>
            </w:pPr>
            <w:r>
              <w:rPr>
                <w:sz w:val="21"/>
              </w:rPr>
              <w:t>11</w:t>
            </w:r>
          </w:p>
        </w:tc>
        <w:tc>
          <w:tcPr>
            <w:tcW w:type="dxa" w:w="979"/>
            <w:vMerge w:val="restart"/>
            <w:tcBorders>
              <w:top w:val="none" w:color="000000" w:sz="4"/>
              <w:left w:val="single" w:color="000000" w:sz="4"/>
              <w:bottom w:val="single" w:color="000000" w:sz="4"/>
              <w:right w:val="single" w:color="000000" w:sz="4"/>
            </w:tcBorders>
            <w:vAlign w:val="top"/>
          </w:tcPr>
          <w:p>
            <w:pPr>
              <w:jc w:val="both"/>
            </w:pPr>
            <w:r>
              <w:rPr>
                <w:sz w:val="21"/>
              </w:rPr>
              <w:t>临时托养</w:t>
            </w: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助餐配餐</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早餐、午餐、晚餐。</w:t>
            </w:r>
          </w:p>
        </w:tc>
        <w:tc>
          <w:tcPr>
            <w:tcW w:type="dxa" w:w="1041"/>
            <w:vMerge w:val="restart"/>
            <w:tcBorders>
              <w:top w:val="none" w:color="000000" w:sz="4"/>
              <w:left w:val="single" w:color="000000" w:sz="4"/>
              <w:bottom w:val="single" w:color="000000" w:sz="4"/>
              <w:right w:val="single" w:color="000000" w:sz="4"/>
            </w:tcBorders>
            <w:shd w:fill="FFFFFF"/>
            <w:vAlign w:val="top"/>
          </w:tcPr>
          <w:p>
            <w:pPr>
              <w:jc w:val="center"/>
            </w:pPr>
            <w:r>
              <w:rPr>
                <w:sz w:val="21"/>
              </w:rPr>
              <w:t>工时</w:t>
            </w:r>
          </w:p>
        </w:tc>
        <w:tc>
          <w:tcPr>
            <w:tcW w:type="dxa" w:w="833"/>
            <w:vMerge w:val="restart"/>
            <w:tcBorders>
              <w:top w:val="none" w:color="000000" w:sz="4"/>
              <w:left w:val="single" w:color="000000" w:sz="4"/>
              <w:bottom w:val="single" w:color="000000" w:sz="4"/>
              <w:right w:val="single" w:color="000000" w:sz="4"/>
            </w:tcBorders>
            <w:shd w:fill="FFFFFF"/>
            <w:vAlign w:val="top"/>
          </w:tcPr>
          <w:p>
            <w:pPr>
              <w:jc w:val="center"/>
            </w:pPr>
            <w:r>
              <w:rPr>
                <w:sz w:val="21"/>
              </w:rPr>
              <w:t>540</w:t>
            </w:r>
          </w:p>
        </w:tc>
        <w:tc>
          <w:tcPr>
            <w:tcW w:type="dxa" w:w="831"/>
            <w:vMerge w:val="restart"/>
            <w:tcBorders>
              <w:top w:val="none" w:color="000000" w:sz="4"/>
              <w:left w:val="single" w:color="000000" w:sz="4"/>
              <w:bottom w:val="single" w:color="000000" w:sz="4"/>
              <w:right w:val="single" w:color="000000" w:sz="4"/>
            </w:tcBorders>
            <w:shd w:fill="FFFFFF"/>
            <w:vAlign w:val="top"/>
          </w:tcPr>
          <w:p>
            <w:pPr>
              <w:jc w:val="center"/>
            </w:pP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个人护理</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康复训练</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使用中心器械：步行器、固定单车、手臂滑轮、平衡杠、肋木、扶梯、手指训练器等器械开展的康复或训练。</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文化娱乐</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棋牌、歌舞、打球、绘画、看书、兴趣学习等。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医疗保健</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体温、心率、血压、血糖监测，健康操运动、用药等。</w:t>
            </w:r>
          </w:p>
        </w:tc>
      </w:tr>
      <w:tr>
        <w:tc>
          <w:tcPr>
            <w:tcW w:type="dxa" w:w="535"/>
            <w:vMerge/>
            <w:tcBorders>
              <w:top w:val="none" w:color="000000" w:sz="4"/>
              <w:left w:val="single" w:color="000000" w:sz="4"/>
              <w:bottom w:val="single" w:color="000000" w:sz="4"/>
              <w:right w:val="single" w:color="000000" w:sz="4"/>
            </w:tcBorders>
          </w:tcPr>
          <w:p/>
        </w:tc>
        <w:tc>
          <w:tcPr>
            <w:tcW w:type="dxa" w:w="979"/>
            <w:vMerge/>
            <w:tcBorders>
              <w:top w:val="none" w:color="000000" w:sz="4"/>
              <w:left w:val="single" w:color="000000" w:sz="4"/>
              <w:bottom w:val="single" w:color="000000" w:sz="4"/>
              <w:right w:val="single" w:color="000000" w:sz="4"/>
            </w:tcBorders>
          </w:tcP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夜间住宿</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提供床位。</w:t>
            </w:r>
          </w:p>
        </w:tc>
        <w:tc>
          <w:tcPr>
            <w:tcW w:type="dxa" w:w="1041"/>
            <w:tcBorders>
              <w:top w:val="none" w:color="000000" w:sz="4"/>
              <w:left w:val="single" w:color="000000" w:sz="4"/>
              <w:bottom w:val="single" w:color="000000" w:sz="4"/>
              <w:right w:val="single" w:color="000000" w:sz="4"/>
            </w:tcBorders>
            <w:shd w:fill="FFFFFF"/>
            <w:vAlign w:val="top"/>
          </w:tcPr>
          <w:p>
            <w:pPr>
              <w:jc w:val="center"/>
            </w:pPr>
            <w:r>
              <w:rPr>
                <w:sz w:val="21"/>
              </w:rPr>
              <w:t>床位数</w:t>
            </w:r>
          </w:p>
        </w:tc>
        <w:tc>
          <w:tcPr>
            <w:tcW w:type="dxa" w:w="833"/>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831"/>
            <w:tcBorders>
              <w:top w:val="none" w:color="000000" w:sz="4"/>
              <w:left w:val="single" w:color="000000" w:sz="4"/>
              <w:bottom w:val="single" w:color="000000" w:sz="4"/>
              <w:right w:val="single" w:color="000000" w:sz="4"/>
            </w:tcBorders>
            <w:shd w:fill="FFFFFF"/>
            <w:vAlign w:val="top"/>
          </w:tcPr>
          <w:p>
            <w:pPr>
              <w:jc w:val="center"/>
            </w:pPr>
          </w:p>
        </w:tc>
      </w:tr>
      <w:tr>
        <w:tc>
          <w:tcPr>
            <w:tcW w:type="dxa" w:w="535"/>
            <w:tcBorders>
              <w:top w:val="none" w:color="000000" w:sz="4"/>
              <w:left w:val="single" w:color="000000" w:sz="4"/>
              <w:bottom w:val="single" w:color="000000" w:sz="4"/>
              <w:right w:val="single" w:color="000000" w:sz="4"/>
            </w:tcBorders>
            <w:shd w:fill="FFFFFF"/>
            <w:vAlign w:val="top"/>
          </w:tcPr>
          <w:p>
            <w:pPr>
              <w:jc w:val="both"/>
            </w:pPr>
            <w:r>
              <w:rPr>
                <w:sz w:val="21"/>
              </w:rPr>
              <w:t>12</w:t>
            </w:r>
          </w:p>
        </w:tc>
        <w:tc>
          <w:tcPr>
            <w:tcW w:type="dxa" w:w="979"/>
            <w:tcBorders>
              <w:top w:val="none" w:color="000000" w:sz="4"/>
              <w:left w:val="single" w:color="000000" w:sz="4"/>
              <w:bottom w:val="single" w:color="000000" w:sz="4"/>
              <w:right w:val="single" w:color="000000" w:sz="4"/>
            </w:tcBorders>
            <w:vAlign w:val="top"/>
          </w:tcPr>
          <w:p>
            <w:pPr>
              <w:jc w:val="both"/>
            </w:pPr>
            <w:r>
              <w:rPr>
                <w:sz w:val="21"/>
              </w:rPr>
              <w:t>家庭养老床位建设</w:t>
            </w: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为辖</w:t>
            </w:r>
            <w:r>
              <w:rPr>
                <w:sz w:val="21"/>
              </w:rPr>
              <w:t>区</w:t>
            </w:r>
            <w:r>
              <w:rPr>
                <w:sz w:val="21"/>
              </w:rPr>
              <w:t>内有需求的老年人家庭提供适老化及智能化家居改造，在家中设置具备机构化服务功能的床位，根据其意愿需求提供照料护理服务。</w:t>
            </w:r>
          </w:p>
        </w:tc>
        <w:tc>
          <w:tcPr>
            <w:tcW w:type="dxa" w:w="1041"/>
            <w:tcBorders>
              <w:top w:val="none" w:color="000000" w:sz="4"/>
              <w:left w:val="single" w:color="000000" w:sz="4"/>
              <w:bottom w:val="single" w:color="000000" w:sz="4"/>
              <w:right w:val="single" w:color="000000" w:sz="4"/>
            </w:tcBorders>
            <w:shd w:fill="FFFFFF"/>
            <w:vAlign w:val="top"/>
          </w:tcPr>
          <w:p>
            <w:pPr>
              <w:jc w:val="center"/>
            </w:pPr>
            <w:r>
              <w:rPr>
                <w:sz w:val="21"/>
              </w:rPr>
              <w:t>床位数</w:t>
            </w:r>
          </w:p>
        </w:tc>
        <w:tc>
          <w:tcPr>
            <w:tcW w:type="dxa" w:w="833"/>
            <w:tcBorders>
              <w:top w:val="none" w:color="000000" w:sz="4"/>
              <w:left w:val="single" w:color="000000" w:sz="4"/>
              <w:bottom w:val="single" w:color="000000" w:sz="4"/>
              <w:right w:val="single" w:color="000000" w:sz="4"/>
            </w:tcBorders>
            <w:shd w:fill="FFFFFF"/>
            <w:vAlign w:val="top"/>
          </w:tcPr>
          <w:p>
            <w:pPr>
              <w:jc w:val="center"/>
            </w:pPr>
            <w:r>
              <w:rPr>
                <w:sz w:val="21"/>
              </w:rPr>
              <w:t>不少于上级政策任务指标数量</w:t>
            </w:r>
          </w:p>
        </w:tc>
        <w:tc>
          <w:tcPr>
            <w:tcW w:type="dxa" w:w="831"/>
            <w:tcBorders>
              <w:top w:val="none" w:color="000000" w:sz="4"/>
              <w:left w:val="single" w:color="000000" w:sz="4"/>
              <w:bottom w:val="single" w:color="000000" w:sz="4"/>
              <w:right w:val="single" w:color="000000" w:sz="4"/>
            </w:tcBorders>
            <w:shd w:fill="FFFFFF"/>
            <w:vAlign w:val="top"/>
          </w:tcPr>
          <w:p>
            <w:pPr>
              <w:jc w:val="center"/>
            </w:pPr>
          </w:p>
        </w:tc>
      </w:tr>
      <w:tr>
        <w:tc>
          <w:tcPr>
            <w:tcW w:type="dxa" w:w="535"/>
            <w:tcBorders>
              <w:top w:val="none" w:color="000000" w:sz="4"/>
              <w:left w:val="single" w:color="000000" w:sz="4"/>
              <w:bottom w:val="single" w:color="000000" w:sz="4"/>
              <w:right w:val="single" w:color="000000" w:sz="4"/>
            </w:tcBorders>
            <w:shd w:fill="FFFFFF"/>
            <w:vAlign w:val="top"/>
          </w:tcPr>
          <w:p>
            <w:pPr>
              <w:jc w:val="both"/>
            </w:pPr>
            <w:r>
              <w:rPr>
                <w:sz w:val="21"/>
              </w:rPr>
              <w:t>13</w:t>
            </w:r>
          </w:p>
        </w:tc>
        <w:tc>
          <w:tcPr>
            <w:tcW w:type="dxa" w:w="979"/>
            <w:tcBorders>
              <w:top w:val="none" w:color="000000" w:sz="4"/>
              <w:left w:val="single" w:color="000000" w:sz="4"/>
              <w:bottom w:val="single" w:color="000000" w:sz="4"/>
              <w:right w:val="single" w:color="000000" w:sz="4"/>
            </w:tcBorders>
            <w:vAlign w:val="top"/>
          </w:tcPr>
          <w:p>
            <w:pPr>
              <w:jc w:val="both"/>
            </w:pPr>
            <w:r>
              <w:rPr>
                <w:sz w:val="21"/>
              </w:rPr>
              <w:t>家庭照护培训</w:t>
            </w: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为老年人及其家庭照护者提供家庭照护技能培训。</w:t>
            </w:r>
          </w:p>
        </w:tc>
        <w:tc>
          <w:tcPr>
            <w:tcW w:type="dxa" w:w="1041"/>
            <w:tcBorders>
              <w:top w:val="none" w:color="000000" w:sz="4"/>
              <w:left w:val="single" w:color="000000" w:sz="4"/>
              <w:bottom w:val="single" w:color="000000" w:sz="4"/>
              <w:right w:val="single" w:color="000000" w:sz="4"/>
            </w:tcBorders>
            <w:shd w:fill="FFFFFF"/>
            <w:vAlign w:val="top"/>
          </w:tcPr>
          <w:p>
            <w:pPr>
              <w:jc w:val="center"/>
            </w:pPr>
            <w:r>
              <w:rPr>
                <w:sz w:val="21"/>
              </w:rPr>
              <w:t>提供</w:t>
            </w:r>
            <w:r>
              <w:rPr>
                <w:sz w:val="21"/>
              </w:rPr>
              <w:t>/不提供</w:t>
            </w:r>
          </w:p>
        </w:tc>
        <w:tc>
          <w:tcPr>
            <w:tcW w:type="dxa" w:w="833"/>
            <w:tcBorders>
              <w:top w:val="none" w:color="000000" w:sz="4"/>
              <w:left w:val="single" w:color="000000" w:sz="4"/>
              <w:bottom w:val="single" w:color="000000" w:sz="4"/>
              <w:right w:val="single" w:color="000000" w:sz="4"/>
            </w:tcBorders>
            <w:shd w:fill="FFFFFF"/>
            <w:vAlign w:val="top"/>
          </w:tcPr>
          <w:p>
            <w:pPr>
              <w:jc w:val="center"/>
            </w:pPr>
            <w:r>
              <w:rPr>
                <w:sz w:val="21"/>
              </w:rPr>
              <w:t>提供</w:t>
            </w:r>
          </w:p>
        </w:tc>
        <w:tc>
          <w:tcPr>
            <w:tcW w:type="dxa" w:w="831"/>
            <w:tcBorders>
              <w:top w:val="none" w:color="000000" w:sz="4"/>
              <w:left w:val="single" w:color="000000" w:sz="4"/>
              <w:bottom w:val="single" w:color="000000" w:sz="4"/>
              <w:right w:val="single" w:color="000000" w:sz="4"/>
            </w:tcBorders>
            <w:shd w:fill="FFFFFF"/>
            <w:vAlign w:val="top"/>
          </w:tcPr>
          <w:p>
            <w:pPr>
              <w:jc w:val="center"/>
            </w:pPr>
          </w:p>
        </w:tc>
      </w:tr>
      <w:tr>
        <w:tc>
          <w:tcPr>
            <w:tcW w:type="dxa" w:w="535"/>
            <w:tcBorders>
              <w:top w:val="none" w:color="000000" w:sz="4"/>
              <w:left w:val="single" w:color="000000" w:sz="4"/>
              <w:bottom w:val="single" w:color="000000" w:sz="4"/>
              <w:right w:val="single" w:color="000000" w:sz="4"/>
            </w:tcBorders>
            <w:shd w:fill="FFFFFF"/>
            <w:vAlign w:val="top"/>
          </w:tcPr>
          <w:p>
            <w:pPr>
              <w:jc w:val="both"/>
            </w:pPr>
            <w:r>
              <w:rPr>
                <w:sz w:val="21"/>
              </w:rPr>
              <w:t>14</w:t>
            </w:r>
          </w:p>
        </w:tc>
        <w:tc>
          <w:tcPr>
            <w:tcW w:type="dxa" w:w="979"/>
            <w:tcBorders>
              <w:top w:val="none" w:color="000000" w:sz="4"/>
              <w:left w:val="single" w:color="000000" w:sz="4"/>
              <w:bottom w:val="single" w:color="000000" w:sz="4"/>
              <w:right w:val="single" w:color="000000" w:sz="4"/>
            </w:tcBorders>
            <w:vAlign w:val="top"/>
          </w:tcPr>
          <w:p>
            <w:pPr>
              <w:jc w:val="both"/>
            </w:pPr>
            <w:r>
              <w:rPr>
                <w:sz w:val="21"/>
              </w:rPr>
              <w:t>养老服务向导</w:t>
            </w:r>
          </w:p>
        </w:tc>
        <w:tc>
          <w:tcPr>
            <w:tcW w:type="dxa" w:w="648"/>
            <w:tcBorders>
              <w:top w:val="none" w:color="000000" w:sz="4"/>
              <w:left w:val="single" w:color="000000" w:sz="4"/>
              <w:bottom w:val="single" w:color="000000" w:sz="4"/>
              <w:right w:val="single" w:color="000000" w:sz="4"/>
            </w:tcBorders>
            <w:shd w:fill="FFFFFF"/>
            <w:vAlign w:val="top"/>
          </w:tcPr>
          <w:p>
            <w:pPr>
              <w:jc w:val="both"/>
            </w:pPr>
            <w:r>
              <w:rPr>
                <w:sz w:val="21"/>
              </w:rPr>
              <w:t>/</w:t>
            </w:r>
          </w:p>
        </w:tc>
        <w:tc>
          <w:tcPr>
            <w:tcW w:type="dxa" w:w="3439"/>
            <w:tcBorders>
              <w:top w:val="none" w:color="000000" w:sz="4"/>
              <w:left w:val="single" w:color="000000" w:sz="4"/>
              <w:bottom w:val="single" w:color="000000" w:sz="4"/>
              <w:right w:val="single" w:color="000000" w:sz="4"/>
            </w:tcBorders>
            <w:shd w:fill="FFFFFF"/>
            <w:vAlign w:val="top"/>
          </w:tcPr>
          <w:p>
            <w:pPr>
              <w:jc w:val="both"/>
            </w:pPr>
            <w:r>
              <w:rPr>
                <w:sz w:val="21"/>
              </w:rPr>
              <w:t>为老年人提供养老政策咨询、服务查询、办事指引、服务转介等服务。</w:t>
            </w:r>
          </w:p>
        </w:tc>
        <w:tc>
          <w:tcPr>
            <w:tcW w:type="dxa" w:w="1041"/>
            <w:tcBorders>
              <w:top w:val="none" w:color="000000" w:sz="4"/>
              <w:left w:val="single" w:color="000000" w:sz="4"/>
              <w:bottom w:val="single" w:color="000000" w:sz="4"/>
              <w:right w:val="single" w:color="000000" w:sz="4"/>
            </w:tcBorders>
            <w:shd w:fill="FFFFFF"/>
            <w:vAlign w:val="top"/>
          </w:tcPr>
          <w:p>
            <w:pPr>
              <w:jc w:val="center"/>
            </w:pPr>
            <w:r>
              <w:rPr>
                <w:sz w:val="21"/>
              </w:rPr>
              <w:t>提供</w:t>
            </w:r>
            <w:r>
              <w:rPr>
                <w:sz w:val="21"/>
              </w:rPr>
              <w:t>/不提供</w:t>
            </w:r>
          </w:p>
        </w:tc>
        <w:tc>
          <w:tcPr>
            <w:tcW w:type="dxa" w:w="833"/>
            <w:tcBorders>
              <w:top w:val="none" w:color="000000" w:sz="4"/>
              <w:left w:val="single" w:color="000000" w:sz="4"/>
              <w:bottom w:val="single" w:color="000000" w:sz="4"/>
              <w:right w:val="single" w:color="000000" w:sz="4"/>
            </w:tcBorders>
            <w:shd w:fill="FFFFFF"/>
            <w:vAlign w:val="top"/>
          </w:tcPr>
          <w:p>
            <w:pPr>
              <w:jc w:val="center"/>
            </w:pPr>
            <w:r>
              <w:rPr>
                <w:sz w:val="21"/>
              </w:rPr>
              <w:t>提供</w:t>
            </w:r>
          </w:p>
        </w:tc>
        <w:tc>
          <w:tcPr>
            <w:tcW w:type="dxa" w:w="831"/>
            <w:tcBorders>
              <w:top w:val="none" w:color="000000" w:sz="4"/>
              <w:left w:val="single" w:color="000000" w:sz="4"/>
              <w:bottom w:val="single" w:color="000000" w:sz="4"/>
              <w:right w:val="single" w:color="000000" w:sz="4"/>
            </w:tcBorders>
            <w:shd w:fill="FFFFFF"/>
            <w:vAlign w:val="top"/>
          </w:tcPr>
          <w:p>
            <w:pPr>
              <w:jc w:val="center"/>
            </w:pPr>
          </w:p>
        </w:tc>
      </w:tr>
    </w:tbl>
    <w:p>
      <w:r>
        <w:rPr/>
        <w:t xml:space="preserve"> </w:t>
      </w:r>
    </w:p>
    <w:p/>
    <w:p>
      <w:pPr>
        <w:ind w:firstLine="446"/>
        <w:jc w:val="both"/>
      </w:pPr>
      <w:r>
        <w:rPr>
          <w:b/>
          <w:sz w:val="21"/>
        </w:rPr>
        <w:t xml:space="preserve"> </w:t>
      </w:r>
      <w:r>
        <w:rPr>
          <w:b/>
          <w:sz w:val="21"/>
        </w:rPr>
        <w:t>(五)服务人员</w:t>
      </w:r>
    </w:p>
    <w:p>
      <w:pPr>
        <w:ind w:firstLine="456"/>
        <w:jc w:val="both"/>
      </w:pPr>
      <w:r>
        <w:rPr>
          <w:sz w:val="21"/>
        </w:rPr>
        <w:t>1.人员数量</w:t>
      </w:r>
    </w:p>
    <w:p>
      <w:pPr>
        <w:ind w:firstLine="412"/>
        <w:jc w:val="both"/>
      </w:pPr>
      <w:r>
        <w:rPr>
          <w:sz w:val="21"/>
        </w:rPr>
        <w:t>乙方在服务期内保证投入的专业工作人员数量不能减</w:t>
      </w:r>
      <w:r>
        <w:rPr>
          <w:sz w:val="21"/>
        </w:rPr>
        <w:t>少，</w:t>
      </w:r>
      <w:r>
        <w:rPr>
          <w:sz w:val="21"/>
        </w:rPr>
        <w:t xml:space="preserve"> </w:t>
      </w:r>
      <w:r>
        <w:rPr>
          <w:sz w:val="21"/>
        </w:rPr>
        <w:t>保证达到响应时承诺投入的人员水平标准，服务期</w:t>
      </w:r>
      <w:r>
        <w:rPr>
          <w:sz w:val="21"/>
        </w:rPr>
        <w:t>中如有人事</w:t>
      </w:r>
      <w:r>
        <w:rPr>
          <w:sz w:val="21"/>
        </w:rPr>
        <w:t>变动的，同一工作岗位人员空档时间累计不得超过</w:t>
      </w:r>
      <w:r>
        <w:rPr>
          <w:sz w:val="21"/>
        </w:rPr>
        <w:t>2个月。</w:t>
      </w:r>
    </w:p>
    <w:p>
      <w:pPr>
        <w:ind w:firstLine="456"/>
        <w:jc w:val="both"/>
      </w:pPr>
      <w:r>
        <w:rPr>
          <w:sz w:val="21"/>
        </w:rPr>
        <w:t>(1)为区综合养老服务中心/街道(镇)综合养老服务中心 (颐康中心)配备不少于</w:t>
      </w:r>
      <w:r>
        <w:rPr>
          <w:sz w:val="21"/>
          <w:u w:val="single"/>
        </w:rPr>
        <w:t xml:space="preserve">   </w:t>
      </w:r>
      <w:r>
        <w:rPr>
          <w:sz w:val="21"/>
        </w:rPr>
        <w:t>名工作人员，其中，专职人员不少于</w:t>
      </w:r>
      <w:r>
        <w:rPr>
          <w:sz w:val="21"/>
          <w:u w:val="single"/>
        </w:rPr>
        <w:t xml:space="preserve">    </w:t>
      </w:r>
      <w:r>
        <w:rPr>
          <w:sz w:val="21"/>
        </w:rPr>
        <w:t>人；</w:t>
      </w:r>
      <w:r>
        <w:rPr>
          <w:sz w:val="21"/>
        </w:rPr>
        <w:t>执业医师</w:t>
      </w:r>
      <w:r>
        <w:rPr>
          <w:sz w:val="21"/>
          <w:u w:val="single"/>
        </w:rPr>
        <w:t xml:space="preserve">    </w:t>
      </w:r>
      <w:r>
        <w:rPr>
          <w:sz w:val="21"/>
        </w:rPr>
        <w:t>人，执业护士</w:t>
      </w:r>
      <w:r>
        <w:rPr>
          <w:sz w:val="21"/>
          <w:u w:val="single"/>
        </w:rPr>
        <w:t xml:space="preserve">    </w:t>
      </w:r>
      <w:r>
        <w:rPr>
          <w:sz w:val="21"/>
        </w:rPr>
        <w:t>人，康复治疗师</w:t>
      </w:r>
      <w:r>
        <w:rPr>
          <w:sz w:val="21"/>
          <w:u w:val="single"/>
        </w:rPr>
        <w:t xml:space="preserve">    </w:t>
      </w:r>
      <w:r>
        <w:rPr>
          <w:sz w:val="21"/>
        </w:rPr>
        <w:t>人，</w:t>
      </w:r>
    </w:p>
    <w:p>
      <w:pPr>
        <w:jc w:val="left"/>
      </w:pPr>
      <w:r>
        <w:rPr>
          <w:sz w:val="21"/>
        </w:rPr>
        <w:t>社会工作师</w:t>
      </w:r>
      <w:r>
        <w:rPr>
          <w:sz w:val="21"/>
          <w:u w:val="single"/>
        </w:rPr>
        <w:t xml:space="preserve">    </w:t>
      </w:r>
      <w:r>
        <w:rPr>
          <w:sz w:val="21"/>
        </w:rPr>
        <w:t>人，养老护理员</w:t>
      </w:r>
      <w:r>
        <w:rPr>
          <w:sz w:val="21"/>
          <w:u w:val="single"/>
        </w:rPr>
        <w:t xml:space="preserve">    </w:t>
      </w:r>
      <w:r>
        <w:rPr>
          <w:sz w:val="21"/>
        </w:rPr>
        <w:t>人，养老服务向导</w:t>
      </w:r>
      <w:r>
        <w:rPr>
          <w:sz w:val="21"/>
          <w:u w:val="single"/>
        </w:rPr>
        <w:t xml:space="preserve">   </w:t>
      </w:r>
      <w:r>
        <w:rPr>
          <w:sz w:val="21"/>
        </w:rPr>
        <w:t>人；</w:t>
      </w:r>
    </w:p>
    <w:p>
      <w:pPr>
        <w:ind w:firstLine="456"/>
        <w:jc w:val="both"/>
      </w:pPr>
      <w:r>
        <w:rPr>
          <w:sz w:val="21"/>
        </w:rPr>
        <w:t>(2)为每个社区颐康服务站配备不少于</w:t>
      </w:r>
      <w:r>
        <w:rPr>
          <w:sz w:val="21"/>
          <w:u w:val="single"/>
        </w:rPr>
        <w:t xml:space="preserve">     </w:t>
      </w:r>
      <w:r>
        <w:rPr>
          <w:sz w:val="21"/>
        </w:rPr>
        <w:t>名专</w:t>
      </w:r>
      <w:r>
        <w:rPr>
          <w:sz w:val="21"/>
        </w:rPr>
        <w:t>( 兼 ) 职工作人员负责日常管理。</w:t>
      </w:r>
    </w:p>
    <w:p>
      <w:pPr>
        <w:ind w:firstLine="456"/>
        <w:jc w:val="both"/>
      </w:pPr>
      <w:r>
        <w:rPr>
          <w:sz w:val="21"/>
        </w:rPr>
        <w:t>(3)为区级/街镇级服务设施配备专职的项目负责人，</w:t>
      </w:r>
      <w:r>
        <w:rPr>
          <w:sz w:val="21"/>
          <w:u w:val="single"/>
        </w:rPr>
        <w:t>项目负责人应具备大专以上学历并有</w:t>
      </w:r>
      <w:r>
        <w:rPr>
          <w:sz w:val="21"/>
          <w:u w:val="single"/>
        </w:rPr>
        <w:t>2年以上养老行业工作经验，</w:t>
      </w:r>
      <w:r>
        <w:rPr>
          <w:sz w:val="21"/>
        </w:rPr>
        <w:t>除本项目外不得同时兼任其他居家社区养老项目负责人。</w:t>
      </w:r>
    </w:p>
    <w:p>
      <w:pPr>
        <w:ind w:firstLine="456"/>
        <w:jc w:val="both"/>
      </w:pPr>
      <w:r>
        <w:rPr>
          <w:sz w:val="21"/>
        </w:rPr>
        <w:t>2.人员资质</w:t>
      </w:r>
    </w:p>
    <w:p>
      <w:pPr>
        <w:ind w:firstLine="456"/>
        <w:jc w:val="both"/>
      </w:pPr>
      <w:r>
        <w:rPr>
          <w:sz w:val="21"/>
        </w:rPr>
        <w:t>(1)乙方应配备与服务和运营相适应且具备相应从业资格的养老护理员、医师、护士、康复治疗师、社工等人员。其中：</w:t>
      </w:r>
    </w:p>
    <w:p>
      <w:pPr>
        <w:ind w:firstLine="456"/>
        <w:jc w:val="both"/>
      </w:pPr>
      <w:r>
        <w:rPr>
          <w:sz w:val="21"/>
        </w:rPr>
        <w:t>①提供医养康养、康复护理类服务的，应配备执业医生、执业护士、康复治疗师等专业人员；</w:t>
      </w:r>
    </w:p>
    <w:p>
      <w:pPr>
        <w:ind w:firstLine="456"/>
        <w:jc w:val="both"/>
      </w:pPr>
      <w:r>
        <w:rPr>
          <w:sz w:val="21"/>
        </w:rPr>
        <w:t>②提供助餐配餐服务的，从事接触直接入口食品工作的食品生产经营人员100%持有有效健康证；</w:t>
      </w:r>
    </w:p>
    <w:p>
      <w:pPr>
        <w:ind w:firstLine="456"/>
        <w:jc w:val="both"/>
      </w:pPr>
      <w:r>
        <w:rPr>
          <w:sz w:val="21"/>
        </w:rPr>
        <w:t>③养老服务向导应经民政部门培训后上岗；</w:t>
      </w:r>
    </w:p>
    <w:p>
      <w:pPr>
        <w:ind w:firstLine="456"/>
        <w:jc w:val="both"/>
      </w:pPr>
      <w:r>
        <w:rPr>
          <w:sz w:val="21"/>
        </w:rPr>
        <w:t>④养老护理员持证率100%；</w:t>
      </w:r>
    </w:p>
    <w:p>
      <w:pPr>
        <w:ind w:firstLine="456"/>
        <w:jc w:val="both"/>
      </w:pPr>
      <w:r>
        <w:rPr>
          <w:sz w:val="21"/>
        </w:rPr>
        <w:t>⑤由具有财会专业教育背景或持有财会职业资格证书的财务人员管理财务。</w:t>
      </w:r>
    </w:p>
    <w:p>
      <w:pPr>
        <w:ind w:firstLine="456"/>
        <w:jc w:val="both"/>
      </w:pPr>
      <w:r>
        <w:rPr>
          <w:sz w:val="21"/>
        </w:rPr>
        <w:t>(2)所有工作人员上岗前需接受不少于10学时的岗前培训，每年在岗培训时间不少于12学时。</w:t>
      </w:r>
    </w:p>
    <w:p>
      <w:pPr>
        <w:ind w:firstLine="456"/>
        <w:jc w:val="both"/>
      </w:pPr>
      <w:r>
        <w:rPr>
          <w:sz w:val="21"/>
        </w:rPr>
        <w:t>(3)乙方人员应当严格遵守本机构规章制度以及相关法律法规、职业操守、职业道德等，尊重服务对象，运用专业知识和技巧开展服务。</w:t>
      </w:r>
    </w:p>
    <w:p>
      <w:pPr>
        <w:ind w:firstLine="446"/>
        <w:jc w:val="both"/>
      </w:pPr>
      <w:r>
        <w:rPr>
          <w:b/>
          <w:sz w:val="21"/>
        </w:rPr>
        <w:t>(六)运营管理</w:t>
      </w:r>
    </w:p>
    <w:p>
      <w:pPr>
        <w:ind w:firstLine="456"/>
        <w:jc w:val="both"/>
      </w:pPr>
      <w:r>
        <w:rPr>
          <w:sz w:val="21"/>
        </w:rPr>
        <w:t>(1)乙方开展全托服务的，应当按照规定进行</w:t>
      </w:r>
      <w:r>
        <w:rPr>
          <w:sz w:val="21"/>
        </w:rPr>
        <w:t>养老机构备</w:t>
      </w:r>
      <w:r>
        <w:rPr>
          <w:sz w:val="21"/>
        </w:rPr>
        <w:t>案，并按养老机构相关政策和规范开展服务。</w:t>
      </w:r>
    </w:p>
    <w:p>
      <w:pPr>
        <w:ind w:firstLine="428"/>
        <w:jc w:val="both"/>
      </w:pPr>
      <w:r>
        <w:rPr>
          <w:sz w:val="21"/>
        </w:rPr>
        <w:t>(2)乙方应当规范使用广州市养老服务专用标识，在提供</w:t>
      </w:r>
      <w:r>
        <w:rPr>
          <w:sz w:val="21"/>
        </w:rPr>
        <w:t>的服务场地室外醒目位置悬挂由区民政部门编号管理的全市统</w:t>
      </w:r>
      <w:r>
        <w:rPr>
          <w:sz w:val="21"/>
        </w:rPr>
        <w:t>一养老标识。</w:t>
      </w:r>
    </w:p>
    <w:p>
      <w:pPr>
        <w:ind w:firstLine="456"/>
        <w:jc w:val="both"/>
      </w:pPr>
      <w:r>
        <w:rPr>
          <w:sz w:val="21"/>
        </w:rPr>
        <w:t>(3)乙方应建立并实施相应安全管理制度，包括消防安全、服务防护、食品安全、感染控制、信息安全等方面。</w:t>
      </w:r>
    </w:p>
    <w:p>
      <w:pPr>
        <w:ind w:firstLine="480"/>
        <w:jc w:val="both"/>
      </w:pPr>
      <w:r>
        <w:rPr>
          <w:sz w:val="21"/>
        </w:rPr>
        <w:t>(4)乙方应按规范使用广州市为老服务综合平台开展服</w:t>
      </w:r>
      <w:r>
        <w:rPr>
          <w:sz w:val="21"/>
        </w:rPr>
        <w:t>务，确保服务数据、服务机构、服务设施、工作人员等信息</w:t>
      </w:r>
      <w:r>
        <w:rPr>
          <w:sz w:val="21"/>
        </w:rPr>
        <w:t>100%</w:t>
      </w:r>
      <w:r>
        <w:rPr>
          <w:sz w:val="21"/>
        </w:rPr>
        <w:t>录入系统，并对数据的真实性、完整性、准确性负责。</w:t>
      </w:r>
    </w:p>
    <w:p>
      <w:pPr>
        <w:ind w:firstLine="452"/>
        <w:jc w:val="both"/>
      </w:pPr>
      <w:r>
        <w:rPr>
          <w:sz w:val="21"/>
        </w:rPr>
        <w:t>(5)乙方承办区、街(镇)综合养老服务中心/颐康服务站</w:t>
      </w:r>
      <w:r>
        <w:rPr>
          <w:sz w:val="21"/>
        </w:rPr>
        <w:t>开展服务，应与甲方协商定价，收费标准符合普惠性养老服务</w:t>
      </w:r>
      <w:r>
        <w:rPr>
          <w:sz w:val="21"/>
        </w:rPr>
        <w:t>要求，其中全托服务月收费标准</w:t>
      </w:r>
      <w:r>
        <w:rPr>
          <w:sz w:val="21"/>
        </w:rPr>
        <w:t>(不含特需照护)不得高于广</w:t>
      </w:r>
      <w:r>
        <w:rPr>
          <w:sz w:val="21"/>
        </w:rPr>
        <w:t>州城市常住居民上年度月人均可支配收入的</w:t>
      </w:r>
      <w:r>
        <w:rPr>
          <w:sz w:val="21"/>
        </w:rPr>
        <w:t>1.5倍或</w:t>
      </w:r>
      <w:r>
        <w:rPr>
          <w:sz w:val="21"/>
        </w:rPr>
        <w:t>整体收费价</w:t>
      </w:r>
      <w:r>
        <w:rPr>
          <w:sz w:val="21"/>
        </w:rPr>
        <w:t>格不超过同等市场化价格的</w:t>
      </w:r>
      <w:r>
        <w:rPr>
          <w:sz w:val="21"/>
        </w:rPr>
        <w:t>70%。乙方调整收费标准</w:t>
      </w:r>
      <w:r>
        <w:rPr>
          <w:sz w:val="21"/>
        </w:rPr>
        <w:t>的，应经甲</w:t>
      </w:r>
      <w:r>
        <w:rPr>
          <w:sz w:val="21"/>
        </w:rPr>
        <w:t>方书面同意后方可按最新收费标准执行。服务收费标准应在服</w:t>
      </w:r>
      <w:r>
        <w:rPr>
          <w:sz w:val="21"/>
        </w:rPr>
        <w:t>务</w:t>
      </w:r>
      <w:r>
        <w:rPr>
          <w:sz w:val="21"/>
        </w:rPr>
        <w:t>设施醒目位置进行公示。</w:t>
      </w:r>
    </w:p>
    <w:p>
      <w:pPr>
        <w:ind w:firstLine="382"/>
        <w:jc w:val="both"/>
      </w:pPr>
      <w:r>
        <w:rPr>
          <w:b/>
          <w:sz w:val="21"/>
        </w:rPr>
        <w:t>三、项目费用及支付方式</w:t>
      </w:r>
    </w:p>
    <w:p>
      <w:pPr>
        <w:ind w:firstLine="456"/>
        <w:jc w:val="both"/>
      </w:pPr>
      <w:r>
        <w:rPr>
          <w:sz w:val="21"/>
        </w:rPr>
        <w:t>本项目经费含服务设施运营经费、资助对象资助经费、服</w:t>
      </w:r>
      <w:r>
        <w:rPr>
          <w:sz w:val="21"/>
        </w:rPr>
        <w:t>务奖励经费、设施建设经费、租金补贴及由项目开展</w:t>
      </w:r>
      <w:r>
        <w:rPr>
          <w:sz w:val="21"/>
        </w:rPr>
        <w:t>而产生的</w:t>
      </w:r>
      <w:r>
        <w:rPr>
          <w:sz w:val="21"/>
        </w:rPr>
        <w:t>其他费用，由甲方按照下列方式向乙方支付，具体如下：</w:t>
      </w:r>
    </w:p>
    <w:p>
      <w:pPr>
        <w:ind w:firstLine="446"/>
        <w:jc w:val="both"/>
      </w:pPr>
      <w:r>
        <w:rPr>
          <w:b/>
          <w:sz w:val="21"/>
        </w:rPr>
        <w:t>(一)运营经费。</w:t>
      </w:r>
    </w:p>
    <w:p>
      <w:pPr>
        <w:ind w:firstLine="484"/>
        <w:jc w:val="both"/>
      </w:pPr>
      <w:r>
        <w:rPr>
          <w:sz w:val="21"/>
        </w:rPr>
        <w:t>本项目运营经费合计</w:t>
      </w:r>
      <w:r>
        <w:rPr>
          <w:sz w:val="21"/>
        </w:rPr>
        <w:t xml:space="preserve"> </w:t>
      </w:r>
      <w:r>
        <w:rPr>
          <w:sz w:val="21"/>
          <w:u w:val="single"/>
        </w:rPr>
        <w:t xml:space="preserve">    </w:t>
      </w:r>
      <w:r>
        <w:rPr>
          <w:sz w:val="21"/>
        </w:rPr>
        <w:t xml:space="preserve"> </w:t>
      </w:r>
      <w:r>
        <w:rPr>
          <w:sz w:val="21"/>
        </w:rPr>
        <w:t>万元</w:t>
      </w:r>
      <w:r>
        <w:rPr>
          <w:sz w:val="21"/>
        </w:rPr>
        <w:t>(</w:t>
      </w:r>
      <w:r>
        <w:rPr>
          <w:sz w:val="21"/>
        </w:rPr>
        <w:t xml:space="preserve"> </w:t>
      </w:r>
      <w:r>
        <w:rPr>
          <w:sz w:val="21"/>
          <w:u w:val="single"/>
        </w:rPr>
        <w:t xml:space="preserve">  </w:t>
      </w:r>
      <w:r>
        <w:rPr>
          <w:sz w:val="21"/>
        </w:rPr>
        <w:t xml:space="preserve"> </w:t>
      </w:r>
      <w:r>
        <w:rPr>
          <w:sz w:val="21"/>
        </w:rPr>
        <w:t>年</w:t>
      </w:r>
      <w:r>
        <w:rPr>
          <w:sz w:val="21"/>
        </w:rPr>
        <w:t>),本年度拨付</w:t>
      </w:r>
      <w:r>
        <w:rPr>
          <w:sz w:val="21"/>
          <w:u w:val="single"/>
        </w:rPr>
        <w:t xml:space="preserve">  </w:t>
      </w:r>
      <w:r>
        <w:rPr>
          <w:sz w:val="21"/>
        </w:rPr>
        <w:t xml:space="preserve"> </w:t>
      </w:r>
      <w:r>
        <w:rPr>
          <w:sz w:val="21"/>
        </w:rPr>
        <w:t>万</w:t>
      </w:r>
      <w:r>
        <w:rPr>
          <w:sz w:val="21"/>
        </w:rPr>
        <w:t>元，包含人员经费、服务支持经费、专业支持经费、办公经费、</w:t>
      </w:r>
      <w:r>
        <w:rPr>
          <w:sz w:val="21"/>
        </w:rPr>
        <w:t>设备维护经费及由项目开展而产生的其他费用。</w:t>
      </w:r>
    </w:p>
    <w:p>
      <w:pPr>
        <w:ind w:firstLine="476"/>
        <w:jc w:val="both"/>
      </w:pPr>
      <w:r>
        <w:rPr>
          <w:sz w:val="21"/>
        </w:rPr>
        <w:t>(1)第一笔款项：协议生效后在乙方开具等额有效的税务</w:t>
      </w:r>
      <w:r>
        <w:rPr>
          <w:sz w:val="21"/>
        </w:rPr>
        <w:t>发票给甲方的</w:t>
      </w:r>
      <w:r>
        <w:rPr>
          <w:sz w:val="21"/>
          <w:u w:val="single"/>
        </w:rPr>
        <w:t xml:space="preserve">  </w:t>
      </w:r>
      <w:r>
        <w:rPr>
          <w:sz w:val="21"/>
        </w:rPr>
        <w:t xml:space="preserve"> </w:t>
      </w:r>
      <w:r>
        <w:rPr>
          <w:sz w:val="21"/>
        </w:rPr>
        <w:t>个工作日内，甲方向乙方支付本年度运营经费</w:t>
      </w:r>
      <w:r>
        <w:rPr>
          <w:sz w:val="21"/>
        </w:rPr>
        <w:t>的</w:t>
      </w:r>
      <w:r>
        <w:rPr>
          <w:sz w:val="21"/>
        </w:rPr>
        <w:t xml:space="preserve"> </w:t>
      </w:r>
      <w:r>
        <w:rPr>
          <w:sz w:val="21"/>
          <w:u w:val="single"/>
        </w:rPr>
        <w:t xml:space="preserve">  </w:t>
      </w:r>
      <w:r>
        <w:rPr>
          <w:sz w:val="21"/>
        </w:rPr>
        <w:t>%,即人民币(大写)</w:t>
      </w:r>
      <w:r>
        <w:rPr>
          <w:sz w:val="21"/>
        </w:rPr>
        <w:t xml:space="preserve"> </w:t>
      </w:r>
      <w:r>
        <w:rPr>
          <w:sz w:val="21"/>
          <w:u w:val="single"/>
        </w:rPr>
        <w:t xml:space="preserve">  </w:t>
      </w:r>
      <w:r>
        <w:rPr>
          <w:sz w:val="21"/>
        </w:rPr>
        <w:t xml:space="preserve"> </w:t>
      </w:r>
      <w:r>
        <w:rPr>
          <w:sz w:val="21"/>
        </w:rPr>
        <w:t>元</w:t>
      </w:r>
      <w:r>
        <w:rPr>
          <w:sz w:val="21"/>
        </w:rPr>
        <w:t>(</w:t>
      </w:r>
      <w:r>
        <w:rPr>
          <w:sz w:val="21"/>
        </w:rPr>
        <w:t xml:space="preserve"> </w:t>
      </w:r>
      <w:r>
        <w:rPr>
          <w:sz w:val="21"/>
        </w:rPr>
        <w:t>¥  )；</w:t>
      </w:r>
    </w:p>
    <w:p>
      <w:pPr>
        <w:ind w:firstLine="476"/>
        <w:jc w:val="both"/>
      </w:pPr>
      <w:r>
        <w:rPr>
          <w:sz w:val="21"/>
        </w:rPr>
        <w:t>(2)第二笔款项：项目运营期满后，甲方验收确认乙方完</w:t>
      </w:r>
      <w:r>
        <w:rPr>
          <w:sz w:val="21"/>
        </w:rPr>
        <w:t>成本项目内容，在乙方开具等额有效的税务发票给甲方的</w:t>
      </w:r>
      <w:r>
        <w:rPr>
          <w:sz w:val="21"/>
        </w:rPr>
        <w:t xml:space="preserve"> </w:t>
      </w:r>
      <w:r>
        <w:rPr>
          <w:sz w:val="21"/>
          <w:u w:val="single"/>
        </w:rPr>
        <w:t xml:space="preserve">  </w:t>
      </w:r>
      <w:r>
        <w:rPr>
          <w:sz w:val="21"/>
        </w:rPr>
        <w:t>个</w:t>
      </w:r>
      <w:r>
        <w:rPr>
          <w:sz w:val="21"/>
        </w:rPr>
        <w:t>工作日内，向乙方支付本年度运营经费的</w:t>
      </w:r>
      <w:r>
        <w:rPr>
          <w:sz w:val="21"/>
          <w:u w:val="single"/>
        </w:rPr>
        <w:t xml:space="preserve">  </w:t>
      </w:r>
      <w:r>
        <w:rPr>
          <w:sz w:val="21"/>
        </w:rPr>
        <w:t xml:space="preserve"> </w:t>
      </w:r>
      <w:r>
        <w:rPr>
          <w:sz w:val="21"/>
        </w:rPr>
        <w:t>%,即人民币(大写)</w:t>
      </w:r>
      <w:r>
        <w:rPr>
          <w:sz w:val="21"/>
          <w:u w:val="single"/>
        </w:rPr>
        <w:t xml:space="preserve">    </w:t>
      </w:r>
      <w:r>
        <w:rPr>
          <w:sz w:val="21"/>
        </w:rPr>
        <w:t xml:space="preserve"> </w:t>
      </w:r>
      <w:r>
        <w:rPr>
          <w:sz w:val="21"/>
        </w:rPr>
        <w:t>元</w:t>
      </w:r>
      <w:r>
        <w:rPr>
          <w:sz w:val="21"/>
        </w:rPr>
        <w:t xml:space="preserve"> </w:t>
      </w:r>
      <w:r>
        <w:rPr>
          <w:sz w:val="21"/>
        </w:rPr>
        <w:t>(</w:t>
      </w:r>
      <w:r>
        <w:rPr>
          <w:sz w:val="21"/>
        </w:rPr>
        <w:t xml:space="preserve"> </w:t>
      </w:r>
      <w:r>
        <w:rPr>
          <w:sz w:val="21"/>
        </w:rPr>
        <w:t>¥</w:t>
      </w:r>
      <w:r>
        <w:rPr>
          <w:sz w:val="21"/>
        </w:rPr>
        <w:t xml:space="preserve">  </w:t>
      </w:r>
      <w:r>
        <w:rPr>
          <w:sz w:val="21"/>
        </w:rPr>
        <w:t>)。</w:t>
      </w:r>
    </w:p>
    <w:p>
      <w:pPr>
        <w:ind w:firstLine="498"/>
        <w:jc w:val="both"/>
      </w:pPr>
      <w:r>
        <w:rPr>
          <w:b/>
          <w:sz w:val="21"/>
        </w:rPr>
        <w:t>(二)政府购买服务资助。</w:t>
      </w:r>
      <w:r>
        <w:rPr>
          <w:sz w:val="21"/>
        </w:rPr>
        <w:t>乙方的服务对象属《广州市居</w:t>
      </w:r>
      <w:r>
        <w:rPr>
          <w:sz w:val="21"/>
        </w:rPr>
        <w:t>家社区养老服务管理办法》规定的政府购买服务资助对象的，</w:t>
      </w:r>
      <w:r>
        <w:rPr>
          <w:sz w:val="21"/>
        </w:rPr>
        <w:t>资助标准按规定执行。资助费用由甲方按照财务</w:t>
      </w:r>
      <w:r>
        <w:rPr>
          <w:sz w:val="21"/>
        </w:rPr>
        <w:t>管理规定，以</w:t>
      </w:r>
      <w:r>
        <w:rPr>
          <w:sz w:val="21"/>
        </w:rPr>
        <w:t>乙方与资助对象的服务协议、市为老服务平台服务记录为依据，</w:t>
      </w:r>
      <w:r>
        <w:rPr>
          <w:sz w:val="21"/>
        </w:rPr>
        <w:t>每月支付给乙方。</w:t>
      </w:r>
    </w:p>
    <w:p>
      <w:pPr>
        <w:ind w:firstLine="502"/>
        <w:jc w:val="both"/>
      </w:pPr>
      <w:r>
        <w:rPr>
          <w:b/>
          <w:sz w:val="21"/>
        </w:rPr>
        <w:t>(三)服务奖励。</w:t>
      </w:r>
      <w:r>
        <w:rPr>
          <w:sz w:val="21"/>
        </w:rPr>
        <w:t>乙方运营</w:t>
      </w:r>
      <w:r>
        <w:rPr>
          <w:sz w:val="21"/>
          <w:u w:val="single"/>
        </w:rPr>
        <w:t>区级、街道</w:t>
      </w:r>
      <w:r>
        <w:rPr>
          <w:sz w:val="21"/>
          <w:u w:val="single"/>
        </w:rPr>
        <w:t>(镇)级、社区</w:t>
      </w:r>
      <w:r>
        <w:rPr>
          <w:sz w:val="21"/>
          <w:u w:val="single"/>
        </w:rPr>
        <w:t>(村)</w:t>
      </w:r>
      <w:r>
        <w:rPr>
          <w:sz w:val="21"/>
        </w:rPr>
        <w:t xml:space="preserve"> </w:t>
      </w:r>
      <w:r>
        <w:rPr>
          <w:sz w:val="21"/>
          <w:u w:val="single"/>
        </w:rPr>
        <w:t>级</w:t>
      </w:r>
      <w:r>
        <w:rPr>
          <w:sz w:val="21"/>
        </w:rPr>
        <w:t>服务设施且经民政部门组织评估为合格及以上等级的，可以根据《广州市居家社区养老服务管理办法》规定享受相应等级的服务奖励，运营时间不足或超出</w:t>
      </w:r>
      <w:r>
        <w:rPr>
          <w:sz w:val="21"/>
        </w:rPr>
        <w:t>12个月的按比例支付</w:t>
      </w:r>
      <w:r>
        <w:rPr>
          <w:sz w:val="21"/>
        </w:rPr>
        <w:t>奖励资</w:t>
      </w:r>
      <w:r>
        <w:rPr>
          <w:sz w:val="21"/>
        </w:rPr>
        <w:t>金。服务奖励由甲方按照《广州市居家社区养老服务管理</w:t>
      </w:r>
      <w:r>
        <w:rPr>
          <w:sz w:val="21"/>
        </w:rPr>
        <w:t>办法》</w:t>
      </w:r>
      <w:r>
        <w:rPr>
          <w:sz w:val="21"/>
        </w:rPr>
        <w:t>和财政相关规定拨付给乙方。</w:t>
      </w:r>
    </w:p>
    <w:p>
      <w:pPr>
        <w:ind w:firstLine="502"/>
        <w:jc w:val="both"/>
      </w:pPr>
      <w:r>
        <w:rPr>
          <w:b/>
          <w:sz w:val="21"/>
        </w:rPr>
        <w:t>(四)建设经费。</w:t>
      </w:r>
      <w:r>
        <w:rPr>
          <w:sz w:val="21"/>
        </w:rPr>
        <w:t xml:space="preserve"> </w:t>
      </w:r>
      <w:r>
        <w:rPr>
          <w:sz w:val="21"/>
        </w:rPr>
        <w:t>由甲方</w:t>
      </w:r>
      <w:r>
        <w:rPr>
          <w:sz w:val="21"/>
        </w:rPr>
        <w:t xml:space="preserve"> </w:t>
      </w:r>
      <w:r>
        <w:rPr>
          <w:sz w:val="21"/>
          <w:u w:val="single"/>
        </w:rPr>
        <w:t xml:space="preserve">    </w:t>
      </w:r>
      <w:r>
        <w:rPr>
          <w:sz w:val="21"/>
        </w:rPr>
        <w:t xml:space="preserve"> </w:t>
      </w:r>
      <w:r>
        <w:rPr>
          <w:sz w:val="21"/>
        </w:rPr>
        <w:t>(一次性、分期)向乙方支</w:t>
      </w:r>
      <w:r>
        <w:rPr>
          <w:sz w:val="21"/>
        </w:rPr>
        <w:t>付建设经费</w:t>
      </w:r>
      <w:r>
        <w:rPr>
          <w:sz w:val="21"/>
          <w:u w:val="single"/>
        </w:rPr>
        <w:t xml:space="preserve">    </w:t>
      </w:r>
      <w:r>
        <w:rPr>
          <w:sz w:val="21"/>
        </w:rPr>
        <w:t xml:space="preserve"> </w:t>
      </w:r>
      <w:r>
        <w:rPr>
          <w:sz w:val="21"/>
        </w:rPr>
        <w:t>万元。具体支付方式和时间为：</w:t>
      </w:r>
      <w:r>
        <w:rPr>
          <w:sz w:val="21"/>
          <w:u w:val="single"/>
        </w:rPr>
        <w:t xml:space="preserve">            </w:t>
      </w:r>
    </w:p>
    <w:p>
      <w:pPr>
        <w:ind w:firstLine="458"/>
        <w:jc w:val="both"/>
      </w:pPr>
      <w:r>
        <w:rPr>
          <w:b/>
          <w:sz w:val="21"/>
        </w:rPr>
        <w:t>(五)租金补贴。</w:t>
      </w:r>
      <w:r>
        <w:rPr>
          <w:sz w:val="21"/>
        </w:rPr>
        <w:t xml:space="preserve"> </w:t>
      </w:r>
      <w:r>
        <w:rPr>
          <w:sz w:val="21"/>
        </w:rPr>
        <w:t>由甲方</w:t>
      </w:r>
      <w:r>
        <w:rPr>
          <w:sz w:val="21"/>
          <w:u w:val="single"/>
        </w:rPr>
        <w:t xml:space="preserve">     </w:t>
      </w:r>
      <w:r>
        <w:rPr>
          <w:sz w:val="21"/>
        </w:rPr>
        <w:t xml:space="preserve"> </w:t>
      </w:r>
      <w:r>
        <w:rPr>
          <w:sz w:val="21"/>
        </w:rPr>
        <w:t>(一次性、分期)向乙方支</w:t>
      </w:r>
      <w:r>
        <w:rPr>
          <w:sz w:val="21"/>
        </w:rPr>
        <w:t xml:space="preserve"> </w:t>
      </w:r>
      <w:r>
        <w:rPr>
          <w:sz w:val="21"/>
        </w:rPr>
        <w:t>付租金补贴</w:t>
      </w:r>
      <w:r>
        <w:rPr>
          <w:sz w:val="21"/>
          <w:u w:val="single"/>
        </w:rPr>
        <w:t xml:space="preserve">    </w:t>
      </w:r>
      <w:r>
        <w:rPr>
          <w:sz w:val="21"/>
        </w:rPr>
        <w:t xml:space="preserve"> </w:t>
      </w:r>
      <w:r>
        <w:rPr>
          <w:sz w:val="21"/>
        </w:rPr>
        <w:t>万元。具体支付方式和时间为：</w:t>
      </w:r>
      <w:r>
        <w:rPr>
          <w:sz w:val="21"/>
        </w:rPr>
        <w:t xml:space="preserve"> </w:t>
      </w:r>
      <w:r>
        <w:rPr>
          <w:sz w:val="21"/>
          <w:u w:val="single"/>
        </w:rPr>
        <w:t xml:space="preserve">             </w:t>
      </w:r>
    </w:p>
    <w:p>
      <w:pPr>
        <w:ind w:firstLine="462"/>
        <w:jc w:val="both"/>
      </w:pPr>
      <w:r>
        <w:rPr>
          <w:b/>
          <w:sz w:val="21"/>
        </w:rPr>
        <w:t>(六)乙方指定账户为：</w:t>
      </w:r>
    </w:p>
    <w:p>
      <w:pPr>
        <w:ind w:firstLine="456"/>
        <w:jc w:val="both"/>
      </w:pPr>
      <w:r>
        <w:rPr>
          <w:sz w:val="21"/>
        </w:rPr>
        <w:t>账户名称：</w:t>
      </w:r>
      <w:r>
        <w:rPr>
          <w:sz w:val="21"/>
        </w:rPr>
        <w:t xml:space="preserve">                           </w:t>
      </w:r>
    </w:p>
    <w:p>
      <w:pPr>
        <w:ind w:firstLine="456"/>
        <w:jc w:val="both"/>
      </w:pPr>
      <w:r>
        <w:rPr>
          <w:sz w:val="21"/>
        </w:rPr>
        <w:t>银行账号：</w:t>
      </w:r>
      <w:r>
        <w:rPr>
          <w:sz w:val="21"/>
          <w:u w:val="single"/>
        </w:rPr>
        <w:t xml:space="preserve">                            </w:t>
      </w:r>
      <w:r>
        <w:rPr>
          <w:sz w:val="21"/>
        </w:rPr>
        <w:t xml:space="preserve">                            </w:t>
      </w:r>
    </w:p>
    <w:p>
      <w:pPr>
        <w:ind w:firstLine="456"/>
        <w:jc w:val="both"/>
      </w:pPr>
      <w:r>
        <w:rPr>
          <w:sz w:val="21"/>
        </w:rPr>
        <w:t>开户银行：</w:t>
      </w:r>
      <w:r>
        <w:rPr>
          <w:sz w:val="21"/>
        </w:rPr>
        <w:t xml:space="preserve">                           </w:t>
      </w:r>
    </w:p>
    <w:p>
      <w:pPr>
        <w:ind w:firstLine="456"/>
        <w:jc w:val="both"/>
      </w:pPr>
      <w:r>
        <w:rPr>
          <w:sz w:val="21"/>
        </w:rPr>
        <w:t>地</w:t>
      </w:r>
      <w:r>
        <w:rPr>
          <w:sz w:val="21"/>
        </w:rPr>
        <w:t xml:space="preserve">  </w:t>
      </w:r>
      <w:r>
        <w:rPr>
          <w:sz w:val="21"/>
        </w:rPr>
        <w:t>址：</w:t>
      </w:r>
      <w:r>
        <w:rPr>
          <w:sz w:val="21"/>
        </w:rPr>
        <w:t xml:space="preserve">                           </w:t>
      </w:r>
    </w:p>
    <w:p>
      <w:pPr>
        <w:ind w:firstLine="456"/>
        <w:jc w:val="both"/>
      </w:pPr>
      <w:r>
        <w:rPr>
          <w:sz w:val="21"/>
        </w:rPr>
        <w:t>乙方账户发生变更的，应当向甲方出具书面说明。</w:t>
      </w:r>
    </w:p>
    <w:p>
      <w:pPr>
        <w:ind w:firstLine="430"/>
        <w:jc w:val="both"/>
      </w:pPr>
      <w:r>
        <w:rPr>
          <w:b/>
          <w:sz w:val="21"/>
        </w:rPr>
        <w:t>四、甲方权利和义务</w:t>
      </w:r>
    </w:p>
    <w:p>
      <w:pPr>
        <w:ind w:firstLine="456"/>
        <w:jc w:val="both"/>
      </w:pPr>
      <w:r>
        <w:rPr>
          <w:sz w:val="21"/>
        </w:rPr>
        <w:t>(一)甲方有权自行组织或委托第三方专业机构对乙方建</w:t>
      </w:r>
      <w:r>
        <w:rPr>
          <w:sz w:val="21"/>
        </w:rPr>
        <w:t>设的社区养老服务设施进行验收、检查，对项目运营情</w:t>
      </w:r>
      <w:r>
        <w:rPr>
          <w:sz w:val="21"/>
        </w:rPr>
        <w:t>况进行</w:t>
      </w:r>
      <w:r>
        <w:rPr>
          <w:sz w:val="21"/>
        </w:rPr>
        <w:t>监督管理，并提出建议意见。</w:t>
      </w:r>
    </w:p>
    <w:p>
      <w:pPr>
        <w:ind w:firstLine="456"/>
        <w:jc w:val="both"/>
      </w:pPr>
      <w:r>
        <w:rPr>
          <w:sz w:val="21"/>
        </w:rPr>
        <w:t>(二)甲方有权根据政策调整或上级规定，要求乙方完善服务形式及服务内容、提升服务质量。</w:t>
      </w:r>
    </w:p>
    <w:p>
      <w:pPr>
        <w:ind w:firstLine="456"/>
        <w:jc w:val="both"/>
      </w:pPr>
      <w:r>
        <w:rPr>
          <w:sz w:val="21"/>
        </w:rPr>
        <w:t>(三)甲方有权要求乙方提供与该项目相关的资料。</w:t>
      </w:r>
    </w:p>
    <w:p>
      <w:pPr>
        <w:ind w:firstLine="456"/>
        <w:jc w:val="both"/>
      </w:pPr>
      <w:r>
        <w:rPr>
          <w:sz w:val="21"/>
        </w:rPr>
        <w:t>(四)甲方对乙方不履行协议、不正确履行协议、不完全履行协议等行为，有权要求乙方立即更正，采取补救措施。</w:t>
      </w:r>
    </w:p>
    <w:p>
      <w:pPr>
        <w:ind w:firstLine="456"/>
        <w:jc w:val="both"/>
      </w:pPr>
      <w:r>
        <w:rPr>
          <w:sz w:val="21"/>
        </w:rPr>
        <w:t>(五)甲方应当按协议约定及时向乙方支付协议款项。</w:t>
      </w:r>
    </w:p>
    <w:p>
      <w:pPr>
        <w:ind w:firstLine="456"/>
        <w:jc w:val="both"/>
      </w:pPr>
      <w:r>
        <w:rPr>
          <w:sz w:val="21"/>
        </w:rPr>
        <w:t>(六)甲方应当按照规定协助乙方申请相应的政府补贴、</w:t>
      </w:r>
      <w:r>
        <w:rPr>
          <w:sz w:val="21"/>
        </w:rPr>
        <w:t>补助、奖励、税费减免、价格优惠、小微企业财税优惠</w:t>
      </w:r>
      <w:r>
        <w:rPr>
          <w:sz w:val="21"/>
        </w:rPr>
        <w:t>或者其</w:t>
      </w:r>
      <w:r>
        <w:rPr>
          <w:sz w:val="21"/>
        </w:rPr>
        <w:t>他资金支持、优惠等。</w:t>
      </w:r>
    </w:p>
    <w:p>
      <w:pPr>
        <w:ind w:firstLine="456"/>
        <w:jc w:val="both"/>
      </w:pPr>
      <w:r>
        <w:rPr>
          <w:sz w:val="21"/>
        </w:rPr>
        <w:t>(七)乙方符合相关政策规定的，甲方应当协助乙方申请办理养老机构备案、长护险定点机构、医保定点机构等资质，</w:t>
      </w:r>
      <w:r>
        <w:rPr>
          <w:sz w:val="21"/>
        </w:rPr>
        <w:t>协助乙方办理场地设施规划管理审批、消防审验、建筑安全等</w:t>
      </w:r>
      <w:r>
        <w:rPr>
          <w:sz w:val="21"/>
        </w:rPr>
        <w:t>相关手续。</w:t>
      </w:r>
    </w:p>
    <w:p>
      <w:pPr>
        <w:ind w:firstLine="456"/>
        <w:jc w:val="both"/>
      </w:pPr>
      <w:r>
        <w:rPr>
          <w:sz w:val="21"/>
        </w:rPr>
        <w:t>(八)甲方应当为乙方承办项目提供必要协助：</w:t>
      </w:r>
    </w:p>
    <w:p>
      <w:pPr>
        <w:ind w:firstLine="448"/>
        <w:jc w:val="both"/>
      </w:pPr>
      <w:r>
        <w:rPr>
          <w:sz w:val="21"/>
        </w:rPr>
        <w:t>1.及时传达</w:t>
      </w:r>
      <w:r>
        <w:rPr>
          <w:sz w:val="21"/>
        </w:rPr>
        <w:t xml:space="preserve"> </w:t>
      </w:r>
      <w:r>
        <w:rPr>
          <w:sz w:val="21"/>
        </w:rPr>
        <w:t>最新政策要求，对乙方进行业务指导和技术支持；</w:t>
      </w:r>
    </w:p>
    <w:p>
      <w:pPr>
        <w:ind w:firstLine="456"/>
        <w:jc w:val="both"/>
      </w:pPr>
      <w:r>
        <w:rPr>
          <w:sz w:val="21"/>
        </w:rPr>
        <w:t>2.提供本项目</w:t>
      </w:r>
      <w:r>
        <w:rPr>
          <w:sz w:val="21"/>
        </w:rPr>
        <w:t xml:space="preserve"> </w:t>
      </w:r>
      <w:r>
        <w:rPr>
          <w:sz w:val="21"/>
        </w:rPr>
        <w:t>开展所需资料；</w:t>
      </w:r>
    </w:p>
    <w:p>
      <w:pPr>
        <w:ind w:firstLine="456"/>
        <w:jc w:val="both"/>
      </w:pPr>
      <w:r>
        <w:rPr>
          <w:sz w:val="21"/>
        </w:rPr>
        <w:t>3.提供乙方工作人员出入开展工作有关场所的便利；</w:t>
      </w:r>
    </w:p>
    <w:p>
      <w:pPr>
        <w:ind w:firstLine="456"/>
        <w:jc w:val="both"/>
      </w:pPr>
      <w:r>
        <w:rPr>
          <w:sz w:val="21"/>
        </w:rPr>
        <w:t>4.统筹协调乙方与相关社区养老服务设施运营项目承接方共</w:t>
      </w:r>
      <w:r>
        <w:rPr>
          <w:sz w:val="21"/>
        </w:rPr>
        <w:t>同联合开展服务或者做好服务衔接、资源整合等工作；</w:t>
      </w:r>
    </w:p>
    <w:p>
      <w:pPr>
        <w:ind w:firstLine="432"/>
        <w:jc w:val="both"/>
      </w:pPr>
      <w:r>
        <w:rPr>
          <w:sz w:val="21"/>
        </w:rPr>
        <w:t>5</w:t>
      </w:r>
      <w:r>
        <w:rPr>
          <w:sz w:val="21"/>
        </w:rPr>
        <w:t>.指导、</w:t>
      </w:r>
      <w:r>
        <w:rPr>
          <w:sz w:val="21"/>
        </w:rPr>
        <w:t>协调社区</w:t>
      </w:r>
      <w:r>
        <w:rPr>
          <w:sz w:val="21"/>
        </w:rPr>
        <w:t>(村)配合乙方开展社区宣传与服务工作；</w:t>
      </w:r>
    </w:p>
    <w:p>
      <w:pPr>
        <w:ind w:firstLine="468"/>
        <w:jc w:val="both"/>
      </w:pPr>
      <w:r>
        <w:rPr>
          <w:sz w:val="21"/>
        </w:rPr>
        <w:t>6.协调评估</w:t>
      </w:r>
      <w:r>
        <w:rPr>
          <w:sz w:val="21"/>
        </w:rPr>
        <w:t>组织实施单位及时开展项目评估，按要求配合完成评估工作。</w:t>
      </w:r>
    </w:p>
    <w:p>
      <w:pPr>
        <w:ind w:firstLine="492"/>
        <w:jc w:val="both"/>
      </w:pPr>
      <w:r>
        <w:rPr>
          <w:sz w:val="21"/>
        </w:rPr>
        <w:t>(九)因政策调整或其他客观原因需要提前终止项目的，</w:t>
      </w:r>
      <w:r>
        <w:rPr>
          <w:sz w:val="21"/>
        </w:rPr>
        <w:t>甲方应当提前</w:t>
      </w:r>
      <w:r>
        <w:rPr>
          <w:sz w:val="21"/>
        </w:rPr>
        <w:t>1个月书面通知乙方；情况紧急需要提前终止项目</w:t>
      </w:r>
      <w:r>
        <w:rPr>
          <w:sz w:val="21"/>
        </w:rPr>
        <w:t>的，甲方应及时通知乙方，并给予乙方适当的处理时间。</w:t>
      </w:r>
    </w:p>
    <w:p>
      <w:pPr>
        <w:ind w:firstLine="422"/>
        <w:jc w:val="both"/>
      </w:pPr>
      <w:r>
        <w:rPr>
          <w:b/>
          <w:sz w:val="21"/>
        </w:rPr>
        <w:t>五、乙方权利和义务</w:t>
      </w:r>
    </w:p>
    <w:p>
      <w:pPr>
        <w:ind w:firstLine="456"/>
        <w:jc w:val="both"/>
      </w:pPr>
      <w:r>
        <w:rPr>
          <w:sz w:val="21"/>
        </w:rPr>
        <w:t>(一)协议期间乙方有权获得甲方必要的工作支持。</w:t>
      </w:r>
    </w:p>
    <w:p>
      <w:pPr>
        <w:ind w:firstLine="456"/>
        <w:jc w:val="both"/>
      </w:pPr>
      <w:r>
        <w:rPr>
          <w:sz w:val="21"/>
        </w:rPr>
        <w:t>(二)协议期间乙方有权以运营的社区养老服务设施相应名义进行服务宣传及开展服务。</w:t>
      </w:r>
    </w:p>
    <w:p>
      <w:pPr>
        <w:ind w:firstLine="496"/>
        <w:jc w:val="both"/>
      </w:pPr>
      <w:r>
        <w:rPr>
          <w:sz w:val="21"/>
        </w:rPr>
        <w:t>(三)乙方有权依法享受因承办本项目按规定可以获得的</w:t>
      </w:r>
      <w:r>
        <w:rPr>
          <w:sz w:val="21"/>
        </w:rPr>
        <w:t>政府补贴、补助、奖励以及其他资金支持、优惠等；有权按照</w:t>
      </w:r>
      <w:r>
        <w:rPr>
          <w:sz w:val="21"/>
        </w:rPr>
        <w:t xml:space="preserve"> </w:t>
      </w:r>
      <w:r>
        <w:rPr>
          <w:sz w:val="21"/>
        </w:rPr>
        <w:t>规定享受养老机构、居家养老服务机构、小微企业税费减免、</w:t>
      </w:r>
      <w:r>
        <w:rPr>
          <w:sz w:val="21"/>
        </w:rPr>
        <w:t>价格优惠等财税优惠。</w:t>
      </w:r>
    </w:p>
    <w:p>
      <w:pPr>
        <w:ind w:firstLine="500"/>
        <w:jc w:val="both"/>
      </w:pPr>
      <w:r>
        <w:rPr>
          <w:sz w:val="21"/>
        </w:rPr>
        <w:t>(四)乙方在服务对象申请服务过程中或为服务对象</w:t>
      </w:r>
      <w:r>
        <w:rPr>
          <w:sz w:val="21"/>
        </w:rPr>
        <w:t>服务</w:t>
      </w:r>
      <w:r>
        <w:rPr>
          <w:sz w:val="21"/>
        </w:rPr>
        <w:t>过程中如发现以下情况之一的，可以终止服务协议或提</w:t>
      </w:r>
      <w:r>
        <w:rPr>
          <w:sz w:val="21"/>
        </w:rPr>
        <w:t>供转介</w:t>
      </w:r>
      <w:r>
        <w:rPr>
          <w:sz w:val="21"/>
        </w:rPr>
        <w:t>服务：</w:t>
      </w:r>
    </w:p>
    <w:p>
      <w:pPr>
        <w:ind w:firstLine="456"/>
        <w:jc w:val="both"/>
      </w:pPr>
      <w:r>
        <w:rPr>
          <w:sz w:val="21"/>
        </w:rPr>
        <w:t>1.服务对象患有须隔离治疗的传染性疾病或者患有精神疾病等其他不适宜接受服务的；</w:t>
      </w:r>
    </w:p>
    <w:p>
      <w:pPr>
        <w:jc w:val="both"/>
      </w:pPr>
      <w:r>
        <w:rPr>
          <w:sz w:val="21"/>
        </w:rPr>
        <w:t>2.服务对象违反服务约定且拒不改正的；</w:t>
      </w:r>
    </w:p>
    <w:p>
      <w:pPr>
        <w:ind w:firstLine="456"/>
        <w:jc w:val="both"/>
      </w:pPr>
      <w:r>
        <w:rPr>
          <w:sz w:val="21"/>
        </w:rPr>
        <w:t>3.服务对象自愿放弃服务的。</w:t>
      </w:r>
    </w:p>
    <w:p>
      <w:pPr>
        <w:ind w:firstLine="456"/>
        <w:jc w:val="both"/>
      </w:pPr>
      <w:r>
        <w:rPr>
          <w:sz w:val="21"/>
        </w:rPr>
        <w:t>(五)乙方应当根据社区养老服务设施建设相关规定按时完成建设，并应当通过区民政局组织的验收。</w:t>
      </w:r>
    </w:p>
    <w:p>
      <w:pPr>
        <w:ind w:firstLine="456"/>
        <w:jc w:val="both"/>
      </w:pPr>
      <w:r>
        <w:rPr>
          <w:sz w:val="21"/>
        </w:rPr>
        <w:t>(六)乙方应当严格按照《中华人民共和国老年人权益保障法》《广东省养老服务条例》《广东省老年人权益保障条例》《广 州市养老服务条例》《广州市居家社区养老服务管理办法》等各 级养老服务、医疗卫生、食品安全等领域法律法规及政策文件，以及相关标准开展服务。如有最新政策要求的应及时调整。</w:t>
      </w:r>
    </w:p>
    <w:p>
      <w:pPr>
        <w:ind w:firstLine="492"/>
        <w:jc w:val="both"/>
      </w:pPr>
      <w:r>
        <w:rPr>
          <w:sz w:val="21"/>
        </w:rPr>
        <w:t>(七)乙方须建立健全项目和资金管理办法，建立专款专</w:t>
      </w:r>
      <w:r>
        <w:rPr>
          <w:sz w:val="21"/>
        </w:rPr>
        <w:t xml:space="preserve"> </w:t>
      </w:r>
      <w:r>
        <w:rPr>
          <w:sz w:val="21"/>
        </w:rPr>
        <w:t>用制度，单独使用和核算项目经费，制定项目预算表并报送甲</w:t>
      </w:r>
      <w:r>
        <w:rPr>
          <w:sz w:val="21"/>
        </w:rPr>
        <w:t>方审核，接受财政、审计、民政、镇</w:t>
      </w:r>
      <w:r>
        <w:rPr>
          <w:sz w:val="21"/>
        </w:rPr>
        <w:t>(街)等有关部门的监督</w:t>
      </w:r>
      <w:r>
        <w:rPr>
          <w:sz w:val="21"/>
        </w:rPr>
        <w:t>管理。</w:t>
      </w:r>
    </w:p>
    <w:p>
      <w:pPr>
        <w:ind w:firstLine="456"/>
        <w:jc w:val="both"/>
      </w:pPr>
      <w:r>
        <w:rPr>
          <w:sz w:val="21"/>
        </w:rPr>
        <w:t>(八)未经甲方书面同意，乙方不得停止或者暂停本项目，</w:t>
      </w:r>
      <w:r>
        <w:rPr>
          <w:sz w:val="21"/>
        </w:rPr>
        <w:t>不得出现减少服务内容、变更服务场地、缩减服务场地面积或</w:t>
      </w:r>
      <w:r>
        <w:rPr>
          <w:sz w:val="21"/>
        </w:rPr>
        <w:t>者将场地用于其他用途等行为。</w:t>
      </w:r>
    </w:p>
    <w:p>
      <w:pPr>
        <w:ind w:firstLine="492"/>
        <w:jc w:val="both"/>
      </w:pPr>
      <w:r>
        <w:rPr>
          <w:sz w:val="21"/>
        </w:rPr>
        <w:t>(九)乙方在履行协议过程中，原则上不得将服务项目委</w:t>
      </w:r>
      <w:r>
        <w:rPr>
          <w:sz w:val="21"/>
        </w:rPr>
        <w:t>托给第三方，若因专业性较强的资质原因需委托第三方开展服</w:t>
      </w:r>
      <w:r>
        <w:rPr>
          <w:sz w:val="21"/>
        </w:rPr>
        <w:t xml:space="preserve"> </w:t>
      </w:r>
      <w:r>
        <w:rPr>
          <w:sz w:val="21"/>
        </w:rPr>
        <w:t>务的，需经过甲方书面审核同意后签署服务委托协议，乙方对</w:t>
      </w:r>
      <w:r>
        <w:rPr>
          <w:sz w:val="21"/>
        </w:rPr>
        <w:t>第三方开展的服务负责。</w:t>
      </w:r>
    </w:p>
    <w:p>
      <w:pPr>
        <w:ind w:firstLine="456"/>
        <w:jc w:val="both"/>
      </w:pPr>
      <w:r>
        <w:rPr>
          <w:sz w:val="21"/>
        </w:rPr>
        <w:t>(十)乙方无正当理由不得拒绝老年人入住服务设施或拒绝为老年人提供服务。</w:t>
      </w:r>
    </w:p>
    <w:p>
      <w:pPr>
        <w:ind w:firstLine="456"/>
        <w:jc w:val="both"/>
      </w:pPr>
      <w:r>
        <w:rPr>
          <w:sz w:val="21"/>
        </w:rPr>
        <w:t>(十一)乙方应当按照规定制订项目运营服务计划书并提交甲方审核。</w:t>
      </w:r>
    </w:p>
    <w:p>
      <w:pPr>
        <w:ind w:firstLine="504"/>
        <w:jc w:val="left"/>
      </w:pPr>
      <w:r>
        <w:rPr>
          <w:sz w:val="21"/>
        </w:rPr>
        <w:t>(十二)乙方应定期向甲方反馈服务开展情</w:t>
      </w:r>
      <w:r>
        <w:rPr>
          <w:sz w:val="21"/>
        </w:rPr>
        <w:t>况，配合甲方</w:t>
      </w:r>
      <w:r>
        <w:rPr>
          <w:sz w:val="21"/>
        </w:rPr>
        <w:t xml:space="preserve"> </w:t>
      </w:r>
      <w:r>
        <w:rPr>
          <w:sz w:val="21"/>
        </w:rPr>
        <w:t>及其他政府部门的监督与检查。应当按规定定期接受民政部门</w:t>
      </w:r>
      <w:r>
        <w:rPr>
          <w:sz w:val="21"/>
        </w:rPr>
        <w:t>组织的服务评估。</w:t>
      </w:r>
    </w:p>
    <w:p>
      <w:pPr>
        <w:ind w:firstLine="500"/>
        <w:jc w:val="both"/>
      </w:pPr>
      <w:r>
        <w:rPr>
          <w:sz w:val="21"/>
        </w:rPr>
        <w:t>(十三)乙方应当按照三防、消防、安全生产、疫情防控</w:t>
      </w:r>
      <w:r>
        <w:rPr>
          <w:sz w:val="21"/>
        </w:rPr>
        <w:t xml:space="preserve"> </w:t>
      </w:r>
      <w:r>
        <w:rPr>
          <w:sz w:val="21"/>
        </w:rPr>
        <w:t>等有关要求，做好人员、场地、设施设备等的防</w:t>
      </w:r>
      <w:r>
        <w:rPr>
          <w:sz w:val="21"/>
        </w:rPr>
        <w:t>控及安全管理，</w:t>
      </w:r>
      <w:r>
        <w:rPr>
          <w:sz w:val="21"/>
        </w:rPr>
        <w:t xml:space="preserve"> </w:t>
      </w:r>
      <w:r>
        <w:rPr>
          <w:sz w:val="21"/>
        </w:rPr>
        <w:t>建立服务风险应对预案和应急处置机制，落实安全管理主体责</w:t>
      </w:r>
      <w:r>
        <w:rPr>
          <w:sz w:val="21"/>
        </w:rPr>
        <w:t>任，确保项目实施过程安全有序。</w:t>
      </w:r>
    </w:p>
    <w:p>
      <w:pPr>
        <w:ind w:firstLine="504"/>
        <w:jc w:val="both"/>
      </w:pPr>
      <w:r>
        <w:rPr>
          <w:sz w:val="21"/>
        </w:rPr>
        <w:t>(十四)乙方应严格按照有关法律法规规定，负责其工作</w:t>
      </w:r>
      <w:r>
        <w:rPr>
          <w:sz w:val="21"/>
        </w:rPr>
        <w:t xml:space="preserve"> </w:t>
      </w:r>
      <w:r>
        <w:rPr>
          <w:sz w:val="21"/>
        </w:rPr>
        <w:t>人员的工资、社保等薪酬待遇保障以及有关意外安全责任，包</w:t>
      </w:r>
      <w:r>
        <w:rPr>
          <w:sz w:val="21"/>
        </w:rPr>
        <w:t xml:space="preserve"> </w:t>
      </w:r>
      <w:r>
        <w:rPr>
          <w:sz w:val="21"/>
        </w:rPr>
        <w:t>括人员上下班途中和工作中的安全问题，甲方无须承担任何责</w:t>
      </w:r>
      <w:r>
        <w:rPr>
          <w:sz w:val="21"/>
        </w:rPr>
        <w:t>任。如乙方员工被甲方安排参加防疫、救灾等有关应</w:t>
      </w:r>
      <w:r>
        <w:rPr>
          <w:sz w:val="21"/>
        </w:rPr>
        <w:t>急工作，</w:t>
      </w:r>
      <w:r>
        <w:rPr>
          <w:sz w:val="21"/>
        </w:rPr>
        <w:t>甲方应当为其提供相应的安全保障措施。</w:t>
      </w:r>
    </w:p>
    <w:p>
      <w:pPr>
        <w:ind w:firstLine="464"/>
        <w:jc w:val="both"/>
      </w:pPr>
      <w:r>
        <w:rPr>
          <w:sz w:val="21"/>
        </w:rPr>
        <w:t>(十五)乙方须提供安全设施给予工作人员</w:t>
      </w:r>
      <w:r>
        <w:rPr>
          <w:sz w:val="21"/>
        </w:rPr>
        <w:t>以保障其工作安</w:t>
      </w:r>
      <w:r>
        <w:rPr>
          <w:sz w:val="21"/>
        </w:rPr>
        <w:t>全，并须加强对员工的监管，若乙方员工有任何不当行为，引致甲方或其他第三方的任何物质或名誉损失，乙方应及</w:t>
      </w:r>
      <w:r>
        <w:rPr>
          <w:sz w:val="21"/>
        </w:rPr>
        <w:t>时采取</w:t>
      </w:r>
      <w:r>
        <w:rPr>
          <w:sz w:val="21"/>
        </w:rPr>
        <w:t>适当措施消除不良影响并赔偿由此造成的损失。</w:t>
      </w:r>
    </w:p>
    <w:p>
      <w:pPr>
        <w:ind w:firstLine="468"/>
        <w:jc w:val="both"/>
      </w:pPr>
      <w:r>
        <w:rPr>
          <w:sz w:val="21"/>
        </w:rPr>
        <w:t>(十六)乙方开展项目过程中不得出现广州市地方标</w:t>
      </w:r>
      <w:r>
        <w:rPr>
          <w:sz w:val="21"/>
        </w:rPr>
        <w:t>准《综</w:t>
      </w:r>
      <w:r>
        <w:rPr>
          <w:sz w:val="21"/>
        </w:rPr>
        <w:t>合养老服务中心基本规范》附录</w:t>
      </w:r>
      <w:r>
        <w:rPr>
          <w:sz w:val="21"/>
        </w:rPr>
        <w:t>C</w:t>
      </w:r>
      <w:r>
        <w:rPr>
          <w:sz w:val="21"/>
        </w:rPr>
        <w:t xml:space="preserve"> </w:t>
      </w:r>
      <w:r>
        <w:rPr>
          <w:sz w:val="21"/>
        </w:rPr>
        <w:t>规定的颐康中心、颐康服务站</w:t>
      </w:r>
      <w:r>
        <w:rPr>
          <w:sz w:val="21"/>
        </w:rPr>
        <w:t>负面清单有关情形。</w:t>
      </w:r>
    </w:p>
    <w:p>
      <w:pPr>
        <w:ind w:firstLine="422"/>
        <w:jc w:val="both"/>
      </w:pPr>
      <w:r>
        <w:rPr>
          <w:b/>
          <w:sz w:val="21"/>
        </w:rPr>
        <w:t>六、保密条款</w:t>
      </w:r>
    </w:p>
    <w:p>
      <w:pPr>
        <w:ind w:firstLine="504"/>
        <w:jc w:val="both"/>
      </w:pPr>
      <w:r>
        <w:rPr>
          <w:sz w:val="21"/>
        </w:rPr>
        <w:t>(一)甲方向乙方提供的、与本项目相关的以</w:t>
      </w:r>
      <w:r>
        <w:rPr>
          <w:sz w:val="21"/>
        </w:rPr>
        <w:t>及乙方履行</w:t>
      </w:r>
      <w:r>
        <w:rPr>
          <w:sz w:val="21"/>
        </w:rPr>
        <w:t>协议过程中获得的甲方及评估对象等的信息、资料，乙方均负</w:t>
      </w:r>
      <w:r>
        <w:rPr>
          <w:sz w:val="21"/>
        </w:rPr>
        <w:t>有保密义务，仅限于乙方为本项目开展使用，未经甲方许可不得用于其他领域或向任何第三方泄漏，不得用于本协议之外的</w:t>
      </w:r>
      <w:r>
        <w:rPr>
          <w:color w:val="000000"/>
          <w:sz w:val="21"/>
        </w:rPr>
        <w:t>目的。</w:t>
      </w:r>
    </w:p>
    <w:p>
      <w:pPr>
        <w:ind w:firstLine="456"/>
        <w:jc w:val="both"/>
      </w:pPr>
      <w:r>
        <w:rPr>
          <w:sz w:val="21"/>
        </w:rPr>
        <w:t>(二)对于上述保密信息，仅可由乙方为执行本协议</w:t>
      </w:r>
      <w:r>
        <w:rPr>
          <w:sz w:val="21"/>
        </w:rPr>
        <w:t>需要</w:t>
      </w:r>
      <w:r>
        <w:rPr>
          <w:sz w:val="21"/>
        </w:rPr>
        <w:t xml:space="preserve"> </w:t>
      </w:r>
      <w:r>
        <w:rPr>
          <w:sz w:val="21"/>
        </w:rPr>
        <w:t>提供给特定的工作人员，并且仅在为执行本协议所需的范围内</w:t>
      </w:r>
      <w:r>
        <w:rPr>
          <w:sz w:val="21"/>
        </w:rPr>
        <w:t>提供；同时，乙方在向工作人员提供保密信息前，应采取一切合理的预防措施，包括但不限于告知该工作人员将要提供的信</w:t>
      </w:r>
      <w:r>
        <w:rPr>
          <w:sz w:val="21"/>
        </w:rPr>
        <w:t xml:space="preserve"> </w:t>
      </w:r>
      <w:r>
        <w:rPr>
          <w:sz w:val="21"/>
        </w:rPr>
        <w:t>息的保密性质，由该工作人员做出至少与本协议保密义务一样</w:t>
      </w:r>
      <w:r>
        <w:rPr>
          <w:sz w:val="21"/>
        </w:rPr>
        <w:t>严格的保密承诺等；乙方应对该工作人员使用保密</w:t>
      </w:r>
      <w:r>
        <w:rPr>
          <w:sz w:val="21"/>
        </w:rPr>
        <w:t>信息的行为</w:t>
      </w:r>
      <w:r>
        <w:rPr>
          <w:sz w:val="21"/>
        </w:rPr>
        <w:t>承担连带责任。</w:t>
      </w:r>
    </w:p>
    <w:p>
      <w:pPr>
        <w:ind w:firstLine="456"/>
        <w:jc w:val="both"/>
      </w:pPr>
      <w:r>
        <w:rPr>
          <w:sz w:val="21"/>
        </w:rPr>
        <w:t>(三)本协议项目下全部成果的所有权归甲方所</w:t>
      </w:r>
      <w:r>
        <w:rPr>
          <w:sz w:val="21"/>
        </w:rPr>
        <w:t>有，未经</w:t>
      </w:r>
      <w:r>
        <w:rPr>
          <w:sz w:val="21"/>
        </w:rPr>
        <w:t>甲方书面同意，乙方不得擅自使用或许可他人</w:t>
      </w:r>
      <w:r>
        <w:rPr>
          <w:sz w:val="21"/>
        </w:rPr>
        <w:t>使用，亦不得向</w:t>
      </w:r>
      <w:r>
        <w:rPr>
          <w:sz w:val="21"/>
        </w:rPr>
        <w:t>第三方披露。</w:t>
      </w:r>
    </w:p>
    <w:p>
      <w:pPr>
        <w:ind w:firstLine="456"/>
        <w:jc w:val="both"/>
      </w:pPr>
      <w:r>
        <w:rPr>
          <w:sz w:val="21"/>
        </w:rPr>
        <w:t>(四)在任何情形下，本条所规定的保密义务应</w:t>
      </w:r>
      <w:r>
        <w:rPr>
          <w:sz w:val="21"/>
        </w:rPr>
        <w:t>永久持续</w:t>
      </w:r>
      <w:r>
        <w:rPr>
          <w:sz w:val="21"/>
        </w:rPr>
        <w:t>有效，该保密义务不因本协议的变更、中止、解除、终止而受</w:t>
      </w:r>
      <w:r>
        <w:rPr>
          <w:sz w:val="21"/>
        </w:rPr>
        <w:t>影响。</w:t>
      </w:r>
    </w:p>
    <w:p>
      <w:pPr>
        <w:ind w:firstLine="456"/>
        <w:jc w:val="both"/>
      </w:pPr>
      <w:r>
        <w:rPr>
          <w:sz w:val="21"/>
        </w:rPr>
        <w:t>(五)协议期满或本协议期内项目提前终止时，乙方</w:t>
      </w:r>
      <w:r>
        <w:rPr>
          <w:sz w:val="21"/>
        </w:rPr>
        <w:t>应立</w:t>
      </w:r>
      <w:r>
        <w:rPr>
          <w:sz w:val="21"/>
        </w:rPr>
        <w:t>即停止使用且不得许可第三方使用上述保密信息，并将保密信</w:t>
      </w:r>
      <w:r>
        <w:rPr>
          <w:sz w:val="21"/>
        </w:rPr>
        <w:t>息整理归档并移交甲方或按照甲方要求予以删</w:t>
      </w:r>
      <w:r>
        <w:rPr>
          <w:sz w:val="21"/>
        </w:rPr>
        <w:t>除、销毁。</w:t>
      </w:r>
    </w:p>
    <w:p>
      <w:pPr>
        <w:ind w:firstLine="378"/>
        <w:jc w:val="both"/>
      </w:pPr>
      <w:r>
        <w:rPr>
          <w:b/>
          <w:sz w:val="21"/>
        </w:rPr>
        <w:t>七、协议变更和解除</w:t>
      </w:r>
    </w:p>
    <w:p>
      <w:pPr>
        <w:ind w:firstLine="456"/>
        <w:jc w:val="both"/>
      </w:pPr>
      <w:r>
        <w:rPr>
          <w:sz w:val="21"/>
        </w:rPr>
        <w:t>(一)因本协议相关政策发生变化的，甲方</w:t>
      </w:r>
      <w:r>
        <w:rPr>
          <w:sz w:val="21"/>
        </w:rPr>
        <w:t>可以提出协议</w:t>
      </w:r>
      <w:r>
        <w:rPr>
          <w:sz w:val="21"/>
        </w:rPr>
        <w:t>的变更，并以书面形式通知乙方，经甲、乙双方协商一致，签</w:t>
      </w:r>
      <w:r>
        <w:rPr>
          <w:sz w:val="21"/>
        </w:rPr>
        <w:t>署补充协议。</w:t>
      </w:r>
    </w:p>
    <w:p>
      <w:pPr>
        <w:ind w:firstLine="456"/>
        <w:jc w:val="both"/>
      </w:pPr>
      <w:r>
        <w:rPr>
          <w:sz w:val="21"/>
        </w:rPr>
        <w:t>(二)本协议到期后，甲方需乙方持续服务至完</w:t>
      </w:r>
      <w:r>
        <w:rPr>
          <w:sz w:val="21"/>
        </w:rPr>
        <w:t>成新一轮</w:t>
      </w:r>
      <w:r>
        <w:rPr>
          <w:sz w:val="21"/>
        </w:rPr>
        <w:t>招投标的，应向乙方支付超出本协议约定内容部分的费用，经</w:t>
      </w:r>
      <w:r>
        <w:rPr>
          <w:sz w:val="21"/>
        </w:rPr>
        <w:t>甲、乙双方协商一致，签署补充协议，补充协议的金额</w:t>
      </w:r>
      <w:r>
        <w:rPr>
          <w:sz w:val="21"/>
        </w:rPr>
        <w:t>不得超过原合同金额的</w:t>
      </w:r>
      <w:r>
        <w:rPr>
          <w:sz w:val="21"/>
        </w:rPr>
        <w:t>10%</w:t>
      </w:r>
      <w:r>
        <w:rPr>
          <w:sz w:val="21"/>
        </w:rPr>
        <w:t>。</w:t>
      </w:r>
    </w:p>
    <w:p>
      <w:pPr>
        <w:ind w:firstLine="456"/>
        <w:jc w:val="both"/>
      </w:pPr>
      <w:r>
        <w:rPr>
          <w:sz w:val="21"/>
        </w:rPr>
        <w:t>(三)在协议履行过程中，如乙方具有以下任一情形的甲方有权单方面解除协议，并无需承担违约责任：</w:t>
      </w:r>
    </w:p>
    <w:p>
      <w:pPr>
        <w:ind w:firstLine="456"/>
        <w:jc w:val="both"/>
      </w:pPr>
      <w:r>
        <w:rPr>
          <w:sz w:val="21"/>
        </w:rPr>
        <w:t>1.乙方未通过建设验收，经甲方要求整改两次以上仍然不到位或者拒绝整改的；</w:t>
      </w:r>
    </w:p>
    <w:p>
      <w:pPr>
        <w:ind w:firstLine="456"/>
        <w:jc w:val="both"/>
      </w:pPr>
      <w:r>
        <w:rPr>
          <w:sz w:val="21"/>
        </w:rPr>
        <w:t>2.乙方未能按照本协议约定承办项目、提供服务，经甲方要求整改两次以上仍然不到位或者拒绝整改的；</w:t>
      </w:r>
    </w:p>
    <w:p>
      <w:pPr>
        <w:ind w:firstLine="456"/>
        <w:jc w:val="both"/>
      </w:pPr>
      <w:r>
        <w:rPr>
          <w:sz w:val="21"/>
        </w:rPr>
        <w:t>3.乙方服务评估不合格，经督促整改后仍不合格的；</w:t>
      </w:r>
    </w:p>
    <w:p>
      <w:pPr>
        <w:ind w:firstLine="456"/>
        <w:jc w:val="both"/>
      </w:pPr>
      <w:r>
        <w:rPr>
          <w:sz w:val="21"/>
        </w:rPr>
        <w:t>4.乙方项目承办过程中，因违法违规操作等原因造成甲方损失的；</w:t>
      </w:r>
    </w:p>
    <w:p>
      <w:pPr>
        <w:ind w:firstLine="456"/>
        <w:jc w:val="both"/>
      </w:pPr>
      <w:r>
        <w:rPr>
          <w:sz w:val="21"/>
        </w:rPr>
        <w:t>5.乙方运营本协议约定的社区养老服务设施，任一设施连续三个月以上无服务记录的；</w:t>
      </w:r>
    </w:p>
    <w:p>
      <w:pPr>
        <w:ind w:firstLine="456"/>
        <w:jc w:val="both"/>
      </w:pPr>
      <w:r>
        <w:rPr>
          <w:sz w:val="21"/>
        </w:rPr>
        <w:t>6.乙方开展项目过程中违反广州市地方标准《综合养老服务中心基本规范》或《广东省养老服务条例》《广州市养老服务条例》禁止性规定，且经甲方要求整改两次以上仍然不到位或拒不整改的；</w:t>
      </w:r>
    </w:p>
    <w:p>
      <w:pPr>
        <w:ind w:firstLine="456"/>
        <w:jc w:val="both"/>
      </w:pPr>
      <w:r>
        <w:rPr>
          <w:sz w:val="21"/>
        </w:rPr>
        <w:t>7.未经甲方书面同意将服务项目交由其他服务供应机构实际承担的转包行为；</w:t>
      </w:r>
    </w:p>
    <w:p>
      <w:pPr>
        <w:ind w:firstLine="456"/>
        <w:jc w:val="both"/>
      </w:pPr>
      <w:r>
        <w:rPr>
          <w:sz w:val="21"/>
        </w:rPr>
        <w:t>8.经查证，乙方有伪造服务记录或挤占、挪用、滥用该协议款项行为的；</w:t>
      </w:r>
    </w:p>
    <w:p>
      <w:pPr>
        <w:ind w:firstLine="456"/>
        <w:jc w:val="both"/>
      </w:pPr>
      <w:r>
        <w:rPr>
          <w:sz w:val="21"/>
        </w:rPr>
        <w:t>9.在服务协议期限内同时承接同一区行政区域内居家社区 养老服务评估项目、老年人照护需求等级评估项目、社区养老服务设施巡查督导项目的；</w:t>
      </w:r>
    </w:p>
    <w:p>
      <w:pPr>
        <w:ind w:firstLine="456"/>
        <w:jc w:val="both"/>
      </w:pPr>
      <w:r>
        <w:rPr>
          <w:sz w:val="21"/>
        </w:rPr>
        <w:t>10.不具备继续履约能力的；</w:t>
      </w:r>
    </w:p>
    <w:p>
      <w:pPr>
        <w:ind w:firstLine="456"/>
        <w:jc w:val="both"/>
      </w:pPr>
      <w:r>
        <w:rPr>
          <w:sz w:val="21"/>
        </w:rPr>
        <w:t>11.存在违反相关法律法规及本协议规定的其他情形的。</w:t>
      </w:r>
    </w:p>
    <w:p>
      <w:pPr>
        <w:ind w:firstLine="456"/>
        <w:jc w:val="both"/>
      </w:pPr>
      <w:r>
        <w:rPr>
          <w:sz w:val="21"/>
        </w:rPr>
        <w:t>(四)在协议履行过程中，具有以下情形的，乙方有权单方面解除协议，并无需承担违约责任：</w:t>
      </w:r>
    </w:p>
    <w:p>
      <w:pPr>
        <w:ind w:firstLine="456"/>
        <w:jc w:val="both"/>
      </w:pPr>
      <w:r>
        <w:rPr>
          <w:sz w:val="21"/>
        </w:rPr>
        <w:t>1.因甲方自身原因造成项目工作无法开展的；</w:t>
      </w:r>
    </w:p>
    <w:p>
      <w:pPr>
        <w:ind w:firstLine="456"/>
        <w:jc w:val="both"/>
      </w:pPr>
      <w:r>
        <w:rPr>
          <w:sz w:val="21"/>
        </w:rPr>
        <w:t>2.甲方无故克扣、拖欠该协议款项达</w:t>
      </w:r>
      <w:r>
        <w:rPr>
          <w:sz w:val="21"/>
          <w:u w:val="single"/>
        </w:rPr>
        <w:t xml:space="preserve">     </w:t>
      </w:r>
      <w:r>
        <w:rPr>
          <w:sz w:val="21"/>
        </w:rPr>
        <w:t>日的。</w:t>
      </w:r>
    </w:p>
    <w:p>
      <w:pPr>
        <w:ind w:firstLine="456"/>
        <w:jc w:val="both"/>
      </w:pPr>
      <w:r>
        <w:rPr>
          <w:sz w:val="21"/>
        </w:rPr>
        <w:t>(五)满足以下条件，双方可协商解除协议：</w:t>
      </w:r>
    </w:p>
    <w:p>
      <w:pPr>
        <w:ind w:firstLine="456"/>
        <w:jc w:val="both"/>
      </w:pPr>
      <w:r>
        <w:rPr>
          <w:sz w:val="21"/>
        </w:rPr>
        <w:t>1.因国家、省、市等政策调整或上级主管部门行政决定或命令等因素导致无法继续履约的，双方可协商解除该协议；</w:t>
      </w:r>
    </w:p>
    <w:p>
      <w:pPr>
        <w:ind w:firstLine="456"/>
        <w:jc w:val="both"/>
      </w:pPr>
      <w:r>
        <w:rPr>
          <w:sz w:val="21"/>
        </w:rPr>
        <w:t>2.在协议履行过程中，非因违约行为，双方经过友好协商解除该协议的。</w:t>
      </w:r>
    </w:p>
    <w:p>
      <w:pPr>
        <w:ind w:firstLine="456"/>
        <w:jc w:val="both"/>
      </w:pPr>
      <w:r>
        <w:rPr>
          <w:sz w:val="21"/>
        </w:rPr>
        <w:t>(六)自本协议解除之日起，甲方不再向乙方支付未完成工作部分的项目费用；对于乙方实际完成的工作，由双方共同确认工作成果并进行费用核算，并由甲方向乙方足额支付应付未付部分的项目费用；如甲方已付的项目费用超过乙方已完成工作的服务费用时，乙方应在收到甲方通知后5日内退还多收取的服务费用。</w:t>
      </w:r>
    </w:p>
    <w:p>
      <w:pPr>
        <w:ind w:firstLine="414"/>
        <w:jc w:val="both"/>
      </w:pPr>
      <w:r>
        <w:rPr>
          <w:b/>
          <w:sz w:val="21"/>
        </w:rPr>
        <w:t>八、违约责任</w:t>
      </w:r>
    </w:p>
    <w:p>
      <w:pPr>
        <w:ind w:firstLine="456"/>
        <w:jc w:val="both"/>
      </w:pPr>
      <w:r>
        <w:rPr>
          <w:sz w:val="21"/>
        </w:rPr>
        <w:t>(一)乙方未按本协议约定完成工作安排的，甲方有权向乙方追讨本协议总金额3%的违约金。</w:t>
      </w:r>
    </w:p>
    <w:p>
      <w:pPr>
        <w:ind w:firstLine="456"/>
        <w:jc w:val="both"/>
      </w:pPr>
      <w:r>
        <w:rPr>
          <w:sz w:val="21"/>
        </w:rPr>
        <w:t>(二)乙方出现广州市地方标准《综合养老服务中心基本规范》附录C 规定的颐康中心、颐康服务站负面清单禁止性事项并造成甲方的经济损失，乙方应给予赔偿，赔偿应当包括甲方为此支出的律师费、保全费、保全担保费等所有损失。</w:t>
      </w:r>
    </w:p>
    <w:p>
      <w:pPr>
        <w:ind w:firstLine="456"/>
        <w:jc w:val="both"/>
      </w:pPr>
      <w:r>
        <w:rPr>
          <w:sz w:val="21"/>
        </w:rPr>
        <w:t>(三)如乙方违反本协议约定的，除按相应条款承担违约责任外，甲方有权扣除相应项目经费，包括：</w:t>
      </w:r>
    </w:p>
    <w:p>
      <w:pPr>
        <w:ind w:firstLine="492"/>
        <w:jc w:val="left"/>
      </w:pPr>
      <w:r>
        <w:rPr>
          <w:sz w:val="21"/>
        </w:rPr>
        <w:t>1.乙方拒不配合有关政府部门或第三方机构的抽查、评估、考核、检查的，或伪造服务记录的，甲方有权要求乙方限期整 改，如乙方未按要求整改或整改后仍不符合要求的，每发生一次，甲方有权扣除本项目总费用的</w:t>
      </w:r>
      <w:r>
        <w:rPr>
          <w:sz w:val="21"/>
          <w:u w:val="single"/>
        </w:rPr>
        <w:t xml:space="preserve">   </w:t>
      </w:r>
      <w:r>
        <w:rPr>
          <w:sz w:val="21"/>
        </w:rPr>
        <w:t>%,如该扣除部分不足以弥补甲方或相关主管部门损失的，甲方有权继续索赔；</w:t>
      </w:r>
    </w:p>
    <w:p>
      <w:pPr>
        <w:ind w:firstLine="456"/>
        <w:jc w:val="both"/>
      </w:pPr>
      <w:r>
        <w:rPr>
          <w:sz w:val="21"/>
        </w:rPr>
        <w:t>2.如乙方违反保密约定导致甲方、服务对象遭受任何经济损失或名誉损失的，乙方应采取有效措施进行补救，同时甲方有 权扣除本项目总费用的</w:t>
      </w:r>
      <w:r>
        <w:rPr>
          <w:sz w:val="21"/>
          <w:u w:val="single"/>
        </w:rPr>
        <w:t xml:space="preserve">   </w:t>
      </w:r>
      <w:r>
        <w:rPr>
          <w:sz w:val="21"/>
        </w:rPr>
        <w:t>%,如该扣除部分不足以弥补甲方或相关主管部门损失的，甲方有权继续索赔。</w:t>
      </w:r>
    </w:p>
    <w:p>
      <w:pPr>
        <w:ind w:firstLine="456"/>
        <w:jc w:val="both"/>
      </w:pPr>
      <w:r>
        <w:rPr>
          <w:sz w:val="21"/>
        </w:rPr>
        <w:t>(四)乙方未按照协议履行义务，造成重大影响或重大损失的，应追究乙方违约责任，并追回财政资金。如有违纪违法行为，按有关规定予以处理；构成犯罪的，移交司法机关依法追究刑事责任。</w:t>
      </w:r>
    </w:p>
    <w:p>
      <w:pPr>
        <w:ind w:firstLine="494"/>
        <w:jc w:val="both"/>
      </w:pPr>
      <w:r>
        <w:rPr>
          <w:b/>
          <w:sz w:val="21"/>
        </w:rPr>
        <w:t>九、争议解决</w:t>
      </w:r>
    </w:p>
    <w:p>
      <w:pPr>
        <w:ind w:firstLine="456"/>
        <w:jc w:val="both"/>
      </w:pPr>
      <w:r>
        <w:rPr>
          <w:sz w:val="21"/>
        </w:rPr>
        <w:t>(一)本协议未尽事项或协议执行过程中有争议的，由甲乙双方本着诚实信用的基本原则协商解决，或通过签订补充协议方式约定解决。</w:t>
      </w:r>
    </w:p>
    <w:p>
      <w:pPr>
        <w:ind w:firstLine="456"/>
        <w:jc w:val="both"/>
      </w:pPr>
      <w:r>
        <w:rPr>
          <w:sz w:val="21"/>
        </w:rPr>
        <w:t>(二)双方签订的补充协议作为本协议的附件，与本协议具有同等法律效力。</w:t>
      </w:r>
    </w:p>
    <w:p>
      <w:pPr>
        <w:ind w:firstLine="456"/>
        <w:jc w:val="both"/>
      </w:pPr>
      <w:r>
        <w:rPr>
          <w:sz w:val="21"/>
        </w:rPr>
        <w:t>(三)双方就争议事项协商不成的，可向甲方所在地人民法院提请诉讼。</w:t>
      </w:r>
    </w:p>
    <w:p>
      <w:pPr>
        <w:ind w:firstLine="494"/>
        <w:jc w:val="both"/>
      </w:pPr>
      <w:r>
        <w:rPr>
          <w:b/>
          <w:sz w:val="21"/>
        </w:rPr>
        <w:t>十、协议文本</w:t>
      </w:r>
    </w:p>
    <w:p>
      <w:pPr>
        <w:ind w:firstLine="456"/>
        <w:jc w:val="both"/>
      </w:pPr>
      <w:r>
        <w:rPr>
          <w:sz w:val="21"/>
        </w:rPr>
        <w:t>(一)本协议 一 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份，自双方法定代表人</w:t>
      </w:r>
      <w:r>
        <w:rPr>
          <w:sz w:val="21"/>
        </w:rPr>
        <w:t>(或授权代表)签字并加盖公章(或协议专用章)之日起生效。</w:t>
      </w:r>
    </w:p>
    <w:p>
      <w:pPr>
        <w:ind w:firstLine="456"/>
        <w:jc w:val="both"/>
      </w:pPr>
      <w:r>
        <w:rPr>
          <w:sz w:val="21"/>
        </w:rPr>
        <w:t>(二)下列文件为本协议附件，与协议正文同具法律效力：</w:t>
      </w:r>
    </w:p>
    <w:p>
      <w:pPr>
        <w:ind w:firstLine="456"/>
        <w:jc w:val="both"/>
      </w:pPr>
      <w:r>
        <w:rPr>
          <w:sz w:val="21"/>
        </w:rPr>
        <w:t>1.设施设备移交清单；</w:t>
      </w:r>
    </w:p>
    <w:p>
      <w:pPr>
        <w:ind w:firstLine="456"/>
        <w:jc w:val="both"/>
      </w:pPr>
      <w:r>
        <w:rPr>
          <w:sz w:val="21"/>
        </w:rPr>
        <w:t>2.服务项目价格表；</w:t>
      </w:r>
    </w:p>
    <w:p>
      <w:pPr>
        <w:ind w:firstLine="456"/>
        <w:jc w:val="both"/>
      </w:pPr>
      <w:r>
        <w:rPr>
          <w:sz w:val="21"/>
        </w:rPr>
        <w:t>3.鹤龙街社区养老服务设施明细表</w:t>
      </w:r>
    </w:p>
    <w:p>
      <w:pPr>
        <w:ind w:firstLine="456"/>
        <w:jc w:val="both"/>
      </w:pPr>
    </w:p>
    <w:p/>
    <w:p/>
    <w:p>
      <w:pPr>
        <w:ind w:firstLine="456"/>
        <w:jc w:val="both"/>
      </w:pPr>
      <w:r>
        <w:rPr>
          <w:sz w:val="21"/>
        </w:rPr>
        <w:t>甲方</w:t>
      </w:r>
      <w:r>
        <w:rPr>
          <w:sz w:val="21"/>
        </w:rPr>
        <w:t>(盖章):</w:t>
      </w:r>
    </w:p>
    <w:p>
      <w:pPr>
        <w:ind w:firstLine="456"/>
        <w:jc w:val="both"/>
      </w:pPr>
    </w:p>
    <w:p>
      <w:pPr>
        <w:ind w:firstLine="456"/>
        <w:jc w:val="left"/>
      </w:pPr>
      <w:r>
        <w:rPr>
          <w:sz w:val="21"/>
        </w:rPr>
        <w:t>法定代表人或授权代表签字：</w:t>
      </w:r>
      <w:r>
        <w:rPr>
          <w:sz w:val="21"/>
        </w:rPr>
        <w:t xml:space="preserve">        </w:t>
      </w:r>
      <w:r>
        <w:rPr>
          <w:sz w:val="21"/>
        </w:rPr>
        <w:t>乙方</w:t>
      </w:r>
      <w:r>
        <w:rPr>
          <w:sz w:val="21"/>
        </w:rPr>
        <w:t>(盖章):</w:t>
      </w:r>
    </w:p>
    <w:p>
      <w:pPr>
        <w:ind w:firstLine="456"/>
        <w:jc w:val="both"/>
      </w:pPr>
    </w:p>
    <w:p>
      <w:pPr>
        <w:jc w:val="both"/>
      </w:pPr>
      <w:r>
        <w:rPr>
          <w:sz w:val="21"/>
        </w:rPr>
        <w:t>法定代表人或授权代表签字：</w:t>
      </w:r>
    </w:p>
    <w:p>
      <w:pPr>
        <w:ind w:firstLine="456"/>
        <w:jc w:val="both"/>
      </w:pPr>
    </w:p>
    <w:p/>
    <w:p/>
    <w:p>
      <w:pPr>
        <w:jc w:val="both"/>
      </w:pPr>
    </w:p>
    <w:p>
      <w:pPr>
        <w:ind w:firstLine="79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440111-2024-00187</w:t>
      </w:r>
    </w:p>
    <w:p>
      <w:pPr>
        <w:jc w:val="center"/>
      </w:pPr>
      <w:r>
        <w:rPr>
          <w:b/>
          <w:sz w:val="24"/>
        </w:rPr>
        <w:t>采购项目编号：</w:t>
      </w:r>
      <w:r>
        <w:rPr>
          <w:b/>
          <w:sz w:val="24"/>
        </w:rPr>
        <w:t>GZGK23D315C0986C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广州市白云区鹤龙街综合养老服务中心（颐康中心）运营项目</w:t>
      </w:r>
      <w:r>
        <w:rPr>
          <w:u w:val="single"/>
        </w:rPr>
        <w:t>”</w:t>
      </w:r>
      <w:r>
        <w:rPr/>
        <w:t>项目的竞争性磋商[采购项目编号为：</w:t>
      </w:r>
      <w:r>
        <w:rPr>
          <w:u w:val="single"/>
        </w:rPr>
        <w:t>GZGK23D315C0986C</w:t>
      </w:r>
      <w:r>
        <w:rPr/>
        <w:t>]，我方愿参与响应。</w:t>
      </w:r>
    </w:p>
    <w:p>
      <w:pPr>
        <w:ind w:firstLine="480"/>
      </w:pPr>
      <w:r>
        <w:rPr/>
        <w:t>我方确认收到贵方提供的</w:t>
      </w:r>
      <w:r>
        <w:rPr>
          <w:u w:val="single"/>
        </w:rPr>
        <w:t>“</w:t>
      </w:r>
      <w:r>
        <w:rPr>
          <w:u w:val="single"/>
        </w:rPr>
        <w:t>广州市白云区鹤龙街综合养老服务中心（颐康中心）运营项目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广州市白云区鹤龙街综合养老服务中心（颐康中心）运营项目</w:t>
      </w:r>
      <w:r>
        <w:rPr/>
        <w:t>”项目采购[采购项目编号为</w:t>
      </w:r>
      <w:r>
        <w:rPr/>
        <w:t>GZGK23D315C0986C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广州市白云区人民政府鹤龙街道办事处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广州市白云区鹤龙街综合养老服务中心（颐康中心）运营项目</w:t>
      </w:r>
      <w:r>
        <w:rPr/>
        <w:t>（采购项目编号：</w:t>
      </w:r>
      <w:r>
        <w:rPr/>
        <w:t>GZGK23D315C0986C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