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440113-2023-08223</w:t>
      </w:r>
    </w:p>
    <w:p>
      <w:pPr>
        <w:jc w:val="center"/>
      </w:pPr>
      <w:r>
        <w:rPr>
          <w:b/>
          <w:sz w:val="24"/>
        </w:rPr>
        <w:t>采购项目编号：</w:t>
      </w:r>
      <w:r>
        <w:rPr>
          <w:b/>
          <w:sz w:val="24"/>
        </w:rPr>
        <w:t>GZGK23D295A0931Z</w:t>
      </w:r>
    </w:p>
    <w:p>
      <w:pPr>
        <w:jc w:val="center"/>
      </w:pPr>
      <w:r>
        <w:rPr>
          <w:b/>
          <w:sz w:val="24"/>
        </w:rPr>
        <w:t>项目名称：</w:t>
      </w:r>
      <w:r>
        <w:rPr>
          <w:b/>
          <w:sz w:val="24"/>
        </w:rPr>
        <w:t>广州市番禺区中心医院医疗设备采购项目（八）</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广州市番禺区中心医院医疗设备采购项目（八）</w:t>
      </w:r>
      <w:r>
        <w:rPr/>
        <w:t>。欢迎符合资格条件的国内供应商参加投标。</w:t>
      </w:r>
    </w:p>
    <w:p>
      <w:r>
        <w:rPr>
          <w:b/>
          <w:sz w:val="28"/>
        </w:rPr>
        <w:t>一.项目概述</w:t>
      </w:r>
    </w:p>
    <w:p>
      <w:r>
        <w:rPr>
          <w:b/>
          <w:sz w:val="24"/>
        </w:rPr>
        <w:t>1.名称与编号</w:t>
      </w:r>
    </w:p>
    <w:p>
      <w:pPr>
        <w:ind w:firstLine="480"/>
      </w:pPr>
      <w:r>
        <w:rPr/>
        <w:t>项目名称：</w:t>
      </w:r>
      <w:r>
        <w:rPr/>
        <w:t>广州市番禺区中心医院医疗设备采购项目（八）</w:t>
      </w:r>
    </w:p>
    <w:p>
      <w:pPr>
        <w:ind w:firstLine="480"/>
      </w:pPr>
      <w:r>
        <w:rPr/>
        <w:t>采购计划编号：</w:t>
      </w:r>
      <w:r>
        <w:rPr/>
        <w:t>440113-2023-08223</w:t>
      </w:r>
    </w:p>
    <w:p>
      <w:pPr>
        <w:ind w:firstLine="480"/>
      </w:pPr>
      <w:r>
        <w:rPr/>
        <w:t>采购项目编号：</w:t>
      </w:r>
      <w:r>
        <w:rPr/>
        <w:t>GZGK23D295A0931Z</w:t>
      </w:r>
    </w:p>
    <w:p>
      <w:pPr>
        <w:ind w:firstLine="480"/>
      </w:pPr>
      <w:r>
        <w:rPr/>
        <w:t>采购方式：</w:t>
      </w:r>
      <w:r>
        <w:rPr/>
        <w:t>公开招标</w:t>
      </w:r>
    </w:p>
    <w:p>
      <w:pPr>
        <w:ind w:firstLine="480"/>
      </w:pPr>
      <w:r>
        <w:rPr/>
        <w:t>预算金额：</w:t>
      </w:r>
      <w:r>
        <w:rPr/>
        <w:t>1,375,000.00</w:t>
      </w:r>
      <w:r>
        <w:rPr/>
        <w:t>元</w:t>
      </w:r>
    </w:p>
    <w:p>
      <w:r>
        <w:rPr>
          <w:b/>
          <w:sz w:val="24"/>
        </w:rPr>
        <w:t>2.项目内容及需求情况（采购项目技术规格、参数及要求）</w:t>
      </w:r>
    </w:p>
    <w:p>
      <w:pPr>
        <w:ind w:firstLine="480"/>
      </w:pPr>
    </w:p>
    <w:p/>
    <w:p>
      <w:r>
        <w:rPr/>
        <w:t>采购包1(中央母胎监护系统):</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医用电子生理参数检测仪器设备</w:t>
            </w:r>
          </w:p>
        </w:tc>
        <w:tc>
          <w:tcPr>
            <w:tcW w:type="dxa" w:w="2136"/>
          </w:tcPr>
          <w:p>
            <w:r>
              <w:rPr/>
              <w:t>中央母胎监护系统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采购包2(眩晕VR耳鸣康复仪):</w:t>
      </w:r>
    </w:p>
    <w:p>
      <w:r>
        <w:rPr/>
        <w:t>采购包预算金额：165,000.00元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物理治疗、康复及体育治疗仪器设备</w:t>
            </w:r>
          </w:p>
        </w:tc>
        <w:tc>
          <w:tcPr>
            <w:tcW w:type="dxa" w:w="2136"/>
          </w:tcPr>
          <w:p>
            <w:r>
              <w:rPr/>
              <w:t>眩晕VR耳鸣康复仪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采购包3(心肺评估仪):</w:t>
      </w:r>
    </w:p>
    <w:p>
      <w:r>
        <w:rPr/>
        <w:t>采购包预算金额：910,000.00元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物理治疗、康复及体育治疗仪器设备</w:t>
            </w:r>
          </w:p>
        </w:tc>
        <w:tc>
          <w:tcPr>
            <w:tcW w:type="dxa" w:w="2136"/>
          </w:tcPr>
          <w:p>
            <w:r>
              <w:rPr/>
              <w:t>心肺评估仪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采购包1（中央母胎监护系统）：</w:t>
      </w:r>
      <w:r>
        <w:rPr/>
        <w:t>采购包整体专门面向中小企业，全部货物须由中小微企业或监狱企业或残疾人福利性单位制造。</w:t>
      </w:r>
    </w:p>
    <w:p>
      <w:pPr>
        <w:jc w:val="left"/>
      </w:pPr>
    </w:p>
    <w:p>
      <w:r>
        <w:rPr/>
        <w:t>采购包2（眩晕VR耳鸣康复仪）：</w:t>
      </w:r>
      <w:r>
        <w:rPr/>
        <w:t>采购包整体专门面向中小企业，全部货物须由中小微企业或监狱企业或残疾人福利性单位制造。</w:t>
      </w:r>
    </w:p>
    <w:p>
      <w:pPr>
        <w:jc w:val="left"/>
      </w:pPr>
    </w:p>
    <w:p>
      <w:r>
        <w:rPr/>
        <w:t>采购包3（心肺评估仪）：</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采购包1（中央母胎监护系统）：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若投标人为设备生产厂家应具备《医疗器械生产许可证》；若为经销商或代理商须提供第二类医疗器械经营备案凭证（须在投标文件内提供证明文件复印件）。（或承诺签订合同前取得第二类医疗器械经营备案凭证）</w:t>
      </w:r>
    </w:p>
    <w:p/>
    <w:p>
      <w:r>
        <w:rPr/>
        <w:t>采购包2（眩晕VR耳鸣康复仪）：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若投标人为设备生产厂家应具备《医疗器械生产许可证》；若为经销商或代理商须提供第二类医疗器械经营备案凭证（须在投标文件内提供证明文件复印件）。（或承诺签订合同前取得第二类医疗器械经营备案凭证）</w:t>
      </w:r>
    </w:p>
    <w:p/>
    <w:p>
      <w:r>
        <w:rPr/>
        <w:t>采购包3（心肺评估仪）：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若投标人为设备生产厂家应具备《医疗器械生产许可证》；若为经销商或代理商须提供第二类医疗器械经营备案凭证（须在投标文件内提供证明文件复印件）。（或承诺签订合同前取得第二类医疗器械经营备案凭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020-34858891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 xml:space="preserve">GZGK23D295A0931Z   </w:t>
      </w:r>
    </w:p>
    <w:p>
      <w:pPr>
        <w:jc w:val="both"/>
      </w:pPr>
      <w:r>
        <w:rPr>
          <w:b/>
          <w:sz w:val="21"/>
        </w:rPr>
        <w:t>（二）</w:t>
      </w:r>
      <w:r>
        <w:rPr>
          <w:b/>
          <w:sz w:val="21"/>
        </w:rPr>
        <w:t>项目名称：</w:t>
      </w:r>
      <w:r>
        <w:rPr>
          <w:color w:val="000000"/>
          <w:sz w:val="21"/>
        </w:rPr>
        <w:t>广州市番禺区中心医院医疗设备采购项目（八）</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投标人必须承诺提供厂商原装、全新的、符合国家及用户提出的有关质量标准的设备。</w:t>
      </w:r>
    </w:p>
    <w:p>
      <w:pPr>
        <w:jc w:val="both"/>
      </w:pPr>
      <w:r>
        <w:rPr>
          <w:sz w:val="21"/>
        </w:rPr>
        <w:t>3、</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5、</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6、</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7、</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8、</w:t>
      </w:r>
      <w:r>
        <w:rPr>
          <w:sz w:val="21"/>
        </w:rPr>
        <w:t>涉及到软件产品的，必须采购和使用正版软件，项目中涉及计算机办公产品的，必须预装正版操作系统软件。</w:t>
      </w:r>
    </w:p>
    <w:p>
      <w:pPr>
        <w:jc w:val="both"/>
      </w:pPr>
      <w:r>
        <w:rPr>
          <w:sz w:val="21"/>
        </w:rPr>
        <w:t>9、</w:t>
      </w:r>
      <w:r>
        <w:rPr>
          <w:sz w:val="21"/>
        </w:rPr>
        <w:t>投标人没有在投标文件中注明偏离（文字说明或在响应表注明）的参数、配置、条款视为被投标人完全接受。</w:t>
      </w:r>
    </w:p>
    <w:p>
      <w:pPr>
        <w:jc w:val="both"/>
      </w:pPr>
      <w:r>
        <w:rPr>
          <w:sz w:val="21"/>
        </w:rPr>
        <w:t>10、</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11、</w:t>
      </w:r>
      <w:r>
        <w:rPr>
          <w:sz w:val="21"/>
        </w:rPr>
        <w:t>不允许中标供应商</w:t>
      </w:r>
      <w:r>
        <w:rPr>
          <w:sz w:val="21"/>
        </w:rPr>
        <w:t>转包、分包中标采购包的内容</w:t>
      </w:r>
      <w:r>
        <w:rPr>
          <w:sz w:val="21"/>
        </w:rPr>
        <w:t>。</w:t>
      </w:r>
    </w:p>
    <w:p>
      <w:pPr>
        <w:jc w:val="both"/>
      </w:pPr>
      <w:r>
        <w:rPr>
          <w:sz w:val="21"/>
        </w:rPr>
        <w:t>12、</w:t>
      </w:r>
      <w:r>
        <w:rPr>
          <w:sz w:val="21"/>
        </w:rPr>
        <w:t>小型和微型企业、监狱企业和残疾人福利性单位必须按照招标（采购）文件第三章内容提供相应的资料。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投标报价说明</w:t>
      </w:r>
    </w:p>
    <w:p>
      <w:pPr>
        <w:ind w:firstLine="420"/>
        <w:jc w:val="both"/>
      </w:pPr>
      <w:r>
        <w:rPr>
          <w:sz w:val="21"/>
        </w:rPr>
        <w:t>本项目报价包括货物货款、货物包装、运输、安装调试、检测及验收合格之前及保修期内服务及备品备件发生的所有含税费用。</w:t>
      </w:r>
    </w:p>
    <w:p>
      <w:pPr>
        <w:jc w:val="both"/>
      </w:pPr>
      <w:r>
        <w:rPr>
          <w:b/>
          <w:sz w:val="21"/>
        </w:rPr>
        <w:t>（五）</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（六）</w:t>
      </w:r>
      <w:r>
        <w:rPr>
          <w:b/>
          <w:sz w:val="21"/>
        </w:rPr>
        <w:t>需执行国家相关标准、行业标准、地方标准或者其他标准、规范</w:t>
      </w:r>
    </w:p>
    <w:p/>
    <w:p>
      <w:pPr>
        <w:ind w:firstLine="480"/>
      </w:pPr>
    </w:p>
    <w:p/>
    <w:p>
      <w:r>
        <w:rPr/>
        <w:t>采购包1（中央母胎监护系统）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1期：支付比例30%,1.合同签订后，中标供应商须向采购人提供中小企业预付款 30%的请款函，采购人自收到请款函后5个工作日内办理支付，支付合同金额30%的预付款；</w:t>
            </w:r>
          </w:p>
          <w:p/>
          <w:p>
            <w:r>
              <w:rPr/>
              <w:t>2期：支付比例70%,2.合同设备全部到指定地点交付并完成安装及验收合格后，中标供应商须向采购人提供以下相应资料和合同全额发票，对于满足合同约定支付条件的，采购人自收到请款函后5个工作日内办理支付手续，自收到发票后15日内完成资金支付，支付合同金额的 70%。 （1）合同复印件； （2） 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中标产品如属国家强制计量产品，需由中标供应商独立完成首次计量强检。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（一）供货要求，★1.中标供应商应保证所提供的设备是制造日期距交货时间不能超过1年，是全新的、未使用过的设备，并符合国家有关标准、制造厂标准及合同技术标准要求。 2.投标人需在投标文件中提供对应的供货服务方案，内容包含交货时间、到货保证措施、交货后售后服务、应急保障等。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（四）保修期，1.自验收合格之日起设备保修期不少于36个月。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须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保修期内,对采购人的服务通知，中标供应商在接报后2小时内响应，8小时内到达现场，24小时内处理完毕。若在24小时内仍未能有效解决，采购人有权要求中标供应商无偿提供同一档次的设备予采购人临时使用。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中央母胎监护系统</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中央母胎监护系统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一、项目需求</w:t>
            </w:r>
          </w:p>
          <w:p>
            <w:pPr>
              <w:jc w:val="left"/>
            </w:pPr>
            <w:r>
              <w:rPr>
                <w:color w:val="000000"/>
                <w:sz w:val="21"/>
              </w:rPr>
              <w:t>中央母胎监护系统</w:t>
            </w:r>
            <w:r>
              <w:rPr>
                <w:sz w:val="21"/>
              </w:rPr>
              <w:t>一套。</w:t>
            </w:r>
          </w:p>
          <w:p>
            <w:pPr>
              <w:jc w:val="left"/>
            </w:pPr>
            <w:r>
              <w:rPr>
                <w:b/>
                <w:sz w:val="21"/>
              </w:rPr>
              <w:t>二、设备功能及主要技术、配置要求</w:t>
            </w:r>
          </w:p>
          <w:p>
            <w:pPr>
              <w:jc w:val="left"/>
            </w:pPr>
            <w:r>
              <w:rPr>
                <w:b/>
                <w:sz w:val="21"/>
              </w:rPr>
              <w:t>（一）设备用途说明：</w:t>
            </w:r>
          </w:p>
          <w:p>
            <w:pPr>
              <w:jc w:val="both"/>
            </w:pPr>
            <w:r>
              <w:rPr>
                <w:sz w:val="21"/>
              </w:rPr>
              <w:t>主要用于</w:t>
            </w:r>
            <w:r>
              <w:rPr>
                <w:sz w:val="21"/>
              </w:rPr>
              <w:t>母亲多参数和胎儿参数的监护，胎儿监护参数包括但不限于胎心率、宫缩压力、胎动；母亲监护参数包括但不限于血压、血氧、脉率、心电、呼吸等</w:t>
            </w:r>
            <w:r>
              <w:rPr>
                <w:sz w:val="21"/>
              </w:rPr>
              <w:t>。</w:t>
            </w:r>
          </w:p>
          <w:p>
            <w:pPr>
              <w:jc w:val="both"/>
            </w:pPr>
            <w:r>
              <w:rPr>
                <w:sz w:val="21"/>
              </w:rPr>
              <w:t>（二）设备要求</w:t>
            </w:r>
          </w:p>
          <w:p>
            <w:pPr>
              <w:ind w:firstLine="210"/>
              <w:jc w:val="both"/>
            </w:pPr>
            <w:r>
              <w:rPr>
                <w:sz w:val="21"/>
              </w:rPr>
              <w:t>★</w:t>
            </w:r>
            <w:r>
              <w:rPr>
                <w:color w:val="000000"/>
                <w:sz w:val="21"/>
              </w:rPr>
              <w:t>中央母胎监护系统</w:t>
            </w:r>
            <w:r>
              <w:rPr>
                <w:sz w:val="21"/>
              </w:rPr>
              <w:t>属于第二类医疗器械，应具备《医疗器械注册证》（无强制要求的除外，以国家药品监督管理局网上的数据库中查询的数据为准）。</w:t>
            </w:r>
          </w:p>
          <w:p>
            <w:pPr>
              <w:jc w:val="both"/>
            </w:pPr>
            <w:r>
              <w:rPr>
                <w:b/>
                <w:color w:val="000000"/>
                <w:sz w:val="21"/>
              </w:rPr>
              <w:t>（三）</w:t>
            </w:r>
            <w:r>
              <w:rPr>
                <w:b/>
                <w:sz w:val="21"/>
              </w:rPr>
              <w:t>设备主要规格、技术要求</w:t>
            </w:r>
            <w:r>
              <w:rPr>
                <w:b/>
                <w:color w:val="000000"/>
                <w:sz w:val="21"/>
              </w:rPr>
              <w:t>：</w:t>
            </w:r>
          </w:p>
          <w:p>
            <w:pPr>
              <w:jc w:val="both"/>
            </w:pPr>
            <w:r>
              <w:rPr>
                <w:b/>
                <w:sz w:val="21"/>
              </w:rPr>
              <w:t>1</w:t>
            </w:r>
            <w:r>
              <w:rPr>
                <w:b/>
                <w:sz w:val="21"/>
              </w:rPr>
              <w:t>.</w:t>
            </w:r>
            <w:r>
              <w:rPr>
                <w:b/>
                <w:color w:val="000000"/>
                <w:sz w:val="21"/>
              </w:rPr>
              <w:t>产科中央监护网络系统</w:t>
            </w:r>
            <w:r>
              <w:rPr>
                <w:b/>
                <w:sz w:val="21"/>
              </w:rPr>
              <w:t>技术</w:t>
            </w:r>
            <w:r>
              <w:rPr>
                <w:b/>
                <w:sz w:val="21"/>
              </w:rPr>
              <w:t>参数：</w:t>
            </w:r>
          </w:p>
          <w:p>
            <w:pPr>
              <w:jc w:val="left"/>
            </w:pPr>
            <w:r>
              <w:rPr>
                <w:sz w:val="21"/>
              </w:rPr>
              <w:t>1.1</w:t>
            </w:r>
            <w:r>
              <w:rPr>
                <w:sz w:val="21"/>
              </w:rPr>
              <w:t>产科中央监护网络系统配置：一体式</w:t>
            </w:r>
            <w:r>
              <w:rPr>
                <w:sz w:val="21"/>
              </w:rPr>
              <w:t>主机</w:t>
            </w:r>
            <w:r>
              <w:rPr>
                <w:sz w:val="21"/>
              </w:rPr>
              <w:t>；医用监视器：</w:t>
            </w:r>
            <w:r>
              <w:rPr>
                <w:sz w:val="21"/>
              </w:rPr>
              <w:t>≥22寸；主机：内存≥4G，硬盘≥1T，配置黑白激光图文输出设备。</w:t>
            </w:r>
          </w:p>
          <w:p>
            <w:pPr>
              <w:jc w:val="left"/>
            </w:pPr>
            <w:r>
              <w:rPr>
                <w:sz w:val="21"/>
              </w:rPr>
              <w:t>1.2</w:t>
            </w:r>
            <w:r>
              <w:rPr>
                <w:sz w:val="21"/>
              </w:rPr>
              <w:t>联网方式：支持多种网络双向互联，包括（不限于）医疗无线网络、</w:t>
            </w:r>
            <w:r>
              <w:rPr>
                <w:sz w:val="21"/>
              </w:rPr>
              <w:t>RS485、以太网(含WIFI)，可按需组合。</w:t>
            </w:r>
            <w:r>
              <w:rPr>
                <w:sz w:val="21"/>
              </w:rPr>
              <w:t>网络容量：</w:t>
            </w:r>
            <w:r>
              <w:rPr>
                <w:sz w:val="21"/>
              </w:rPr>
              <w:t>≥1</w:t>
            </w:r>
            <w:r>
              <w:rPr>
                <w:sz w:val="21"/>
              </w:rPr>
              <w:t>0</w:t>
            </w:r>
            <w:r>
              <w:rPr>
                <w:sz w:val="21"/>
              </w:rPr>
              <w:t>0台以上母亲/胎儿监护仪同时进行联网使用；数据传输：三网互通（</w:t>
            </w:r>
            <w:r>
              <w:rPr>
                <w:sz w:val="21"/>
              </w:rPr>
              <w:t>RS485/</w:t>
            </w:r>
            <w:r>
              <w:rPr>
                <w:sz w:val="21"/>
              </w:rPr>
              <w:t>无线</w:t>
            </w:r>
            <w:r>
              <w:rPr>
                <w:sz w:val="21"/>
              </w:rPr>
              <w:t>/</w:t>
            </w:r>
            <w:r>
              <w:rPr>
                <w:sz w:val="21"/>
              </w:rPr>
              <w:t>以太网），任意子机之间可双向通信。</w:t>
            </w:r>
          </w:p>
          <w:p>
            <w:pPr>
              <w:jc w:val="left"/>
            </w:pPr>
            <w:r>
              <w:rPr>
                <w:sz w:val="21"/>
              </w:rPr>
              <w:t>1.3</w:t>
            </w:r>
            <w:r>
              <w:rPr>
                <w:sz w:val="21"/>
              </w:rPr>
              <w:t>无线网络：采用医疗专用频段，超低射频功率峰值</w:t>
            </w:r>
            <w:r>
              <w:rPr>
                <w:sz w:val="21"/>
              </w:rPr>
              <w:t>≤10mW，</w:t>
            </w:r>
            <w:r>
              <w:rPr>
                <w:sz w:val="21"/>
              </w:rPr>
              <w:t>频率范围：</w:t>
            </w:r>
            <w:r>
              <w:rPr>
                <w:sz w:val="21"/>
              </w:rPr>
              <w:t>407-425MHz。</w:t>
            </w:r>
            <w:r>
              <w:rPr>
                <w:b/>
                <w:sz w:val="21"/>
              </w:rPr>
              <w:t>（提供无线电核准证证明）</w:t>
            </w:r>
          </w:p>
          <w:p>
            <w:pPr>
              <w:jc w:val="both"/>
            </w:pPr>
            <w:r>
              <w:rPr>
                <w:sz w:val="21"/>
              </w:rPr>
              <w:t>1.4</w:t>
            </w:r>
            <w:r>
              <w:rPr>
                <w:sz w:val="21"/>
              </w:rPr>
              <w:t>可配置建立多监护分中心功能，</w:t>
            </w:r>
            <w:r>
              <w:rPr>
                <w:sz w:val="21"/>
              </w:rPr>
              <w:t>增加数量支持</w:t>
            </w:r>
            <w:r>
              <w:rPr>
                <w:sz w:val="21"/>
              </w:rPr>
              <w:t>≥32个客户端，</w:t>
            </w:r>
            <w:r>
              <w:rPr>
                <w:sz w:val="21"/>
              </w:rPr>
              <w:t>分监护中心可独立工作，同时与产科中央监护网络系统实现数据共享</w:t>
            </w:r>
            <w:r>
              <w:rPr>
                <w:sz w:val="21"/>
              </w:rPr>
              <w:t>。</w:t>
            </w:r>
            <w:r>
              <w:rPr>
                <w:sz w:val="21"/>
              </w:rPr>
              <w:t xml:space="preserve"> </w:t>
            </w:r>
          </w:p>
          <w:p>
            <w:pPr>
              <w:jc w:val="left"/>
            </w:pPr>
            <w:r>
              <w:rPr>
                <w:sz w:val="21"/>
              </w:rPr>
              <w:t>1.5</w:t>
            </w:r>
            <w:r>
              <w:rPr>
                <w:sz w:val="21"/>
              </w:rPr>
              <w:t>具有趋势图分析功能：提供短变异、胎动、胎心率基线随孕周变化的趋势图和提供短变异、胎心率变异功率谱分析功能。</w:t>
            </w:r>
          </w:p>
          <w:p>
            <w:pPr>
              <w:jc w:val="left"/>
            </w:pPr>
            <w:r>
              <w:rPr>
                <w:sz w:val="21"/>
              </w:rPr>
              <w:t>1.6</w:t>
            </w:r>
            <w:r>
              <w:rPr>
                <w:sz w:val="21"/>
              </w:rPr>
              <w:t>具有实时分析功能：可对所选段曲线的宫缩次数、胎动次数、</w:t>
            </w:r>
            <w:r>
              <w:rPr>
                <w:sz w:val="21"/>
              </w:rPr>
              <w:t>FHR基线值、加速次数、减速次数、高变异时间、短变异等参数指标进行实时计算显示。</w:t>
            </w:r>
          </w:p>
          <w:p>
            <w:pPr>
              <w:jc w:val="left"/>
            </w:pPr>
            <w:r>
              <w:rPr>
                <w:sz w:val="21"/>
              </w:rPr>
              <w:t>1.7</w:t>
            </w:r>
            <w:r>
              <w:rPr>
                <w:sz w:val="21"/>
              </w:rPr>
              <w:t>配置软件分析算法，自动识别加、减速类型。</w:t>
            </w:r>
          </w:p>
          <w:p>
            <w:pPr>
              <w:jc w:val="left"/>
            </w:pPr>
            <w:r>
              <w:rPr>
                <w:sz w:val="21"/>
              </w:rPr>
              <w:t>1.</w:t>
            </w:r>
            <w:r>
              <w:rPr>
                <w:sz w:val="21"/>
              </w:rPr>
              <w:t>8配置胎心曲线辅助分析功能，具有曲线放大、胎心基线卡尺、加速卡尺、减速卡尺等功能。</w:t>
            </w:r>
          </w:p>
          <w:p>
            <w:pPr>
              <w:jc w:val="both"/>
            </w:pPr>
            <w:r>
              <w:rPr>
                <w:sz w:val="21"/>
              </w:rPr>
              <w:t>1.</w:t>
            </w:r>
            <w:r>
              <w:rPr>
                <w:sz w:val="21"/>
              </w:rPr>
              <w:t>9配置工作界面自定义功能：提供3种以上标准工作界面，支持（不限于）NICE 2007/FIGO 2015/SFOG 2017等，可自定义设置曲线、数值、报警区间等监护区域颜色。</w:t>
            </w:r>
          </w:p>
          <w:p>
            <w:pPr>
              <w:jc w:val="both"/>
            </w:pPr>
            <w:r>
              <w:rPr>
                <w:sz w:val="21"/>
              </w:rPr>
              <w:t>1.1</w:t>
            </w:r>
            <w:r>
              <w:rPr>
                <w:sz w:val="21"/>
              </w:rPr>
              <w:t>0系统具备</w:t>
            </w:r>
            <w:r>
              <w:rPr>
                <w:color w:val="000000"/>
                <w:sz w:val="21"/>
              </w:rPr>
              <w:t>子机（各类胎儿</w:t>
            </w:r>
            <w:r>
              <w:rPr>
                <w:color w:val="000000"/>
                <w:sz w:val="21"/>
              </w:rPr>
              <w:t>/母亲胎儿监护仪）</w:t>
            </w:r>
            <w:r>
              <w:rPr>
                <w:color w:val="000000"/>
                <w:sz w:val="21"/>
              </w:rPr>
              <w:t>分组</w:t>
            </w:r>
            <w:r>
              <w:rPr>
                <w:color w:val="000000"/>
                <w:sz w:val="21"/>
              </w:rPr>
              <w:t>显示</w:t>
            </w:r>
            <w:r>
              <w:rPr>
                <w:color w:val="000000"/>
                <w:sz w:val="21"/>
              </w:rPr>
              <w:t>功能，可</w:t>
            </w:r>
            <w:r>
              <w:rPr>
                <w:color w:val="000000"/>
                <w:sz w:val="21"/>
              </w:rPr>
              <w:t>归集任意</w:t>
            </w:r>
            <w:r>
              <w:rPr>
                <w:color w:val="000000"/>
                <w:sz w:val="21"/>
              </w:rPr>
              <w:t>子机指定分组，</w:t>
            </w:r>
            <w:r>
              <w:rPr>
                <w:color w:val="000000"/>
                <w:sz w:val="21"/>
              </w:rPr>
              <w:t>每个分监护中心可自由选择需要监护的子机进行分组显示，也可屏蔽无需显示子机信息。</w:t>
            </w:r>
          </w:p>
          <w:p>
            <w:pPr>
              <w:jc w:val="both"/>
            </w:pPr>
            <w:r>
              <w:rPr>
                <w:sz w:val="21"/>
              </w:rPr>
              <w:t>1.</w:t>
            </w:r>
            <w:r>
              <w:rPr>
                <w:sz w:val="21"/>
              </w:rPr>
              <w:t>11具备三级（高中低）报警系统、保存报警记录。</w:t>
            </w:r>
          </w:p>
          <w:p>
            <w:pPr>
              <w:jc w:val="both"/>
            </w:pPr>
            <w:r>
              <w:rPr>
                <w:sz w:val="21"/>
              </w:rPr>
              <w:t>1</w:t>
            </w:r>
            <w:r>
              <w:rPr>
                <w:sz w:val="21"/>
              </w:rPr>
              <w:t>.1</w:t>
            </w:r>
            <w:r>
              <w:rPr>
                <w:sz w:val="21"/>
              </w:rPr>
              <w:t>2系统具备断电保护功能，可实现30秒自动保存数据。</w:t>
            </w:r>
          </w:p>
          <w:p>
            <w:pPr>
              <w:jc w:val="both"/>
            </w:pPr>
            <w:r>
              <w:rPr>
                <w:sz w:val="21"/>
              </w:rPr>
              <w:t>1.</w:t>
            </w:r>
            <w:r>
              <w:rPr>
                <w:sz w:val="21"/>
              </w:rPr>
              <w:t>13具备信息同步功能：在任一监护中心录入孕妇信息，对应的监护子机同步显示孕妇信息；在监护子机上录入孕妇信息，所有监护中心同步显示。</w:t>
            </w:r>
          </w:p>
          <w:p>
            <w:pPr>
              <w:jc w:val="both"/>
            </w:pPr>
            <w:r>
              <w:rPr>
                <w:sz w:val="21"/>
              </w:rPr>
              <w:t>1.</w:t>
            </w:r>
            <w:r>
              <w:rPr>
                <w:sz w:val="21"/>
              </w:rPr>
              <w:t>14具备档案统计和存储功能：包括但不限于年报表、季报表、月报表、科室(组别)报表功能，系统可永久保存10万个以上记录，数据档案可打包导出、导入、刻录光盘。</w:t>
            </w:r>
          </w:p>
          <w:p>
            <w:pPr>
              <w:jc w:val="both"/>
            </w:pPr>
            <w:r>
              <w:rPr>
                <w:sz w:val="21"/>
              </w:rPr>
              <w:t>2</w:t>
            </w:r>
            <w:r>
              <w:rPr>
                <w:sz w:val="21"/>
              </w:rPr>
              <w:t>.</w:t>
            </w:r>
            <w:r>
              <w:rPr>
                <w:b/>
                <w:sz w:val="21"/>
              </w:rPr>
              <w:t xml:space="preserve"> </w:t>
            </w:r>
            <w:r>
              <w:rPr>
                <w:b/>
                <w:sz w:val="21"/>
              </w:rPr>
              <w:t>母亲胎儿监护仪技术参数</w:t>
            </w:r>
          </w:p>
          <w:p>
            <w:pPr>
              <w:jc w:val="left"/>
            </w:pPr>
            <w:r>
              <w:rPr>
                <w:sz w:val="21"/>
              </w:rPr>
              <w:t>2.1母亲多参数和胎儿参数同步监护。胎儿监护参数包括但不限于：无线胎心率、无线宫缩压力、无线胎动；母亲监护参数包括但不限于：血压、血氧、脉率、心电、呼吸、双体温。</w:t>
            </w:r>
          </w:p>
          <w:p>
            <w:pPr>
              <w:jc w:val="left"/>
            </w:pPr>
            <w:r>
              <w:rPr>
                <w:sz w:val="21"/>
              </w:rPr>
              <w:t>2.2便携式手提结构，无线探头模块和主机一体化设计，配备</w:t>
            </w:r>
            <w:r>
              <w:rPr>
                <w:sz w:val="21"/>
              </w:rPr>
              <w:t>无线胎心率探头和宫压探头</w:t>
            </w:r>
            <w:r>
              <w:rPr>
                <w:sz w:val="21"/>
              </w:rPr>
              <w:t>。</w:t>
            </w:r>
          </w:p>
          <w:p>
            <w:pPr>
              <w:jc w:val="left"/>
            </w:pPr>
            <w:r>
              <w:rPr>
                <w:sz w:val="21"/>
              </w:rPr>
              <w:t>2.3彩色医用监视屏≥12寸；可0-70度翻转；同屏显示监护数据与曲线，110-160bpm正常范围区域标识。</w:t>
            </w:r>
          </w:p>
          <w:p>
            <w:pPr>
              <w:jc w:val="left"/>
            </w:pPr>
            <w:r>
              <w:rPr>
                <w:sz w:val="21"/>
              </w:rPr>
              <w:t>2.4具备多语言操作界面，至少支持中文、英文等多种语言操作，配置不少于三种可变换的工作界面：可选单独显示胎儿参数、母亲参数或母胎参数同屏监护。</w:t>
            </w:r>
          </w:p>
          <w:p>
            <w:pPr>
              <w:jc w:val="left"/>
            </w:pPr>
            <w:r>
              <w:rPr>
                <w:sz w:val="21"/>
              </w:rPr>
              <w:t>2.5配置宽波束多晶片探头，超声发射频率≥2MHz。</w:t>
            </w:r>
          </w:p>
          <w:p>
            <w:pPr>
              <w:jc w:val="left"/>
            </w:pPr>
            <w:r>
              <w:rPr>
                <w:sz w:val="21"/>
              </w:rPr>
              <w:t>2.6胎心率测量范围：3</w:t>
            </w:r>
            <w:r>
              <w:rPr>
                <w:sz w:val="21"/>
              </w:rPr>
              <w:t>0-240BPM</w:t>
            </w:r>
            <w:r>
              <w:rPr>
                <w:sz w:val="21"/>
              </w:rPr>
              <w:t>，胎心准确度</w:t>
            </w:r>
            <w:r>
              <w:rPr>
                <w:sz w:val="21"/>
              </w:rPr>
              <w:t>±1BPM。</w:t>
            </w:r>
            <w:r>
              <w:rPr>
                <w:b/>
                <w:sz w:val="21"/>
              </w:rPr>
              <w:t>（提供经</w:t>
            </w:r>
            <w:r>
              <w:rPr>
                <w:b/>
                <w:sz w:val="21"/>
              </w:rPr>
              <w:t>国家认可的</w:t>
            </w:r>
            <w:r>
              <w:rPr>
                <w:b/>
                <w:sz w:val="21"/>
              </w:rPr>
              <w:t>第三方</w:t>
            </w:r>
            <w:r>
              <w:rPr>
                <w:b/>
                <w:sz w:val="21"/>
              </w:rPr>
              <w:t>检测机构出具的</w:t>
            </w:r>
            <w:r>
              <w:rPr>
                <w:b/>
                <w:sz w:val="21"/>
              </w:rPr>
              <w:t>检测报告</w:t>
            </w:r>
            <w:r>
              <w:rPr>
                <w:b/>
                <w:sz w:val="21"/>
              </w:rPr>
              <w:t>，检测报告需体现相关的技术指标。</w:t>
            </w:r>
            <w:r>
              <w:rPr>
                <w:b/>
                <w:sz w:val="21"/>
              </w:rPr>
              <w:t>）</w:t>
            </w:r>
          </w:p>
          <w:p>
            <w:pPr>
              <w:jc w:val="left"/>
            </w:pPr>
            <w:r>
              <w:rPr>
                <w:sz w:val="21"/>
              </w:rPr>
              <w:t>2.7超声输出功率：＜20mW/cm</w:t>
            </w:r>
            <w:r>
              <w:rPr>
                <w:sz w:val="21"/>
                <w:vertAlign w:val="superscript"/>
              </w:rPr>
              <w:t>2</w:t>
            </w:r>
            <w:r>
              <w:rPr>
                <w:sz w:val="21"/>
              </w:rPr>
              <w:t>。</w:t>
            </w:r>
            <w:r>
              <w:rPr>
                <w:b/>
                <w:sz w:val="21"/>
              </w:rPr>
              <w:t>（提供经</w:t>
            </w:r>
            <w:r>
              <w:rPr>
                <w:b/>
                <w:sz w:val="21"/>
              </w:rPr>
              <w:t>国家认可的</w:t>
            </w:r>
            <w:r>
              <w:rPr>
                <w:b/>
                <w:sz w:val="21"/>
              </w:rPr>
              <w:t>第三方</w:t>
            </w:r>
            <w:r>
              <w:rPr>
                <w:b/>
                <w:sz w:val="21"/>
              </w:rPr>
              <w:t>检测机构出具的</w:t>
            </w:r>
            <w:r>
              <w:rPr>
                <w:b/>
                <w:sz w:val="21"/>
              </w:rPr>
              <w:t>检测报告</w:t>
            </w:r>
            <w:r>
              <w:rPr>
                <w:b/>
                <w:sz w:val="21"/>
              </w:rPr>
              <w:t>，检测报告需体现相关的技术指标。</w:t>
            </w:r>
            <w:r>
              <w:rPr>
                <w:b/>
                <w:sz w:val="21"/>
              </w:rPr>
              <w:t>）</w:t>
            </w:r>
          </w:p>
          <w:p>
            <w:pPr>
              <w:jc w:val="left"/>
            </w:pPr>
            <w:r>
              <w:rPr>
                <w:sz w:val="21"/>
              </w:rPr>
              <w:t>2.8无线宫缩压力探头：测量范围0-100单位，三档增益调节；不少于五档宫压基线可选。</w:t>
            </w:r>
          </w:p>
          <w:p>
            <w:pPr>
              <w:jc w:val="left"/>
            </w:pPr>
            <w:r>
              <w:rPr>
                <w:sz w:val="21"/>
              </w:rPr>
              <w:t>2.9无线胎心率探头、无线宫缩压力探头不低于IP68等级防护。</w:t>
            </w:r>
            <w:r>
              <w:rPr>
                <w:b/>
                <w:sz w:val="21"/>
              </w:rPr>
              <w:t>（提供经</w:t>
            </w:r>
            <w:r>
              <w:rPr>
                <w:b/>
                <w:sz w:val="21"/>
              </w:rPr>
              <w:t>国家认可的</w:t>
            </w:r>
            <w:r>
              <w:rPr>
                <w:b/>
                <w:sz w:val="21"/>
              </w:rPr>
              <w:t>第三方</w:t>
            </w:r>
            <w:r>
              <w:rPr>
                <w:b/>
                <w:sz w:val="21"/>
              </w:rPr>
              <w:t>检测机构出具的</w:t>
            </w:r>
            <w:r>
              <w:rPr>
                <w:b/>
                <w:sz w:val="21"/>
              </w:rPr>
              <w:t>检测报告</w:t>
            </w:r>
            <w:r>
              <w:rPr>
                <w:b/>
                <w:sz w:val="21"/>
              </w:rPr>
              <w:t>，检测报告需体现相关的技术指标。</w:t>
            </w:r>
            <w:r>
              <w:rPr>
                <w:b/>
                <w:sz w:val="21"/>
              </w:rPr>
              <w:t>）</w:t>
            </w:r>
          </w:p>
          <w:p>
            <w:pPr>
              <w:jc w:val="left"/>
            </w:pPr>
            <w:r>
              <w:rPr>
                <w:sz w:val="21"/>
              </w:rPr>
              <w:t>2.10</w:t>
            </w:r>
            <w:r>
              <w:rPr>
                <w:sz w:val="21"/>
              </w:rPr>
              <w:t>具备实时分析功能</w:t>
            </w:r>
            <w:r>
              <w:rPr>
                <w:sz w:val="21"/>
              </w:rPr>
              <w:t>：至少包括</w:t>
            </w:r>
            <w:r>
              <w:rPr>
                <w:sz w:val="21"/>
              </w:rPr>
              <w:t>Fischer、Krebs、NST、CST四种分析算法，可自动对FHR基线值、加速次数、减速次数、短变异、胎动次数等参数指标进行计算分析，并实时提供数据。</w:t>
            </w:r>
          </w:p>
          <w:p>
            <w:pPr>
              <w:jc w:val="left"/>
            </w:pPr>
            <w:r>
              <w:rPr>
                <w:sz w:val="21"/>
              </w:rPr>
              <w:t>2.11具备大存储功能，可自动存储600个以上档案，单档案可存储不少于30小时CTG图，可存储800个小时以上的档案数据，支持档案信息输入，支持档案回放浏览、关机后数据不丢失。</w:t>
            </w:r>
          </w:p>
          <w:p>
            <w:pPr>
              <w:jc w:val="left"/>
            </w:pPr>
            <w:r>
              <w:rPr>
                <w:sz w:val="21"/>
              </w:rPr>
              <w:t>2.12人性化报警设置，采用声光报警，可设置报警声音大小，具有报警延时功能，具有探头离位报警和监护异常报警及文字提示，具备报警回顾功能。</w:t>
            </w:r>
          </w:p>
          <w:p>
            <w:pPr>
              <w:jc w:val="left"/>
            </w:pPr>
            <w:r>
              <w:rPr>
                <w:sz w:val="21"/>
              </w:rPr>
              <w:t>2.13配置宽行内置热敏打印机。具备≥50mm/s高速回放打印功能</w:t>
            </w:r>
            <w:r>
              <w:rPr>
                <w:sz w:val="21"/>
              </w:rPr>
              <w:t>。</w:t>
            </w:r>
          </w:p>
          <w:p>
            <w:pPr>
              <w:jc w:val="left"/>
            </w:pPr>
            <w:r>
              <w:rPr>
                <w:sz w:val="21"/>
              </w:rPr>
              <w:t>2.14监护过程中可以回放浏览监护曲线，并可选段打印、档案打印及定时打印。</w:t>
            </w:r>
          </w:p>
          <w:p>
            <w:pPr>
              <w:jc w:val="left"/>
            </w:pPr>
            <w:r>
              <w:rPr>
                <w:sz w:val="21"/>
              </w:rPr>
              <w:t>2.15具有自动胎动识别功能，能够对胎动信号进行自动识别。</w:t>
            </w:r>
          </w:p>
          <w:p>
            <w:pPr>
              <w:jc w:val="left"/>
            </w:pPr>
            <w:r>
              <w:rPr>
                <w:sz w:val="21"/>
              </w:rPr>
              <w:t>2.16支持多种联网方式：可通过RS485(有线网络)、医用无线网络、以太网与中央站组成网络系统。</w:t>
            </w:r>
          </w:p>
          <w:p>
            <w:pPr>
              <w:jc w:val="left"/>
            </w:pPr>
            <w:r>
              <w:rPr>
                <w:sz w:val="21"/>
              </w:rPr>
              <w:t>2.17其中一台母亲胎儿监护仪具有双胞胎无线探头监护功能。</w:t>
            </w:r>
          </w:p>
          <w:p>
            <w:pPr>
              <w:jc w:val="left"/>
            </w:pPr>
            <w:r>
              <w:rPr>
                <w:sz w:val="21"/>
              </w:rPr>
              <w:t>2.18具有</w:t>
            </w:r>
            <w:r>
              <w:rPr>
                <w:sz w:val="21"/>
              </w:rPr>
              <w:t>可升级</w:t>
            </w:r>
            <w:r>
              <w:rPr>
                <w:sz w:val="21"/>
              </w:rPr>
              <w:t>双床监护功能：可配置有线探头，可实现单机双床位无障碍监护，单双床自由切换可实现双胞胎监护功能，</w:t>
            </w:r>
            <w:r>
              <w:rPr>
                <w:sz w:val="21"/>
              </w:rPr>
              <w:t>具有三胞胎监护功能。</w:t>
            </w:r>
          </w:p>
          <w:p>
            <w:pPr>
              <w:jc w:val="both"/>
            </w:pPr>
            <w:r>
              <w:rPr>
                <w:sz w:val="21"/>
              </w:rPr>
              <w:t>3</w:t>
            </w:r>
            <w:r>
              <w:rPr>
                <w:sz w:val="21"/>
              </w:rPr>
              <w:t>.</w:t>
            </w:r>
            <w:r>
              <w:rPr>
                <w:b/>
                <w:sz w:val="21"/>
              </w:rPr>
              <w:t xml:space="preserve"> </w:t>
            </w:r>
            <w:r>
              <w:rPr>
                <w:b/>
                <w:sz w:val="21"/>
              </w:rPr>
              <w:t>主要配置要求（包括但不限于）：</w:t>
            </w:r>
          </w:p>
          <w:tbl>
            <w:tblPr>
              <w:tblBorders>
                <w:top w:val="none" w:color="000000" w:sz="4"/>
                <w:left w:val="none" w:color="000000" w:sz="4"/>
                <w:bottom w:val="none" w:color="000000" w:sz="4"/>
                <w:right w:val="none" w:color="000000" w:sz="4"/>
                <w:insideH w:val="none"/>
                <w:insideV w:val="none"/>
              </w:tblBorders>
            </w:tblPr>
            <w:tblGrid>
              <w:gridCol w:w="761"/>
              <w:gridCol w:w="4123"/>
              <w:gridCol w:w="713"/>
            </w:tblGrid>
            <w:tr>
              <w:tc>
                <w:tcPr>
                  <w:tcW w:type="dxa" w:w="761"/>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123"/>
                  <w:tcBorders>
                    <w:top w:val="single" w:color="000000" w:sz="4"/>
                    <w:left w:val="single" w:color="000000" w:sz="4"/>
                    <w:bottom w:val="single" w:color="000000" w:sz="4"/>
                    <w:right w:val="single" w:color="000000" w:sz="4"/>
                  </w:tcBorders>
                  <w:vAlign w:val="top"/>
                </w:tcPr>
                <w:p>
                  <w:pPr>
                    <w:jc w:val="both"/>
                  </w:pPr>
                  <w:r>
                    <w:rPr>
                      <w:b/>
                      <w:sz w:val="21"/>
                    </w:rPr>
                    <w:t>名</w:t>
                  </w:r>
                  <w:r>
                    <w:rPr>
                      <w:b/>
                      <w:sz w:val="21"/>
                    </w:rPr>
                    <w:t xml:space="preserve">  </w:t>
                  </w:r>
                  <w:r>
                    <w:rPr>
                      <w:b/>
                      <w:sz w:val="21"/>
                    </w:rPr>
                    <w:t>称</w:t>
                  </w:r>
                </w:p>
              </w:tc>
              <w:tc>
                <w:tcPr>
                  <w:tcW w:type="dxa" w:w="713"/>
                  <w:tcBorders>
                    <w:top w:val="single" w:color="000000" w:sz="4"/>
                    <w:left w:val="single" w:color="000000" w:sz="4"/>
                    <w:bottom w:val="single" w:color="000000" w:sz="4"/>
                    <w:right w:val="single" w:color="000000" w:sz="4"/>
                  </w:tcBorders>
                  <w:vAlign w:val="top"/>
                </w:tcPr>
                <w:p>
                  <w:pPr>
                    <w:jc w:val="both"/>
                  </w:pPr>
                  <w:r>
                    <w:rPr>
                      <w:b/>
                      <w:sz w:val="21"/>
                    </w:rPr>
                    <w:t>数量</w:t>
                  </w:r>
                </w:p>
              </w:tc>
            </w:tr>
            <w:tr>
              <w:tc>
                <w:tcPr>
                  <w:tcW w:type="dxa" w:w="761"/>
                  <w:tcBorders>
                    <w:top w:val="none" w:color="000000" w:sz="4"/>
                    <w:left w:val="single" w:color="000000" w:sz="4"/>
                    <w:bottom w:val="single" w:color="000000" w:sz="4"/>
                    <w:right w:val="single" w:color="000000" w:sz="4"/>
                  </w:tcBorders>
                  <w:vAlign w:val="top"/>
                </w:tcPr>
                <w:p>
                  <w:pPr>
                    <w:jc w:val="both"/>
                  </w:pPr>
                  <w:r>
                    <w:rPr>
                      <w:b/>
                      <w:sz w:val="21"/>
                    </w:rPr>
                    <w:t>一、</w:t>
                  </w:r>
                </w:p>
              </w:tc>
              <w:tc>
                <w:tcPr>
                  <w:tcW w:type="dxa" w:w="4123"/>
                  <w:tcBorders>
                    <w:top w:val="none" w:color="000000" w:sz="4"/>
                    <w:left w:val="single" w:color="000000" w:sz="4"/>
                    <w:bottom w:val="single" w:color="000000" w:sz="4"/>
                    <w:right w:val="single" w:color="000000" w:sz="4"/>
                  </w:tcBorders>
                  <w:vAlign w:val="top"/>
                </w:tcPr>
                <w:p>
                  <w:pPr>
                    <w:jc w:val="both"/>
                  </w:pPr>
                  <w:r>
                    <w:rPr>
                      <w:b/>
                      <w:color w:val="000000"/>
                      <w:sz w:val="21"/>
                    </w:rPr>
                    <w:t>产科中央监护网络系统</w:t>
                  </w: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主机</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键盘</w:t>
                  </w:r>
                  <w:r>
                    <w:rPr>
                      <w:sz w:val="21"/>
                    </w:rPr>
                    <w:t>/鼠标</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网络控制器</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数据采集器</w:t>
                  </w:r>
                </w:p>
              </w:tc>
              <w:tc>
                <w:tcPr>
                  <w:tcW w:type="dxa" w:w="713"/>
                  <w:tcBorders>
                    <w:top w:val="none" w:color="000000" w:sz="4"/>
                    <w:left w:val="single" w:color="000000" w:sz="4"/>
                    <w:bottom w:val="single" w:color="000000" w:sz="4"/>
                    <w:right w:val="single" w:color="000000" w:sz="4"/>
                  </w:tcBorders>
                  <w:vAlign w:val="top"/>
                </w:tcPr>
                <w:p>
                  <w:pPr>
                    <w:jc w:val="both"/>
                  </w:pPr>
                  <w:r>
                    <w:rPr>
                      <w:sz w:val="21"/>
                    </w:rPr>
                    <w:t>3个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POE交换机</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激光</w:t>
                  </w:r>
                  <w:r>
                    <w:rPr>
                      <w:sz w:val="21"/>
                    </w:rPr>
                    <w:t>图文输出设备</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1台</w:t>
                  </w:r>
                </w:p>
              </w:tc>
            </w:tr>
            <w:tr>
              <w:tc>
                <w:tcPr>
                  <w:tcW w:type="dxa" w:w="761"/>
                  <w:tcBorders>
                    <w:top w:val="none" w:color="000000" w:sz="4"/>
                    <w:left w:val="single" w:color="000000" w:sz="4"/>
                    <w:bottom w:val="single" w:color="000000" w:sz="4"/>
                    <w:right w:val="single" w:color="000000" w:sz="4"/>
                  </w:tcBorders>
                  <w:vAlign w:val="top"/>
                </w:tcPr>
                <w:p>
                  <w:pPr>
                    <w:jc w:val="both"/>
                  </w:pPr>
                  <w:r>
                    <w:rPr>
                      <w:b/>
                      <w:sz w:val="21"/>
                    </w:rPr>
                    <w:t>二、</w:t>
                  </w:r>
                </w:p>
              </w:tc>
              <w:tc>
                <w:tcPr>
                  <w:tcW w:type="dxa" w:w="4123"/>
                  <w:tcBorders>
                    <w:top w:val="none" w:color="000000" w:sz="4"/>
                    <w:left w:val="single" w:color="000000" w:sz="4"/>
                    <w:bottom w:val="single" w:color="000000" w:sz="4"/>
                    <w:right w:val="single" w:color="000000" w:sz="4"/>
                  </w:tcBorders>
                  <w:vAlign w:val="top"/>
                </w:tcPr>
                <w:p>
                  <w:pPr>
                    <w:jc w:val="both"/>
                  </w:pPr>
                  <w:r>
                    <w:rPr>
                      <w:b/>
                      <w:sz w:val="21"/>
                    </w:rPr>
                    <w:t>母亲胎儿监护仪</w:t>
                  </w: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主机（内置</w:t>
                  </w:r>
                  <w:r>
                    <w:rPr>
                      <w:sz w:val="21"/>
                    </w:rPr>
                    <w:t>图文输出设备</w:t>
                  </w:r>
                  <w:r>
                    <w:rPr>
                      <w:sz w:val="21"/>
                    </w:rPr>
                    <w:t>）</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8台</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无线胎心探头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9个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无线宫压探头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心电导联线探头（</w:t>
                  </w:r>
                  <w:r>
                    <w:rPr>
                      <w:sz w:val="21"/>
                    </w:rPr>
                    <w:t>5芯）</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成人中号血压袖带及延长管</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成人血氧手指探头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体温探头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16条</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心电电极</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8包</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采购包2（眩晕VR耳鸣康复仪）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1期：支付比例30%,1.合同签订后，中标供应商须向采购人提供中小企业预付款30%的请款函，采购人自收到请款函后5个工作日内办理支付，支付合同金额30%的预付款；</w:t>
            </w:r>
          </w:p>
          <w:p/>
          <w:p>
            <w:r>
              <w:rPr/>
              <w:t>2期：支付比例70%,2.合同设备全部到指定地点交付并完成安装及验收合格后，中标供应商须向采购人提供以下相应资料和合同全额发票，对于满足合同约定支付条件的，采购人自收到请款函后5个工作日内办理支付手续，自收到发票后15日内完成资金支付，支付合同金额的 70%。 （1）合同复印件； （2） 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中标产品如属国家强制计量产品，需由中标供应商独立完成首次计量强检。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（一）供货要求，★1.中标供应商应保证所提供的设备是制造日期距交货时间不能超过1年，是全新的、未使用过的设备，并符合国家有关标准、制造厂标准及合同技术标准要求。 2.投标人需在投标文件中提供对应的供货服务方案，内容包含交货时间、到货保证措施、交货后售后服务、应急保障等。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（四）保修期，1.自验收合格之日起设备保修期不少于36个月。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须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保修期内,对采购人的服务通知，中标供应商在接报后2小时内响应，8小时内到达现场，24小时内处理完毕。若在24小时内仍未能有效解决，采购人有权要求中标供应商无偿提供同一档次的设备予采购人临时使用。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眩晕VR耳鸣康复仪</w:t>
            </w:r>
          </w:p>
        </w:tc>
        <w:tc>
          <w:tcPr>
            <w:tcW w:type="dxa" w:w="831"/>
          </w:tcPr>
          <w:p>
            <w:pPr>
              <w:jc w:val="left"/>
            </w:pPr>
            <w:r>
              <w:rPr/>
              <w:t>套</w:t>
            </w:r>
          </w:p>
        </w:tc>
        <w:tc>
          <w:tcPr>
            <w:tcW w:type="dxa" w:w="831"/>
          </w:tcPr>
          <w:p>
            <w:pPr>
              <w:jc w:val="right"/>
            </w:pPr>
            <w:r>
              <w:rPr/>
              <w:t>1.00</w:t>
            </w:r>
          </w:p>
        </w:tc>
        <w:tc>
          <w:tcPr>
            <w:tcW w:type="dxa" w:w="831"/>
          </w:tcPr>
          <w:p>
            <w:pPr>
              <w:jc w:val="right"/>
            </w:pPr>
            <w:r>
              <w:rPr/>
              <w:t>165,000.00</w:t>
            </w:r>
          </w:p>
        </w:tc>
        <w:tc>
          <w:tcPr>
            <w:tcW w:type="dxa" w:w="831"/>
          </w:tcPr>
          <w:p>
            <w:pPr>
              <w:jc w:val="right"/>
            </w:pPr>
            <w:r>
              <w:rPr/>
              <w:t>165,000.00</w:t>
            </w:r>
          </w:p>
        </w:tc>
        <w:tc>
          <w:tcPr>
            <w:tcW w:type="dxa" w:w="831"/>
          </w:tcPr>
          <w:p>
            <w:r>
              <w:rPr/>
              <w:t>工业</w:t>
            </w:r>
          </w:p>
        </w:tc>
        <w:tc>
          <w:tcPr>
            <w:tcW w:type="dxa" w:w="831"/>
          </w:tcPr>
          <w:p>
            <w:r>
              <w:rPr/>
              <w:t>详见附表一</w:t>
            </w:r>
          </w:p>
        </w:tc>
      </w:tr>
    </w:tbl>
    <w:p/>
    <w:p>
      <w:r>
        <w:rPr>
          <w:b/>
        </w:rPr>
        <w:t>附表</w:t>
      </w:r>
      <w:r>
        <w:rPr>
          <w:b/>
        </w:rPr>
        <w:t>一</w:t>
      </w:r>
      <w:r>
        <w:rPr>
          <w:b/>
        </w:rPr>
        <w:t>：</w:t>
      </w:r>
      <w:r>
        <w:rPr>
          <w:b/>
        </w:rPr>
        <w:t>眩晕VR耳鸣康复仪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一、项目需求：</w:t>
            </w:r>
          </w:p>
          <w:p>
            <w:pPr>
              <w:jc w:val="left"/>
            </w:pPr>
            <w:r>
              <w:rPr>
                <w:color w:val="000000"/>
                <w:sz w:val="21"/>
              </w:rPr>
              <w:t>眩晕</w:t>
            </w:r>
            <w:r>
              <w:rPr>
                <w:color w:val="000000"/>
                <w:sz w:val="21"/>
              </w:rPr>
              <w:t>VR耳鸣康复仪一套</w:t>
            </w:r>
            <w:r>
              <w:rPr>
                <w:sz w:val="21"/>
              </w:rPr>
              <w:t>。</w:t>
            </w:r>
          </w:p>
          <w:p>
            <w:pPr>
              <w:jc w:val="both"/>
            </w:pPr>
            <w:r>
              <w:rPr>
                <w:sz w:val="21"/>
              </w:rPr>
              <w:t>二、设备要求</w:t>
            </w:r>
          </w:p>
          <w:p>
            <w:pPr>
              <w:ind w:firstLine="210"/>
              <w:jc w:val="both"/>
            </w:pPr>
            <w:r>
              <w:rPr>
                <w:sz w:val="21"/>
              </w:rPr>
              <w:t>★</w:t>
            </w:r>
            <w:r>
              <w:rPr>
                <w:color w:val="000000"/>
                <w:sz w:val="21"/>
              </w:rPr>
              <w:t>眩晕</w:t>
            </w:r>
            <w:r>
              <w:rPr>
                <w:color w:val="000000"/>
                <w:sz w:val="21"/>
              </w:rPr>
              <w:t>VR耳鸣康复仪</w:t>
            </w:r>
            <w:r>
              <w:rPr>
                <w:sz w:val="21"/>
              </w:rPr>
              <w:t>属于第二类医疗器械，应具备《医疗器械注册证》（无强制要求的除外，以国家药品监督管理局网上的数据库中查询的数据为准）。</w:t>
            </w:r>
          </w:p>
          <w:p>
            <w:pPr>
              <w:jc w:val="left"/>
            </w:pPr>
            <w:r>
              <w:rPr>
                <w:b/>
                <w:sz w:val="21"/>
              </w:rPr>
              <w:t>三、设备功能及主要技术、配置要求：</w:t>
            </w:r>
          </w:p>
          <w:p>
            <w:pPr>
              <w:jc w:val="left"/>
            </w:pPr>
            <w:r>
              <w:rPr>
                <w:b/>
                <w:sz w:val="21"/>
              </w:rPr>
              <w:t>1、设备用途说明：</w:t>
            </w:r>
            <w:r>
              <w:rPr>
                <w:sz w:val="24"/>
              </w:rPr>
              <w:t>临床主要用于眩晕疾病治疗，促进患者前庭功能康复。</w:t>
            </w:r>
          </w:p>
          <w:p>
            <w:pPr>
              <w:jc w:val="both"/>
            </w:pPr>
            <w:r>
              <w:rPr>
                <w:b/>
                <w:color w:val="000000"/>
                <w:sz w:val="21"/>
              </w:rPr>
              <w:t>2、</w:t>
            </w:r>
            <w:r>
              <w:rPr>
                <w:b/>
                <w:sz w:val="21"/>
              </w:rPr>
              <w:t>设备主要规格、技术要求</w:t>
            </w:r>
            <w:r>
              <w:rPr>
                <w:b/>
                <w:color w:val="000000"/>
                <w:sz w:val="21"/>
              </w:rPr>
              <w:t>：</w:t>
            </w:r>
          </w:p>
          <w:p>
            <w:pPr>
              <w:jc w:val="both"/>
            </w:pPr>
            <w:r>
              <w:rPr>
                <w:color w:val="000000"/>
                <w:sz w:val="21"/>
              </w:rPr>
              <w:t>2.1</w:t>
            </w:r>
            <w:r>
              <w:rPr>
                <w:color w:val="000000"/>
                <w:sz w:val="21"/>
              </w:rPr>
              <w:t>配置多种训练模块：包括（不限于）坐姿训练模块、站立训练模块、耳石症专项训练模块、</w:t>
            </w:r>
            <w:r>
              <w:rPr>
                <w:sz w:val="21"/>
              </w:rPr>
              <w:t>视动刺激习服训练模块</w:t>
            </w:r>
            <w:r>
              <w:rPr>
                <w:color w:val="000000"/>
                <w:sz w:val="21"/>
              </w:rPr>
              <w:t>、自定义训练模块等。</w:t>
            </w:r>
          </w:p>
          <w:p>
            <w:pPr>
              <w:jc w:val="both"/>
            </w:pPr>
            <w:r>
              <w:rPr>
                <w:color w:val="000000"/>
                <w:sz w:val="21"/>
              </w:rPr>
              <w:t>2.2</w:t>
            </w:r>
            <w:r>
              <w:rPr>
                <w:color w:val="000000"/>
                <w:sz w:val="21"/>
              </w:rPr>
              <w:t>显示方式：设备</w:t>
            </w:r>
            <w:r>
              <w:rPr>
                <w:color w:val="000000"/>
                <w:sz w:val="21"/>
              </w:rPr>
              <w:t>通过感知用户动作、生成虚拟环境和传递感官刺激</w:t>
            </w:r>
            <w:r>
              <w:rPr>
                <w:color w:val="000000"/>
                <w:sz w:val="21"/>
              </w:rPr>
              <w:t>来</w:t>
            </w:r>
            <w:r>
              <w:rPr>
                <w:color w:val="000000"/>
                <w:sz w:val="21"/>
              </w:rPr>
              <w:t>实现用户体验</w:t>
            </w:r>
            <w:r>
              <w:rPr>
                <w:color w:val="000000"/>
                <w:sz w:val="21"/>
              </w:rPr>
              <w:t>，可外接同屏显示系统。</w:t>
            </w:r>
          </w:p>
          <w:p>
            <w:pPr>
              <w:jc w:val="both"/>
            </w:pPr>
            <w:r>
              <w:rPr>
                <w:color w:val="000000"/>
                <w:sz w:val="21"/>
              </w:rPr>
              <w:t>2.3</w:t>
            </w:r>
            <w:r>
              <w:rPr>
                <w:color w:val="000000"/>
                <w:sz w:val="21"/>
              </w:rPr>
              <w:t>手柄操作方式：双蓝牙手柄无线操作。</w:t>
            </w:r>
          </w:p>
          <w:p>
            <w:pPr>
              <w:jc w:val="both"/>
            </w:pPr>
            <w:r>
              <w:rPr>
                <w:color w:val="000000"/>
                <w:sz w:val="21"/>
              </w:rPr>
              <w:t>2.4</w:t>
            </w:r>
            <w:r>
              <w:rPr>
                <w:color w:val="000000"/>
                <w:sz w:val="21"/>
              </w:rPr>
              <w:t>具备训练评估功能：训练结束后可提供评估分数。</w:t>
            </w:r>
          </w:p>
          <w:p>
            <w:pPr>
              <w:jc w:val="both"/>
            </w:pPr>
            <w:r>
              <w:rPr>
                <w:color w:val="000000"/>
                <w:sz w:val="21"/>
              </w:rPr>
              <w:t>2.5</w:t>
            </w:r>
            <w:r>
              <w:rPr>
                <w:color w:val="000000"/>
                <w:sz w:val="21"/>
              </w:rPr>
              <w:t>处理器：</w:t>
            </w:r>
            <w:r>
              <w:rPr>
                <w:color w:val="000000"/>
                <w:sz w:val="21"/>
              </w:rPr>
              <w:t>GPU主频不低于580MHz 。</w:t>
            </w:r>
          </w:p>
          <w:p>
            <w:pPr>
              <w:jc w:val="both"/>
            </w:pPr>
            <w:r>
              <w:rPr>
                <w:color w:val="000000"/>
                <w:sz w:val="21"/>
              </w:rPr>
              <w:t>2.6</w:t>
            </w:r>
            <w:r>
              <w:rPr>
                <w:color w:val="000000"/>
                <w:sz w:val="21"/>
              </w:rPr>
              <w:t>屏幕及光学：</w:t>
            </w:r>
          </w:p>
          <w:p>
            <w:pPr>
              <w:jc w:val="both"/>
            </w:pPr>
            <w:r>
              <w:rPr>
                <w:color w:val="000000"/>
                <w:sz w:val="21"/>
              </w:rPr>
              <w:t>2.</w:t>
            </w:r>
            <w:r>
              <w:rPr>
                <w:color w:val="000000"/>
                <w:sz w:val="21"/>
              </w:rPr>
              <w:t>6.1 尺寸：≥5.</w:t>
            </w:r>
            <w:r>
              <w:rPr>
                <w:color w:val="000000"/>
                <w:sz w:val="21"/>
              </w:rPr>
              <w:t>0</w:t>
            </w:r>
            <w:r>
              <w:rPr>
                <w:color w:val="000000"/>
                <w:sz w:val="21"/>
              </w:rPr>
              <w:t>英寸；</w:t>
            </w:r>
          </w:p>
          <w:p>
            <w:pPr>
              <w:jc w:val="both"/>
            </w:pPr>
            <w:r>
              <w:rPr>
                <w:color w:val="000000"/>
                <w:sz w:val="21"/>
              </w:rPr>
              <w:t>2.</w:t>
            </w:r>
            <w:r>
              <w:rPr>
                <w:color w:val="000000"/>
                <w:sz w:val="21"/>
              </w:rPr>
              <w:t>6.2 分辨率：≥</w:t>
            </w:r>
            <w:r>
              <w:rPr>
                <w:color w:val="000000"/>
                <w:sz w:val="21"/>
              </w:rPr>
              <w:t>2560*1440</w:t>
            </w:r>
            <w:r>
              <w:rPr>
                <w:color w:val="000000"/>
                <w:sz w:val="21"/>
              </w:rPr>
              <w:t>；</w:t>
            </w:r>
          </w:p>
          <w:p>
            <w:pPr>
              <w:jc w:val="both"/>
            </w:pPr>
            <w:r>
              <w:rPr>
                <w:color w:val="000000"/>
                <w:sz w:val="21"/>
              </w:rPr>
              <w:t>2.</w:t>
            </w:r>
            <w:r>
              <w:rPr>
                <w:color w:val="000000"/>
                <w:sz w:val="21"/>
              </w:rPr>
              <w:t>6.</w:t>
            </w:r>
            <w:r>
              <w:rPr>
                <w:color w:val="000000"/>
                <w:sz w:val="21"/>
              </w:rPr>
              <w:t>3</w:t>
            </w:r>
            <w:r>
              <w:rPr>
                <w:color w:val="000000"/>
                <w:sz w:val="21"/>
              </w:rPr>
              <w:t xml:space="preserve"> </w:t>
            </w:r>
            <w:r>
              <w:rPr>
                <w:color w:val="000000"/>
                <w:sz w:val="21"/>
              </w:rPr>
              <w:t>视场角：</w:t>
            </w:r>
            <w:r>
              <w:rPr>
                <w:color w:val="000000"/>
                <w:sz w:val="21"/>
              </w:rPr>
              <w:t>≥98°；</w:t>
            </w:r>
          </w:p>
          <w:p>
            <w:pPr>
              <w:jc w:val="both"/>
            </w:pPr>
            <w:r>
              <w:rPr>
                <w:color w:val="000000"/>
                <w:sz w:val="21"/>
              </w:rPr>
              <w:t>2.</w:t>
            </w:r>
            <w:r>
              <w:rPr>
                <w:color w:val="000000"/>
                <w:sz w:val="21"/>
              </w:rPr>
              <w:t>6.</w:t>
            </w:r>
            <w:r>
              <w:rPr>
                <w:color w:val="000000"/>
                <w:sz w:val="21"/>
              </w:rPr>
              <w:t>4</w:t>
            </w:r>
            <w:r>
              <w:rPr>
                <w:color w:val="000000"/>
                <w:sz w:val="21"/>
              </w:rPr>
              <w:t xml:space="preserve"> </w:t>
            </w:r>
            <w:r>
              <w:rPr>
                <w:color w:val="000000"/>
                <w:sz w:val="21"/>
              </w:rPr>
              <w:t>瞳距调节：支持不少于三档的物理瞳距调节。</w:t>
            </w:r>
          </w:p>
          <w:p>
            <w:pPr>
              <w:jc w:val="both"/>
            </w:pPr>
            <w:r>
              <w:rPr>
                <w:color w:val="000000"/>
                <w:sz w:val="21"/>
              </w:rPr>
              <w:t>2.7</w:t>
            </w:r>
            <w:r>
              <w:rPr>
                <w:color w:val="000000"/>
                <w:sz w:val="21"/>
              </w:rPr>
              <w:t>存储：包括内存</w:t>
            </w:r>
            <w:r>
              <w:rPr>
                <w:color w:val="000000"/>
                <w:sz w:val="21"/>
              </w:rPr>
              <w:t>≥6GB、闪存≥128GB。</w:t>
            </w:r>
          </w:p>
          <w:p>
            <w:pPr>
              <w:jc w:val="both"/>
            </w:pPr>
            <w:r>
              <w:rPr>
                <w:color w:val="000000"/>
                <w:sz w:val="21"/>
              </w:rPr>
              <w:t>2.8</w:t>
            </w:r>
            <w:r>
              <w:rPr>
                <w:color w:val="000000"/>
                <w:sz w:val="21"/>
              </w:rPr>
              <w:t>传感器：</w:t>
            </w:r>
            <w:r>
              <w:rPr>
                <w:sz w:val="21"/>
              </w:rPr>
              <w:t>采样频率</w:t>
            </w:r>
            <w:r>
              <w:rPr>
                <w:sz w:val="21"/>
              </w:rPr>
              <w:t>≥1KHz；</w:t>
            </w:r>
            <w:r>
              <w:rPr>
                <w:color w:val="000000"/>
                <w:sz w:val="21"/>
              </w:rPr>
              <w:t>需要配置重力传感器，实现人脸佩戴感应功能。</w:t>
            </w:r>
          </w:p>
          <w:p>
            <w:pPr>
              <w:jc w:val="both"/>
            </w:pPr>
            <w:r>
              <w:rPr>
                <w:sz w:val="21"/>
              </w:rPr>
              <w:t>2.9</w:t>
            </w:r>
            <w:r>
              <w:rPr>
                <w:sz w:val="21"/>
              </w:rPr>
              <w:t>电池容量：</w:t>
            </w:r>
            <w:r>
              <w:rPr>
                <w:sz w:val="21"/>
              </w:rPr>
              <w:t>≥</w:t>
            </w:r>
            <w:r>
              <w:rPr>
                <w:sz w:val="21"/>
              </w:rPr>
              <w:t>450</w:t>
            </w:r>
            <w:r>
              <w:rPr>
                <w:sz w:val="21"/>
              </w:rPr>
              <w:t>0mAh、</w:t>
            </w:r>
            <w:r>
              <w:rPr>
                <w:color w:val="000000"/>
                <w:sz w:val="21"/>
              </w:rPr>
              <w:t>续航时间</w:t>
            </w:r>
            <w:r>
              <w:rPr>
                <w:color w:val="000000"/>
                <w:sz w:val="21"/>
              </w:rPr>
              <w:t>≥</w:t>
            </w:r>
            <w:r>
              <w:rPr>
                <w:color w:val="000000"/>
                <w:sz w:val="21"/>
              </w:rPr>
              <w:t>4</w:t>
            </w:r>
            <w:r>
              <w:rPr>
                <w:color w:val="000000"/>
                <w:sz w:val="21"/>
              </w:rPr>
              <w:t>小时。</w:t>
            </w:r>
          </w:p>
          <w:p>
            <w:pPr>
              <w:jc w:val="both"/>
            </w:pPr>
            <w:r>
              <w:rPr>
                <w:color w:val="000000"/>
                <w:sz w:val="21"/>
              </w:rPr>
              <w:t>2.10</w:t>
            </w:r>
            <w:r>
              <w:rPr>
                <w:color w:val="000000"/>
                <w:sz w:val="21"/>
              </w:rPr>
              <w:t>前置摄像头：支持头部</w:t>
            </w:r>
            <w:r>
              <w:rPr>
                <w:color w:val="000000"/>
                <w:sz w:val="21"/>
              </w:rPr>
              <w:t>6DoF定位，患者离开训练安全区域可透视外界环境。</w:t>
            </w:r>
          </w:p>
          <w:p>
            <w:pPr>
              <w:jc w:val="both"/>
            </w:pPr>
            <w:r>
              <w:rPr>
                <w:color w:val="000000"/>
                <w:sz w:val="21"/>
              </w:rPr>
              <w:t>2</w:t>
            </w:r>
            <w:r>
              <w:rPr>
                <w:color w:val="000000"/>
                <w:sz w:val="21"/>
              </w:rPr>
              <w:t>.11</w:t>
            </w:r>
            <w:r>
              <w:rPr>
                <w:color w:val="000000"/>
                <w:sz w:val="21"/>
              </w:rPr>
              <w:t>设计：</w:t>
            </w:r>
            <w:r>
              <w:rPr>
                <w:color w:val="000000"/>
                <w:sz w:val="21"/>
              </w:rPr>
              <w:t>前置头盔和</w:t>
            </w:r>
            <w:r>
              <w:rPr>
                <w:color w:val="000000"/>
                <w:sz w:val="21"/>
              </w:rPr>
              <w:t>配</w:t>
            </w:r>
            <w:r>
              <w:rPr>
                <w:color w:val="000000"/>
                <w:sz w:val="21"/>
              </w:rPr>
              <w:t>置电池组</w:t>
            </w:r>
            <w:r>
              <w:rPr>
                <w:color w:val="000000"/>
                <w:sz w:val="21"/>
              </w:rPr>
              <w:t>成；机身重量：</w:t>
            </w:r>
            <w:r>
              <w:rPr>
                <w:color w:val="000000"/>
                <w:sz w:val="21"/>
              </w:rPr>
              <w:t>≤</w:t>
            </w:r>
            <w:r>
              <w:rPr>
                <w:color w:val="000000"/>
                <w:sz w:val="21"/>
              </w:rPr>
              <w:t>420</w:t>
            </w:r>
            <w:r>
              <w:rPr>
                <w:color w:val="000000"/>
                <w:sz w:val="21"/>
              </w:rPr>
              <w:t>g。</w:t>
            </w:r>
          </w:p>
          <w:p>
            <w:pPr>
              <w:jc w:val="both"/>
            </w:pPr>
            <w:r>
              <w:rPr>
                <w:color w:val="000000"/>
                <w:sz w:val="21"/>
              </w:rPr>
              <w:t>2.12</w:t>
            </w:r>
            <w:r>
              <w:rPr>
                <w:color w:val="000000"/>
                <w:sz w:val="21"/>
              </w:rPr>
              <w:t>平衡底板：工程塑料</w:t>
            </w:r>
            <w:r>
              <w:rPr>
                <w:color w:val="000000"/>
                <w:sz w:val="21"/>
              </w:rPr>
              <w:t>+热塑性橡胶工艺；尺寸≥φ40cm*10cm。</w:t>
            </w:r>
          </w:p>
          <w:p>
            <w:pPr>
              <w:jc w:val="both"/>
            </w:pPr>
            <w:r>
              <w:rPr>
                <w:color w:val="000000"/>
                <w:sz w:val="21"/>
              </w:rPr>
              <w:t>2.13</w:t>
            </w:r>
            <w:r>
              <w:rPr>
                <w:color w:val="000000"/>
                <w:sz w:val="21"/>
              </w:rPr>
              <w:t>高密度海绵垫尺寸：薄垫</w:t>
            </w:r>
            <w:r>
              <w:rPr>
                <w:color w:val="000000"/>
                <w:sz w:val="21"/>
              </w:rPr>
              <w:t>≥4</w:t>
            </w:r>
            <w:r>
              <w:rPr>
                <w:color w:val="000000"/>
                <w:sz w:val="21"/>
              </w:rPr>
              <w:t>0</w:t>
            </w:r>
            <w:r>
              <w:rPr>
                <w:color w:val="000000"/>
                <w:sz w:val="21"/>
              </w:rPr>
              <w:t>cm*4</w:t>
            </w:r>
            <w:r>
              <w:rPr>
                <w:color w:val="000000"/>
                <w:sz w:val="21"/>
              </w:rPr>
              <w:t>0</w:t>
            </w:r>
            <w:r>
              <w:rPr>
                <w:color w:val="000000"/>
                <w:sz w:val="21"/>
              </w:rPr>
              <w:t>cm*3cm，厚垫≥4</w:t>
            </w:r>
            <w:r>
              <w:rPr>
                <w:color w:val="000000"/>
                <w:sz w:val="21"/>
              </w:rPr>
              <w:t>0</w:t>
            </w:r>
            <w:r>
              <w:rPr>
                <w:color w:val="000000"/>
                <w:sz w:val="21"/>
              </w:rPr>
              <w:t>cm*4</w:t>
            </w:r>
            <w:r>
              <w:rPr>
                <w:color w:val="000000"/>
                <w:sz w:val="21"/>
              </w:rPr>
              <w:t>0</w:t>
            </w:r>
            <w:r>
              <w:rPr>
                <w:color w:val="000000"/>
                <w:sz w:val="21"/>
              </w:rPr>
              <w:t xml:space="preserve"> </w:t>
            </w:r>
            <w:r>
              <w:rPr>
                <w:color w:val="000000"/>
                <w:sz w:val="21"/>
              </w:rPr>
              <w:t>cm*5cm。</w:t>
            </w:r>
          </w:p>
          <w:p>
            <w:pPr>
              <w:jc w:val="both"/>
            </w:pPr>
            <w:r>
              <w:rPr>
                <w:b/>
                <w:sz w:val="21"/>
              </w:rPr>
              <w:t>3、主要配置要求：</w:t>
            </w:r>
          </w:p>
          <w:tbl>
            <w:tblPr>
              <w:tblBorders>
                <w:top w:val="none" w:color="000000" w:sz="4"/>
                <w:left w:val="none" w:color="000000" w:sz="4"/>
                <w:bottom w:val="none" w:color="000000" w:sz="4"/>
                <w:right w:val="none" w:color="000000" w:sz="4"/>
                <w:insideH w:val="none"/>
                <w:insideV w:val="none"/>
              </w:tblBorders>
            </w:tblPr>
            <w:tblGrid>
              <w:gridCol w:w="726"/>
              <w:gridCol w:w="2873"/>
              <w:gridCol w:w="900"/>
              <w:gridCol w:w="1097"/>
            </w:tblGrid>
            <w:tr>
              <w:tc>
                <w:tcPr>
                  <w:tcW w:type="dxa" w:w="726"/>
                  <w:tcBorders>
                    <w:top w:val="single" w:color="000000" w:sz="4"/>
                    <w:left w:val="single" w:color="000000" w:sz="4"/>
                    <w:bottom w:val="single" w:color="000000" w:sz="4"/>
                    <w:right w:val="single" w:color="000000" w:sz="4"/>
                  </w:tcBorders>
                  <w:shd w:fill="BFBFBF"/>
                  <w:vAlign w:val="top"/>
                </w:tcPr>
                <w:p>
                  <w:pPr>
                    <w:jc w:val="both"/>
                  </w:pPr>
                  <w:r>
                    <w:rPr>
                      <w:sz w:val="21"/>
                    </w:rPr>
                    <w:t>序号</w:t>
                  </w:r>
                </w:p>
              </w:tc>
              <w:tc>
                <w:tcPr>
                  <w:tcW w:type="dxa" w:w="2873"/>
                  <w:tcBorders>
                    <w:top w:val="single" w:color="000000" w:sz="4"/>
                    <w:left w:val="single" w:color="000000" w:sz="4"/>
                    <w:bottom w:val="single" w:color="000000" w:sz="4"/>
                    <w:right w:val="single" w:color="000000" w:sz="4"/>
                  </w:tcBorders>
                  <w:shd w:fill="BFBFBF"/>
                  <w:vAlign w:val="top"/>
                </w:tcPr>
                <w:p>
                  <w:pPr>
                    <w:jc w:val="both"/>
                  </w:pPr>
                  <w:r>
                    <w:rPr>
                      <w:sz w:val="21"/>
                    </w:rPr>
                    <w:t>名</w:t>
                  </w:r>
                  <w:r>
                    <w:rPr>
                      <w:sz w:val="21"/>
                    </w:rPr>
                    <w:t>称</w:t>
                  </w:r>
                </w:p>
              </w:tc>
              <w:tc>
                <w:tcPr>
                  <w:tcW w:type="dxa" w:w="900"/>
                  <w:tcBorders>
                    <w:top w:val="single" w:color="000000" w:sz="4"/>
                    <w:left w:val="single" w:color="000000" w:sz="4"/>
                    <w:bottom w:val="single" w:color="000000" w:sz="4"/>
                    <w:right w:val="single" w:color="000000" w:sz="4"/>
                  </w:tcBorders>
                  <w:shd w:fill="BFBFBF"/>
                  <w:vAlign w:val="top"/>
                </w:tcPr>
                <w:p>
                  <w:pPr>
                    <w:jc w:val="both"/>
                  </w:pPr>
                  <w:r>
                    <w:rPr>
                      <w:sz w:val="21"/>
                    </w:rPr>
                    <w:t>单位</w:t>
                  </w:r>
                </w:p>
              </w:tc>
              <w:tc>
                <w:tcPr>
                  <w:tcW w:type="dxa" w:w="1097"/>
                  <w:tcBorders>
                    <w:top w:val="single" w:color="000000" w:sz="4"/>
                    <w:left w:val="single" w:color="000000" w:sz="4"/>
                    <w:bottom w:val="single" w:color="000000" w:sz="4"/>
                    <w:right w:val="single" w:color="000000" w:sz="4"/>
                  </w:tcBorders>
                  <w:shd w:fill="BFBFBF"/>
                  <w:vAlign w:val="top"/>
                </w:tcPr>
                <w:p>
                  <w:pPr>
                    <w:jc w:val="both"/>
                  </w:pPr>
                  <w:r>
                    <w:rPr>
                      <w:sz w:val="21"/>
                    </w:rPr>
                    <w:t>数量</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1</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VR一体机</w:t>
                  </w:r>
                </w:p>
              </w:tc>
              <w:tc>
                <w:tcPr>
                  <w:tcW w:type="dxa" w:w="900"/>
                  <w:tcBorders>
                    <w:top w:val="none" w:color="000000" w:sz="4"/>
                    <w:left w:val="single" w:color="000000" w:sz="4"/>
                    <w:bottom w:val="single" w:color="000000" w:sz="4"/>
                    <w:right w:val="single" w:color="000000" w:sz="4"/>
                  </w:tcBorders>
                  <w:vAlign w:val="top"/>
                </w:tcPr>
                <w:p>
                  <w:pPr>
                    <w:jc w:val="both"/>
                  </w:pPr>
                  <w:r>
                    <w:rPr>
                      <w:sz w:val="21"/>
                    </w:rPr>
                    <w:t>台</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2</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手柄</w:t>
                  </w:r>
                </w:p>
              </w:tc>
              <w:tc>
                <w:tcPr>
                  <w:tcW w:type="dxa" w:w="900"/>
                  <w:tcBorders>
                    <w:top w:val="none" w:color="000000" w:sz="4"/>
                    <w:left w:val="single" w:color="000000" w:sz="4"/>
                    <w:bottom w:val="single" w:color="000000" w:sz="4"/>
                    <w:right w:val="single" w:color="000000" w:sz="4"/>
                  </w:tcBorders>
                  <w:vAlign w:val="top"/>
                </w:tcPr>
                <w:p>
                  <w:pPr>
                    <w:jc w:val="both"/>
                  </w:pPr>
                  <w:r>
                    <w:rPr>
                      <w:sz w:val="21"/>
                    </w:rPr>
                    <w:t>个</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2</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3</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同屏显示系统</w:t>
                  </w:r>
                </w:p>
              </w:tc>
              <w:tc>
                <w:tcPr>
                  <w:tcW w:type="dxa" w:w="900"/>
                  <w:tcBorders>
                    <w:top w:val="none" w:color="000000" w:sz="4"/>
                    <w:left w:val="single" w:color="000000" w:sz="4"/>
                    <w:bottom w:val="single" w:color="000000" w:sz="4"/>
                    <w:right w:val="single" w:color="000000" w:sz="4"/>
                  </w:tcBorders>
                  <w:vAlign w:val="top"/>
                </w:tcPr>
                <w:p>
                  <w:pPr>
                    <w:jc w:val="both"/>
                  </w:pPr>
                  <w:r>
                    <w:rPr>
                      <w:sz w:val="21"/>
                    </w:rPr>
                    <w:t>套</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4</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收纳工具箱</w:t>
                  </w:r>
                </w:p>
              </w:tc>
              <w:tc>
                <w:tcPr>
                  <w:tcW w:type="dxa" w:w="900"/>
                  <w:tcBorders>
                    <w:top w:val="none" w:color="000000" w:sz="4"/>
                    <w:left w:val="single" w:color="000000" w:sz="4"/>
                    <w:bottom w:val="single" w:color="000000" w:sz="4"/>
                    <w:right w:val="single" w:color="000000" w:sz="4"/>
                  </w:tcBorders>
                  <w:vAlign w:val="top"/>
                </w:tcPr>
                <w:p>
                  <w:pPr>
                    <w:jc w:val="both"/>
                  </w:pPr>
                  <w:r>
                    <w:rPr>
                      <w:sz w:val="21"/>
                    </w:rPr>
                    <w:t>个</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5</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平衡底板</w:t>
                  </w:r>
                </w:p>
              </w:tc>
              <w:tc>
                <w:tcPr>
                  <w:tcW w:type="dxa" w:w="900"/>
                  <w:tcBorders>
                    <w:top w:val="none" w:color="000000" w:sz="4"/>
                    <w:left w:val="single" w:color="000000" w:sz="4"/>
                    <w:bottom w:val="single" w:color="000000" w:sz="4"/>
                    <w:right w:val="single" w:color="000000" w:sz="4"/>
                  </w:tcBorders>
                  <w:vAlign w:val="top"/>
                </w:tcPr>
                <w:p>
                  <w:pPr>
                    <w:jc w:val="both"/>
                  </w:pPr>
                  <w:r>
                    <w:rPr>
                      <w:sz w:val="21"/>
                    </w:rPr>
                    <w:t>个</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6</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海绵垫</w:t>
                  </w:r>
                </w:p>
              </w:tc>
              <w:tc>
                <w:tcPr>
                  <w:tcW w:type="dxa" w:w="900"/>
                  <w:tcBorders>
                    <w:top w:val="none" w:color="000000" w:sz="4"/>
                    <w:left w:val="single" w:color="000000" w:sz="4"/>
                    <w:bottom w:val="single" w:color="000000" w:sz="4"/>
                    <w:right w:val="single" w:color="000000" w:sz="4"/>
                  </w:tcBorders>
                  <w:vAlign w:val="top"/>
                </w:tcPr>
                <w:p>
                  <w:pPr>
                    <w:jc w:val="both"/>
                  </w:pPr>
                  <w:r>
                    <w:rPr>
                      <w:sz w:val="21"/>
                    </w:rPr>
                    <w:t>块</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2</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采购包3（心肺评估仪）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1期：支付比例30%,1.合同签订后，中标供应商须向采购人提供中小企业预付款 30%的请款函，采购人自收到请款函后5个工作日内办理支付，支付合同金额30%的预付款；</w:t>
            </w:r>
          </w:p>
          <w:p/>
          <w:p>
            <w:r>
              <w:rPr/>
              <w:t>2期：支付比例70%,2.合同设备全部到指定地点交付并完成安装及验收合格后，中标供应商须向采购人提供以下相应资料和合同全额发票，对于满足合同约定支付条件的，采购人自收到请款函后5个工作日内办理支付手续，自收到发票后15日内完成资金支付，支付合同金额的 70%。 （1）合同复印件； （2） 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中标产品如属国家强制计量产品，需由中标供应商独立完成首次计量强检。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（一）供货要求，★1.中标供应商应保证所提供的设备是制造日期距交货时间不能超过1年，是全新的、未使用过的设备，并符合国家有关标准、制造厂标准及合同技术标准要求。 2.投标人需在投标文件中提供对应的供货服务方案，内容包含交货时间、到货保证措施、交货后售后服务、应急保障等。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     3.本采购包如需配合对接采购人His系统，该采购包中标价格包含链接采购人His端口对接费用。</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（四）保修期，1.自验收合格之日起设备保修期不少于60个月。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须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保修期内,对采购人的服务通知，中标供应商在接报后2小时内响应，8小时内到达现场，24小时内处理完毕。若在24小时内仍未能有效解决，采购人有权要求中标供应商无偿提供同一档次的设备予采购人临时使用。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心肺评估仪</w:t>
            </w:r>
          </w:p>
        </w:tc>
        <w:tc>
          <w:tcPr>
            <w:tcW w:type="dxa" w:w="831"/>
          </w:tcPr>
          <w:p>
            <w:pPr>
              <w:jc w:val="left"/>
            </w:pPr>
            <w:r>
              <w:rPr/>
              <w:t>套</w:t>
            </w:r>
          </w:p>
        </w:tc>
        <w:tc>
          <w:tcPr>
            <w:tcW w:type="dxa" w:w="831"/>
          </w:tcPr>
          <w:p>
            <w:pPr>
              <w:jc w:val="right"/>
            </w:pPr>
            <w:r>
              <w:rPr/>
              <w:t>1.00</w:t>
            </w:r>
          </w:p>
        </w:tc>
        <w:tc>
          <w:tcPr>
            <w:tcW w:type="dxa" w:w="831"/>
          </w:tcPr>
          <w:p>
            <w:pPr>
              <w:jc w:val="right"/>
            </w:pPr>
            <w:r>
              <w:rPr/>
              <w:t>910,000.00</w:t>
            </w:r>
          </w:p>
        </w:tc>
        <w:tc>
          <w:tcPr>
            <w:tcW w:type="dxa" w:w="831"/>
          </w:tcPr>
          <w:p>
            <w:pPr>
              <w:jc w:val="right"/>
            </w:pPr>
            <w:r>
              <w:rPr/>
              <w:t>910,000.00</w:t>
            </w:r>
          </w:p>
        </w:tc>
        <w:tc>
          <w:tcPr>
            <w:tcW w:type="dxa" w:w="831"/>
          </w:tcPr>
          <w:p>
            <w:r>
              <w:rPr/>
              <w:t>工业</w:t>
            </w:r>
          </w:p>
        </w:tc>
        <w:tc>
          <w:tcPr>
            <w:tcW w:type="dxa" w:w="831"/>
          </w:tcPr>
          <w:p>
            <w:r>
              <w:rPr/>
              <w:t>详见附表一</w:t>
            </w:r>
          </w:p>
        </w:tc>
      </w:tr>
    </w:tbl>
    <w:p/>
    <w:p>
      <w:r>
        <w:rPr>
          <w:b/>
        </w:rPr>
        <w:t>附表</w:t>
      </w:r>
      <w:r>
        <w:rPr>
          <w:b/>
        </w:rPr>
        <w:t>一</w:t>
      </w:r>
      <w:r>
        <w:rPr>
          <w:b/>
        </w:rPr>
        <w:t>：</w:t>
      </w:r>
      <w:r>
        <w:rPr>
          <w:b/>
        </w:rPr>
        <w:t>心肺评估仪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一、项目需求</w:t>
            </w:r>
          </w:p>
          <w:p>
            <w:pPr>
              <w:jc w:val="left"/>
            </w:pPr>
            <w:r>
              <w:rPr>
                <w:sz w:val="21"/>
              </w:rPr>
              <w:t>运动心肺评估仪一套。</w:t>
            </w:r>
          </w:p>
          <w:p>
            <w:pPr>
              <w:jc w:val="left"/>
            </w:pPr>
            <w:r>
              <w:rPr>
                <w:b/>
                <w:sz w:val="21"/>
              </w:rPr>
              <w:t>二、设备功能及主要技术、配置要求</w:t>
            </w:r>
          </w:p>
          <w:p>
            <w:pPr>
              <w:jc w:val="left"/>
            </w:pPr>
            <w:r>
              <w:rPr>
                <w:b/>
                <w:sz w:val="21"/>
              </w:rPr>
              <w:t>（一）设备用途说明：</w:t>
            </w:r>
          </w:p>
          <w:p>
            <w:pPr>
              <w:jc w:val="left"/>
            </w:pPr>
            <w:r>
              <w:rPr>
                <w:sz w:val="21"/>
              </w:rPr>
              <w:t>适用于临床运动心电功能、运动肺功能、运动血压、血氧等监测与评估。</w:t>
            </w:r>
          </w:p>
          <w:p>
            <w:pPr>
              <w:jc w:val="both"/>
            </w:pPr>
            <w:r>
              <w:rPr>
                <w:sz w:val="21"/>
              </w:rPr>
              <w:t>（二）、设备要求</w:t>
            </w:r>
          </w:p>
          <w:p>
            <w:pPr>
              <w:ind w:firstLine="210"/>
              <w:jc w:val="both"/>
            </w:pPr>
            <w:r>
              <w:rPr>
                <w:sz w:val="21"/>
              </w:rPr>
              <w:t>★运动心肺评估仪</w:t>
            </w:r>
            <w:r>
              <w:rPr>
                <w:sz w:val="21"/>
              </w:rPr>
              <w:t>属于第二类医疗器械，应具备《医疗器械注册证》（无强制要求的除外，以国家药品监督管理局网上的数据库中查询的数据为准）。</w:t>
            </w:r>
          </w:p>
          <w:p>
            <w:pPr>
              <w:jc w:val="both"/>
            </w:pPr>
            <w:r>
              <w:rPr>
                <w:b/>
                <w:color w:val="000000"/>
                <w:sz w:val="21"/>
              </w:rPr>
              <w:t>（三）</w:t>
            </w:r>
            <w:r>
              <w:rPr>
                <w:b/>
                <w:sz w:val="21"/>
              </w:rPr>
              <w:t>设备主要规格、技术要求</w:t>
            </w:r>
            <w:r>
              <w:rPr>
                <w:b/>
                <w:color w:val="000000"/>
                <w:sz w:val="21"/>
              </w:rPr>
              <w:t>：</w:t>
            </w:r>
          </w:p>
          <w:p>
            <w:pPr>
              <w:jc w:val="both"/>
            </w:pPr>
            <w:r>
              <w:rPr>
                <w:sz w:val="21"/>
              </w:rPr>
              <w:t>1</w:t>
            </w:r>
            <w:r>
              <w:rPr>
                <w:sz w:val="21"/>
              </w:rPr>
              <w:t>.</w:t>
            </w:r>
            <w:r>
              <w:rPr>
                <w:sz w:val="21"/>
              </w:rPr>
              <w:t>运动心电功能：</w:t>
            </w:r>
          </w:p>
          <w:p>
            <w:pPr>
              <w:jc w:val="both"/>
            </w:pPr>
            <w:r>
              <w:rPr>
                <w:sz w:val="21"/>
              </w:rPr>
              <w:t>1.1具有最大血压×心率、最小血压×心率、DP因素、PFP-静息信息。</w:t>
            </w:r>
          </w:p>
          <w:p>
            <w:pPr>
              <w:jc w:val="both"/>
            </w:pPr>
            <w:r>
              <w:rPr>
                <w:sz w:val="21"/>
              </w:rPr>
              <w:t>1.2具有QT离散度分析功能，具有最小QT间期、最大QT间期、平均QT间期的数值。</w:t>
            </w:r>
            <w:r>
              <w:rPr>
                <w:b/>
                <w:sz w:val="21"/>
              </w:rPr>
              <w:t>（</w:t>
            </w:r>
            <w:r>
              <w:rPr>
                <w:sz w:val="21"/>
              </w:rPr>
              <w:t>提供说明书佐证或产品彩页或检测报告</w:t>
            </w:r>
            <w:r>
              <w:rPr>
                <w:b/>
                <w:sz w:val="21"/>
              </w:rPr>
              <w:t>）</w:t>
            </w:r>
          </w:p>
          <w:p>
            <w:pPr>
              <w:jc w:val="both"/>
            </w:pPr>
            <w:r>
              <w:rPr>
                <w:sz w:val="21"/>
              </w:rPr>
              <w:t>1.3运动过程中若心率达到目标心率，可以通过显示颜色或者声音进行提示。</w:t>
            </w:r>
          </w:p>
          <w:p>
            <w:pPr>
              <w:jc w:val="both"/>
            </w:pPr>
            <w:r>
              <w:rPr>
                <w:sz w:val="21"/>
              </w:rPr>
              <w:t>1.4心电采集盒能够单独使用，内置分析功能，能够当做单独的心电图机使用，并且能够通过热敏打印纸打印心电报告。</w:t>
            </w:r>
            <w:r>
              <w:rPr>
                <w:b/>
                <w:sz w:val="21"/>
              </w:rPr>
              <w:t>（</w:t>
            </w:r>
            <w:r>
              <w:rPr>
                <w:sz w:val="21"/>
              </w:rPr>
              <w:t>提供说明书佐证或产品彩页或检测报告</w:t>
            </w:r>
            <w:r>
              <w:rPr>
                <w:b/>
                <w:sz w:val="21"/>
              </w:rPr>
              <w:t>）</w:t>
            </w:r>
          </w:p>
          <w:p>
            <w:pPr>
              <w:jc w:val="both"/>
            </w:pPr>
            <w:r>
              <w:rPr>
                <w:sz w:val="21"/>
              </w:rPr>
              <w:t>1.5测试过程中能实时显示运动过程中心率、血压和运动功率趋势图、12导联ST段变化的趋势图、ST段幅度和ST段斜率变化的图表。</w:t>
            </w:r>
          </w:p>
          <w:p>
            <w:pPr>
              <w:jc w:val="both"/>
            </w:pPr>
            <w:r>
              <w:rPr>
                <w:sz w:val="21"/>
              </w:rPr>
              <w:t>1.6测试过程中可实时输入Borg值；可实时输入患者的症状信息，如胸闷，心悸等症状；可直接输入结束运动时患者的指征，有模板可供选择，并且模板可自行编辑；可实时手动改变运动踏车的功率或运动平板的速度坡度。</w:t>
            </w:r>
          </w:p>
          <w:p>
            <w:pPr>
              <w:jc w:val="both"/>
            </w:pPr>
            <w:r>
              <w:rPr>
                <w:sz w:val="21"/>
              </w:rPr>
              <w:t>1.</w:t>
            </w:r>
            <w:r>
              <w:rPr>
                <w:sz w:val="21"/>
              </w:rPr>
              <w:t>7</w:t>
            </w:r>
            <w:r>
              <w:rPr>
                <w:sz w:val="21"/>
              </w:rPr>
              <w:t>同时</w:t>
            </w:r>
            <w:r>
              <w:rPr>
                <w:sz w:val="21"/>
              </w:rPr>
              <w:t>具备</w:t>
            </w:r>
            <w:r>
              <w:rPr>
                <w:sz w:val="21"/>
              </w:rPr>
              <w:t>图文输出设备（激光或喷墨）和</w:t>
            </w:r>
            <w:r>
              <w:rPr>
                <w:sz w:val="21"/>
              </w:rPr>
              <w:t>内置热敏图文输出设备；热敏和图文输出设备的走纸速度：</w:t>
            </w:r>
            <w:r>
              <w:rPr>
                <w:sz w:val="21"/>
              </w:rPr>
              <w:t>5、10、25、50mm/s±2%。</w:t>
            </w:r>
          </w:p>
          <w:p>
            <w:pPr>
              <w:jc w:val="both"/>
            </w:pPr>
            <w:r>
              <w:rPr>
                <w:sz w:val="21"/>
              </w:rPr>
              <w:t>2.运动肺功能</w:t>
            </w:r>
          </w:p>
          <w:p>
            <w:pPr>
              <w:jc w:val="both"/>
            </w:pPr>
            <w:r>
              <w:rPr>
                <w:sz w:val="21"/>
              </w:rPr>
              <w:t>2.1校准</w:t>
            </w:r>
          </w:p>
          <w:p>
            <w:pPr>
              <w:jc w:val="both"/>
            </w:pPr>
            <w:r>
              <w:rPr>
                <w:sz w:val="21"/>
              </w:rPr>
              <w:t>2.1.1采用标准的混合气体进行自动气体定标，可按照实际值调整定标气体的浓度，具有校准成功提示功能。</w:t>
            </w:r>
          </w:p>
          <w:p>
            <w:pPr>
              <w:jc w:val="both"/>
            </w:pPr>
            <w:r>
              <w:rPr>
                <w:sz w:val="21"/>
              </w:rPr>
              <w:t>2.</w:t>
            </w:r>
            <w:r>
              <w:rPr>
                <w:sz w:val="21"/>
              </w:rPr>
              <w:t>1</w:t>
            </w:r>
            <w:r>
              <w:rPr>
                <w:sz w:val="21"/>
              </w:rPr>
              <w:t>.2自动温度压力标定；对于海拔高度和湿度可以进行标定，湿度标定为0至100%；</w:t>
            </w:r>
          </w:p>
          <w:p>
            <w:pPr>
              <w:jc w:val="both"/>
            </w:pPr>
            <w:r>
              <w:rPr>
                <w:sz w:val="21"/>
              </w:rPr>
              <w:t>2.</w:t>
            </w:r>
            <w:r>
              <w:rPr>
                <w:sz w:val="21"/>
              </w:rPr>
              <w:t>1</w:t>
            </w:r>
            <w:r>
              <w:rPr>
                <w:sz w:val="21"/>
              </w:rPr>
              <w:t>.3自动对流速进行系统零点和增益校正。</w:t>
            </w:r>
          </w:p>
          <w:p>
            <w:pPr>
              <w:jc w:val="both"/>
            </w:pPr>
            <w:r>
              <w:rPr>
                <w:sz w:val="21"/>
              </w:rPr>
              <w:t>2.1.4具有BTPS（身体温度、环境压力、饱和水蒸汽值）、STPD（标准温度压力干燥）自动补偿校准功能，提供补偿校准的计算公式。</w:t>
            </w:r>
          </w:p>
          <w:p>
            <w:pPr>
              <w:jc w:val="both"/>
            </w:pPr>
            <w:r>
              <w:rPr>
                <w:sz w:val="21"/>
              </w:rPr>
              <w:t>2.1.5可采用不同容积（500ml到4000ml）的校准泵进行流速容量校准，校准时有动画提示抽拉气泵的速度。</w:t>
            </w:r>
          </w:p>
          <w:p>
            <w:pPr>
              <w:jc w:val="both"/>
            </w:pPr>
            <w:r>
              <w:rPr>
                <w:sz w:val="21"/>
              </w:rPr>
              <w:t>2.2具有通气功能测试，包括</w:t>
            </w:r>
            <w:r>
              <w:rPr>
                <w:sz w:val="21"/>
              </w:rPr>
              <w:t>但不限于</w:t>
            </w:r>
            <w:r>
              <w:rPr>
                <w:sz w:val="21"/>
              </w:rPr>
              <w:t>1秒呼气量FEV1、1秒吸气量FIV1、最大肺活量VCmax、用力呼气肺活量FVCex、吸气肺活量IVC、1秒呼气量与最大肺活量比值FEV1/VCmax、1秒呼气量与最大呼气肺活量比值FEV1/FVCex、1秒呼气量与吸气肺活量比值FEV1/IVC等相关参数的测试。</w:t>
            </w:r>
          </w:p>
          <w:p>
            <w:pPr>
              <w:jc w:val="both"/>
            </w:pPr>
            <w:r>
              <w:rPr>
                <w:sz w:val="21"/>
              </w:rPr>
              <w:t>2.2.1对多次测量的结果具有比较功能，可以将两次测试阵容整合在一个报告中对图示进行对比，对测量参数进行对比，形成测量对比报告；有通气功能三维趋势图报告进行查看，F/V趋势图，静态肺容量趋势图，可以显示10次的对比参数。</w:t>
            </w:r>
          </w:p>
          <w:p>
            <w:pPr>
              <w:jc w:val="both"/>
            </w:pPr>
            <w:r>
              <w:rPr>
                <w:sz w:val="21"/>
              </w:rPr>
              <w:t>2.3具有最大通气功能MVV测量。</w:t>
            </w:r>
          </w:p>
          <w:p>
            <w:pPr>
              <w:jc w:val="both"/>
            </w:pPr>
            <w:r>
              <w:rPr>
                <w:sz w:val="21"/>
              </w:rPr>
              <w:t>2.4心肺测试</w:t>
            </w:r>
          </w:p>
          <w:p>
            <w:pPr>
              <w:jc w:val="both"/>
            </w:pPr>
            <w:r>
              <w:rPr>
                <w:sz w:val="21"/>
              </w:rPr>
              <w:t>2.4.</w:t>
            </w:r>
            <w:r>
              <w:rPr>
                <w:sz w:val="21"/>
              </w:rPr>
              <w:t>1</w:t>
            </w:r>
            <w:r>
              <w:rPr>
                <w:sz w:val="21"/>
              </w:rPr>
              <w:t>具有标准</w:t>
            </w:r>
            <w:r>
              <w:rPr>
                <w:sz w:val="21"/>
              </w:rPr>
              <w:t>9宫格图形化的心肺运动试验结果的图表显示；图形显示内容可自行编辑。</w:t>
            </w:r>
          </w:p>
          <w:p>
            <w:pPr>
              <w:jc w:val="both"/>
            </w:pPr>
            <w:r>
              <w:rPr>
                <w:sz w:val="21"/>
              </w:rPr>
              <w:t>2.4.</w:t>
            </w:r>
            <w:r>
              <w:rPr>
                <w:sz w:val="21"/>
              </w:rPr>
              <w:t>2</w:t>
            </w:r>
            <w:r>
              <w:rPr>
                <w:sz w:val="21"/>
              </w:rPr>
              <w:t>提供不同的无氧阈值的评估方法，均可按照设置自动评估无氧阈值，并且可以手动进行调整，调整后的内容可保存并形成报告；可以自动评估无氧阈值、呼吸补偿点。</w:t>
            </w:r>
          </w:p>
          <w:p>
            <w:pPr>
              <w:jc w:val="both"/>
            </w:pPr>
            <w:r>
              <w:rPr>
                <w:sz w:val="21"/>
              </w:rPr>
              <w:t>3</w:t>
            </w:r>
            <w:r>
              <w:rPr>
                <w:sz w:val="21"/>
              </w:rPr>
              <w:t>.性能要求</w:t>
            </w:r>
          </w:p>
          <w:p>
            <w:pPr>
              <w:jc w:val="both"/>
            </w:pPr>
            <w:r>
              <w:rPr>
                <w:sz w:val="21"/>
              </w:rPr>
              <w:t>3.1整体功能</w:t>
            </w:r>
          </w:p>
          <w:p>
            <w:pPr>
              <w:jc w:val="both"/>
            </w:pPr>
            <w:r>
              <w:rPr>
                <w:sz w:val="21"/>
              </w:rPr>
              <w:t>3.1.1心肺功能一体化设计，以保证数据传输和系统整体功能稳定可靠。</w:t>
            </w:r>
          </w:p>
          <w:p>
            <w:pPr>
              <w:jc w:val="both"/>
            </w:pPr>
            <w:r>
              <w:rPr>
                <w:sz w:val="21"/>
              </w:rPr>
              <w:t>3.1.2心肺同步测量，同步分析。</w:t>
            </w:r>
          </w:p>
          <w:p>
            <w:pPr>
              <w:jc w:val="both"/>
            </w:pPr>
            <w:r>
              <w:rPr>
                <w:sz w:val="21"/>
              </w:rPr>
              <w:t>3.1.2.1使用同一主机实现心肺运动试验的控制。</w:t>
            </w:r>
          </w:p>
          <w:p>
            <w:pPr>
              <w:jc w:val="both"/>
            </w:pPr>
            <w:r>
              <w:rPr>
                <w:sz w:val="21"/>
              </w:rPr>
              <w:t>3.1.2.2使用运动心电软件为主软件，控制其他运动附属部件，如运动踏车、运动血压等设备，同时控制肺功能软件实现同步数据的采集。</w:t>
            </w:r>
          </w:p>
          <w:p>
            <w:pPr>
              <w:jc w:val="both"/>
            </w:pPr>
            <w:r>
              <w:rPr>
                <w:sz w:val="21"/>
              </w:rPr>
              <w:t>3.1.2.3支持心电数据、肺功能气体代谢双方数据的共享。能够在心电软件中实时显示肺功能气体代谢数据，如摄氧量、代谢当量等；心电软件能够实时的将心率、血压、运动功率的数据传送到肺功能测试系统中，与气体代谢数据实时同步；肺功能系统软件能够实时自动处理接收的心电数据进行实时统计处理，形成测试分析数据。</w:t>
            </w:r>
          </w:p>
          <w:p>
            <w:pPr>
              <w:jc w:val="both"/>
            </w:pPr>
            <w:r>
              <w:rPr>
                <w:sz w:val="21"/>
              </w:rPr>
              <w:t>3</w:t>
            </w:r>
            <w:r>
              <w:rPr>
                <w:sz w:val="21"/>
              </w:rPr>
              <w:t>.2心电采集性能</w:t>
            </w:r>
          </w:p>
          <w:p>
            <w:pPr>
              <w:jc w:val="both"/>
            </w:pPr>
            <w:r>
              <w:rPr>
                <w:sz w:val="21"/>
              </w:rPr>
              <w:t>3.</w:t>
            </w:r>
            <w:r>
              <w:rPr>
                <w:sz w:val="21"/>
              </w:rPr>
              <w:t>2</w:t>
            </w:r>
            <w:r>
              <w:rPr>
                <w:sz w:val="21"/>
              </w:rPr>
              <w:t>.1</w:t>
            </w:r>
            <w:r>
              <w:rPr>
                <w:sz w:val="21"/>
              </w:rPr>
              <w:t>符合</w:t>
            </w:r>
            <w:r>
              <w:rPr>
                <w:sz w:val="21"/>
              </w:rPr>
              <w:t>YY0782-2010中记录及分析型心电图机标准要求。</w:t>
            </w:r>
          </w:p>
          <w:p>
            <w:pPr>
              <w:jc w:val="both"/>
            </w:pPr>
            <w:r>
              <w:rPr>
                <w:sz w:val="21"/>
              </w:rPr>
              <w:t>3.2.</w:t>
            </w:r>
            <w:r>
              <w:rPr>
                <w:sz w:val="21"/>
              </w:rPr>
              <w:t>2心电采样率：≥</w:t>
            </w:r>
            <w:r>
              <w:rPr>
                <w:sz w:val="21"/>
              </w:rPr>
              <w:t>10000Hz</w:t>
            </w:r>
            <w:r>
              <w:rPr>
                <w:sz w:val="21"/>
              </w:rPr>
              <w:t>。</w:t>
            </w:r>
          </w:p>
          <w:p>
            <w:pPr>
              <w:jc w:val="both"/>
            </w:pPr>
            <w:r>
              <w:rPr>
                <w:sz w:val="21"/>
              </w:rPr>
              <w:t>3.</w:t>
            </w:r>
            <w:r>
              <w:rPr>
                <w:sz w:val="21"/>
              </w:rPr>
              <w:t>2</w:t>
            </w:r>
            <w:r>
              <w:rPr>
                <w:sz w:val="21"/>
              </w:rPr>
              <w:t>.</w:t>
            </w:r>
            <w:r>
              <w:rPr>
                <w:sz w:val="21"/>
              </w:rPr>
              <w:t>3具有交流滤波、基线漂移滤波、波形平滑滤波、肌电滤波功能。</w:t>
            </w:r>
          </w:p>
          <w:p>
            <w:pPr>
              <w:jc w:val="both"/>
            </w:pPr>
            <w:r>
              <w:rPr>
                <w:sz w:val="21"/>
              </w:rPr>
              <w:t>3</w:t>
            </w:r>
            <w:r>
              <w:rPr>
                <w:sz w:val="21"/>
              </w:rPr>
              <w:t>.2.4共模抑制比：≥</w:t>
            </w:r>
            <w:r>
              <w:rPr>
                <w:sz w:val="21"/>
              </w:rPr>
              <w:t>100</w:t>
            </w:r>
            <w:r>
              <w:rPr>
                <w:sz w:val="21"/>
              </w:rPr>
              <w:t>dB；患者漏电流</w:t>
            </w:r>
            <w:r>
              <w:rPr>
                <w:color w:val="FF0000"/>
                <w:sz w:val="21"/>
              </w:rPr>
              <w:t>≤</w:t>
            </w:r>
            <w:r>
              <w:rPr>
                <w:sz w:val="21"/>
              </w:rPr>
              <w:t>0.001mA</w:t>
            </w:r>
            <w:r>
              <w:rPr>
                <w:sz w:val="21"/>
              </w:rPr>
              <w:t>。</w:t>
            </w:r>
          </w:p>
          <w:p>
            <w:pPr>
              <w:jc w:val="both"/>
            </w:pPr>
            <w:r>
              <w:rPr>
                <w:sz w:val="21"/>
              </w:rPr>
              <w:t>3</w:t>
            </w:r>
            <w:r>
              <w:rPr>
                <w:sz w:val="21"/>
              </w:rPr>
              <w:t>.3气体代谢模块性能</w:t>
            </w:r>
          </w:p>
          <w:p>
            <w:pPr>
              <w:jc w:val="both"/>
            </w:pPr>
            <w:r>
              <w:rPr>
                <w:sz w:val="21"/>
              </w:rPr>
              <w:t>3</w:t>
            </w:r>
            <w:r>
              <w:rPr>
                <w:sz w:val="21"/>
              </w:rPr>
              <w:t>.3.1容积范围：0到300L，测量范围：0到±</w:t>
            </w:r>
            <w:r>
              <w:rPr>
                <w:sz w:val="21"/>
              </w:rPr>
              <w:t>20</w:t>
            </w:r>
            <w:r>
              <w:rPr>
                <w:sz w:val="21"/>
              </w:rPr>
              <w:t>L,</w:t>
            </w:r>
            <w:r>
              <w:rPr>
                <w:sz w:val="21"/>
              </w:rPr>
              <w:t>最大偏差为</w:t>
            </w:r>
            <w:r>
              <w:rPr>
                <w:sz w:val="21"/>
              </w:rPr>
              <w:t>：</w:t>
            </w:r>
            <w:r>
              <w:rPr>
                <w:sz w:val="21"/>
              </w:rPr>
              <w:t>±2.5%</w:t>
            </w:r>
            <w:r>
              <w:rPr>
                <w:sz w:val="21"/>
              </w:rPr>
              <w:t>，</w:t>
            </w:r>
            <w:r>
              <w:rPr>
                <w:sz w:val="21"/>
              </w:rPr>
              <w:t>分辨率：</w:t>
            </w:r>
            <w:r>
              <w:rPr>
                <w:sz w:val="21"/>
              </w:rPr>
              <w:t>0.1%</w:t>
            </w:r>
            <w:r>
              <w:rPr>
                <w:sz w:val="21"/>
              </w:rPr>
              <w:t>。</w:t>
            </w:r>
          </w:p>
          <w:p>
            <w:pPr>
              <w:jc w:val="both"/>
            </w:pPr>
            <w:r>
              <w:rPr>
                <w:sz w:val="21"/>
              </w:rPr>
              <w:t>3</w:t>
            </w:r>
            <w:r>
              <w:rPr>
                <w:sz w:val="21"/>
              </w:rPr>
              <w:t>.3.2采用数字超声式二氧化碳分析器，</w:t>
            </w:r>
            <w:r>
              <w:rPr>
                <w:sz w:val="21"/>
              </w:rPr>
              <w:t>测量范围：</w:t>
            </w:r>
            <w:r>
              <w:rPr>
                <w:sz w:val="21"/>
              </w:rPr>
              <w:t>0-17.5%</w:t>
            </w:r>
            <w:r>
              <w:rPr>
                <w:sz w:val="21"/>
              </w:rPr>
              <w:t>，</w:t>
            </w:r>
            <w:r>
              <w:rPr>
                <w:sz w:val="21"/>
              </w:rPr>
              <w:t>分辨率：</w:t>
            </w:r>
            <w:r>
              <w:rPr>
                <w:sz w:val="21"/>
              </w:rPr>
              <w:t>0.01%</w:t>
            </w:r>
            <w:r>
              <w:rPr>
                <w:sz w:val="21"/>
              </w:rPr>
              <w:t>~0.03%</w:t>
            </w:r>
            <w:r>
              <w:rPr>
                <w:sz w:val="21"/>
              </w:rPr>
              <w:t>，</w:t>
            </w:r>
            <w:r>
              <w:rPr>
                <w:sz w:val="21"/>
              </w:rPr>
              <w:t>测量精度：</w:t>
            </w:r>
            <w:r>
              <w:rPr>
                <w:sz w:val="21"/>
              </w:rPr>
              <w:t>±0.03％</w:t>
            </w:r>
            <w:r>
              <w:rPr>
                <w:sz w:val="21"/>
              </w:rPr>
              <w:t>，</w:t>
            </w:r>
            <w:r>
              <w:rPr>
                <w:sz w:val="21"/>
              </w:rPr>
              <w:t>响应时间：</w:t>
            </w:r>
            <w:r>
              <w:rPr>
                <w:color w:val="FF0000"/>
                <w:sz w:val="21"/>
              </w:rPr>
              <w:t>≤</w:t>
            </w:r>
            <w:r>
              <w:rPr>
                <w:sz w:val="21"/>
              </w:rPr>
              <w:t>90ms（10-90%）</w:t>
            </w:r>
            <w:r>
              <w:rPr>
                <w:sz w:val="21"/>
              </w:rPr>
              <w:t>。</w:t>
            </w:r>
          </w:p>
          <w:p>
            <w:pPr>
              <w:jc w:val="both"/>
            </w:pPr>
            <w:r>
              <w:rPr>
                <w:sz w:val="21"/>
              </w:rPr>
              <w:t>3</w:t>
            </w:r>
            <w:r>
              <w:rPr>
                <w:sz w:val="21"/>
              </w:rPr>
              <w:t>.3.3</w:t>
            </w:r>
            <w:r>
              <w:rPr>
                <w:sz w:val="21"/>
              </w:rPr>
              <w:t>采用</w:t>
            </w:r>
            <w:r>
              <w:rPr>
                <w:sz w:val="21"/>
              </w:rPr>
              <w:t>高精度氧分析器，</w:t>
            </w:r>
            <w:r>
              <w:rPr>
                <w:sz w:val="21"/>
              </w:rPr>
              <w:t>测量范围</w:t>
            </w:r>
            <w:r>
              <w:rPr>
                <w:sz w:val="21"/>
              </w:rPr>
              <w:t>0-35%</w:t>
            </w:r>
            <w:r>
              <w:rPr>
                <w:sz w:val="21"/>
              </w:rPr>
              <w:t>，</w:t>
            </w:r>
            <w:r>
              <w:rPr>
                <w:sz w:val="21"/>
              </w:rPr>
              <w:t>分辨率：</w:t>
            </w:r>
            <w:r>
              <w:rPr>
                <w:sz w:val="21"/>
              </w:rPr>
              <w:t>0.01％</w:t>
            </w:r>
            <w:r>
              <w:rPr>
                <w:sz w:val="21"/>
              </w:rPr>
              <w:t>~0.03%</w:t>
            </w:r>
            <w:r>
              <w:rPr>
                <w:sz w:val="21"/>
              </w:rPr>
              <w:t>，</w:t>
            </w:r>
            <w:r>
              <w:rPr>
                <w:sz w:val="21"/>
              </w:rPr>
              <w:t>测量精度：</w:t>
            </w:r>
            <w:r>
              <w:rPr>
                <w:sz w:val="21"/>
              </w:rPr>
              <w:t>±0.03%</w:t>
            </w:r>
            <w:r>
              <w:rPr>
                <w:sz w:val="21"/>
              </w:rPr>
              <w:t>，</w:t>
            </w:r>
            <w:r>
              <w:rPr>
                <w:sz w:val="21"/>
              </w:rPr>
              <w:t>响应时间</w:t>
            </w:r>
            <w:r>
              <w:rPr>
                <w:color w:val="FF0000"/>
                <w:sz w:val="21"/>
              </w:rPr>
              <w:t>≤</w:t>
            </w:r>
            <w:r>
              <w:rPr>
                <w:sz w:val="21"/>
              </w:rPr>
              <w:t>90ms（10-90%）</w:t>
            </w:r>
            <w:r>
              <w:rPr>
                <w:sz w:val="21"/>
              </w:rPr>
              <w:t>。</w:t>
            </w:r>
          </w:p>
          <w:p>
            <w:pPr>
              <w:jc w:val="both"/>
            </w:pPr>
            <w:r>
              <w:rPr>
                <w:sz w:val="21"/>
              </w:rPr>
              <w:t>3</w:t>
            </w:r>
            <w:r>
              <w:rPr>
                <w:sz w:val="21"/>
              </w:rPr>
              <w:t>.3.</w:t>
            </w:r>
            <w:r>
              <w:rPr>
                <w:sz w:val="21"/>
              </w:rPr>
              <w:t>4</w:t>
            </w:r>
            <w:r>
              <w:rPr>
                <w:sz w:val="21"/>
              </w:rPr>
              <w:t>流量传感器采用的双向压差式流量传感器。</w:t>
            </w:r>
          </w:p>
          <w:p>
            <w:pPr>
              <w:jc w:val="both"/>
            </w:pPr>
            <w:r>
              <w:rPr>
                <w:sz w:val="21"/>
              </w:rPr>
              <w:t>3</w:t>
            </w:r>
            <w:r>
              <w:rPr>
                <w:sz w:val="21"/>
              </w:rPr>
              <w:t>.4运动血压性能</w:t>
            </w:r>
          </w:p>
          <w:p>
            <w:pPr>
              <w:jc w:val="both"/>
            </w:pPr>
            <w:r>
              <w:rPr>
                <w:sz w:val="21"/>
              </w:rPr>
              <w:t>3</w:t>
            </w:r>
            <w:r>
              <w:rPr>
                <w:sz w:val="21"/>
              </w:rPr>
              <w:t>.</w:t>
            </w:r>
            <w:r>
              <w:rPr>
                <w:sz w:val="21"/>
              </w:rPr>
              <w:t>4</w:t>
            </w:r>
            <w:r>
              <w:rPr>
                <w:sz w:val="21"/>
              </w:rPr>
              <w:t>.1可直接控制运动血压计自动或手动测量。</w:t>
            </w:r>
          </w:p>
          <w:p>
            <w:pPr>
              <w:jc w:val="both"/>
            </w:pPr>
            <w:r>
              <w:rPr>
                <w:sz w:val="21"/>
              </w:rPr>
              <w:t>3</w:t>
            </w:r>
            <w:r>
              <w:rPr>
                <w:sz w:val="21"/>
              </w:rPr>
              <w:t>.</w:t>
            </w:r>
            <w:r>
              <w:rPr>
                <w:sz w:val="21"/>
              </w:rPr>
              <w:t>4</w:t>
            </w:r>
            <w:r>
              <w:rPr>
                <w:sz w:val="21"/>
              </w:rPr>
              <w:t>.2可当做血压测量设备，单独进行血压测量，可自动保存血压记录。</w:t>
            </w:r>
          </w:p>
          <w:p>
            <w:pPr>
              <w:jc w:val="both"/>
            </w:pPr>
            <w:r>
              <w:rPr>
                <w:sz w:val="21"/>
              </w:rPr>
              <w:t>3</w:t>
            </w:r>
            <w:r>
              <w:rPr>
                <w:sz w:val="21"/>
              </w:rPr>
              <w:t>.</w:t>
            </w:r>
            <w:r>
              <w:rPr>
                <w:sz w:val="21"/>
              </w:rPr>
              <w:t>4.</w:t>
            </w:r>
            <w:r>
              <w:rPr>
                <w:sz w:val="21"/>
              </w:rPr>
              <w:t>3通过串口直接与心电设备连接，数据可实时上传到控制软件。</w:t>
            </w:r>
          </w:p>
          <w:p>
            <w:pPr>
              <w:jc w:val="both"/>
            </w:pPr>
            <w:r>
              <w:rPr>
                <w:sz w:val="21"/>
              </w:rPr>
              <w:t>3.5血氧模块性能</w:t>
            </w:r>
          </w:p>
          <w:p>
            <w:pPr>
              <w:jc w:val="both"/>
            </w:pPr>
            <w:r>
              <w:rPr>
                <w:sz w:val="21"/>
              </w:rPr>
              <w:t>3.5.1</w:t>
            </w:r>
            <w:r>
              <w:rPr>
                <w:sz w:val="21"/>
              </w:rPr>
              <w:t>测量范围：血氧饱和度</w:t>
            </w:r>
            <w:r>
              <w:rPr>
                <w:sz w:val="21"/>
              </w:rPr>
              <w:t>:0-100%，温度：25-45℃。</w:t>
            </w:r>
          </w:p>
          <w:p>
            <w:pPr>
              <w:jc w:val="both"/>
            </w:pPr>
            <w:r>
              <w:rPr>
                <w:sz w:val="21"/>
              </w:rPr>
              <w:t>3.5</w:t>
            </w:r>
            <w:r>
              <w:rPr>
                <w:sz w:val="21"/>
              </w:rPr>
              <w:t>.2分辨率：血氧饱和度：1％</w:t>
            </w:r>
            <w:r>
              <w:rPr>
                <w:sz w:val="21"/>
              </w:rPr>
              <w:t>~3%</w:t>
            </w:r>
            <w:r>
              <w:rPr>
                <w:sz w:val="21"/>
              </w:rPr>
              <w:t>，脉率：</w:t>
            </w:r>
            <w:r>
              <w:rPr>
                <w:sz w:val="21"/>
              </w:rPr>
              <w:t>1bpm</w:t>
            </w:r>
            <w:r>
              <w:rPr>
                <w:sz w:val="21"/>
              </w:rPr>
              <w:t>~3bpm</w:t>
            </w:r>
            <w:r>
              <w:rPr>
                <w:sz w:val="21"/>
              </w:rPr>
              <w:t>，温度：</w:t>
            </w:r>
            <w:r>
              <w:rPr>
                <w:sz w:val="21"/>
              </w:rPr>
              <w:t>0.1℃</w:t>
            </w:r>
            <w:r>
              <w:rPr>
                <w:sz w:val="21"/>
              </w:rPr>
              <w:t>~0.5</w:t>
            </w:r>
            <w:r>
              <w:rPr>
                <w:sz w:val="21"/>
              </w:rPr>
              <w:t>℃。</w:t>
            </w:r>
          </w:p>
          <w:p>
            <w:pPr>
              <w:jc w:val="both"/>
            </w:pPr>
            <w:r>
              <w:rPr>
                <w:sz w:val="21"/>
              </w:rPr>
              <w:t>3.5</w:t>
            </w:r>
            <w:r>
              <w:rPr>
                <w:sz w:val="21"/>
              </w:rPr>
              <w:t>.3测量精度：血氧饱和度:</w:t>
            </w:r>
            <w:r>
              <w:rPr>
                <w:sz w:val="21"/>
              </w:rPr>
              <w:t>2%（70-100%）,70%以下无定义；脉率:±3bpm或3%（30-245BPM）；温度：±0.1℃（25-45℃）。</w:t>
            </w:r>
          </w:p>
          <w:p>
            <w:pPr>
              <w:jc w:val="both"/>
            </w:pPr>
            <w:r>
              <w:rPr>
                <w:sz w:val="21"/>
              </w:rPr>
              <w:t>4</w:t>
            </w:r>
            <w:r>
              <w:rPr>
                <w:sz w:val="21"/>
              </w:rPr>
              <w:t>.运动辅助设备</w:t>
            </w:r>
          </w:p>
          <w:p>
            <w:pPr>
              <w:jc w:val="both"/>
            </w:pPr>
            <w:r>
              <w:rPr>
                <w:sz w:val="21"/>
              </w:rPr>
              <w:t>4.1</w:t>
            </w:r>
            <w:r>
              <w:rPr>
                <w:sz w:val="21"/>
              </w:rPr>
              <w:t>运动踏车</w:t>
            </w:r>
          </w:p>
          <w:p>
            <w:pPr>
              <w:jc w:val="both"/>
            </w:pPr>
            <w:r>
              <w:rPr>
                <w:sz w:val="21"/>
              </w:rPr>
              <w:t>4</w:t>
            </w:r>
            <w:r>
              <w:rPr>
                <w:sz w:val="21"/>
              </w:rPr>
              <w:t>.1.</w:t>
            </w:r>
            <w:r>
              <w:rPr>
                <w:sz w:val="21"/>
              </w:rPr>
              <w:t>1</w:t>
            </w:r>
            <w:r>
              <w:rPr>
                <w:sz w:val="21"/>
              </w:rPr>
              <w:t>功率控制精度</w:t>
            </w:r>
            <w:r>
              <w:rPr>
                <w:sz w:val="21"/>
              </w:rPr>
              <w:t>1瓦/分钟</w:t>
            </w:r>
            <w:r>
              <w:rPr>
                <w:sz w:val="21"/>
              </w:rPr>
              <w:t>~5</w:t>
            </w:r>
            <w:r>
              <w:rPr>
                <w:sz w:val="21"/>
              </w:rPr>
              <w:t>瓦</w:t>
            </w:r>
            <w:r>
              <w:rPr>
                <w:sz w:val="21"/>
              </w:rPr>
              <w:t>/分钟。</w:t>
            </w:r>
          </w:p>
          <w:p>
            <w:pPr>
              <w:jc w:val="both"/>
            </w:pPr>
            <w:r>
              <w:rPr>
                <w:sz w:val="21"/>
              </w:rPr>
              <w:t>4.1.2</w:t>
            </w:r>
            <w:r>
              <w:rPr>
                <w:sz w:val="21"/>
              </w:rPr>
              <w:t>功率控制范围</w:t>
            </w:r>
            <w:r>
              <w:rPr>
                <w:sz w:val="21"/>
              </w:rPr>
              <w:t>0</w:t>
            </w:r>
            <w:r>
              <w:rPr>
                <w:sz w:val="21"/>
              </w:rPr>
              <w:t>到</w:t>
            </w:r>
            <w:r>
              <w:rPr>
                <w:sz w:val="21"/>
              </w:rPr>
              <w:t>999</w:t>
            </w:r>
            <w:r>
              <w:rPr>
                <w:sz w:val="21"/>
              </w:rPr>
              <w:t>W。</w:t>
            </w:r>
          </w:p>
          <w:p>
            <w:pPr>
              <w:jc w:val="both"/>
            </w:pPr>
            <w:r>
              <w:rPr>
                <w:sz w:val="21"/>
              </w:rPr>
              <w:t>4.1.3</w:t>
            </w:r>
            <w:r>
              <w:rPr>
                <w:sz w:val="21"/>
              </w:rPr>
              <w:t>最大体重</w:t>
            </w:r>
            <w:r>
              <w:rPr>
                <w:sz w:val="21"/>
              </w:rPr>
              <w:t>≥</w:t>
            </w:r>
            <w:r>
              <w:rPr>
                <w:sz w:val="21"/>
              </w:rPr>
              <w:t>200kg</w:t>
            </w:r>
            <w:r>
              <w:rPr>
                <w:sz w:val="21"/>
              </w:rPr>
              <w:t>。</w:t>
            </w:r>
          </w:p>
          <w:p>
            <w:pPr>
              <w:jc w:val="both"/>
            </w:pPr>
            <w:r>
              <w:rPr>
                <w:sz w:val="21"/>
              </w:rPr>
              <w:t>4.1</w:t>
            </w:r>
            <w:r>
              <w:rPr>
                <w:sz w:val="21"/>
              </w:rPr>
              <w:t>.4可通过RS232接口连接电脑控制。</w:t>
            </w:r>
          </w:p>
          <w:p>
            <w:pPr>
              <w:jc w:val="both"/>
            </w:pPr>
            <w:r>
              <w:rPr>
                <w:sz w:val="21"/>
              </w:rPr>
              <w:t>4.1.</w:t>
            </w:r>
            <w:r>
              <w:rPr>
                <w:sz w:val="21"/>
              </w:rPr>
              <w:t>5心肺主机可直接控制踏车的功率进行运动。</w:t>
            </w:r>
          </w:p>
          <w:p>
            <w:pPr>
              <w:jc w:val="both"/>
            </w:pPr>
            <w:r>
              <w:rPr>
                <w:sz w:val="21"/>
              </w:rPr>
              <w:t>★5.所投设备必须为该厂家最新版本</w:t>
            </w:r>
            <w:r>
              <w:rPr>
                <w:b/>
                <w:sz w:val="21"/>
              </w:rPr>
              <w:t>（提供</w:t>
            </w:r>
            <w:r>
              <w:rPr>
                <w:b/>
                <w:sz w:val="21"/>
              </w:rPr>
              <w:t>承诺函</w:t>
            </w:r>
            <w:r>
              <w:rPr>
                <w:b/>
                <w:sz w:val="21"/>
              </w:rPr>
              <w:t>）</w:t>
            </w:r>
            <w:r>
              <w:rPr>
                <w:sz w:val="21"/>
              </w:rPr>
              <w:t>。</w:t>
            </w:r>
          </w:p>
          <w:p>
            <w:pPr>
              <w:jc w:val="both"/>
            </w:pPr>
            <w:r>
              <w:rPr>
                <w:sz w:val="21"/>
              </w:rPr>
              <w:t>6.保修范围包含下述主要配置要求。</w:t>
            </w:r>
          </w:p>
          <w:p>
            <w:pPr>
              <w:jc w:val="both"/>
            </w:pPr>
            <w:r>
              <w:rPr>
                <w:b/>
                <w:sz w:val="21"/>
              </w:rPr>
              <w:t>7、主要配置要求（包括但不限于）</w:t>
            </w:r>
          </w:p>
          <w:tbl>
            <w:tblPr>
              <w:tblBorders>
                <w:top w:val="none" w:color="000000" w:sz="4"/>
                <w:left w:val="none" w:color="000000" w:sz="4"/>
                <w:bottom w:val="none" w:color="000000" w:sz="4"/>
                <w:right w:val="none" w:color="000000" w:sz="4"/>
                <w:insideH w:val="none"/>
                <w:insideV w:val="none"/>
              </w:tblBorders>
            </w:tblPr>
            <w:tblGrid>
              <w:gridCol w:w="845"/>
              <w:gridCol w:w="2788"/>
              <w:gridCol w:w="982"/>
              <w:gridCol w:w="982"/>
            </w:tblGrid>
            <w:tr>
              <w:tc>
                <w:tcPr>
                  <w:tcW w:type="dxa" w:w="84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788"/>
                  <w:tcBorders>
                    <w:top w:val="single" w:color="000000" w:sz="4"/>
                    <w:left w:val="single" w:color="000000" w:sz="4"/>
                    <w:bottom w:val="single" w:color="000000" w:sz="4"/>
                    <w:right w:val="single" w:color="000000" w:sz="4"/>
                  </w:tcBorders>
                  <w:vAlign w:val="top"/>
                </w:tcPr>
                <w:p>
                  <w:pPr>
                    <w:jc w:val="center"/>
                  </w:pPr>
                  <w:r>
                    <w:rPr>
                      <w:sz w:val="21"/>
                    </w:rPr>
                    <w:t>部件名称</w:t>
                  </w:r>
                </w:p>
              </w:tc>
              <w:tc>
                <w:tcPr>
                  <w:tcW w:type="dxa" w:w="982"/>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82"/>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工控机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套</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图文输出设备及医用</w:t>
                  </w:r>
                  <w:r>
                    <w:rPr>
                      <w:color w:val="0C0C0C"/>
                      <w:sz w:val="21"/>
                    </w:rPr>
                    <w:t>监视器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Borg</w:t>
                  </w:r>
                  <w:r>
                    <w:rPr>
                      <w:color w:val="000000"/>
                      <w:sz w:val="21"/>
                    </w:rPr>
                    <w:t>评分表</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张</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4</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心电主机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5</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台车组件（含台车和监视器支架）</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套</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6</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心电</w:t>
                  </w:r>
                  <w:r>
                    <w:rPr>
                      <w:color w:val="0C0C0C"/>
                      <w:sz w:val="21"/>
                    </w:rPr>
                    <w:t>RS232</w:t>
                  </w:r>
                  <w:r>
                    <w:rPr>
                      <w:color w:val="0C0C0C"/>
                      <w:sz w:val="21"/>
                    </w:rPr>
                    <w:t>数据线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7</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导联线支架</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8</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12导心电导联线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9</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肺功能主机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10</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氧分析器</w:t>
                  </w:r>
                </w:p>
              </w:tc>
              <w:tc>
                <w:tcPr>
                  <w:tcW w:type="dxa" w:w="98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11</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肺主机</w:t>
                  </w:r>
                  <w:r>
                    <w:rPr>
                      <w:color w:val="0C0C0C"/>
                      <w:sz w:val="21"/>
                    </w:rPr>
                    <w:t>RS232</w:t>
                  </w:r>
                  <w:r>
                    <w:rPr>
                      <w:color w:val="0C0C0C"/>
                      <w:sz w:val="21"/>
                    </w:rPr>
                    <w:t>数据线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气体测量管路（采样管）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13</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气体定标管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14</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干燥管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15</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温度传感器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16</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气体校验泵</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17</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气体校验泵适配器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18</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流量传感器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19</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传感器与面罩连接嘴</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20</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运动心肺呼吸面罩（可重复使用）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6</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21</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面罩呼吸嘴</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6</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运动心肺呼吸面罩绑带</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23</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面罩连接短管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24</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环境监测仪（温度，湿度测量）</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25</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标气减压器</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26</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G5/8</w:t>
                  </w:r>
                  <w:r>
                    <w:rPr>
                      <w:sz w:val="21"/>
                    </w:rPr>
                    <w:t>转</w:t>
                  </w:r>
                  <w:r>
                    <w:rPr>
                      <w:sz w:val="21"/>
                    </w:rPr>
                    <w:t>W21.8</w:t>
                  </w:r>
                  <w:r>
                    <w:rPr>
                      <w:sz w:val="21"/>
                    </w:rPr>
                    <w:t>接头</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27</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彩色</w:t>
                  </w:r>
                  <w:r>
                    <w:rPr>
                      <w:color w:val="000000"/>
                      <w:sz w:val="21"/>
                    </w:rPr>
                    <w:t>激光</w:t>
                  </w:r>
                  <w:r>
                    <w:rPr>
                      <w:color w:val="000000"/>
                      <w:sz w:val="21"/>
                    </w:rPr>
                    <w:t>图文输出设备</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28</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运动踏车</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29</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负荷运动血压测试仪</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30</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血压袖带</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31</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BP</w:t>
                  </w:r>
                  <w:r>
                    <w:rPr>
                      <w:color w:val="000000"/>
                      <w:sz w:val="21"/>
                    </w:rPr>
                    <w:t>血压卡扣</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套</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血氧主机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33</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血氧主机座</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34</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血氧通讯盒</w:t>
                  </w:r>
                  <w:r>
                    <w:rPr>
                      <w:sz w:val="21"/>
                    </w:rPr>
                    <w:t>(系统上是血氧串口盒)</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35</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血氧通讯盒连接线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36</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通讯盒主机连接线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37</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血氧指套线长度（长度</w:t>
                  </w:r>
                  <w:r>
                    <w:rPr>
                      <w:sz w:val="21"/>
                    </w:rPr>
                    <w:t>2.6m</w:t>
                  </w:r>
                  <w:r>
                    <w:rPr>
                      <w:sz w:val="21"/>
                    </w:rPr>
                    <w:t>）</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38</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氧电池（</w:t>
                  </w:r>
                  <w:r>
                    <w:rPr>
                      <w:sz w:val="21"/>
                    </w:rPr>
                    <w:t>安装时提供一个，后续每年提供一个，用完</w:t>
                  </w:r>
                  <w:r>
                    <w:rPr>
                      <w:sz w:val="21"/>
                    </w:rPr>
                    <w:t>5个为止。</w:t>
                  </w:r>
                  <w:r>
                    <w:rPr>
                      <w:sz w:val="21"/>
                    </w:rPr>
                    <w:t>）</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5</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39</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10L混合气体铝瓶</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瓶</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采购代理服务费由中标供应商在领取《中标通知书》前一次性向采购代理机构交纳。本项目的招标代理服务费收费标准以采购预算金额为计算基数，按差额定率累进法计算，具体收费按以下标准计算：采购金额（万元）100以下，费率：1.5%；采购金额（万元）100－500，费率：1.1%。</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采购包1(中央母胎监护系统)：综合评分法,是指投标文件满足招标文件全部实质性要求，且按照评审因素的量化指标评审得分最高的投标人为中标候选人的评标方法。（最低报价不是中标的唯一依据。）</w:t>
      </w:r>
    </w:p>
    <w:p/>
    <w:p>
      <w:r>
        <w:rPr/>
        <w:t>采购包2(眩晕VR耳鸣康复仪)：综合评分法,是指投标文件满足招标文件全部实质性要求，且按照评审因素的量化指标评审得分最高的投标人为中标候选人的评标方法。（最低报价不是中标的唯一依据。）</w:t>
      </w:r>
    </w:p>
    <w:p/>
    <w:p>
      <w:r>
        <w:rPr/>
        <w:t>采购包3(心肺评估仪)：综合评分法,是指投标文件满足招标文件全部实质性要求，且按照评审因素的量化指标评审得分最高的投标人为中标候选人的评标方法。（最低报价不是中标的唯一依据。）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采购包1（中央母胎监护系统）：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采购包2（眩晕VR耳鸣康复仪）：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采购包3（心肺评估仪）：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采购包1（中央母胎监护系统）：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若投标人为设备生产厂家应具备《医疗器械生产许可证》；若为经销商或代理商须提供第二类医疗器械经营备案凭证（须在投标文件内提供证明文件复印件）。（或承诺签订合同前取得第二类医疗器械经营备案凭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采购包2（眩晕VR耳鸣康复仪）：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若投标人为设备生产厂家应具备《医疗器械生产许可证》；若为经销商或代理商须提供第二类医疗器械经营备案凭证（须在投标文件内提供证明文件复印件）。（或承诺签订合同前取得第二类医疗器械经营备案凭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采购包3（心肺评估仪）：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若投标人为设备生产厂家应具备《医疗器械生产许可证》；若为经销商或代理商须提供第二类医疗器械经营备案凭证（须在投标文件内提供证明文件复印件）。（或承诺签订合同前取得第二类医疗器械经营备案凭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采购包1（中央母胎监护系统）：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投标报价是固定唯一价且未超过本项目对应采购包采购预算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采购包2（眩晕VR耳鸣康复仪）：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投标报价是固定唯一价且未超过本项目对应采购包采购预算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采购包3（心肺评估仪）：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投标报价是固定唯一价且未超过本项目对应采购包采购预算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采购包1(中央母胎监护系统):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重点技术条款响应情况 (12.0分)</w:t>
            </w:r>
          </w:p>
        </w:tc>
        <w:tc>
          <w:tcPr>
            <w:tcW w:type="dxa" w:w="5076"/>
          </w:tcPr>
          <w:p>
            <w:pPr>
              <w:jc w:val="left"/>
            </w:pPr>
            <w:r>
              <w:rPr/>
              <w:t>投标人对招标文件具体技术(参数)要求“设备主要规格、技术要求”序号“1.3、1.8、1.13、2.2、2.6、2.17”的技术参数（共6项）完全满足或正偏离技术要求的，每项得2分，不满足或负偏离的不得分，最高得12分。 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技术条款响应程度 (29.0分)</w:t>
            </w:r>
          </w:p>
        </w:tc>
        <w:tc>
          <w:tcPr>
            <w:tcW w:type="dxa" w:w="5076"/>
          </w:tcPr>
          <w:p>
            <w:pPr>
              <w:jc w:val="left"/>
            </w:pPr>
            <w:r>
              <w:rPr/>
              <w:t>根据投标人对招标文件具体技术(参数)要求“设备主要规格、技术要求”中参数（除序号“1.3、1.8、1.13、2.2、2.6、2.17”外）的响应程度进行评审:   1.所投产品完全满足或优于具体技术(参数)要求中“设备主要规格、技术要求”的（共26项），得26分；每有1项不满足或负偏离具体技术(参数)要求中“设备主要规格、技术要求”的，扣1分，最低扣至0分。 2. 投标人对招标文件具体技术(参数)要求“设备主要规格、技术要求”中序号“3. 主要配置要求”完全满足或优于得3分，不满足或负偏离得0分。 注：（1）技术参数按最小序号计算，如序号“1.1、1.2、1.3”分别单独算1项，共计26项，主要配置要求算1项。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(4.0分)</w:t>
            </w:r>
            <w:r>
              <w:rPr/>
              <w:t>，（等次分值选择：</w:t>
            </w:r>
            <w:r>
              <w:rPr/>
              <w:t>0.0;</w:t>
            </w:r>
            <w:r>
              <w:rPr/>
              <w:t>1.0;</w:t>
            </w:r>
            <w:r>
              <w:rPr/>
              <w:t>2.0;</w:t>
            </w:r>
            <w:r>
              <w:rPr/>
              <w:t>4.0;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（1）响应时间快、交货期优于商务要求，售后服务方案、到货的保证措施完善可行及应急保障方案详细完整，完全符合或优于招标文件要求的得4分；   （2）响应时间、交货期满足商务要求，售后服方案、到货的保证措施可行、应急保障方案完整，能基本保障本项目实施，基本符合招标文件要求的得2分；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安装、调试、技术培训方案1 (1.0分)</w:t>
            </w:r>
          </w:p>
        </w:tc>
        <w:tc>
          <w:tcPr>
            <w:tcW w:type="dxa" w:w="5076"/>
          </w:tcPr>
          <w:p>
            <w:pPr>
              <w:jc w:val="left"/>
            </w:pPr>
            <w:r>
              <w:rPr/>
              <w:t>评标委员会根据投标人提供的安装、调试、技术培训方案进行评价，方案应包括（投标文件中方案标题应以下列方案名称命名）： (1)安装、调试方案； (2)技术培训。 提供全部内容得1分，每缺1项扣0.5分。</w:t>
            </w:r>
          </w:p>
        </w:tc>
      </w:tr>
      <w:tr>
        <w:tc>
          <w:tcPr>
            <w:tcW w:type="dxa" w:w="922"/>
            <w:gridSpan w:val="2"/>
            <w:vMerge/>
          </w:tcPr>
          <w:p/>
        </w:tc>
        <w:tc>
          <w:tcPr>
            <w:tcW w:type="dxa" w:w="2307"/>
          </w:tcPr>
          <w:p>
            <w:pPr>
              <w:jc w:val="left"/>
            </w:pPr>
            <w:r>
              <w:rPr/>
              <w:t>安装、调试、技术培训方案2 (3.0分)</w:t>
            </w:r>
            <w:r>
              <w:rPr/>
              <w:t>，（等次分值选择：</w:t>
            </w:r>
            <w:r>
              <w:rPr/>
              <w:t>0.0;</w:t>
            </w:r>
            <w:r>
              <w:rPr/>
              <w:t>1.0;</w:t>
            </w:r>
            <w:r>
              <w:rPr/>
              <w:t>2.0;</w:t>
            </w:r>
            <w:r>
              <w:rPr/>
              <w:t>3.0;</w:t>
            </w:r>
            <w:r>
              <w:rPr/>
              <w:t>）</w:t>
            </w:r>
          </w:p>
        </w:tc>
        <w:tc>
          <w:tcPr>
            <w:tcW w:type="dxa" w:w="5076"/>
          </w:tcPr>
          <w:p>
            <w:pPr>
              <w:jc w:val="left"/>
            </w:pPr>
            <w:r>
              <w:rPr/>
              <w:t>根据投标人提供的安装与调试、技术培训的详细内容进行评审：   （1）针对本项目交货、安装与调试方案详细具体、可行性、 针对性强，完全符合或优于招标文件要求的得3分；   （2）针对本项目交货、安装与调试方案一般，可行性、针对性一般，基本符合招标文件要求的得2分；    （3）针对本项目交货、安装与调试方案简单，不具有可行性、针对性，与招标文件要求有偏差的得1分。 （4）未提供安装与调试、技术培训方案的不得分。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(3.0分)</w:t>
            </w:r>
            <w:r>
              <w:rPr/>
              <w:t>，（等次分值选择：</w:t>
            </w:r>
            <w:r>
              <w:rPr/>
              <w:t>0.0;</w:t>
            </w:r>
            <w:r>
              <w:rPr/>
              <w:t>1.0;</w:t>
            </w:r>
            <w:r>
              <w:rPr/>
              <w:t>2.0;</w:t>
            </w:r>
            <w:r>
              <w:rPr/>
              <w:t>3.0;</w:t>
            </w:r>
            <w:r>
              <w:rPr/>
              <w:t>）</w:t>
            </w:r>
          </w:p>
        </w:tc>
        <w:tc>
          <w:tcPr>
            <w:tcW w:type="dxa" w:w="5076"/>
          </w:tcPr>
          <w:p>
            <w:pPr>
              <w:jc w:val="left"/>
            </w:pPr>
            <w:r>
              <w:rPr/>
              <w:t>根据投标人编制的具体质量保证方案进行评审:   （1）投标人提供的质量保证方案完整性、合理性、可行性高的，完全符合招标文件要求的得3分；   （2）投标人提供的质量保证方案具有一定的合理性和可行性，基本符合招标文件要求的得2分；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投标人2020年1月1日至今签订的同类产品（产科中央监护网络系统或母亲胎儿监护仪或中央母胎监护系统）业绩：每项得0.5分，最高2.5分。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所投货物保修期 (3.0分)</w:t>
            </w:r>
          </w:p>
        </w:tc>
        <w:tc>
          <w:tcPr>
            <w:tcW w:type="dxa" w:w="5076"/>
          </w:tcPr>
          <w:p>
            <w:pPr>
              <w:jc w:val="left"/>
            </w:pPr>
            <w:r>
              <w:rPr/>
              <w:t>投标人所投产品（产科中央监护网络系统、母亲胎儿监护仪）保修期均满足采购需求最低要求（最低保修期要求36个月）的得1分，投标人承诺每增加12个月加1分，本小项最高得3分。 注：须提供保修期承诺函并加盖投标人公章，不提供承诺函的不得分。保修期增加幅度不足12个月的不加分。</w:t>
            </w:r>
          </w:p>
        </w:tc>
      </w:tr>
      <w:tr>
        <w:tc>
          <w:tcPr>
            <w:tcW w:type="dxa" w:w="922"/>
            <w:gridSpan w:val="2"/>
            <w:vMerge/>
          </w:tcPr>
          <w:p/>
        </w:tc>
        <w:tc>
          <w:tcPr>
            <w:tcW w:type="dxa" w:w="2307"/>
          </w:tcPr>
          <w:p>
            <w:pPr>
              <w:jc w:val="left"/>
            </w:pPr>
            <w:r>
              <w:rPr/>
              <w:t>投标产品授权情况 (4.5分)</w:t>
            </w:r>
          </w:p>
        </w:tc>
        <w:tc>
          <w:tcPr>
            <w:tcW w:type="dxa" w:w="5076"/>
          </w:tcPr>
          <w:p>
            <w:pPr>
              <w:jc w:val="left"/>
            </w:pPr>
            <w:r>
              <w:rPr/>
              <w:t>若投标人非生产厂家或制造商的，提供中央母胎监护系统生产厂家或制造商出具的有效授权证明书，得4.5分，不提供或专家无法判定不得分。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采购包2(眩晕VR耳鸣康复仪):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重点技术条款响应情况 (8.0分)</w:t>
            </w:r>
          </w:p>
        </w:tc>
        <w:tc>
          <w:tcPr>
            <w:tcW w:type="dxa" w:w="5076"/>
          </w:tcPr>
          <w:p>
            <w:pPr>
              <w:jc w:val="left"/>
            </w:pPr>
            <w:r>
              <w:rPr/>
              <w:t>投标人对招标文件具体技术(参数)要求“设备主要规格、技术要求”序号“2.1、2.4”的技术参数（共2项）完全满足或正偏离技术要求的，每项得4分，不满足或负偏离的不得分，最高得8分。 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技术条款响应程度 (24.0分)</w:t>
            </w:r>
          </w:p>
        </w:tc>
        <w:tc>
          <w:tcPr>
            <w:tcW w:type="dxa" w:w="5076"/>
          </w:tcPr>
          <w:p>
            <w:pPr>
              <w:jc w:val="left"/>
            </w:pPr>
            <w:r>
              <w:rPr/>
              <w:t>根据投标人对招标文件具体技术(参数)要求“设备主要规格、技术要求”中参数（除序号“2.1、2.4”外）及“主要配置要求”的响应程度进行评审:   1.所投产品完全满足或优于具体技术(参数)要求中“设备主要规格、技术要求”的，得24分；             2.所投产品每有1项不满足或负偏离具体技术(参数)要求中“设备主要规格、技术要求”的，扣2分，最低扣至0分。  注：（1）按序号“1.1”计算，如序号“1.1.1、1.1.2”等序号级的均属于序号“1.1”，主要配置要求算1项，共计12项。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(7.0分)</w:t>
            </w:r>
            <w:r>
              <w:rPr/>
              <w:t>，（等次分值选择：</w:t>
            </w:r>
            <w:r>
              <w:rPr/>
              <w:t>0.0;</w:t>
            </w:r>
            <w:r>
              <w:rPr/>
              <w:t>1.0;</w:t>
            </w:r>
            <w:r>
              <w:rPr/>
              <w:t>4.0;</w:t>
            </w:r>
            <w:r>
              <w:rPr/>
              <w:t>7.0;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（1）响应时间快、交货期优于商务要求，售后服务方案、到货的保证措施完善可行及应急保障方案详细完整，完全符合或优于招标文件要求的得7分；   （2）响应时间、交货期满足商务要求，售后服方案、到货的保证措施可行、应急保障方案完整，能基本保障本项目实施，基本符合招标文件要求的得4分；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安装、调试、技术培训方案1 (1.0分)</w:t>
            </w:r>
          </w:p>
        </w:tc>
        <w:tc>
          <w:tcPr>
            <w:tcW w:type="dxa" w:w="5076"/>
          </w:tcPr>
          <w:p>
            <w:pPr>
              <w:jc w:val="left"/>
            </w:pPr>
            <w:r>
              <w:rPr/>
              <w:t>评标委员会根据投标人提供的安装、调试、技术培训方案进行评价，方案应包括（投标文件中方案标题应以下列方案名称命名）： (1)安装、调试方案； (2)技术培训。 提供全部内容得1分，每缺1项扣0.5分。</w:t>
            </w:r>
          </w:p>
        </w:tc>
      </w:tr>
      <w:tr>
        <w:tc>
          <w:tcPr>
            <w:tcW w:type="dxa" w:w="922"/>
            <w:gridSpan w:val="2"/>
            <w:vMerge/>
          </w:tcPr>
          <w:p/>
        </w:tc>
        <w:tc>
          <w:tcPr>
            <w:tcW w:type="dxa" w:w="2307"/>
          </w:tcPr>
          <w:p>
            <w:pPr>
              <w:jc w:val="left"/>
            </w:pPr>
            <w:r>
              <w:rPr/>
              <w:t>安装、调试、技术培训方案2 (6.0分)</w:t>
            </w:r>
            <w:r>
              <w:rPr/>
              <w:t>，（等次分值选择：</w:t>
            </w:r>
            <w:r>
              <w:rPr/>
              <w:t>0.0;</w:t>
            </w:r>
            <w:r>
              <w:rPr/>
              <w:t>1.0;</w:t>
            </w:r>
            <w:r>
              <w:rPr/>
              <w:t>3.0;</w:t>
            </w:r>
            <w:r>
              <w:rPr/>
              <w:t>6.0;</w:t>
            </w:r>
            <w:r>
              <w:rPr/>
              <w:t>）</w:t>
            </w:r>
          </w:p>
        </w:tc>
        <w:tc>
          <w:tcPr>
            <w:tcW w:type="dxa" w:w="5076"/>
          </w:tcPr>
          <w:p>
            <w:pPr>
              <w:jc w:val="left"/>
            </w:pPr>
            <w:r>
              <w:rPr/>
              <w:t>根据投标人提供的安装与调试、技术培训的详细内容进行评审：   （1）针对本项目交货、安装与调试方案详细具体、可行性、 针对性强，完全符合或优于招标文件要求的得6分；   （2）针对本项目交货、安装与调试方案一般，可行性、针对性一般，基本符合招标文件要求的得3分；    （3）针对本项目交货、安装与调试方案简单，不具有可行性、针对性，与招标文件要求有偏差的得1分。 （4）未提供安装与调试、技术培训方案的不得分。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(6.0分)</w:t>
            </w:r>
            <w:r>
              <w:rPr/>
              <w:t>，（等次分值选择：</w:t>
            </w:r>
            <w:r>
              <w:rPr/>
              <w:t>0.0;</w:t>
            </w:r>
            <w:r>
              <w:rPr/>
              <w:t>1.0;</w:t>
            </w:r>
            <w:r>
              <w:rPr/>
              <w:t>3.0;</w:t>
            </w:r>
            <w:r>
              <w:rPr/>
              <w:t>6.0;</w:t>
            </w:r>
            <w:r>
              <w:rPr/>
              <w:t>）</w:t>
            </w:r>
          </w:p>
        </w:tc>
        <w:tc>
          <w:tcPr>
            <w:tcW w:type="dxa" w:w="5076"/>
          </w:tcPr>
          <w:p>
            <w:pPr>
              <w:jc w:val="left"/>
            </w:pPr>
            <w:r>
              <w:rPr/>
              <w:t>根据投标人编制的具体质量保证方案进行评审:   （1）投标人提供的质量保证方案完整性、合理性、可行性高的，完全符合招标文件要求的得6分；   （2）投标人提供的质量保证方案具有一定的合理性和可行性，基本符合招标文件要求的得3分；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投标人2020年1月1日至今签订的同类产品（眩晕VR耳鸣康复仪）业绩：每项得0.5分，最高2.5分。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所投货物保修期 (3.0分)</w:t>
            </w:r>
          </w:p>
        </w:tc>
        <w:tc>
          <w:tcPr>
            <w:tcW w:type="dxa" w:w="5076"/>
          </w:tcPr>
          <w:p>
            <w:pPr>
              <w:jc w:val="left"/>
            </w:pPr>
            <w:r>
              <w:rPr/>
              <w:t>投标人所投产品（眩晕VR耳鸣康复仪）保修期满足采购需求最低要求（最低保修期要求36个月）的得1分，投标人承诺每增加12个月加1分，本小项最高得3分。 注：须提供保修期承诺函并加盖投标人公章，不提供承诺函的不得分。保修期增加幅度不足12个月的不加分。</w:t>
            </w:r>
          </w:p>
        </w:tc>
      </w:tr>
      <w:tr>
        <w:tc>
          <w:tcPr>
            <w:tcW w:type="dxa" w:w="922"/>
            <w:gridSpan w:val="2"/>
            <w:vMerge/>
          </w:tcPr>
          <w:p/>
        </w:tc>
        <w:tc>
          <w:tcPr>
            <w:tcW w:type="dxa" w:w="2307"/>
          </w:tcPr>
          <w:p>
            <w:pPr>
              <w:jc w:val="left"/>
            </w:pPr>
            <w:r>
              <w:rPr/>
              <w:t>投标产品授权情况 (4.5分)</w:t>
            </w:r>
          </w:p>
        </w:tc>
        <w:tc>
          <w:tcPr>
            <w:tcW w:type="dxa" w:w="5076"/>
          </w:tcPr>
          <w:p>
            <w:pPr>
              <w:jc w:val="left"/>
            </w:pPr>
            <w:r>
              <w:rPr/>
              <w:t>若投标人非生产厂家或制造商的，提供所投产品生产厂家或制造商出具的有效授权证明书，得4.5分，不提供或专家无法判定不得分。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采购包3(心肺评估仪):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重点技术条款响应情况 (15.0分)</w:t>
            </w:r>
          </w:p>
        </w:tc>
        <w:tc>
          <w:tcPr>
            <w:tcW w:type="dxa" w:w="5076"/>
          </w:tcPr>
          <w:p>
            <w:pPr>
              <w:jc w:val="left"/>
            </w:pPr>
            <w:r>
              <w:rPr/>
              <w:t>投标人对招标文件具体技术(参数)要求“设备主要规格、技术要求”中序号“1.2、1.4、2.2.1、3.1.1、3.3.4”的技术参数（共5项）完全满足或正偏离技术要求的，每项得3分，不满足或负偏离的不得分，最高得15分。 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技术条款响应程度 (20.0分)</w:t>
            </w:r>
          </w:p>
        </w:tc>
        <w:tc>
          <w:tcPr>
            <w:tcW w:type="dxa" w:w="5076"/>
          </w:tcPr>
          <w:p>
            <w:pPr>
              <w:jc w:val="left"/>
            </w:pPr>
            <w:r>
              <w:rPr/>
              <w:t>根据投标人对招标文件具体技术(参数)要求“设备主要规格、技术要求”中参数（除序号“1.2、1.4、2.2.1、3.1.1、3.3.4”外）的响应程度进行评审:   1.所投产品完全满足或优于具体技术(参数)要求中“设备主要规格、技术要求”的（共34项），得17分；每有1项不满足或负偏离具体技术(参数)要求中“设备主要规格、技术要求”的，扣0.5分，最低扣至0分。  2. 投标人对招标文件具体技术(参数)要求“设备主要规格、技术要求”中序号“7. 主要配置要求”完全满足或优于得3分，不满足或负偏离得0分。 注：（1）项数按以下进行计算1.1至1.7共计5项，2.1.1至2.1.5共计5项，2.2至2.3共计2项，2.4.1至2.4.2共计2项， 3.1.2计1项，3.2.1至3.2.4共计4项，3.3.1至3.3.3共计3项，3.4.1至3.4.3共计3项，3.5.1至3.5.3共计3项，4.1.1至4.1.5共计5项，6.计1项，合计共34项；7. 主要配置要求计1项。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(6.0分)</w:t>
            </w:r>
            <w:r>
              <w:rPr/>
              <w:t>，（等次分值选择：</w:t>
            </w:r>
            <w:r>
              <w:rPr/>
              <w:t>0.0;</w:t>
            </w:r>
            <w:r>
              <w:rPr/>
              <w:t>1.0;</w:t>
            </w:r>
            <w:r>
              <w:rPr/>
              <w:t>3.0;</w:t>
            </w:r>
            <w:r>
              <w:rPr/>
              <w:t>6.0;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（1）响应时间快、交货期优于商务要求，售后服务方案、到货的保证措施完善可行及应急保障方案详细完整，完全符合或优于招标文件要求的得6分；   （2）响应时间、交货期满足商务要求，售后服方案、到货的保证措施可行、应急保障方案完整，能基本保障本项目实施，基本符合招标文件要求的得3分；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安装、调试、技术培训方案1 (1.0分)</w:t>
            </w:r>
          </w:p>
        </w:tc>
        <w:tc>
          <w:tcPr>
            <w:tcW w:type="dxa" w:w="5076"/>
          </w:tcPr>
          <w:p>
            <w:pPr>
              <w:jc w:val="left"/>
            </w:pPr>
            <w:r>
              <w:rPr/>
              <w:t>评标委员会根据投标人提供的安装、调试、技术培训方案进行评价，方案应包括（投标文件中方案标题应以下列方案名称命名）： (1)安装、调试方案； (2)技术培训。 提供全部内容得1分，每缺1项扣0.5分。</w:t>
            </w:r>
          </w:p>
        </w:tc>
      </w:tr>
      <w:tr>
        <w:tc>
          <w:tcPr>
            <w:tcW w:type="dxa" w:w="922"/>
            <w:gridSpan w:val="2"/>
            <w:vMerge/>
          </w:tcPr>
          <w:p/>
        </w:tc>
        <w:tc>
          <w:tcPr>
            <w:tcW w:type="dxa" w:w="2307"/>
          </w:tcPr>
          <w:p>
            <w:pPr>
              <w:jc w:val="left"/>
            </w:pPr>
            <w:r>
              <w:rPr/>
              <w:t>安装、调试、技术培训方案2 (5.0分)</w:t>
            </w:r>
            <w:r>
              <w:rPr/>
              <w:t>，（等次分值选择：</w:t>
            </w:r>
            <w:r>
              <w:rPr/>
              <w:t>0.0;</w:t>
            </w:r>
            <w:r>
              <w:rPr/>
              <w:t>1.0;</w:t>
            </w:r>
            <w:r>
              <w:rPr/>
              <w:t>3.0;</w:t>
            </w:r>
            <w:r>
              <w:rPr/>
              <w:t>5.0;</w:t>
            </w:r>
            <w:r>
              <w:rPr/>
              <w:t>）</w:t>
            </w:r>
          </w:p>
        </w:tc>
        <w:tc>
          <w:tcPr>
            <w:tcW w:type="dxa" w:w="5076"/>
          </w:tcPr>
          <w:p>
            <w:pPr>
              <w:jc w:val="left"/>
            </w:pPr>
            <w:r>
              <w:rPr/>
              <w:t>根据投标人提供的安装与调试、技术培训的详细内容进行评审：   （1）针对本项目交货、安装与调试方案详细具体、可行性、 针对性强，完全符合或优于招标文件要求的得5分；   （2）针对本项目交货、安装与调试方案一般，可行性、针对性一般，基本符合招标文件要求的得3分；    （3）针对本项目交货、安装与调试方案简单，不具有可行性、针对性，与招标文件要求有偏差的得1分。 （4）未提供安装与调试、技术培训方案的不得分。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(5.0分)</w:t>
            </w:r>
            <w:r>
              <w:rPr/>
              <w:t>，（等次分值选择：</w:t>
            </w:r>
            <w:r>
              <w:rPr/>
              <w:t>0.0;</w:t>
            </w:r>
            <w:r>
              <w:rPr/>
              <w:t>1.0;</w:t>
            </w:r>
            <w:r>
              <w:rPr/>
              <w:t>3.0;</w:t>
            </w:r>
            <w:r>
              <w:rPr/>
              <w:t>5.0;</w:t>
            </w:r>
            <w:r>
              <w:rPr/>
              <w:t>）</w:t>
            </w:r>
          </w:p>
        </w:tc>
        <w:tc>
          <w:tcPr>
            <w:tcW w:type="dxa" w:w="5076"/>
          </w:tcPr>
          <w:p>
            <w:pPr>
              <w:jc w:val="left"/>
            </w:pPr>
            <w:r>
              <w:rPr/>
              <w:t>根据投标人编制的具体质量保证方案进行评审:   （1）投标人提供的质量保证方案完整性、合理性、可行性高的，完全符合招标文件要求的得5分；   （2）投标人提供的质量保证方案具有一定的合理性和可行性，基本符合招标文件要求的得3分；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投标人2020年1月1日至今签订的同类产品（心肺评估仪）业绩：每项得0.5分，最高2.5分。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所投货物保修期 (3.0分)</w:t>
            </w:r>
          </w:p>
        </w:tc>
        <w:tc>
          <w:tcPr>
            <w:tcW w:type="dxa" w:w="5076"/>
          </w:tcPr>
          <w:p>
            <w:pPr>
              <w:jc w:val="left"/>
            </w:pPr>
            <w:r>
              <w:rPr/>
              <w:t>投标人所投产品（心肺评估仪）保修期满足采购需求最低要求（最低保修期要求60个月）的得1分，投标人承诺每增加12个月加1分，本小项最高得3分。 注：须提供保修期承诺函并加盖投标人公章，不提供承诺函的不得分。保修期增加幅度不足12个月的不加分。</w:t>
            </w:r>
          </w:p>
        </w:tc>
      </w:tr>
      <w:tr>
        <w:tc>
          <w:tcPr>
            <w:tcW w:type="dxa" w:w="922"/>
            <w:gridSpan w:val="2"/>
            <w:vMerge/>
          </w:tcPr>
          <w:p/>
        </w:tc>
        <w:tc>
          <w:tcPr>
            <w:tcW w:type="dxa" w:w="2307"/>
          </w:tcPr>
          <w:p>
            <w:pPr>
              <w:jc w:val="left"/>
            </w:pPr>
            <w:r>
              <w:rPr/>
              <w:t>投标产品授权情况 (4.5分)</w:t>
            </w:r>
          </w:p>
        </w:tc>
        <w:tc>
          <w:tcPr>
            <w:tcW w:type="dxa" w:w="5076"/>
          </w:tcPr>
          <w:p>
            <w:pPr>
              <w:jc w:val="left"/>
            </w:pPr>
            <w:r>
              <w:rPr/>
              <w:t>若投标人非生产厂家或制造商的，提供所投产品生产厂家或制造商出具的有效授权证明书，得4.5分，不提供或专家无法判定不得分。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both"/>
      </w:pPr>
      <w:r>
        <w:rPr>
          <w:sz w:val="21"/>
        </w:rPr>
        <w:t xml:space="preserve">  </w:t>
      </w:r>
      <w:r>
        <w:rPr>
          <w:b/>
          <w:sz w:val="21"/>
        </w:rPr>
        <w:t>2、</w:t>
      </w:r>
      <w:r>
        <w:rPr>
          <w:b/>
          <w:sz w:val="21"/>
        </w:rPr>
        <w:t>本项目合同为中小企业预留合同。</w:t>
      </w:r>
    </w:p>
    <w:p>
      <w:pPr>
        <w:jc w:val="both"/>
      </w:pPr>
    </w:p>
    <w:p>
      <w:pPr>
        <w:jc w:val="both"/>
      </w:pPr>
    </w:p>
    <w:p>
      <w:pPr>
        <w:jc w:val="both"/>
      </w:pPr>
      <w:r>
        <w:rPr/>
        <w:t xml:space="preserve"> </w:t>
      </w:r>
    </w:p>
    <w:p>
      <w:pPr>
        <w:jc w:val="both"/>
      </w:pPr>
      <w:r>
        <w:rPr>
          <w:b/>
          <w:sz w:val="28"/>
        </w:rPr>
        <w:t>合同编号（医院填写）</w:t>
      </w:r>
      <w:r>
        <w:rPr>
          <w:b/>
          <w:sz w:val="21"/>
          <w:u w:val="single"/>
        </w:rPr>
        <w:t xml:space="preserve">          </w:t>
      </w:r>
      <w:r>
        <w:rPr>
          <w:b/>
          <w:sz w:val="21"/>
        </w:rPr>
        <w:t xml:space="preserve">                </w:t>
      </w:r>
    </w:p>
    <w:p>
      <w:pPr>
        <w:jc w:val="both"/>
      </w:pPr>
      <w:r>
        <w:rPr>
          <w:b/>
          <w:sz w:val="21"/>
        </w:rPr>
        <w:t xml:space="preserve">                     </w:t>
      </w:r>
    </w:p>
    <w:p>
      <w:pPr>
        <w:jc w:val="center"/>
      </w:pPr>
    </w:p>
    <w:p>
      <w:pPr>
        <w:jc w:val="center"/>
      </w:pPr>
    </w:p>
    <w:p>
      <w:pPr>
        <w:jc w:val="center"/>
      </w:pPr>
      <w:r>
        <w:rPr>
          <w:b/>
          <w:sz w:val="48"/>
        </w:rPr>
        <w:t>番禺区中心医院</w:t>
      </w:r>
    </w:p>
    <w:p>
      <w:pPr>
        <w:jc w:val="center"/>
      </w:pPr>
      <w:r>
        <w:rPr>
          <w:b/>
          <w:sz w:val="48"/>
        </w:rPr>
        <w:t>医疗设备采购合同书</w:t>
      </w:r>
    </w:p>
    <w:p>
      <w:pPr>
        <w:jc w:val="center"/>
      </w:pPr>
      <w:r>
        <w:rPr/>
        <w:t xml:space="preserve"> </w:t>
      </w:r>
    </w:p>
    <w:p>
      <w:pPr>
        <w:jc w:val="both"/>
      </w:pPr>
    </w:p>
    <w:p>
      <w:pPr>
        <w:jc w:val="center"/>
      </w:pPr>
    </w:p>
    <w:p>
      <w:pPr>
        <w:jc w:val="center"/>
      </w:pPr>
    </w:p>
    <w:p>
      <w:pPr>
        <w:ind w:firstLine="991"/>
        <w:jc w:val="both"/>
      </w:pPr>
      <w:r>
        <w:rPr>
          <w:b/>
          <w:sz w:val="30"/>
        </w:rPr>
        <w:t>采购设备名称：</w:t>
      </w:r>
      <w:r>
        <w:rPr>
          <w:b/>
          <w:sz w:val="21"/>
          <w:u w:val="single"/>
        </w:rPr>
        <w:t xml:space="preserve">                 </w:t>
      </w:r>
    </w:p>
    <w:p>
      <w:pPr>
        <w:jc w:val="both"/>
      </w:pPr>
    </w:p>
    <w:p>
      <w:pPr>
        <w:ind w:firstLine="991"/>
        <w:jc w:val="both"/>
      </w:pPr>
      <w:r>
        <w:rPr>
          <w:b/>
          <w:sz w:val="30"/>
        </w:rPr>
        <w:t>合</w:t>
      </w:r>
      <w:r>
        <w:rPr>
          <w:b/>
          <w:sz w:val="30"/>
        </w:rPr>
        <w:t>同</w:t>
      </w:r>
      <w:r>
        <w:rPr>
          <w:b/>
          <w:sz w:val="30"/>
        </w:rPr>
        <w:t>公</w:t>
      </w:r>
      <w:r>
        <w:rPr>
          <w:b/>
          <w:sz w:val="30"/>
        </w:rPr>
        <w:t>司：</w:t>
      </w:r>
      <w:r>
        <w:rPr>
          <w:b/>
          <w:sz w:val="21"/>
          <w:u w:val="single"/>
        </w:rPr>
        <w:t xml:space="preserve">                 </w:t>
      </w:r>
    </w:p>
    <w:p>
      <w:pPr>
        <w:jc w:val="both"/>
      </w:pPr>
    </w:p>
    <w:p>
      <w:pPr>
        <w:ind w:firstLine="991"/>
        <w:jc w:val="both"/>
      </w:pPr>
      <w:r>
        <w:rPr>
          <w:b/>
          <w:sz w:val="30"/>
        </w:rPr>
        <w:t>签</w:t>
      </w:r>
      <w:r>
        <w:rPr>
          <w:b/>
          <w:sz w:val="30"/>
        </w:rPr>
        <w:t>订</w:t>
      </w:r>
      <w:r>
        <w:rPr>
          <w:b/>
          <w:sz w:val="30"/>
        </w:rPr>
        <w:t>时</w:t>
      </w:r>
      <w:r>
        <w:rPr>
          <w:b/>
          <w:sz w:val="30"/>
        </w:rPr>
        <w:t>间：</w:t>
      </w:r>
      <w:r>
        <w:rPr>
          <w:b/>
          <w:sz w:val="30"/>
          <w:u w:val="single"/>
        </w:rPr>
        <w:t>_    _</w:t>
      </w:r>
      <w:r>
        <w:rPr>
          <w:b/>
          <w:sz w:val="30"/>
        </w:rPr>
        <w:t>年</w:t>
      </w:r>
      <w:r>
        <w:rPr>
          <w:b/>
          <w:sz w:val="30"/>
          <w:u w:val="single"/>
        </w:rPr>
        <w:t xml:space="preserve">_     </w:t>
      </w:r>
      <w:r>
        <w:rPr>
          <w:b/>
          <w:sz w:val="30"/>
        </w:rPr>
        <w:t>月</w:t>
      </w:r>
      <w:r>
        <w:rPr>
          <w:b/>
          <w:sz w:val="30"/>
          <w:u w:val="single"/>
        </w:rPr>
        <w:t xml:space="preserve">_     </w:t>
      </w:r>
      <w:r>
        <w:rPr>
          <w:b/>
          <w:sz w:val="30"/>
        </w:rPr>
        <w:t>日</w:t>
      </w:r>
    </w:p>
    <w:p>
      <w:pPr>
        <w:jc w:val="center"/>
      </w:pPr>
    </w:p>
    <w:p>
      <w:pPr>
        <w:jc w:val="center"/>
      </w:pPr>
    </w:p>
    <w:p>
      <w:pPr>
        <w:jc w:val="cente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t xml:space="preserve"> </w:t>
      </w:r>
    </w:p>
    <w:p>
      <w:pPr>
        <w:jc w:val="center"/>
      </w:pPr>
      <w:r>
        <w:rPr>
          <w:b/>
          <w:sz w:val="30"/>
        </w:rPr>
        <w:t>番禺区中心医院（番禺区人民医院）</w:t>
      </w:r>
    </w:p>
    <w:p>
      <w:pPr>
        <w:jc w:val="center"/>
      </w:pPr>
      <w:r>
        <w:rPr/>
        <w:t xml:space="preserve"> </w:t>
      </w:r>
    </w:p>
    <w:p>
      <w:pPr>
        <w:jc w:val="center"/>
      </w:pPr>
      <w:r>
        <w:rPr>
          <w:b/>
          <w:sz w:val="32"/>
        </w:rPr>
        <w:t>采</w:t>
      </w:r>
      <w:r>
        <w:rPr>
          <w:b/>
          <w:sz w:val="21"/>
        </w:rPr>
        <w:t xml:space="preserve"> </w:t>
      </w:r>
      <w:r>
        <w:rPr>
          <w:b/>
          <w:sz w:val="32"/>
        </w:rPr>
        <w:t>购</w:t>
      </w:r>
      <w:r>
        <w:rPr>
          <w:b/>
          <w:sz w:val="21"/>
        </w:rPr>
        <w:t xml:space="preserve"> </w:t>
      </w:r>
      <w:r>
        <w:rPr>
          <w:b/>
          <w:sz w:val="32"/>
        </w:rPr>
        <w:t>合</w:t>
      </w:r>
      <w:r>
        <w:rPr>
          <w:b/>
          <w:sz w:val="21"/>
        </w:rPr>
        <w:t xml:space="preserve"> </w:t>
      </w:r>
      <w:r>
        <w:rPr>
          <w:b/>
          <w:sz w:val="32"/>
        </w:rPr>
        <w:t>同</w:t>
      </w:r>
    </w:p>
    <w:p>
      <w:pPr>
        <w:jc w:val="center"/>
      </w:pPr>
      <w:r>
        <w:rPr/>
        <w:t xml:space="preserve"> </w:t>
      </w:r>
    </w:p>
    <w:p>
      <w:pPr>
        <w:jc w:val="right"/>
      </w:pPr>
    </w:p>
    <w:p>
      <w:pPr>
        <w:jc w:val="both"/>
      </w:pPr>
      <w:r>
        <w:rPr>
          <w:b/>
          <w:sz w:val="24"/>
        </w:rPr>
        <w:t>甲</w:t>
      </w:r>
      <w:r>
        <w:rPr>
          <w:b/>
          <w:sz w:val="21"/>
        </w:rPr>
        <w:t xml:space="preserve">  </w:t>
      </w:r>
      <w:r>
        <w:rPr>
          <w:b/>
          <w:sz w:val="24"/>
        </w:rPr>
        <w:t>方：广州市番禺区中心医院</w:t>
      </w:r>
    </w:p>
    <w:p>
      <w:pPr>
        <w:jc w:val="both"/>
      </w:pPr>
      <w:r>
        <w:rPr>
          <w:b/>
          <w:sz w:val="24"/>
        </w:rPr>
        <w:t>乙</w:t>
      </w:r>
      <w:r>
        <w:rPr>
          <w:b/>
          <w:sz w:val="21"/>
        </w:rPr>
        <w:t xml:space="preserve">  </w:t>
      </w:r>
      <w:r>
        <w:rPr>
          <w:b/>
          <w:sz w:val="24"/>
        </w:rPr>
        <w:t>方：</w:t>
      </w:r>
    </w:p>
    <w:p>
      <w:pPr>
        <w:jc w:val="both"/>
      </w:pPr>
    </w:p>
    <w:p>
      <w:pPr>
        <w:ind w:firstLine="480"/>
        <w:jc w:val="both"/>
      </w:pPr>
      <w:r>
        <w:rPr>
          <w:sz w:val="24"/>
        </w:rPr>
        <w:t>根据《中华人民共和国民法典》及广州市番禺区中心医院医疗设备采购项目的招标结果和招标文件（项目编号：</w:t>
      </w:r>
      <w:r>
        <w:rPr>
          <w:sz w:val="24"/>
          <w:u w:val="single"/>
        </w:rPr>
        <w:t xml:space="preserve">         </w:t>
      </w:r>
      <w:r>
        <w:rPr>
          <w:sz w:val="24"/>
          <w:u w:val="single"/>
        </w:rPr>
        <w:t>，采购包：</w:t>
      </w:r>
      <w:r>
        <w:rPr>
          <w:sz w:val="24"/>
          <w:u w:val="single"/>
        </w:rPr>
        <w:t xml:space="preserve">  </w:t>
      </w:r>
      <w:r>
        <w:rPr>
          <w:sz w:val="24"/>
        </w:rPr>
        <w:t>）的要求，甲、乙双方经协商确定，甲方向乙方订购</w:t>
      </w:r>
      <w:r>
        <w:rPr>
          <w:b/>
          <w:sz w:val="21"/>
          <w:u w:val="single"/>
        </w:rPr>
        <w:t xml:space="preserve">               </w:t>
      </w:r>
      <w:r>
        <w:rPr>
          <w:sz w:val="24"/>
        </w:rPr>
        <w:t>及安装保修等服务，为明确双方权利和义务，特签订本合同，共同遵守。具体条款如下：</w:t>
      </w:r>
    </w:p>
    <w:p>
      <w:pPr>
        <w:jc w:val="both"/>
      </w:pPr>
    </w:p>
    <w:p>
      <w:pPr>
        <w:jc w:val="both"/>
      </w:pPr>
      <w:r>
        <w:rPr>
          <w:b/>
          <w:sz w:val="24"/>
        </w:rPr>
        <w:t>1.</w:t>
      </w:r>
      <w:r>
        <w:rPr>
          <w:b/>
          <w:sz w:val="24"/>
        </w:rPr>
        <w:t>合同设备</w:t>
      </w:r>
    </w:p>
    <w:p>
      <w:pPr>
        <w:ind w:firstLine="24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844"/>
        <w:gridCol w:w="759"/>
        <w:gridCol w:w="680"/>
        <w:gridCol w:w="326"/>
        <w:gridCol w:w="405"/>
        <w:gridCol w:w="1117"/>
        <w:gridCol w:w="1087"/>
        <w:gridCol w:w="618"/>
        <w:gridCol w:w="869"/>
        <w:gridCol w:w="798"/>
        <w:gridCol w:w="798"/>
      </w:tblGrid>
      <w:tr>
        <w:tc>
          <w:tcPr>
            <w:tcW w:type="dxa" w:w="844"/>
            <w:tcBorders>
              <w:top w:val="single" w:color="000000" w:sz="4"/>
              <w:left w:val="single" w:color="000000" w:sz="4"/>
              <w:bottom w:val="single" w:color="000000" w:sz="4"/>
              <w:right w:val="single" w:color="000000" w:sz="4"/>
            </w:tcBorders>
            <w:vAlign w:val="top"/>
          </w:tcPr>
          <w:p>
            <w:pPr>
              <w:ind w:firstLine="2"/>
              <w:jc w:val="center"/>
            </w:pPr>
            <w:r>
              <w:rPr>
                <w:sz w:val="24"/>
              </w:rPr>
              <w:t>品名</w:t>
            </w:r>
          </w:p>
        </w:tc>
        <w:tc>
          <w:tcPr>
            <w:tcW w:type="dxa" w:w="759"/>
            <w:tcBorders>
              <w:top w:val="single" w:color="000000" w:sz="4"/>
              <w:left w:val="none" w:color="000000" w:sz="4"/>
              <w:bottom w:val="single" w:color="000000" w:sz="4"/>
              <w:right w:val="single" w:color="000000" w:sz="4"/>
            </w:tcBorders>
            <w:vAlign w:val="top"/>
          </w:tcPr>
          <w:p>
            <w:pPr>
              <w:jc w:val="center"/>
            </w:pPr>
            <w:r>
              <w:rPr>
                <w:sz w:val="24"/>
              </w:rPr>
              <w:t>规格</w:t>
            </w:r>
          </w:p>
          <w:p>
            <w:pPr>
              <w:jc w:val="center"/>
            </w:pPr>
            <w:r>
              <w:rPr>
                <w:sz w:val="24"/>
              </w:rPr>
              <w:t>型号</w:t>
            </w:r>
          </w:p>
        </w:tc>
        <w:tc>
          <w:tcPr>
            <w:tcW w:type="dxa" w:w="680"/>
            <w:tcBorders>
              <w:top w:val="single" w:color="000000" w:sz="4"/>
              <w:left w:val="none" w:color="000000" w:sz="4"/>
              <w:bottom w:val="single" w:color="000000" w:sz="4"/>
              <w:right w:val="single" w:color="000000" w:sz="4"/>
            </w:tcBorders>
            <w:vAlign w:val="top"/>
          </w:tcPr>
          <w:p>
            <w:pPr>
              <w:jc w:val="center"/>
            </w:pPr>
            <w:r>
              <w:rPr>
                <w:sz w:val="24"/>
              </w:rPr>
              <w:t>产地</w:t>
            </w:r>
          </w:p>
          <w:p>
            <w:pPr>
              <w:jc w:val="center"/>
            </w:pPr>
            <w:r>
              <w:rPr>
                <w:sz w:val="24"/>
              </w:rPr>
              <w:t>厂家</w:t>
            </w:r>
          </w:p>
        </w:tc>
        <w:tc>
          <w:tcPr>
            <w:tcW w:type="dxa" w:w="326"/>
            <w:tcBorders>
              <w:top w:val="single" w:color="000000" w:sz="4"/>
              <w:left w:val="none" w:color="000000" w:sz="4"/>
              <w:bottom w:val="single" w:color="000000" w:sz="4"/>
              <w:right w:val="single" w:color="000000" w:sz="4"/>
            </w:tcBorders>
            <w:vAlign w:val="top"/>
          </w:tcPr>
          <w:p>
            <w:pPr>
              <w:jc w:val="center"/>
            </w:pPr>
            <w:r>
              <w:rPr>
                <w:sz w:val="24"/>
              </w:rPr>
              <w:t>单位</w:t>
            </w:r>
          </w:p>
        </w:tc>
        <w:tc>
          <w:tcPr>
            <w:tcW w:type="dxa" w:w="405"/>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117"/>
            <w:tcBorders>
              <w:top w:val="single" w:color="000000" w:sz="4"/>
              <w:left w:val="none" w:color="000000" w:sz="4"/>
              <w:bottom w:val="single" w:color="000000" w:sz="4"/>
              <w:right w:val="single" w:color="000000" w:sz="4"/>
            </w:tcBorders>
            <w:vAlign w:val="top"/>
          </w:tcPr>
          <w:p>
            <w:pPr>
              <w:jc w:val="center"/>
            </w:pPr>
            <w:r>
              <w:rPr>
                <w:sz w:val="24"/>
              </w:rPr>
              <w:t>单价（元）</w:t>
            </w:r>
          </w:p>
        </w:tc>
        <w:tc>
          <w:tcPr>
            <w:tcW w:type="dxa" w:w="1087"/>
            <w:tcBorders>
              <w:top w:val="single" w:color="000000" w:sz="4"/>
              <w:left w:val="none" w:color="000000" w:sz="4"/>
              <w:bottom w:val="single" w:color="000000" w:sz="4"/>
              <w:right w:val="single" w:color="000000" w:sz="4"/>
            </w:tcBorders>
            <w:vAlign w:val="top"/>
          </w:tcPr>
          <w:p>
            <w:pPr>
              <w:jc w:val="center"/>
            </w:pPr>
            <w:r>
              <w:rPr>
                <w:sz w:val="24"/>
              </w:rPr>
              <w:t>总价（元）</w:t>
            </w:r>
          </w:p>
        </w:tc>
        <w:tc>
          <w:tcPr>
            <w:tcW w:type="dxa" w:w="618"/>
            <w:tcBorders>
              <w:top w:val="single" w:color="000000" w:sz="4"/>
              <w:left w:val="none" w:color="000000" w:sz="4"/>
              <w:bottom w:val="single" w:color="000000" w:sz="4"/>
              <w:right w:val="single" w:color="000000" w:sz="4"/>
            </w:tcBorders>
            <w:vAlign w:val="top"/>
          </w:tcPr>
          <w:p>
            <w:pPr>
              <w:jc w:val="center"/>
            </w:pPr>
            <w:r>
              <w:rPr>
                <w:sz w:val="24"/>
              </w:rPr>
              <w:t>随机配件</w:t>
            </w:r>
          </w:p>
        </w:tc>
        <w:tc>
          <w:tcPr>
            <w:tcW w:type="dxa" w:w="869"/>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地点</w:t>
            </w:r>
          </w:p>
        </w:tc>
        <w:tc>
          <w:tcPr>
            <w:tcW w:type="dxa" w:w="798"/>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时间</w:t>
            </w:r>
          </w:p>
        </w:tc>
        <w:tc>
          <w:tcPr>
            <w:tcW w:type="dxa" w:w="798"/>
            <w:tcBorders>
              <w:top w:val="single" w:color="000000" w:sz="4"/>
              <w:left w:val="none" w:color="000000" w:sz="4"/>
              <w:bottom w:val="single" w:color="000000" w:sz="4"/>
              <w:right w:val="single" w:color="000000" w:sz="4"/>
            </w:tcBorders>
            <w:vAlign w:val="top"/>
          </w:tcPr>
          <w:p>
            <w:pPr>
              <w:jc w:val="center"/>
            </w:pPr>
            <w:r>
              <w:rPr>
                <w:sz w:val="24"/>
              </w:rPr>
              <w:t>备注</w:t>
            </w: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none" w:color="000000" w:sz="4"/>
              <w:bottom w:val="single" w:color="000000" w:sz="4"/>
              <w:right w:val="single" w:color="000000" w:sz="4"/>
            </w:tcBorders>
            <w:vAlign w:val="top"/>
          </w:tcPr>
          <w:p>
            <w:pPr>
              <w:jc w:val="center"/>
            </w:pPr>
          </w:p>
        </w:tc>
        <w:tc>
          <w:tcPr>
            <w:tcW w:type="dxa" w:w="680"/>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405"/>
            <w:tcBorders>
              <w:top w:val="none" w:color="000000" w:sz="4"/>
              <w:left w:val="none" w:color="000000" w:sz="4"/>
              <w:bottom w:val="single" w:color="000000" w:sz="4"/>
              <w:right w:val="single" w:color="000000" w:sz="4"/>
            </w:tcBorders>
            <w:vAlign w:val="top"/>
          </w:tcPr>
          <w:p>
            <w:pPr>
              <w:jc w:val="center"/>
            </w:pPr>
          </w:p>
        </w:tc>
        <w:tc>
          <w:tcPr>
            <w:tcW w:type="dxa" w:w="1117"/>
            <w:tcBorders>
              <w:top w:val="none" w:color="000000" w:sz="4"/>
              <w:left w:val="none" w:color="000000" w:sz="4"/>
              <w:bottom w:val="single" w:color="000000" w:sz="4"/>
              <w:right w:val="single" w:color="000000" w:sz="4"/>
            </w:tcBorders>
            <w:vAlign w:val="top"/>
          </w:tcPr>
          <w:p>
            <w:pPr>
              <w:jc w:val="center"/>
            </w:pP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r>
              <w:rPr>
                <w:sz w:val="19"/>
              </w:rPr>
              <w:t xml:space="preserve"> </w:t>
            </w:r>
          </w:p>
          <w:p>
            <w:pPr>
              <w:jc w:val="center"/>
            </w:pPr>
          </w:p>
        </w:tc>
        <w:tc>
          <w:tcPr>
            <w:tcW w:type="dxa" w:w="869"/>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none" w:color="000000" w:sz="4"/>
              <w:bottom w:val="single" w:color="000000" w:sz="4"/>
              <w:right w:val="single" w:color="000000" w:sz="4"/>
            </w:tcBorders>
            <w:vAlign w:val="top"/>
          </w:tcPr>
          <w:p>
            <w:pPr>
              <w:jc w:val="center"/>
            </w:pPr>
          </w:p>
        </w:tc>
        <w:tc>
          <w:tcPr>
            <w:tcW w:type="dxa" w:w="680"/>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405"/>
            <w:tcBorders>
              <w:top w:val="none" w:color="000000" w:sz="4"/>
              <w:left w:val="none" w:color="000000" w:sz="4"/>
              <w:bottom w:val="single" w:color="000000" w:sz="4"/>
              <w:right w:val="single" w:color="000000" w:sz="4"/>
            </w:tcBorders>
            <w:vAlign w:val="top"/>
          </w:tcPr>
          <w:p>
            <w:pPr>
              <w:jc w:val="center"/>
            </w:pPr>
          </w:p>
        </w:tc>
        <w:tc>
          <w:tcPr>
            <w:tcW w:type="dxa" w:w="1117"/>
            <w:tcBorders>
              <w:top w:val="none" w:color="000000" w:sz="4"/>
              <w:left w:val="none" w:color="000000" w:sz="4"/>
              <w:bottom w:val="single" w:color="000000" w:sz="4"/>
              <w:right w:val="single" w:color="000000" w:sz="4"/>
            </w:tcBorders>
            <w:vAlign w:val="top"/>
          </w:tcPr>
          <w:p>
            <w:pPr>
              <w:jc w:val="center"/>
            </w:pP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r>
              <w:rPr>
                <w:sz w:val="19"/>
              </w:rPr>
              <w:t xml:space="preserve"> </w:t>
            </w:r>
          </w:p>
          <w:p>
            <w:pPr>
              <w:jc w:val="center"/>
            </w:pPr>
          </w:p>
        </w:tc>
        <w:tc>
          <w:tcPr>
            <w:tcW w:type="dxa" w:w="869"/>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r>
    </w:tbl>
    <w:p>
      <w:pPr>
        <w:jc w:val="both"/>
      </w:pPr>
      <w:r>
        <w:rPr>
          <w:sz w:val="21"/>
        </w:rPr>
        <w:t xml:space="preserve">    </w:t>
      </w:r>
      <w:r>
        <w:rPr>
          <w:b/>
          <w:sz w:val="24"/>
        </w:rPr>
        <w:t xml:space="preserve">  2.</w:t>
      </w:r>
      <w:r>
        <w:rPr>
          <w:b/>
          <w:sz w:val="24"/>
        </w:rPr>
        <w:t>合同总价</w:t>
      </w:r>
    </w:p>
    <w:p>
      <w:pPr>
        <w:ind w:firstLine="523"/>
        <w:jc w:val="both"/>
      </w:pPr>
      <w:r>
        <w:rPr>
          <w:sz w:val="24"/>
        </w:rPr>
        <w:t>合同总价</w:t>
      </w:r>
      <w:r>
        <w:rPr>
          <w:b/>
          <w:sz w:val="24"/>
        </w:rPr>
        <w:t>（含税价）</w:t>
      </w:r>
      <w:r>
        <w:rPr>
          <w:sz w:val="24"/>
        </w:rPr>
        <w:t>为：</w:t>
      </w:r>
      <w:r>
        <w:rPr>
          <w:b/>
          <w:sz w:val="24"/>
        </w:rPr>
        <w:t>人民币</w:t>
      </w:r>
      <w:r>
        <w:rPr>
          <w:b/>
          <w:sz w:val="24"/>
          <w:u w:val="single"/>
        </w:rPr>
        <w:t xml:space="preserve">             </w:t>
      </w:r>
      <w:r>
        <w:rPr>
          <w:b/>
          <w:sz w:val="24"/>
          <w:u w:val="single"/>
        </w:rPr>
        <w:t>元</w:t>
      </w:r>
      <w:r>
        <w:rPr>
          <w:b/>
          <w:sz w:val="24"/>
        </w:rPr>
        <w:t>，即</w:t>
      </w:r>
      <w:r>
        <w:rPr>
          <w:b/>
          <w:sz w:val="24"/>
          <w:u w:val="single"/>
        </w:rPr>
        <w:t>¥</w:t>
      </w:r>
      <w:r>
        <w:rPr>
          <w:b/>
          <w:sz w:val="21"/>
          <w:u w:val="single"/>
        </w:rPr>
        <w:t xml:space="preserve">            </w:t>
      </w:r>
      <w:r>
        <w:rPr>
          <w:sz w:val="24"/>
        </w:rPr>
        <w:t>，税率</w:t>
      </w:r>
      <w:r>
        <w:rPr>
          <w:sz w:val="21"/>
          <w:u w:val="single"/>
        </w:rPr>
        <w:t xml:space="preserve">  </w:t>
      </w:r>
      <w:r>
        <w:rPr>
          <w:sz w:val="24"/>
        </w:rPr>
        <w:t>%</w:t>
      </w:r>
      <w:r>
        <w:rPr>
          <w:sz w:val="24"/>
        </w:rPr>
        <w:t>，不含税价</w:t>
      </w:r>
      <w:r>
        <w:rPr>
          <w:b/>
          <w:sz w:val="24"/>
          <w:u w:val="single"/>
        </w:rPr>
        <w:t xml:space="preserve">      </w:t>
      </w:r>
      <w:r>
        <w:rPr>
          <w:b/>
          <w:sz w:val="24"/>
          <w:u w:val="single"/>
        </w:rPr>
        <w:t>元</w:t>
      </w:r>
      <w:r>
        <w:rPr>
          <w:sz w:val="24"/>
        </w:rPr>
        <w:t>，该合同总金额是设计、设备制造、包装、仓储、运输、安装、培训及验收合格之前及保修期间包括备品备件及合同内所有设备配件和耗材发生的所有含税费用。本合同执行期间合同总金额不变。</w:t>
      </w:r>
    </w:p>
    <w:p>
      <w:pPr>
        <w:jc w:val="both"/>
      </w:pPr>
    </w:p>
    <w:p>
      <w:pPr>
        <w:jc w:val="both"/>
      </w:pPr>
      <w:r>
        <w:rPr>
          <w:b/>
          <w:sz w:val="24"/>
        </w:rPr>
        <w:t>3.</w:t>
      </w:r>
      <w:r>
        <w:rPr>
          <w:b/>
          <w:sz w:val="24"/>
        </w:rPr>
        <w:t>合同组成</w:t>
      </w:r>
    </w:p>
    <w:p>
      <w:pPr>
        <w:ind w:firstLine="607"/>
        <w:jc w:val="both"/>
      </w:pPr>
      <w:r>
        <w:rPr>
          <w:sz w:val="24"/>
        </w:rPr>
        <w:t>详细价格、技术说明及其它有关合同设备的特定信息由合同附件说明。采购项目的招标文件、中标通知、乙方投标文件、所有合同附件及本项目的会议纪要、协议、澄清等均为本合同不可分割之一部分。</w:t>
      </w:r>
    </w:p>
    <w:p>
      <w:pPr>
        <w:jc w:val="both"/>
      </w:pPr>
    </w:p>
    <w:p>
      <w:pPr>
        <w:ind w:firstLine="240"/>
        <w:jc w:val="both"/>
      </w:pPr>
      <w:r>
        <w:rPr>
          <w:b/>
          <w:sz w:val="24"/>
        </w:rPr>
        <w:t>4.</w:t>
      </w:r>
      <w:r>
        <w:rPr>
          <w:b/>
          <w:sz w:val="24"/>
        </w:rPr>
        <w:t>技术要求</w:t>
      </w:r>
    </w:p>
    <w:p>
      <w:pPr>
        <w:ind w:firstLine="597"/>
        <w:jc w:val="both"/>
      </w:pPr>
      <w:r>
        <w:rPr>
          <w:sz w:val="24"/>
        </w:rPr>
        <w:t>乙方所提供设备，必须符合国家有关规范和环保要求及甲方的技术要求，并提供设备的检测报告。</w:t>
      </w:r>
    </w:p>
    <w:p>
      <w:pPr>
        <w:ind w:firstLine="600"/>
        <w:jc w:val="both"/>
      </w:pPr>
    </w:p>
    <w:p>
      <w:pPr>
        <w:ind w:firstLine="180"/>
        <w:jc w:val="both"/>
      </w:pPr>
      <w:r>
        <w:rPr>
          <w:b/>
          <w:sz w:val="24"/>
        </w:rPr>
        <w:t>5.</w:t>
      </w:r>
      <w:r>
        <w:rPr>
          <w:b/>
          <w:sz w:val="21"/>
        </w:rPr>
        <w:t xml:space="preserve"> </w:t>
      </w:r>
      <w:r>
        <w:rPr>
          <w:b/>
          <w:sz w:val="24"/>
        </w:rPr>
        <w:t>合同设备包装、交货、安装、培训及验收</w:t>
      </w:r>
    </w:p>
    <w:p>
      <w:pPr>
        <w:ind w:firstLine="240"/>
        <w:jc w:val="both"/>
      </w:pPr>
      <w:r>
        <w:rPr>
          <w:sz w:val="24"/>
        </w:rPr>
        <w:t>5.1</w:t>
      </w:r>
      <w:r>
        <w:rPr>
          <w:sz w:val="24"/>
        </w:rPr>
        <w:t>合同设备的包装</w:t>
      </w:r>
    </w:p>
    <w:p>
      <w:pPr>
        <w:ind w:firstLine="628"/>
        <w:jc w:val="both"/>
      </w:pPr>
      <w:r>
        <w:rPr>
          <w:sz w:val="24"/>
        </w:rPr>
        <w:t>设备的包装均应有良好的防湿、防锈、防潮、防雨、防腐及防碰撞的措施。凡由于包装不良造成的损失和由此产生的费用均由乙方承担。</w:t>
      </w:r>
    </w:p>
    <w:p>
      <w:pPr>
        <w:jc w:val="both"/>
      </w:pPr>
      <w:r>
        <w:rPr>
          <w:sz w:val="24"/>
        </w:rPr>
        <w:t xml:space="preserve">  5.2  </w:t>
      </w:r>
      <w:r>
        <w:rPr>
          <w:sz w:val="24"/>
        </w:rPr>
        <w:t>合同设备的交货</w:t>
      </w:r>
    </w:p>
    <w:p>
      <w:pPr>
        <w:jc w:val="both"/>
      </w:pPr>
      <w:r>
        <w:rPr>
          <w:sz w:val="24"/>
        </w:rPr>
        <w:t>5.2.1</w:t>
      </w:r>
      <w:r>
        <w:rPr>
          <w:sz w:val="24"/>
        </w:rPr>
        <w:t>乙方交货时间：</w:t>
      </w:r>
      <w:r>
        <w:rPr>
          <w:b/>
          <w:sz w:val="24"/>
          <w:u w:val="single"/>
        </w:rPr>
        <w:t>签订合同后</w:t>
      </w:r>
      <w:r>
        <w:rPr>
          <w:b/>
          <w:sz w:val="24"/>
          <w:u w:val="single"/>
        </w:rPr>
        <w:t xml:space="preserve">  </w:t>
      </w:r>
      <w:r>
        <w:rPr>
          <w:b/>
          <w:sz w:val="24"/>
          <w:u w:val="single"/>
        </w:rPr>
        <w:t>个工作日内</w:t>
      </w:r>
      <w:r>
        <w:rPr>
          <w:sz w:val="21"/>
        </w:rPr>
        <w:t xml:space="preserve"> </w:t>
      </w:r>
      <w:r>
        <w:rPr>
          <w:b/>
          <w:sz w:val="21"/>
        </w:rPr>
        <w:t xml:space="preserve"> </w:t>
      </w:r>
    </w:p>
    <w:p>
      <w:pPr>
        <w:jc w:val="both"/>
      </w:pPr>
      <w:r>
        <w:rPr>
          <w:sz w:val="24"/>
        </w:rPr>
        <w:t>5.2.2</w:t>
      </w:r>
      <w:r>
        <w:rPr>
          <w:sz w:val="24"/>
        </w:rPr>
        <w:t>乙方交货地点：</w:t>
      </w:r>
      <w:r>
        <w:rPr>
          <w:b/>
          <w:sz w:val="24"/>
        </w:rPr>
        <w:t>广州市番禺区中心医院</w:t>
      </w:r>
    </w:p>
    <w:p>
      <w:pPr>
        <w:ind w:firstLine="240"/>
        <w:jc w:val="both"/>
      </w:pPr>
      <w:r>
        <w:rPr>
          <w:sz w:val="24"/>
        </w:rPr>
        <w:t xml:space="preserve">5.3  </w:t>
      </w:r>
      <w:r>
        <w:rPr>
          <w:sz w:val="24"/>
        </w:rPr>
        <w:t>合同设备的安装、培训</w:t>
      </w:r>
    </w:p>
    <w:p>
      <w:pPr>
        <w:ind w:firstLine="240"/>
        <w:jc w:val="both"/>
      </w:pPr>
      <w:r>
        <w:rPr>
          <w:sz w:val="24"/>
        </w:rPr>
        <w:t>5.3.1</w:t>
      </w:r>
      <w:r>
        <w:rPr>
          <w:sz w:val="24"/>
        </w:rPr>
        <w:t>乙方负责合同项下的安装，提供数字输出端口格式文件并输出数字信息，配合甲方与信息管理系统连接，所产生的一切费用由乙方负责。</w:t>
      </w:r>
    </w:p>
    <w:p>
      <w:pPr>
        <w:ind w:firstLine="240"/>
        <w:jc w:val="both"/>
      </w:pPr>
      <w:r>
        <w:rPr>
          <w:sz w:val="24"/>
        </w:rPr>
        <w:t>5.3.2</w:t>
      </w:r>
      <w:r>
        <w:rPr>
          <w:sz w:val="24"/>
        </w:rPr>
        <w:t>乙方安装时须对各安装场地内的其他设备、设施、货物、人员有良好保护措施。</w:t>
      </w:r>
    </w:p>
    <w:p>
      <w:pPr>
        <w:ind w:firstLine="240"/>
        <w:jc w:val="both"/>
      </w:pPr>
      <w:r>
        <w:rPr>
          <w:sz w:val="24"/>
        </w:rPr>
        <w:t>5.3.3</w:t>
      </w:r>
      <w:r>
        <w:rPr>
          <w:sz w:val="24"/>
        </w:rPr>
        <w:t>设备</w:t>
      </w:r>
      <w:r>
        <w:rPr>
          <w:sz w:val="24"/>
        </w:rPr>
        <w:t>安装过程中</w:t>
      </w:r>
      <w:r>
        <w:rPr>
          <w:sz w:val="24"/>
        </w:rPr>
        <w:t>，</w:t>
      </w:r>
      <w:r>
        <w:rPr>
          <w:sz w:val="24"/>
        </w:rPr>
        <w:t>甲方</w:t>
      </w:r>
      <w:r>
        <w:rPr>
          <w:sz w:val="24"/>
        </w:rPr>
        <w:t>可</w:t>
      </w:r>
      <w:r>
        <w:rPr>
          <w:sz w:val="24"/>
        </w:rPr>
        <w:t>提供必要的水、电设施等，相关费用由乙方承担。物品存放期间由乙方负责看护，丢失、损坏由乙方承担损失。</w:t>
      </w:r>
    </w:p>
    <w:p>
      <w:pPr>
        <w:ind w:firstLine="240"/>
        <w:jc w:val="both"/>
      </w:pPr>
      <w:r>
        <w:rPr>
          <w:sz w:val="24"/>
        </w:rPr>
        <w:t>5.3.</w:t>
      </w:r>
      <w:r>
        <w:rPr>
          <w:sz w:val="24"/>
        </w:rPr>
        <w:t>4</w:t>
      </w:r>
      <w:r>
        <w:rPr>
          <w:sz w:val="24"/>
        </w:rPr>
        <w:t>乙方负责对甲方进行操作、保养、维护及简易维修培训。</w:t>
      </w:r>
    </w:p>
    <w:p>
      <w:pPr>
        <w:ind w:firstLine="240"/>
        <w:jc w:val="both"/>
      </w:pPr>
      <w:r>
        <w:rPr>
          <w:sz w:val="24"/>
        </w:rPr>
        <w:t xml:space="preserve">5.4  </w:t>
      </w:r>
      <w:r>
        <w:rPr>
          <w:sz w:val="24"/>
        </w:rPr>
        <w:t>设备的验收</w:t>
      </w:r>
    </w:p>
    <w:p>
      <w:pPr>
        <w:jc w:val="both"/>
      </w:pPr>
      <w:r>
        <w:rPr>
          <w:sz w:val="24"/>
        </w:rPr>
        <w:t>5.4.1</w:t>
      </w:r>
      <w:r>
        <w:rPr>
          <w:sz w:val="24"/>
        </w:rPr>
        <w:t>合同设备安装完成后</w:t>
      </w:r>
      <w:r>
        <w:rPr>
          <w:sz w:val="24"/>
        </w:rPr>
        <w:t xml:space="preserve">  </w:t>
      </w:r>
      <w:r>
        <w:rPr>
          <w:sz w:val="24"/>
        </w:rPr>
        <w:t>个工作日内验收，验收应在甲乙双方共同参加下进行。</w:t>
      </w:r>
    </w:p>
    <w:p>
      <w:pPr>
        <w:jc w:val="both"/>
      </w:pPr>
      <w:r>
        <w:rPr>
          <w:sz w:val="24"/>
        </w:rPr>
        <w:t>5.4.2</w:t>
      </w:r>
      <w:r>
        <w:rPr>
          <w:sz w:val="24"/>
        </w:rPr>
        <w:t>甲方按照采购合同规定的技术、服务、安全标准组织对乙方履约情况进行验收，并出具验收书。验收书应当包括每一项技术、服务、安全标准的履约情况。</w:t>
      </w:r>
    </w:p>
    <w:p>
      <w:pPr>
        <w:jc w:val="both"/>
      </w:pPr>
      <w:r>
        <w:rPr>
          <w:sz w:val="24"/>
        </w:rPr>
        <w:t>5.4.3</w:t>
      </w:r>
      <w:r>
        <w:rPr>
          <w:sz w:val="24"/>
        </w:rPr>
        <w:t>交付验收标准依次序对照适用标准为：①符合中华人民共和国国家安全质量标准、环保标准或行业标准；②符合招标文件和投标承诺中甲方认可的合理最佳配置、参数及各项要求；③货物来源国官方标准。</w:t>
      </w:r>
    </w:p>
    <w:p>
      <w:pPr>
        <w:jc w:val="both"/>
      </w:pPr>
      <w:r>
        <w:rPr>
          <w:sz w:val="24"/>
        </w:rPr>
        <w:t>5.4.4</w:t>
      </w:r>
      <w:r>
        <w:rPr>
          <w:sz w:val="24"/>
        </w:rPr>
        <w:t>货物为原厂商未启封全新包装，具有出厂合格证，序列号、包装箱号与出厂批号一致，并可追索查阅。所有随设备的附件必须齐全。</w:t>
      </w:r>
    </w:p>
    <w:p>
      <w:pPr>
        <w:jc w:val="both"/>
      </w:pPr>
      <w:r>
        <w:rPr>
          <w:sz w:val="24"/>
        </w:rPr>
        <w:t>5.4.5</w:t>
      </w:r>
      <w:r>
        <w:rPr>
          <w:sz w:val="24"/>
        </w:rPr>
        <w:t>乙方将货物的用户手册、保修手册、有关单证资料及备品备件、随机工具等交付给甲方，使用操作及安全须知等重要资料应附有中文说明。</w:t>
      </w:r>
    </w:p>
    <w:p>
      <w:pPr>
        <w:jc w:val="both"/>
      </w:pPr>
      <w:r>
        <w:rPr>
          <w:sz w:val="24"/>
        </w:rPr>
        <w:t>5.4.6</w:t>
      </w:r>
      <w:r>
        <w:rPr>
          <w:sz w:val="24"/>
        </w:rPr>
        <w:t>货物验收所发生的检验费用由乙方负担。</w:t>
      </w:r>
    </w:p>
    <w:p>
      <w:pPr>
        <w:jc w:val="both"/>
      </w:pPr>
      <w:r>
        <w:rPr>
          <w:sz w:val="24"/>
        </w:rPr>
        <w:t>5.4.7</w:t>
      </w:r>
      <w:r>
        <w:rPr>
          <w:sz w:val="24"/>
        </w:rPr>
        <w:t>设备到货并经乙方技术人员安装后，甲方有权委托中国有资格的单位对上述设备进行校准或检验，设备校准或检定所需的费用由乙方负担。</w:t>
      </w:r>
    </w:p>
    <w:p>
      <w:pPr>
        <w:jc w:val="both"/>
      </w:pPr>
      <w:r>
        <w:rPr>
          <w:sz w:val="24"/>
        </w:rPr>
        <w:t>5.4.8</w:t>
      </w:r>
      <w:r>
        <w:rPr>
          <w:sz w:val="24"/>
        </w:rPr>
        <w:t>甲方组成验收小组，按照采购合同规定的技术、服务、安全标准组织对中标供应商履约情况进行验收。因货物质量问题发生争议时，由甲方本地质量技术监督部门鉴定。货物符合质量技术标准的，鉴定费由甲方承担；否则鉴定费由乙方承担。</w:t>
      </w:r>
    </w:p>
    <w:p>
      <w:pPr>
        <w:jc w:val="both"/>
      </w:pPr>
      <w:r>
        <w:rPr>
          <w:sz w:val="24"/>
        </w:rPr>
        <w:t>5.4.9</w:t>
      </w:r>
      <w:r>
        <w:rPr>
          <w:sz w:val="24"/>
        </w:rPr>
        <w:t>中标产品如属国家强制计量产品，需由乙方完成首次计量强检。</w:t>
      </w:r>
    </w:p>
    <w:p>
      <w:pPr>
        <w:jc w:val="both"/>
      </w:pPr>
      <w:r>
        <w:rPr>
          <w:sz w:val="24"/>
        </w:rPr>
        <w:t>5.4.10</w:t>
      </w:r>
      <w:r>
        <w:rPr>
          <w:sz w:val="24"/>
        </w:rPr>
        <w:t>当出现不合格产品时，乙方要无条件更换合格产品。除甲方认可，否则不接受任何形式的降格处理</w:t>
      </w:r>
      <w:r>
        <w:rPr>
          <w:sz w:val="24"/>
        </w:rPr>
        <w:t>。</w:t>
      </w:r>
    </w:p>
    <w:p>
      <w:pPr>
        <w:jc w:val="both"/>
      </w:pPr>
      <w:r>
        <w:rPr>
          <w:sz w:val="24"/>
        </w:rPr>
        <w:t>5.5</w:t>
      </w:r>
      <w:r>
        <w:rPr>
          <w:sz w:val="24"/>
        </w:rPr>
        <w:t>乙方保证合同项下提供的设备不侵犯任何第三方的专利、商标或版权。否则，乙方须承担对第三方的专利或版权的侵权责任并承担因此而发生的所有费用。</w:t>
      </w:r>
    </w:p>
    <w:p>
      <w:pPr>
        <w:jc w:val="both"/>
      </w:pPr>
    </w:p>
    <w:p>
      <w:pPr>
        <w:ind w:firstLine="182"/>
        <w:jc w:val="both"/>
      </w:pPr>
      <w:r>
        <w:rPr>
          <w:b/>
          <w:sz w:val="24"/>
        </w:rPr>
        <w:t>6.</w:t>
      </w:r>
      <w:r>
        <w:rPr>
          <w:b/>
          <w:sz w:val="24"/>
        </w:rPr>
        <w:t>质量保证及售后服务</w:t>
      </w:r>
    </w:p>
    <w:p>
      <w:pPr>
        <w:jc w:val="both"/>
      </w:pPr>
      <w:r>
        <w:rPr>
          <w:sz w:val="24"/>
        </w:rPr>
        <w:t>6.1</w:t>
      </w:r>
      <w:r>
        <w:rPr>
          <w:sz w:val="24"/>
        </w:rPr>
        <w:t>乙方保证合同设备是全新、未曾使用过的，其质量、规格及技术特征符合合同附件的要求，同时提供机型必须同档次的最高端机型，配置最新版本的软件，且具备终身免费升级功能。并保证设备符合国家相关质量标准。设备必须提供出厂合格证</w:t>
      </w:r>
      <w:r>
        <w:rPr>
          <w:sz w:val="24"/>
        </w:rPr>
        <w:t>,</w:t>
      </w:r>
      <w:r>
        <w:rPr>
          <w:sz w:val="24"/>
        </w:rPr>
        <w:t>及根据医疗行业管理法规规定必须具备的其他证照（产品注册证、经营企业许可证、生产企业许可证等证件，复印件必须加盖经销单位公章）。</w:t>
      </w:r>
    </w:p>
    <w:p>
      <w:pPr>
        <w:jc w:val="both"/>
      </w:pPr>
      <w:r>
        <w:rPr>
          <w:sz w:val="24"/>
        </w:rPr>
        <w:t>6.2</w:t>
      </w:r>
      <w:r>
        <w:rPr>
          <w:sz w:val="24"/>
        </w:rPr>
        <w:t>合同设备保质保用期为本项目有关部门验收并在《医院验收表》完成全部签字之日起不少于</w:t>
      </w:r>
      <w:r>
        <w:rPr>
          <w:b/>
          <w:sz w:val="21"/>
          <w:u w:val="single"/>
        </w:rPr>
        <w:t xml:space="preserve">   </w:t>
      </w:r>
      <w:r>
        <w:rPr>
          <w:sz w:val="24"/>
        </w:rPr>
        <w:t>个月，且不少于</w:t>
      </w:r>
      <w:r>
        <w:rPr>
          <w:sz w:val="21"/>
          <w:u w:val="single"/>
        </w:rPr>
        <w:t xml:space="preserve">   </w:t>
      </w:r>
      <w:r>
        <w:rPr>
          <w:sz w:val="24"/>
        </w:rPr>
        <w:t>次</w:t>
      </w:r>
      <w:r>
        <w:rPr>
          <w:sz w:val="24"/>
        </w:rPr>
        <w:t>/</w:t>
      </w:r>
      <w:r>
        <w:rPr>
          <w:sz w:val="24"/>
        </w:rPr>
        <w:t>年的维护保养，每次维护保养需出具保养记录，经甲方工程师现场监管并签字确认。</w:t>
      </w:r>
    </w:p>
    <w:p>
      <w:pPr>
        <w:jc w:val="both"/>
      </w:pPr>
      <w:r>
        <w:rPr>
          <w:sz w:val="24"/>
        </w:rPr>
        <w:t>保质保用期内非因甲方的人为原因而出现产品质量及安装问题，由乙方负责包修、包换或包退，并承担因此而产生的一切费用。乙方应在收到甲方故障通知后</w:t>
      </w:r>
      <w:r>
        <w:rPr>
          <w:sz w:val="21"/>
          <w:u w:val="single"/>
        </w:rPr>
        <w:t xml:space="preserve">  </w:t>
      </w:r>
      <w:r>
        <w:rPr>
          <w:sz w:val="24"/>
        </w:rPr>
        <w:t>小时内响应；</w:t>
      </w:r>
      <w:r>
        <w:rPr>
          <w:sz w:val="24"/>
        </w:rPr>
        <w:t xml:space="preserve"> </w:t>
      </w:r>
      <w:r>
        <w:rPr>
          <w:sz w:val="21"/>
          <w:u w:val="single"/>
        </w:rPr>
        <w:t xml:space="preserve">  </w:t>
      </w:r>
      <w:r>
        <w:rPr>
          <w:b/>
          <w:sz w:val="24"/>
          <w:u w:val="single"/>
        </w:rPr>
        <w:t>小时内到达维修现场</w:t>
      </w:r>
      <w:r>
        <w:rPr>
          <w:sz w:val="24"/>
        </w:rPr>
        <w:t>，保修期内必须保证</w:t>
      </w:r>
      <w:r>
        <w:rPr>
          <w:sz w:val="21"/>
          <w:u w:val="single"/>
        </w:rPr>
        <w:t xml:space="preserve">   </w:t>
      </w:r>
      <w:r>
        <w:rPr>
          <w:sz w:val="24"/>
        </w:rPr>
        <w:t>%</w:t>
      </w:r>
      <w:r>
        <w:rPr>
          <w:sz w:val="24"/>
        </w:rPr>
        <w:t>以上工作日正常工作（以每年</w:t>
      </w:r>
      <w:r>
        <w:rPr>
          <w:sz w:val="24"/>
        </w:rPr>
        <w:t>365</w:t>
      </w:r>
      <w:r>
        <w:rPr>
          <w:sz w:val="24"/>
        </w:rPr>
        <w:t>天计算），如未达到，应按</w:t>
      </w:r>
      <w:r>
        <w:rPr>
          <w:sz w:val="21"/>
          <w:u w:val="single"/>
        </w:rPr>
        <w:t xml:space="preserve">  </w:t>
      </w:r>
      <w:r>
        <w:rPr>
          <w:sz w:val="24"/>
        </w:rPr>
        <w:t>倍时间相应延长保修期。需提供生产厂家售后服务机构提供售后服务承诺，提供免费咨询电话。乙方或厂家负责设备运输及到货或安装调试工作，整机由原厂技术人员提供设备免费应用、操作培训及售后服务。</w:t>
      </w:r>
    </w:p>
    <w:p>
      <w:pPr>
        <w:jc w:val="both"/>
      </w:pPr>
      <w:r>
        <w:rPr>
          <w:sz w:val="24"/>
        </w:rPr>
        <w:t>设备故障需返厂维修时，乙方提供技术、性能指标不低于本合同要求的备用机型，提供维修替换使用。</w:t>
      </w:r>
    </w:p>
    <w:p>
      <w:pPr>
        <w:jc w:val="both"/>
      </w:pPr>
      <w:r>
        <w:rPr>
          <w:sz w:val="24"/>
        </w:rPr>
        <w:t>保质保用期后对乙方合同货物提供终身免费保修服务，如需更换零配件，乙方只收取零配件费。在硬件无改变的情况下，软件终身免费维护、升级。</w:t>
      </w:r>
    </w:p>
    <w:p>
      <w:pPr>
        <w:jc w:val="both"/>
      </w:pPr>
      <w:r>
        <w:rPr>
          <w:sz w:val="24"/>
        </w:rPr>
        <w:t>下列情况乙方不负责免费保修：</w:t>
      </w:r>
    </w:p>
    <w:p>
      <w:pPr>
        <w:ind w:firstLine="567"/>
        <w:jc w:val="both"/>
      </w:pPr>
      <w:r>
        <w:rPr>
          <w:sz w:val="24"/>
        </w:rPr>
        <w:t>（</w:t>
      </w:r>
      <w:r>
        <w:rPr>
          <w:sz w:val="24"/>
        </w:rPr>
        <w:t>1</w:t>
      </w:r>
      <w:r>
        <w:rPr>
          <w:sz w:val="24"/>
        </w:rPr>
        <w:t>）</w:t>
      </w:r>
      <w:r>
        <w:rPr>
          <w:sz w:val="24"/>
        </w:rPr>
        <w:t>不按照乙方提供的正确使用方法而引致设备故障损坏；</w:t>
      </w:r>
    </w:p>
    <w:p>
      <w:pPr>
        <w:ind w:firstLine="600"/>
        <w:jc w:val="both"/>
      </w:pPr>
      <w:r>
        <w:rPr>
          <w:sz w:val="24"/>
        </w:rPr>
        <w:t>（</w:t>
      </w:r>
      <w:r>
        <w:rPr>
          <w:sz w:val="24"/>
        </w:rPr>
        <w:t>2</w:t>
      </w:r>
      <w:r>
        <w:rPr>
          <w:sz w:val="24"/>
        </w:rPr>
        <w:t>）</w:t>
      </w:r>
      <w:r>
        <w:rPr>
          <w:sz w:val="21"/>
        </w:rPr>
        <w:t xml:space="preserve"> </w:t>
      </w:r>
      <w:r>
        <w:rPr>
          <w:sz w:val="24"/>
        </w:rPr>
        <w:t>擅自改装设备；</w:t>
      </w:r>
    </w:p>
    <w:p>
      <w:pPr>
        <w:jc w:val="both"/>
      </w:pPr>
      <w:r>
        <w:rPr>
          <w:sz w:val="24"/>
        </w:rPr>
        <w:t>6.3</w:t>
      </w:r>
      <w:r>
        <w:rPr>
          <w:sz w:val="24"/>
        </w:rPr>
        <w:t>因设备的质量问题而发生争议，由广东省质检部门进行质量鉴定。设备符合质量标准的，鉴定费用由甲方承担；设备不符合质量标准的，鉴定费用由乙方承担。</w:t>
      </w:r>
    </w:p>
    <w:p>
      <w:pPr>
        <w:jc w:val="both"/>
      </w:pPr>
      <w:r>
        <w:rPr>
          <w:sz w:val="24"/>
        </w:rPr>
        <w:t>6.4</w:t>
      </w:r>
      <w:r>
        <w:rPr>
          <w:sz w:val="24"/>
        </w:rPr>
        <w:t>乙方无偿培训甲方维修人员，主要内容为设备的基本结构、性能、主要部件的构造及修理，日常使用保养与管理，常见故障的排除，紧急情况的处理等，培训地点主要在设备安装现场或按甲方安排。</w:t>
      </w:r>
    </w:p>
    <w:p>
      <w:pPr>
        <w:jc w:val="both"/>
      </w:pPr>
      <w:r>
        <w:rPr>
          <w:sz w:val="24"/>
        </w:rPr>
        <w:t>6.5</w:t>
      </w:r>
      <w:r>
        <w:rPr>
          <w:sz w:val="24"/>
        </w:rPr>
        <w:t>产品必须由卖方负责完成首次计量强制检定。</w:t>
      </w:r>
    </w:p>
    <w:p>
      <w:pPr>
        <w:jc w:val="both"/>
      </w:pPr>
    </w:p>
    <w:p>
      <w:pPr>
        <w:ind w:firstLine="180"/>
        <w:jc w:val="both"/>
      </w:pPr>
      <w:r>
        <w:rPr>
          <w:b/>
          <w:sz w:val="24"/>
        </w:rPr>
        <w:t>7.</w:t>
      </w:r>
      <w:r>
        <w:rPr>
          <w:b/>
          <w:sz w:val="21"/>
        </w:rPr>
        <w:t xml:space="preserve"> </w:t>
      </w:r>
      <w:r>
        <w:rPr>
          <w:b/>
          <w:sz w:val="24"/>
        </w:rPr>
        <w:t>付款办法</w:t>
      </w:r>
    </w:p>
    <w:p>
      <w:pPr>
        <w:jc w:val="both"/>
      </w:pPr>
      <w:r>
        <w:rPr>
          <w:sz w:val="24"/>
        </w:rPr>
        <w:t>7.1</w:t>
      </w:r>
      <w:r>
        <w:rPr>
          <w:sz w:val="24"/>
        </w:rPr>
        <w:t>本合同的每笔款项以银行转账方式支付，支付的时间和金额如下：</w:t>
      </w:r>
    </w:p>
    <w:p>
      <w:pPr>
        <w:jc w:val="both"/>
      </w:pPr>
      <w:r>
        <w:rPr>
          <w:sz w:val="24"/>
        </w:rPr>
        <w:t>7.1.1.</w:t>
      </w:r>
      <w:r>
        <w:rPr>
          <w:sz w:val="24"/>
        </w:rPr>
        <w:t>合同签订后，乙方须向甲方提供中小企业预付款</w:t>
      </w:r>
      <w:r>
        <w:rPr>
          <w:sz w:val="24"/>
        </w:rPr>
        <w:t>30%</w:t>
      </w:r>
      <w:r>
        <w:rPr>
          <w:sz w:val="24"/>
        </w:rPr>
        <w:t>的请款函，甲方自收到请款函后</w:t>
      </w:r>
      <w:r>
        <w:rPr>
          <w:sz w:val="24"/>
        </w:rPr>
        <w:t>5</w:t>
      </w:r>
      <w:r>
        <w:rPr>
          <w:sz w:val="24"/>
        </w:rPr>
        <w:t>个工作日内办理支付，支付合同金额</w:t>
      </w:r>
      <w:r>
        <w:rPr>
          <w:sz w:val="24"/>
        </w:rPr>
        <w:t>30%</w:t>
      </w:r>
      <w:r>
        <w:rPr>
          <w:sz w:val="24"/>
        </w:rPr>
        <w:t>的预付款；</w:t>
      </w:r>
    </w:p>
    <w:p>
      <w:pPr>
        <w:jc w:val="both"/>
      </w:pPr>
      <w:r>
        <w:rPr>
          <w:sz w:val="24"/>
        </w:rPr>
        <w:t>7.1.2</w:t>
      </w:r>
      <w:r>
        <w:rPr>
          <w:sz w:val="24"/>
        </w:rPr>
        <w:t>合同设备全部到指定地点交付并完成安装及验收合格后，乙方须向甲方提供以下相应资料和合同全额发票，对于满足合同约定支付条件的，甲方自收到请款函后</w:t>
      </w:r>
      <w:r>
        <w:rPr>
          <w:sz w:val="24"/>
        </w:rPr>
        <w:t>5</w:t>
      </w:r>
      <w:r>
        <w:rPr>
          <w:sz w:val="24"/>
        </w:rPr>
        <w:t>个工作日内办理支付手续，自收到发票后</w:t>
      </w:r>
      <w:r>
        <w:rPr>
          <w:sz w:val="24"/>
        </w:rPr>
        <w:t>15</w:t>
      </w:r>
      <w:r>
        <w:rPr>
          <w:sz w:val="24"/>
        </w:rPr>
        <w:t>日内完成资金支付，支付合同金额的</w:t>
      </w:r>
      <w:r>
        <w:rPr>
          <w:sz w:val="24"/>
        </w:rPr>
        <w:t>70%</w:t>
      </w:r>
      <w:r>
        <w:rPr>
          <w:sz w:val="24"/>
        </w:rPr>
        <w:t>：</w:t>
      </w:r>
    </w:p>
    <w:p>
      <w:pPr>
        <w:jc w:val="both"/>
      </w:pPr>
      <w:r>
        <w:rPr>
          <w:sz w:val="24"/>
        </w:rPr>
        <w:t>（</w:t>
      </w:r>
      <w:r>
        <w:rPr>
          <w:sz w:val="24"/>
        </w:rPr>
        <w:t>1</w:t>
      </w:r>
      <w:r>
        <w:rPr>
          <w:sz w:val="24"/>
        </w:rPr>
        <w:t>）合同复印件；</w:t>
      </w:r>
    </w:p>
    <w:p>
      <w:pPr>
        <w:jc w:val="both"/>
      </w:pPr>
      <w:r>
        <w:rPr>
          <w:sz w:val="24"/>
        </w:rPr>
        <w:t>（</w:t>
      </w:r>
      <w:r>
        <w:rPr>
          <w:sz w:val="24"/>
        </w:rPr>
        <w:t>2</w:t>
      </w:r>
      <w:r>
        <w:rPr>
          <w:sz w:val="24"/>
        </w:rPr>
        <w:t>） 验收合格报告</w:t>
      </w:r>
    </w:p>
    <w:p>
      <w:pPr>
        <w:jc w:val="both"/>
      </w:pPr>
    </w:p>
    <w:p>
      <w:pPr>
        <w:ind w:firstLine="282"/>
        <w:jc w:val="both"/>
      </w:pPr>
      <w:r>
        <w:rPr>
          <w:b/>
          <w:sz w:val="24"/>
        </w:rPr>
        <w:t>8.</w:t>
      </w:r>
      <w:r>
        <w:rPr>
          <w:b/>
          <w:sz w:val="24"/>
        </w:rPr>
        <w:t>技术服务</w:t>
      </w:r>
    </w:p>
    <w:p>
      <w:pPr>
        <w:jc w:val="both"/>
      </w:pPr>
      <w:r>
        <w:rPr>
          <w:sz w:val="24"/>
        </w:rPr>
        <w:t xml:space="preserve">   8.1</w:t>
      </w:r>
      <w:r>
        <w:rPr>
          <w:sz w:val="24"/>
        </w:rPr>
        <w:t>乙方应派员到甲方指定地点配合工作。</w:t>
      </w:r>
    </w:p>
    <w:p>
      <w:pPr>
        <w:jc w:val="both"/>
      </w:pPr>
      <w:r>
        <w:rPr>
          <w:sz w:val="24"/>
        </w:rPr>
        <w:t>8.2</w:t>
      </w:r>
      <w:r>
        <w:rPr>
          <w:sz w:val="24"/>
        </w:rPr>
        <w:t>乙方按甲方提供的合同执行进度计划，再配合甲方及有关单位，以此做好合同执行进度上的配合工作。</w:t>
      </w:r>
    </w:p>
    <w:p>
      <w:pPr>
        <w:jc w:val="both"/>
      </w:pPr>
    </w:p>
    <w:p>
      <w:pPr>
        <w:jc w:val="both"/>
      </w:pPr>
      <w:r>
        <w:rPr>
          <w:b/>
          <w:sz w:val="24"/>
        </w:rPr>
        <w:t>9.</w:t>
      </w:r>
      <w:r>
        <w:rPr>
          <w:b/>
          <w:sz w:val="24"/>
        </w:rPr>
        <w:t>不可抗力</w:t>
      </w:r>
    </w:p>
    <w:p>
      <w:pPr>
        <w:jc w:val="both"/>
      </w:pPr>
      <w:r>
        <w:rPr>
          <w:sz w:val="24"/>
        </w:rPr>
        <w:t>9.1</w:t>
      </w:r>
      <w:r>
        <w:rPr>
          <w:sz w:val="24"/>
        </w:rPr>
        <w:t>不可抗力指战争、严重火灾、洪水、台风、地震等或其它双方认定的不可抗力事件。</w:t>
      </w:r>
    </w:p>
    <w:p>
      <w:pPr>
        <w:jc w:val="both"/>
      </w:pPr>
      <w:r>
        <w:rPr>
          <w:sz w:val="24"/>
        </w:rPr>
        <w:t>9.2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p>
    <w:p>
      <w:pPr>
        <w:jc w:val="both"/>
      </w:pPr>
      <w:r>
        <w:rPr>
          <w:b/>
          <w:sz w:val="24"/>
        </w:rPr>
        <w:t>10.</w:t>
      </w:r>
      <w:r>
        <w:rPr>
          <w:b/>
          <w:sz w:val="24"/>
        </w:rPr>
        <w:t>索赔</w:t>
      </w:r>
    </w:p>
    <w:p>
      <w:pPr>
        <w:jc w:val="both"/>
      </w:pPr>
      <w:r>
        <w:rPr>
          <w:sz w:val="24"/>
        </w:rPr>
        <w:t>10.1</w:t>
      </w:r>
      <w:r>
        <w:rPr>
          <w:sz w:val="24"/>
        </w:rPr>
        <w:t>如有异议，甲方有权根据有关政府部门的检验结果向乙方提出索赔。</w:t>
      </w:r>
    </w:p>
    <w:p>
      <w:pPr>
        <w:jc w:val="both"/>
      </w:pPr>
      <w:r>
        <w:rPr>
          <w:sz w:val="24"/>
        </w:rPr>
        <w:t>10.2</w:t>
      </w:r>
      <w:r>
        <w:rPr>
          <w:sz w:val="24"/>
        </w:rPr>
        <w:t>在合同执行期间，如果乙方对甲方提出的索赔和差异负有责任，乙方应按照甲方同意的下列一种或多种方式解决索赔事宜：</w:t>
      </w:r>
    </w:p>
    <w:p>
      <w:pPr>
        <w:jc w:val="both"/>
      </w:pPr>
      <w:r>
        <w:rPr>
          <w:sz w:val="24"/>
        </w:rPr>
        <w:t>（</w:t>
      </w:r>
      <w:r>
        <w:rPr>
          <w:sz w:val="24"/>
        </w:rPr>
        <w:t>1</w:t>
      </w:r>
      <w:r>
        <w:rPr>
          <w:sz w:val="24"/>
        </w:rPr>
        <w:t>）</w:t>
      </w:r>
      <w:r>
        <w:rPr>
          <w:sz w:val="24"/>
        </w:rPr>
        <w:t>乙方同意退货，并按合同规定的同种货币将货款退还给甲方，并承担由此发生的一切损失和费用。</w:t>
      </w:r>
    </w:p>
    <w:p>
      <w:pPr>
        <w:jc w:val="both"/>
      </w:pPr>
      <w:r>
        <w:rPr>
          <w:sz w:val="24"/>
        </w:rPr>
        <w:t>（</w:t>
      </w:r>
      <w:r>
        <w:rPr>
          <w:sz w:val="24"/>
        </w:rPr>
        <w:t>2</w:t>
      </w:r>
      <w:r>
        <w:rPr>
          <w:sz w:val="24"/>
        </w:rPr>
        <w:t>）</w:t>
      </w:r>
      <w:r>
        <w:rPr>
          <w:sz w:val="24"/>
        </w:rPr>
        <w:t>根据货物低劣程度、损坏程度以及甲方所遭受损失的数额甲乙双方商定降低货物的价格。</w:t>
      </w:r>
    </w:p>
    <w:p>
      <w:pPr>
        <w:jc w:val="both"/>
      </w:pPr>
      <w:r>
        <w:rPr>
          <w:sz w:val="24"/>
        </w:rPr>
        <w:t>（</w:t>
      </w:r>
      <w:r>
        <w:rPr>
          <w:sz w:val="24"/>
        </w:rPr>
        <w:t>3</w:t>
      </w:r>
      <w:r>
        <w:rPr>
          <w:sz w:val="24"/>
        </w:rPr>
        <w:t>）</w:t>
      </w:r>
      <w:r>
        <w:rPr>
          <w:sz w:val="24"/>
        </w:rPr>
        <w:t>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4"/>
        </w:rPr>
        <w:t>10.3</w:t>
      </w:r>
      <w:r>
        <w:rPr>
          <w:sz w:val="24"/>
        </w:rPr>
        <w:t>如果在甲方发出索赔通知后</w:t>
      </w:r>
      <w:r>
        <w:rPr>
          <w:sz w:val="24"/>
        </w:rPr>
        <w:t>30</w:t>
      </w:r>
      <w:r>
        <w:rPr>
          <w:sz w:val="24"/>
        </w:rPr>
        <w:t>天内，乙方未作答复，上述索赔应视为已被乙方接受。甲方将从合同款项中扣回索赔金额。如果这些金额不足以补偿索赔金额，甲方有权向乙方提出不足部分的补偿。</w:t>
      </w:r>
    </w:p>
    <w:p>
      <w:pPr>
        <w:jc w:val="both"/>
      </w:pPr>
    </w:p>
    <w:p>
      <w:pPr>
        <w:jc w:val="both"/>
      </w:pPr>
      <w:r>
        <w:rPr>
          <w:sz w:val="21"/>
        </w:rPr>
        <w:t xml:space="preserve">  </w:t>
      </w:r>
      <w:r>
        <w:rPr>
          <w:b/>
          <w:sz w:val="24"/>
        </w:rPr>
        <w:t>11.</w:t>
      </w:r>
      <w:r>
        <w:rPr>
          <w:b/>
          <w:sz w:val="24"/>
        </w:rPr>
        <w:t>违约与处罚</w:t>
      </w:r>
    </w:p>
    <w:p>
      <w:pPr>
        <w:jc w:val="both"/>
      </w:pPr>
      <w:r>
        <w:rPr>
          <w:sz w:val="24"/>
        </w:rPr>
        <w:t>11.1</w:t>
      </w:r>
      <w:r>
        <w:rPr>
          <w:sz w:val="24"/>
        </w:rPr>
        <w:t>甲方应依合同规定时间内，向乙方支付货款，每拖延一天乙方可向甲方加收合同金额的</w:t>
      </w:r>
      <w:r>
        <w:rPr>
          <w:sz w:val="24"/>
        </w:rPr>
        <w:t>3</w:t>
      </w:r>
      <w:r>
        <w:rPr>
          <w:sz w:val="24"/>
        </w:rPr>
        <w:t>‰的违约金，累计不超过合同金额的</w:t>
      </w:r>
      <w:r>
        <w:rPr>
          <w:sz w:val="24"/>
        </w:rPr>
        <w:t>3%</w:t>
      </w:r>
      <w:r>
        <w:rPr>
          <w:sz w:val="24"/>
        </w:rPr>
        <w:t>。</w:t>
      </w:r>
    </w:p>
    <w:p>
      <w:pPr>
        <w:jc w:val="both"/>
      </w:pPr>
      <w:r>
        <w:rPr>
          <w:sz w:val="24"/>
        </w:rPr>
        <w:t>11.2</w:t>
      </w:r>
      <w:r>
        <w:rPr>
          <w:sz w:val="24"/>
        </w:rPr>
        <w:t xml:space="preserve"> </w:t>
      </w:r>
      <w:r>
        <w:rPr>
          <w:sz w:val="24"/>
        </w:rPr>
        <w:t>乙方未能按本合同规定的交货时间交付货物的，从逾期之日起每日按本合同总价</w:t>
      </w:r>
      <w:r>
        <w:rPr>
          <w:sz w:val="24"/>
        </w:rPr>
        <w:t>3</w:t>
      </w:r>
      <w:r>
        <w:rPr>
          <w:sz w:val="24"/>
        </w:rPr>
        <w:t>‰的数额向甲方支付违约金；逾期半个月以上的，甲方有权终止合同，乙方须支付甲方合同总价</w:t>
      </w:r>
      <w:r>
        <w:rPr>
          <w:sz w:val="24"/>
        </w:rPr>
        <w:t>20%</w:t>
      </w:r>
      <w:r>
        <w:rPr>
          <w:sz w:val="24"/>
        </w:rPr>
        <w:t>的违约金，由此造成的甲方经济损失由乙方承担。</w:t>
      </w:r>
    </w:p>
    <w:p>
      <w:pPr>
        <w:jc w:val="both"/>
      </w:pPr>
      <w:r>
        <w:rPr>
          <w:sz w:val="24"/>
        </w:rPr>
        <w:t>11.3</w:t>
      </w:r>
      <w:r>
        <w:rPr>
          <w:sz w:val="24"/>
        </w:rPr>
        <w:t>乙方交付的货物不符合合同规定的，甲方有权拒收，乙方向甲方支付合同金额的</w:t>
      </w:r>
      <w:r>
        <w:rPr>
          <w:sz w:val="24"/>
        </w:rPr>
        <w:t>5%</w:t>
      </w:r>
      <w:r>
        <w:rPr>
          <w:sz w:val="24"/>
        </w:rPr>
        <w:t>的违约金。</w:t>
      </w:r>
    </w:p>
    <w:p>
      <w:pPr>
        <w:jc w:val="both"/>
      </w:pPr>
      <w:r>
        <w:rPr>
          <w:sz w:val="24"/>
        </w:rPr>
        <w:t>11.4</w:t>
      </w:r>
      <w:r>
        <w:rPr>
          <w:sz w:val="24"/>
        </w:rPr>
        <w:t>甲方无正当理由拒收货物的，甲方向乙方支付合同金额的</w:t>
      </w:r>
      <w:r>
        <w:rPr>
          <w:sz w:val="24"/>
        </w:rPr>
        <w:t>5%</w:t>
      </w:r>
      <w:r>
        <w:rPr>
          <w:sz w:val="24"/>
        </w:rPr>
        <w:t>的违约金。</w:t>
      </w:r>
    </w:p>
    <w:p>
      <w:pPr>
        <w:jc w:val="both"/>
      </w:pPr>
      <w:r>
        <w:rPr>
          <w:sz w:val="24"/>
        </w:rPr>
        <w:t>11.5</w:t>
      </w:r>
      <w:r>
        <w:rPr>
          <w:sz w:val="24"/>
        </w:rPr>
        <w:t>乙方未能交付货物，则向甲方支付合同金额的</w:t>
      </w:r>
      <w:r>
        <w:rPr>
          <w:sz w:val="24"/>
        </w:rPr>
        <w:t>7.5%</w:t>
      </w:r>
      <w:r>
        <w:rPr>
          <w:sz w:val="24"/>
        </w:rPr>
        <w:t>的违约金。所造成的甲方损失超过违约金的，乙方应该补偿损失部分。</w:t>
      </w:r>
    </w:p>
    <w:p>
      <w:pPr>
        <w:jc w:val="left"/>
      </w:pPr>
      <w:r>
        <w:rPr>
          <w:sz w:val="24"/>
        </w:rPr>
        <w:t xml:space="preserve">11.6  </w:t>
      </w:r>
      <w:r>
        <w:rPr>
          <w:sz w:val="24"/>
        </w:rPr>
        <w:t>因货物质量问题或维修、维护不及时造成甲方或第三方财产或人身损害的一切损失，由乙方承担赔偿责任。</w:t>
      </w:r>
    </w:p>
    <w:p>
      <w:pPr>
        <w:jc w:val="left"/>
      </w:pPr>
    </w:p>
    <w:p>
      <w:pPr>
        <w:jc w:val="both"/>
      </w:pPr>
      <w:r>
        <w:rPr>
          <w:b/>
          <w:sz w:val="24"/>
        </w:rPr>
        <w:t>12</w:t>
      </w:r>
      <w:r>
        <w:rPr>
          <w:b/>
          <w:sz w:val="24"/>
        </w:rPr>
        <w:t>合同终止</w:t>
      </w:r>
    </w:p>
    <w:p>
      <w:pPr>
        <w:jc w:val="both"/>
      </w:pPr>
      <w:r>
        <w:rPr>
          <w:sz w:val="24"/>
        </w:rPr>
        <w:t>如果一方严重违反合同，并在收到对方违约通知书后在</w:t>
      </w:r>
      <w:r>
        <w:rPr>
          <w:sz w:val="24"/>
        </w:rPr>
        <w:t>30</w:t>
      </w:r>
      <w:r>
        <w:rPr>
          <w:sz w:val="24"/>
        </w:rPr>
        <w:t>天内仍未能改正违约的另一方可立即终止本合同。</w:t>
      </w:r>
    </w:p>
    <w:p>
      <w:pPr>
        <w:jc w:val="both"/>
      </w:pPr>
    </w:p>
    <w:p>
      <w:pPr>
        <w:ind w:firstLine="207"/>
        <w:jc w:val="both"/>
      </w:pPr>
      <w:r>
        <w:rPr>
          <w:b/>
          <w:sz w:val="24"/>
        </w:rPr>
        <w:t>13.</w:t>
      </w:r>
      <w:r>
        <w:rPr>
          <w:b/>
          <w:sz w:val="24"/>
        </w:rPr>
        <w:t>法律诉讼</w:t>
      </w:r>
    </w:p>
    <w:p>
      <w:pPr>
        <w:jc w:val="both"/>
      </w:pPr>
      <w:r>
        <w:rPr>
          <w:sz w:val="24"/>
        </w:rPr>
        <w:t>签约双方在履约中发生争执和分歧，双方应通过友好协商解决，若经协商不能达成协议时，则可向甲方所在地人民法院提起诉讼。受理期间，双方应继续执行合同其余部分。</w:t>
      </w:r>
    </w:p>
    <w:p>
      <w:pPr>
        <w:jc w:val="both"/>
      </w:pPr>
    </w:p>
    <w:p>
      <w:pPr>
        <w:ind w:firstLine="240"/>
        <w:jc w:val="both"/>
      </w:pPr>
      <w:r>
        <w:rPr>
          <w:b/>
          <w:sz w:val="24"/>
        </w:rPr>
        <w:t>14.</w:t>
      </w:r>
      <w:r>
        <w:rPr>
          <w:b/>
          <w:sz w:val="24"/>
        </w:rPr>
        <w:t>其他</w:t>
      </w:r>
    </w:p>
    <w:p>
      <w:pPr>
        <w:jc w:val="both"/>
      </w:pPr>
      <w:r>
        <w:rPr>
          <w:sz w:val="21"/>
        </w:rPr>
        <w:t>14.1</w:t>
      </w:r>
      <w:r>
        <w:rPr>
          <w:sz w:val="24"/>
        </w:rPr>
        <w:t>本合同正本一式</w:t>
      </w:r>
      <w:r>
        <w:rPr>
          <w:sz w:val="21"/>
          <w:u w:val="single"/>
        </w:rPr>
        <w:t xml:space="preserve">   </w:t>
      </w:r>
      <w:r>
        <w:rPr>
          <w:sz w:val="24"/>
        </w:rPr>
        <w:t>份，具有同等法律效力，甲方</w:t>
      </w:r>
      <w:r>
        <w:rPr>
          <w:sz w:val="21"/>
          <w:u w:val="single"/>
        </w:rPr>
        <w:t xml:space="preserve">  </w:t>
      </w:r>
      <w:r>
        <w:rPr>
          <w:sz w:val="24"/>
        </w:rPr>
        <w:t>份、乙方及招标代理机构各</w:t>
      </w:r>
      <w:r>
        <w:rPr>
          <w:sz w:val="21"/>
          <w:u w:val="single"/>
        </w:rPr>
        <w:t xml:space="preserve">  </w:t>
      </w:r>
      <w:r>
        <w:rPr>
          <w:sz w:val="24"/>
        </w:rPr>
        <w:t>份。合同自双方签字盖章之日起生效。</w:t>
      </w:r>
    </w:p>
    <w:p>
      <w:pPr>
        <w:ind w:firstLine="227"/>
        <w:jc w:val="both"/>
      </w:pPr>
      <w:r>
        <w:rPr>
          <w:sz w:val="24"/>
        </w:rPr>
        <w:t>14.2</w:t>
      </w:r>
      <w:r>
        <w:rPr>
          <w:sz w:val="24"/>
        </w:rPr>
        <w:t>本合同未尽事宜，由双方协商处理，可达成书面补充协议。</w:t>
      </w:r>
    </w:p>
    <w:p>
      <w:pPr>
        <w:jc w:val="both"/>
      </w:pPr>
    </w:p>
    <w:p>
      <w:pPr>
        <w:jc w:val="both"/>
      </w:pPr>
    </w:p>
    <w:p>
      <w:pPr>
        <w:jc w:val="both"/>
      </w:pPr>
      <w:r>
        <w:rPr>
          <w:b/>
          <w:sz w:val="21"/>
        </w:rPr>
        <w:t>甲方：</w:t>
      </w:r>
      <w:r>
        <w:rPr>
          <w:b/>
          <w:sz w:val="21"/>
        </w:rPr>
        <w:t xml:space="preserve">                               </w:t>
      </w:r>
      <w:r>
        <w:rPr>
          <w:b/>
          <w:sz w:val="21"/>
        </w:rPr>
        <w:t xml:space="preserve">                  </w:t>
      </w:r>
      <w:r>
        <w:rPr>
          <w:b/>
          <w:sz w:val="21"/>
        </w:rPr>
        <w:t>乙方：</w:t>
      </w:r>
    </w:p>
    <w:p>
      <w:pPr>
        <w:jc w:val="left"/>
      </w:pPr>
      <w:r>
        <w:rPr>
          <w:b/>
          <w:sz w:val="21"/>
        </w:rPr>
        <w:t>广州市番禺区中心医院</w:t>
      </w:r>
      <w:r>
        <w:rPr>
          <w:b/>
          <w:sz w:val="21"/>
        </w:rPr>
        <w:t xml:space="preserve">                          </w:t>
      </w:r>
      <w:r>
        <w:rPr>
          <w:b/>
          <w:sz w:val="21"/>
        </w:rPr>
        <w:t xml:space="preserve"> </w:t>
      </w:r>
    </w:p>
    <w:p>
      <w:pPr>
        <w:jc w:val="both"/>
      </w:pPr>
      <w:r>
        <w:rPr>
          <w:b/>
          <w:sz w:val="21"/>
        </w:rPr>
        <w:t>法人代表：</w:t>
      </w:r>
      <w:r>
        <w:rPr>
          <w:b/>
          <w:sz w:val="21"/>
        </w:rPr>
        <w:t xml:space="preserve">    </w:t>
      </w:r>
      <w:r>
        <w:rPr>
          <w:b/>
          <w:sz w:val="21"/>
        </w:rPr>
        <w:t>法人代表：</w:t>
      </w:r>
      <w:r>
        <w:rPr>
          <w:b/>
          <w:sz w:val="21"/>
        </w:rPr>
        <w:t xml:space="preserve"> </w:t>
      </w:r>
    </w:p>
    <w:p>
      <w:pPr>
        <w:jc w:val="both"/>
      </w:pPr>
      <w:r>
        <w:rPr>
          <w:b/>
          <w:sz w:val="21"/>
        </w:rPr>
        <w:t>签约代表</w:t>
      </w:r>
      <w:r>
        <w:rPr>
          <w:b/>
          <w:sz w:val="21"/>
        </w:rPr>
        <w:t xml:space="preserve"> </w:t>
      </w:r>
      <w:r>
        <w:rPr>
          <w:b/>
          <w:sz w:val="21"/>
        </w:rPr>
        <w:t>：</w:t>
      </w:r>
      <w:r>
        <w:rPr>
          <w:b/>
          <w:sz w:val="21"/>
        </w:rPr>
        <w:t xml:space="preserve">                               </w:t>
      </w:r>
      <w:r>
        <w:rPr>
          <w:b/>
          <w:sz w:val="21"/>
        </w:rPr>
        <w:t xml:space="preserve">              </w:t>
      </w:r>
      <w:r>
        <w:rPr>
          <w:b/>
          <w:sz w:val="21"/>
        </w:rPr>
        <w:t>签约代表：</w:t>
      </w:r>
      <w:r>
        <w:rPr>
          <w:b/>
          <w:sz w:val="21"/>
        </w:rPr>
        <w:t xml:space="preserve"> </w:t>
      </w:r>
    </w:p>
    <w:p>
      <w:pPr>
        <w:jc w:val="both"/>
      </w:pPr>
      <w:r>
        <w:rPr>
          <w:b/>
          <w:sz w:val="21"/>
        </w:rPr>
        <w:t>地址：广州市番禺区桥南街福愉东路</w:t>
      </w:r>
      <w:r>
        <w:rPr>
          <w:b/>
          <w:sz w:val="21"/>
        </w:rPr>
        <w:t>8</w:t>
      </w:r>
      <w:r>
        <w:rPr>
          <w:b/>
          <w:sz w:val="21"/>
        </w:rPr>
        <w:t>号</w:t>
      </w:r>
      <w:r>
        <w:rPr>
          <w:b/>
          <w:sz w:val="21"/>
        </w:rPr>
        <w:t xml:space="preserve">         </w:t>
      </w:r>
      <w:r>
        <w:rPr>
          <w:b/>
          <w:sz w:val="21"/>
        </w:rPr>
        <w:t>地址：</w:t>
      </w:r>
      <w:r>
        <w:rPr>
          <w:b/>
          <w:sz w:val="21"/>
        </w:rPr>
        <w:t xml:space="preserve"> </w:t>
      </w:r>
    </w:p>
    <w:p>
      <w:pPr>
        <w:jc w:val="both"/>
      </w:pPr>
      <w:r>
        <w:rPr>
          <w:b/>
          <w:sz w:val="21"/>
        </w:rPr>
        <w:t>电话：</w:t>
      </w:r>
      <w:r>
        <w:rPr>
          <w:b/>
          <w:sz w:val="21"/>
        </w:rPr>
        <w:t>020-3485822</w:t>
      </w:r>
      <w:r>
        <w:rPr>
          <w:b/>
          <w:sz w:val="21"/>
        </w:rPr>
        <w:t>3</w:t>
      </w:r>
      <w:r>
        <w:rPr>
          <w:b/>
          <w:sz w:val="21"/>
        </w:rPr>
        <w:t xml:space="preserve">                      </w:t>
      </w:r>
      <w:r>
        <w:rPr>
          <w:b/>
          <w:sz w:val="21"/>
        </w:rPr>
        <w:t>电话：</w:t>
      </w:r>
    </w:p>
    <w:p>
      <w:pPr>
        <w:jc w:val="both"/>
      </w:pPr>
      <w:r>
        <w:rPr>
          <w:b/>
          <w:sz w:val="21"/>
        </w:rPr>
        <w:t>传真</w:t>
      </w:r>
      <w:r>
        <w:rPr>
          <w:b/>
          <w:sz w:val="21"/>
        </w:rPr>
        <w:t xml:space="preserve">:  020-34858220                                         </w:t>
      </w:r>
      <w:r>
        <w:rPr>
          <w:b/>
          <w:sz w:val="21"/>
        </w:rPr>
        <w:t>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 xml:space="preserve">      </w:t>
      </w:r>
      <w:r>
        <w:rPr>
          <w:b/>
          <w:sz w:val="21"/>
        </w:rPr>
        <w:t xml:space="preserve">             </w:t>
      </w:r>
      <w:r>
        <w:rPr>
          <w:b/>
          <w:sz w:val="21"/>
        </w:rPr>
        <w:t>签约日期：</w:t>
      </w:r>
      <w:r>
        <w:rPr>
          <w:b/>
          <w:sz w:val="21"/>
        </w:rPr>
        <w:t xml:space="preserve">  </w:t>
      </w:r>
      <w:r>
        <w:rPr>
          <w:b/>
          <w:sz w:val="21"/>
        </w:rPr>
        <w:t xml:space="preserve">   </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r>
        <w:rPr>
          <w:b/>
          <w:sz w:val="21"/>
        </w:rPr>
        <w:t xml:space="preserve">   </w:t>
      </w:r>
      <w:r>
        <w:rPr>
          <w:b/>
          <w:sz w:val="21"/>
        </w:rPr>
        <w:t xml:space="preserve">                 </w:t>
      </w:r>
      <w:r>
        <w:rPr>
          <w:b/>
          <w:sz w:val="21"/>
        </w:rPr>
        <w:t>开户银行：</w:t>
      </w:r>
      <w:r>
        <w:rPr>
          <w:b/>
          <w:sz w:val="21"/>
        </w:rPr>
        <w:t xml:space="preserve"> </w:t>
      </w:r>
    </w:p>
    <w:p>
      <w:pPr>
        <w:jc w:val="both"/>
      </w:pPr>
      <w:r>
        <w:rPr>
          <w:sz w:val="21"/>
        </w:rPr>
        <w:t xml:space="preserve">                                             </w:t>
      </w:r>
      <w:r>
        <w:rPr>
          <w:b/>
          <w:sz w:val="21"/>
        </w:rPr>
        <w:t xml:space="preserve">                               </w:t>
      </w:r>
      <w:r>
        <w:rPr>
          <w:b/>
          <w:sz w:val="21"/>
        </w:rPr>
        <w:t xml:space="preserve"> </w:t>
      </w:r>
      <w:r>
        <w:rPr>
          <w:b/>
          <w:sz w:val="21"/>
        </w:rPr>
        <w:t>账</w:t>
      </w:r>
      <w:r>
        <w:rPr>
          <w:b/>
          <w:sz w:val="21"/>
        </w:rPr>
        <w:t xml:space="preserve"> </w:t>
      </w:r>
      <w:r>
        <w:rPr>
          <w:b/>
          <w:sz w:val="21"/>
        </w:rPr>
        <w:t>号：</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440113-2023-08223</w:t>
      </w:r>
    </w:p>
    <w:p>
      <w:pPr>
        <w:jc w:val="center"/>
      </w:pPr>
      <w:r>
        <w:rPr>
          <w:b/>
          <w:sz w:val="24"/>
        </w:rPr>
        <w:t>采购项目编号：</w:t>
      </w:r>
      <w:r>
        <w:rPr>
          <w:b/>
          <w:sz w:val="24"/>
        </w:rPr>
        <w:t>GZGK23D295A0931Z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广州市番禺区中心医院医疗设备采购项目（八）</w:t>
      </w:r>
      <w:r>
        <w:rPr>
          <w:u w:val="single"/>
        </w:rPr>
        <w:t>”</w:t>
      </w:r>
      <w:r>
        <w:rPr/>
        <w:t>项目的招标[采购项目编号为：</w:t>
      </w:r>
      <w:r>
        <w:rPr>
          <w:u w:val="single"/>
        </w:rPr>
        <w:t>GZGK23D295A0931Z</w:t>
      </w:r>
      <w:r>
        <w:rPr/>
        <w:t>]，我方愿参与投标。</w:t>
      </w:r>
    </w:p>
    <w:p>
      <w:pPr>
        <w:ind w:firstLine="480"/>
      </w:pPr>
      <w:r>
        <w:rPr/>
        <w:t>我方确认收到贵方提供的</w:t>
      </w:r>
      <w:r>
        <w:rPr>
          <w:u w:val="single"/>
        </w:rPr>
        <w:t>“</w:t>
      </w:r>
      <w:r>
        <w:rPr>
          <w:u w:val="single"/>
        </w:rPr>
        <w:t>广州市番禺区中心医院医疗设备采购项目（八）</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广州市番禺区中心医院医疗设备采购项目（八）</w:t>
      </w:r>
      <w:r>
        <w:rPr/>
        <w:t>”项目采购[采购项目编号为</w:t>
      </w:r>
      <w:r>
        <w:rPr/>
        <w:t>GZGK23D295A0931Z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广州市番禺区中心医院医疗设备采购项目（八）</w:t>
      </w:r>
      <w:r>
        <w:rPr/>
        <w:t>招标中获中标（采购项目编号：</w:t>
      </w:r>
      <w:r>
        <w:rPr/>
        <w:t>GZGK23D295A0931Z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