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440112-2024-00239</w:t>
      </w:r>
    </w:p>
    <w:p>
      <w:pPr>
        <w:jc w:val="center"/>
      </w:pPr>
      <w:r>
        <w:rPr>
          <w:b/>
          <w:sz w:val="24"/>
        </w:rPr>
        <w:t>采购项目编号：</w:t>
      </w:r>
      <w:r>
        <w:rPr>
          <w:b/>
          <w:sz w:val="24"/>
        </w:rPr>
        <w:t>GZGK24D012C0026Z</w:t>
      </w:r>
    </w:p>
    <w:p>
      <w:pPr>
        <w:jc w:val="center"/>
      </w:pPr>
      <w:r>
        <w:rPr>
          <w:b/>
          <w:sz w:val="24"/>
        </w:rPr>
        <w:t>项目名称：</w:t>
      </w:r>
      <w:r>
        <w:rPr>
          <w:b/>
          <w:sz w:val="24"/>
        </w:rPr>
        <w:t>广州市黄埔区2024年农产品质量安全监测项目</w:t>
      </w:r>
    </w:p>
    <w:p>
      <w:pPr>
        <w:jc w:val="center"/>
      </w:pPr>
      <w:r>
        <w:rPr>
          <w:b/>
          <w:sz w:val="24"/>
        </w:rPr>
        <w:t>采购人：</w:t>
      </w:r>
      <w:r>
        <w:rPr>
          <w:b/>
          <w:sz w:val="24"/>
        </w:rPr>
        <w:t>广州市黄埔区农业农村局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广州市黄埔区农业农村局</w:t>
      </w:r>
      <w:r>
        <w:rPr/>
        <w:t>的委托，采用</w:t>
      </w:r>
      <w:r>
        <w:rPr/>
        <w:t>公开招标</w:t>
      </w:r>
      <w:r>
        <w:rPr/>
        <w:t>方式组织采购</w:t>
      </w:r>
      <w:r>
        <w:rPr/>
        <w:t>广州市黄埔区2024年农产品质量安全监测项目</w:t>
      </w:r>
      <w:r>
        <w:rPr/>
        <w:t>。欢迎符合资格条件的国内供应商参加投标。</w:t>
      </w:r>
    </w:p>
    <w:p>
      <w:r>
        <w:rPr>
          <w:b/>
          <w:sz w:val="28"/>
        </w:rPr>
        <w:t>一.项目概述</w:t>
      </w:r>
    </w:p>
    <w:p>
      <w:r>
        <w:rPr>
          <w:b/>
          <w:sz w:val="24"/>
        </w:rPr>
        <w:t>1.名称与编号</w:t>
      </w:r>
    </w:p>
    <w:p>
      <w:pPr>
        <w:ind w:firstLine="480"/>
      </w:pPr>
      <w:r>
        <w:rPr/>
        <w:t>项目名称：</w:t>
      </w:r>
      <w:r>
        <w:rPr/>
        <w:t>广州市黄埔区2024年农产品质量安全监测项目</w:t>
      </w:r>
    </w:p>
    <w:p>
      <w:pPr>
        <w:ind w:firstLine="480"/>
      </w:pPr>
      <w:r>
        <w:rPr/>
        <w:t>采购计划编号：</w:t>
      </w:r>
      <w:r>
        <w:rPr/>
        <w:t>440112-2024-00239</w:t>
      </w:r>
    </w:p>
    <w:p>
      <w:pPr>
        <w:ind w:firstLine="480"/>
      </w:pPr>
      <w:r>
        <w:rPr/>
        <w:t>采购项目编号：</w:t>
      </w:r>
      <w:r>
        <w:rPr/>
        <w:t>GZGK24D012C0026Z</w:t>
      </w:r>
    </w:p>
    <w:p>
      <w:pPr>
        <w:ind w:firstLine="480"/>
      </w:pPr>
      <w:r>
        <w:rPr/>
        <w:t>采购方式：</w:t>
      </w:r>
      <w:r>
        <w:rPr/>
        <w:t>公开招标</w:t>
      </w:r>
    </w:p>
    <w:p>
      <w:pPr>
        <w:ind w:firstLine="480"/>
      </w:pPr>
      <w:r>
        <w:rPr/>
        <w:t>预算金额：</w:t>
      </w:r>
      <w:r>
        <w:rPr/>
        <w:t>2,360,000.00</w:t>
      </w:r>
      <w:r>
        <w:rPr/>
        <w:t>元</w:t>
      </w:r>
    </w:p>
    <w:p>
      <w:r>
        <w:rPr>
          <w:b/>
          <w:sz w:val="24"/>
        </w:rPr>
        <w:t>2.项目内容及需求情况（采购项目技术规格、参数及要求）</w:t>
      </w:r>
    </w:p>
    <w:p>
      <w:pPr>
        <w:ind w:firstLine="480"/>
      </w:pPr>
    </w:p>
    <w:p/>
    <w:p>
      <w:r>
        <w:rPr/>
        <w:t>采购包1(广州市黄埔区2024年农产品质量安全监测项目):</w:t>
      </w:r>
    </w:p>
    <w:p>
      <w:r>
        <w:rPr/>
        <w:t>采购包预算金额：2,360,000.00元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农产品质量安全服务</w:t>
            </w:r>
          </w:p>
        </w:tc>
        <w:tc>
          <w:tcPr>
            <w:tcW w:type="dxa" w:w="2136"/>
          </w:tcPr>
          <w:p>
            <w:r>
              <w:rPr/>
              <w:t>广州市黄埔区2024年农产品质量安全监测项目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采购包1（广州市黄埔区2024年农产品质量安全监测项目）：</w:t>
      </w:r>
      <w:r>
        <w:rPr/>
        <w:t>本采购包不属于专门面向中小企业采购的项目。</w:t>
      </w:r>
    </w:p>
    <w:p/>
    <w:p>
      <w:r>
        <w:rPr>
          <w:b/>
          <w:sz w:val="24"/>
        </w:rPr>
        <w:t>3.本项目特定的资格要求：</w:t>
      </w:r>
    </w:p>
    <w:p>
      <w:pPr>
        <w:ind w:firstLine="480"/>
      </w:pPr>
    </w:p>
    <w:p/>
    <w:p>
      <w:r>
        <w:rPr/>
        <w:t>采购包1（广州市黄埔区2024年农产品质量安全监测项目）：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3)同时具备监督部门颁发的有效的检验检测机构资质认定证书（CMA）和农产品质量安全检测机构考核合格证书（CATL）。 （注：提供有效的证书复印件）</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广州市黄埔区农业农村局</w:t>
      </w:r>
    </w:p>
    <w:p>
      <w:pPr>
        <w:ind w:firstLine="480"/>
      </w:pPr>
      <w:r>
        <w:rPr/>
        <w:t>地址：</w:t>
      </w:r>
      <w:r>
        <w:rPr/>
        <w:t>广州市黄埔区萝岗街水西路12号行政执法楼</w:t>
      </w:r>
    </w:p>
    <w:p>
      <w:pPr>
        <w:ind w:firstLine="480"/>
      </w:pPr>
      <w:r>
        <w:rPr/>
        <w:t>联系方式：</w:t>
      </w:r>
      <w:r>
        <w:rPr/>
        <w:t>020-82036501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（一）项目编号：GZGK24D012C0026Z</w:t>
      </w:r>
      <w:r>
        <w:br/>
      </w:r>
      <w:r>
        <w:rPr>
          <w:b/>
        </w:rPr>
        <w:t>（二）项目名称：广州市黄埔区2024年农产品质量安全监测项目</w:t>
      </w:r>
      <w:r>
        <w:br/>
      </w:r>
      <w:r>
        <w:rPr>
          <w:b/>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4、涉及到软件产品的，必须采购和使用正版软件，项目中涉及计算机办公产品的，必须预装正版操作系统软件。</w:t>
      </w:r>
      <w:r>
        <w:br/>
      </w:r>
      <w:r>
        <w:rPr/>
        <w:t>5、投标人没有在投标文件中注明偏离（文字说明或在响应表注明）的参数、配置、条款视为被投标人完全接受。</w:t>
      </w:r>
      <w:r>
        <w:br/>
      </w:r>
      <w:r>
        <w:rPr/>
        <w:t>6、投标人应保证，采购人在中华人民共和国使用该服务或服务的任何一部分时，免受第三方提出的侵犯其专利权、商标权、著作权或其它知识产权的起诉。</w:t>
      </w:r>
      <w:r>
        <w:br/>
      </w:r>
      <w:r>
        <w:rPr/>
        <w:t>7、不允许中标供应商转包、分包项目内容。</w:t>
      </w:r>
      <w:r>
        <w:br/>
      </w:r>
      <w:r>
        <w:rPr/>
        <w:t>8、小型和微型企业、监狱企业和残疾人福利性单位必须按照招标文件第三章内容提供相应的资料。</w:t>
      </w:r>
      <w:r>
        <w:br/>
      </w:r>
      <w:r>
        <w:rPr/>
        <w:t>9、需落实政府采购政策为：促进中小企业发展政策、支持监狱企业发展政策、支持残疾人福利性单位发展政策、优先采购节能产品、环境标志产品相关政策等。</w:t>
      </w:r>
      <w:r>
        <w:br/>
      </w:r>
      <w:r>
        <w:rPr/>
        <w:t>10、本项目符合《政府采购促进中小企业发展管理办法》第六条第（三）项的情形，故不专门面向中小企业。</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投标报价包括：投入人员的劳务费、检测物资费、采购费、购样费、检验费、邮寄费、差旅费、采样费以及在项目实施过程中所发生的其他一切费用，投标人投标报价中漏报、少报的费用，视为此项费用已隐含在投标报价中，投标人中标后不得再向采购人收取任何费用。</w:t>
      </w:r>
      <w:r>
        <w:br/>
      </w:r>
      <w:r>
        <w:rPr>
          <w:b/>
        </w:rPr>
        <w:t>（六）实现的目标</w:t>
      </w:r>
      <w:r>
        <w:br/>
      </w:r>
      <w:r>
        <w:rPr/>
        <w:t>为采购人提供农产品质量安全监测服务。</w:t>
      </w:r>
      <w:r>
        <w:br/>
      </w:r>
      <w:r>
        <w:rPr>
          <w:b/>
        </w:rPr>
        <w:t>（七）需执行国家相关标准、行业标准、地方标准或者其他标准、规范</w:t>
      </w:r>
    </w:p>
    <w:p/>
    <w:p>
      <w:pPr>
        <w:ind w:firstLine="480"/>
      </w:pPr>
    </w:p>
    <w:p/>
    <w:p>
      <w:r>
        <w:rPr/>
        <w:t>采购包1（广州市黄埔区2024年农产品质量安全监测项目）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1期：支付比例50%,合同生效后5个工作日,采购人向中标供应商支付合同总价的50%。</w:t>
            </w:r>
          </w:p>
          <w:p/>
          <w:p>
            <w:r>
              <w:rPr/>
              <w:t>2期：支付比例25%,项目开展工作量达到50％进度【累计完成超过750个（含750）】，中标供应商须按照采购人要求完成相应的检测工作后且采购人在收到发票后10个工作日内向中标供应商支付合同总价的25%。</w:t>
            </w:r>
          </w:p>
          <w:p/>
          <w:p>
            <w:r>
              <w:rPr/>
              <w:t>3期：支付比例15%,项目开展工作量达到80％进度【累计完成超过1200个（含1200）】，中标供应商须按照采购人要求完成相应的检测工作后且采购人在收到发票后10个工作日内向中标供应商支付合同总价的15%。</w:t>
            </w:r>
          </w:p>
          <w:p/>
          <w:p>
            <w:r>
              <w:rPr/>
              <w:t>4期：支付比例10%,项目完成并验收合格后，采购人在收到发票后10个工作日内向中标供应商支付合同总价的10%。 注：1、每笔款项支付前，中标供应商须提交与每笔款项金额相等的正式发票。 2、支付方式：采用支票、银行汇付（含电汇）等形式。</w:t>
            </w:r>
          </w:p>
        </w:tc>
      </w:tr>
      <w:tr>
        <w:tc>
          <w:tcPr>
            <w:tcW w:type="dxa" w:w="4153"/>
          </w:tcPr>
          <w:p>
            <w:r>
              <w:rPr/>
              <w:t>验收要求</w:t>
            </w:r>
          </w:p>
        </w:tc>
        <w:tc>
          <w:tcPr>
            <w:tcW w:type="dxa" w:w="4153"/>
          </w:tcPr>
          <w:p/>
          <w:p/>
          <w:p/>
          <w:p>
            <w:r>
              <w:rPr/>
              <w:t>1期：1、服务期满后，采购人应于收到中标供应商验收申请后7个工作日内组织履约验收。采购人按照采购合同规定的技术、服务、安全标准组织对中标供应商履约情况进行验收，并出具验收书。验收书应当包括每一项技术、服务、安全标准的履约情况。 2、采购人组成验收小组，按照采购合同规定的技术、服务、安全标准组织对中标供应商履约情况进行验收。验收完毕由采购人及中标供应商在验收报告上盖章确认。 3、中标供应商开展的相关工作及提交的验收内容应得到采购人认同、验收后方为完成合同内容；对验收不合格的部分，中标供应商应在采购人规定时间内及时整改完善直至合格。因整改完善所增加的时间不计入项目服务期，中标供应商不得以此要求增加任何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农产品质量安全服务</w:t>
            </w:r>
          </w:p>
        </w:tc>
        <w:tc>
          <w:tcPr>
            <w:tcW w:type="dxa" w:w="933"/>
          </w:tcPr>
          <w:p>
            <w:pPr>
              <w:jc w:val="left"/>
            </w:pPr>
            <w:r>
              <w:rPr/>
              <w:t>广州市黄埔区2024年农产品质量安全监测项目</w:t>
            </w:r>
          </w:p>
        </w:tc>
        <w:tc>
          <w:tcPr>
            <w:tcW w:type="dxa" w:w="933"/>
          </w:tcPr>
          <w:p>
            <w:pPr>
              <w:jc w:val="left"/>
            </w:pPr>
            <w:r>
              <w:rPr/>
              <w:t>项</w:t>
            </w:r>
          </w:p>
        </w:tc>
        <w:tc>
          <w:tcPr>
            <w:tcW w:type="dxa" w:w="933"/>
          </w:tcPr>
          <w:p>
            <w:pPr>
              <w:jc w:val="right"/>
            </w:pPr>
            <w:r>
              <w:rPr/>
              <w:t>1.00</w:t>
            </w:r>
          </w:p>
        </w:tc>
        <w:tc>
          <w:tcPr>
            <w:tcW w:type="dxa" w:w="933"/>
          </w:tcPr>
          <w:p>
            <w:pPr>
              <w:jc w:val="right"/>
            </w:pPr>
            <w:r>
              <w:rPr/>
              <w:t>2,360,000.00</w:t>
            </w:r>
          </w:p>
        </w:tc>
        <w:tc>
          <w:tcPr>
            <w:tcW w:type="dxa" w:w="933"/>
          </w:tcPr>
          <w:p>
            <w:pPr>
              <w:jc w:val="right"/>
            </w:pPr>
            <w:r>
              <w:rPr/>
              <w:t>2,360,000.00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广州市黄埔区2024年农产品质量安全监测项目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一、项目工作内容</w:t>
            </w:r>
          </w:p>
          <w:p>
            <w:pPr>
              <w:ind w:firstLine="420"/>
              <w:jc w:val="both"/>
            </w:pPr>
            <w:r>
              <w:rPr>
                <w:sz w:val="21"/>
              </w:rPr>
              <w:t>根据《中华人民共和国农产品质量安全法》《农产品质量安全监测管理办法》相关规定和要求开展产地农产品质量安全监测检测项目。包括抽样、购样、封样和检测等。</w:t>
            </w:r>
          </w:p>
          <w:p>
            <w:pPr>
              <w:jc w:val="both"/>
            </w:pPr>
            <w:r>
              <w:rPr>
                <w:sz w:val="21"/>
              </w:rPr>
              <w:t>（一）总抽样数量：</w:t>
            </w:r>
            <w:r>
              <w:rPr>
                <w:sz w:val="21"/>
              </w:rPr>
              <w:t>1500批次，具体安排如下：</w:t>
            </w:r>
          </w:p>
          <w:p>
            <w:pPr>
              <w:jc w:val="both"/>
            </w:pPr>
            <w:r>
              <w:rPr>
                <w:sz w:val="21"/>
              </w:rPr>
              <w:t>1、种植业农产品的区级监测</w:t>
            </w:r>
            <w:r>
              <w:rPr>
                <w:sz w:val="21"/>
              </w:rPr>
              <w:t>服务期内</w:t>
            </w:r>
            <w:r>
              <w:rPr>
                <w:sz w:val="21"/>
              </w:rPr>
              <w:t>共</w:t>
            </w:r>
            <w:r>
              <w:rPr>
                <w:sz w:val="21"/>
              </w:rPr>
              <w:t>1170批次（其中监督抽查不少于234批次）；</w:t>
            </w:r>
          </w:p>
          <w:p>
            <w:pPr>
              <w:jc w:val="both"/>
            </w:pPr>
            <w:r>
              <w:rPr>
                <w:sz w:val="21"/>
              </w:rPr>
              <w:t>2、水产品的区级监测</w:t>
            </w:r>
            <w:r>
              <w:rPr>
                <w:sz w:val="21"/>
              </w:rPr>
              <w:t>服务期内</w:t>
            </w:r>
            <w:r>
              <w:rPr>
                <w:sz w:val="21"/>
              </w:rPr>
              <w:t>共</w:t>
            </w:r>
            <w:r>
              <w:rPr>
                <w:sz w:val="21"/>
              </w:rPr>
              <w:t>300批次（其中监督抽查不少于60批次）；</w:t>
            </w:r>
          </w:p>
          <w:p>
            <w:pPr>
              <w:jc w:val="both"/>
            </w:pPr>
            <w:r>
              <w:rPr>
                <w:sz w:val="21"/>
              </w:rPr>
              <w:t>3、生鲜乳的区级监测</w:t>
            </w:r>
            <w:r>
              <w:rPr>
                <w:sz w:val="21"/>
              </w:rPr>
              <w:t>服务期内</w:t>
            </w:r>
            <w:r>
              <w:rPr>
                <w:sz w:val="21"/>
              </w:rPr>
              <w:t>共</w:t>
            </w:r>
            <w:r>
              <w:rPr>
                <w:sz w:val="21"/>
              </w:rPr>
              <w:t>30批次（其中监督抽查不少于6批次）；</w:t>
            </w:r>
          </w:p>
          <w:p>
            <w:pPr>
              <w:jc w:val="both"/>
            </w:pPr>
            <w:r>
              <w:rPr>
                <w:sz w:val="21"/>
              </w:rPr>
              <w:t>4、注：中标供应商需承诺，为采购人预留</w:t>
            </w:r>
            <w:r>
              <w:rPr>
                <w:sz w:val="21"/>
              </w:rPr>
              <w:t>150</w:t>
            </w:r>
            <w:r>
              <w:rPr>
                <w:sz w:val="21"/>
              </w:rPr>
              <w:t>批次作为机动批次，根据黄埔区产地农产品质量安全监管工作的需要开展相应监测，相关费用已含在投标报价中，采购人不再另行支付费用。</w:t>
            </w:r>
          </w:p>
          <w:p>
            <w:pPr>
              <w:jc w:val="both"/>
            </w:pPr>
            <w:r>
              <w:rPr>
                <w:sz w:val="21"/>
              </w:rPr>
              <w:t>（二）检测项目：</w:t>
            </w:r>
          </w:p>
          <w:p>
            <w:pPr>
              <w:jc w:val="both"/>
            </w:pPr>
            <w:r>
              <w:rPr>
                <w:sz w:val="21"/>
              </w:rPr>
              <w:t>1、种植业产品风险监测项目；</w:t>
            </w:r>
          </w:p>
          <w:p>
            <w:pPr>
              <w:jc w:val="both"/>
            </w:pPr>
            <w:r>
              <w:rPr>
                <w:sz w:val="21"/>
              </w:rPr>
              <w:t>2、种植业产品监督抽查项目；</w:t>
            </w:r>
          </w:p>
          <w:p>
            <w:pPr>
              <w:jc w:val="both"/>
            </w:pPr>
            <w:r>
              <w:rPr>
                <w:sz w:val="21"/>
              </w:rPr>
              <w:t>3、水产品风险监测项目；</w:t>
            </w:r>
          </w:p>
          <w:p>
            <w:pPr>
              <w:jc w:val="both"/>
            </w:pPr>
            <w:r>
              <w:rPr>
                <w:sz w:val="21"/>
              </w:rPr>
              <w:t>4、水产品监督抽查项目；</w:t>
            </w:r>
          </w:p>
          <w:p>
            <w:pPr>
              <w:jc w:val="both"/>
            </w:pPr>
            <w:r>
              <w:rPr>
                <w:sz w:val="21"/>
              </w:rPr>
              <w:t>5、生鲜乳风险监测项目；</w:t>
            </w:r>
          </w:p>
          <w:p>
            <w:pPr>
              <w:jc w:val="both"/>
            </w:pPr>
            <w:r>
              <w:rPr>
                <w:sz w:val="21"/>
              </w:rPr>
              <w:t>6、生鲜乳监督抽查项目；</w:t>
            </w:r>
          </w:p>
          <w:p>
            <w:pPr>
              <w:jc w:val="both"/>
            </w:pPr>
            <w:r>
              <w:rPr>
                <w:sz w:val="21"/>
              </w:rPr>
              <w:t>7、实际抽检安排根据黄埔区当年实际生产情况及市级要求（2024年广州市产地农产品质量安全监测工作方案）进行调整。如检测数量少于1500批次的，则按实际数量进行结算（若为据实结算时，结算总价=中标总价/1500*实际数量），如检测数量等于或大于1500批次的，则以最终中标总价结算，采购人不再另行支付费用。</w:t>
            </w:r>
          </w:p>
        </w:tc>
      </w:tr>
      <w:tr>
        <w:tc>
          <w:tcPr>
            <w:tcW w:type="dxa" w:w="2076"/>
          </w:tcPr>
          <w:p/>
        </w:tc>
        <w:tc>
          <w:tcPr>
            <w:tcW w:type="dxa" w:w="415"/>
          </w:tcPr>
          <w:p>
            <w:r>
              <w:rPr/>
              <w:t>2</w:t>
            </w:r>
          </w:p>
        </w:tc>
        <w:tc>
          <w:tcPr>
            <w:tcW w:type="dxa" w:w="5814"/>
          </w:tcPr>
          <w:p>
            <w:pPr>
              <w:jc w:val="both"/>
            </w:pPr>
            <w:r>
              <w:rPr>
                <w:b/>
                <w:sz w:val="21"/>
              </w:rPr>
              <w:t>二、种植业产品监测项目</w:t>
            </w:r>
          </w:p>
          <w:tbl>
            <w:tblPr>
              <w:tblBorders>
                <w:top w:val="none" w:color="000000" w:sz="4"/>
                <w:left w:val="none" w:color="000000" w:sz="4"/>
                <w:bottom w:val="none" w:color="000000" w:sz="4"/>
                <w:right w:val="none" w:color="000000" w:sz="4"/>
                <w:insideH w:val="none"/>
                <w:insideV w:val="none"/>
              </w:tblBorders>
            </w:tblPr>
            <w:tblGrid>
              <w:gridCol w:w="1106"/>
              <w:gridCol w:w="3610"/>
              <w:gridCol w:w="880"/>
            </w:tblGrid>
            <w:tr>
              <w:tc>
                <w:tcPr>
                  <w:tcW w:type="dxa" w:w="1106"/>
                  <w:tcBorders>
                    <w:top w:val="single" w:color="000000" w:sz="4"/>
                    <w:left w:val="single" w:color="000000" w:sz="4"/>
                    <w:bottom w:val="single" w:color="000000" w:sz="4"/>
                    <w:right w:val="single" w:color="000000" w:sz="4"/>
                  </w:tcBorders>
                  <w:vAlign w:val="top"/>
                </w:tcPr>
                <w:p>
                  <w:pPr>
                    <w:jc w:val="both"/>
                  </w:pPr>
                  <w:r>
                    <w:rPr>
                      <w:b/>
                      <w:sz w:val="21"/>
                    </w:rPr>
                    <w:t>监测品种</w:t>
                  </w:r>
                </w:p>
              </w:tc>
              <w:tc>
                <w:tcPr>
                  <w:tcW w:type="dxa" w:w="3610"/>
                  <w:tcBorders>
                    <w:top w:val="single" w:color="000000" w:sz="4"/>
                    <w:left w:val="none" w:color="000000" w:sz="4"/>
                    <w:bottom w:val="single" w:color="000000" w:sz="4"/>
                    <w:right w:val="single" w:color="000000" w:sz="4"/>
                  </w:tcBorders>
                  <w:vAlign w:val="top"/>
                </w:tcPr>
                <w:p>
                  <w:pPr>
                    <w:jc w:val="center"/>
                  </w:pPr>
                  <w:r>
                    <w:rPr>
                      <w:b/>
                      <w:sz w:val="21"/>
                    </w:rPr>
                    <w:t>监测</w:t>
                  </w:r>
                  <w:r>
                    <w:rPr>
                      <w:b/>
                      <w:sz w:val="21"/>
                    </w:rPr>
                    <w:t>项目</w:t>
                  </w:r>
                </w:p>
              </w:tc>
              <w:tc>
                <w:tcPr>
                  <w:tcW w:type="dxa" w:w="880"/>
                  <w:tcBorders>
                    <w:top w:val="single" w:color="000000" w:sz="4"/>
                    <w:left w:val="none" w:color="000000" w:sz="4"/>
                    <w:bottom w:val="single" w:color="000000" w:sz="4"/>
                    <w:right w:val="single" w:color="000000" w:sz="4"/>
                  </w:tcBorders>
                  <w:vAlign w:val="top"/>
                </w:tcPr>
                <w:p>
                  <w:pPr>
                    <w:ind w:firstLine="211"/>
                    <w:jc w:val="both"/>
                  </w:pPr>
                  <w:r>
                    <w:rPr>
                      <w:b/>
                      <w:sz w:val="21"/>
                    </w:rPr>
                    <w:t>数量</w:t>
                  </w:r>
                </w:p>
              </w:tc>
            </w:tr>
            <w:tr>
              <w:tc>
                <w:tcPr>
                  <w:tcW w:type="dxa" w:w="1106"/>
                  <w:vMerge w:val="restart"/>
                  <w:tcBorders>
                    <w:top w:val="none" w:color="000000" w:sz="4"/>
                    <w:left w:val="single" w:color="000000" w:sz="4"/>
                    <w:bottom w:val="single" w:color="000000" w:sz="4"/>
                    <w:right w:val="single" w:color="000000" w:sz="4"/>
                  </w:tcBorders>
                  <w:vAlign w:val="top"/>
                </w:tcPr>
                <w:p>
                  <w:pPr>
                    <w:jc w:val="center"/>
                  </w:pPr>
                  <w:r>
                    <w:rPr>
                      <w:sz w:val="21"/>
                    </w:rPr>
                    <w:t>种植业产品</w:t>
                  </w:r>
                </w:p>
                <w:p>
                  <w:pPr>
                    <w:jc w:val="center"/>
                  </w:pPr>
                  <w:r>
                    <w:rPr>
                      <w:sz w:val="21"/>
                    </w:rPr>
                    <w:t>（风险监测）</w:t>
                  </w:r>
                </w:p>
              </w:tc>
              <w:tc>
                <w:tcPr>
                  <w:tcW w:type="dxa" w:w="3610"/>
                  <w:tcBorders>
                    <w:top w:val="none" w:color="000000" w:sz="4"/>
                    <w:left w:val="none" w:color="000000" w:sz="4"/>
                    <w:bottom w:val="single" w:color="000000" w:sz="4"/>
                    <w:right w:val="single" w:color="000000" w:sz="4"/>
                  </w:tcBorders>
                  <w:vAlign w:val="top"/>
                </w:tcPr>
                <w:p>
                  <w:pPr>
                    <w:jc w:val="both"/>
                  </w:pPr>
                  <w:r>
                    <w:rPr>
                      <w:sz w:val="21"/>
                    </w:rPr>
                    <w:t>甲胺磷、对硫磷、甲基对硫磷、六六六、三氯杀螨醇（</w:t>
                  </w:r>
                  <w:r>
                    <w:rPr>
                      <w:sz w:val="21"/>
                    </w:rPr>
                    <w:t>5种）</w:t>
                  </w:r>
                </w:p>
              </w:tc>
              <w:tc>
                <w:tcPr>
                  <w:tcW w:type="dxa" w:w="880"/>
                  <w:vMerge w:val="restart"/>
                  <w:tcBorders>
                    <w:top w:val="none" w:color="000000" w:sz="4"/>
                    <w:left w:val="none" w:color="000000" w:sz="4"/>
                    <w:bottom w:val="none" w:color="000000" w:sz="4"/>
                    <w:right w:val="single" w:color="000000" w:sz="4"/>
                  </w:tcBorders>
                  <w:vAlign w:val="top"/>
                </w:tcPr>
                <w:p>
                  <w:pPr>
                    <w:jc w:val="center"/>
                  </w:pPr>
                  <w:r>
                    <w:rPr>
                      <w:sz w:val="21"/>
                    </w:rPr>
                    <w:t>不少于</w:t>
                  </w:r>
                  <w:r>
                    <w:rPr>
                      <w:sz w:val="21"/>
                    </w:rPr>
                    <w:t>936</w:t>
                  </w:r>
                  <w:r>
                    <w:rPr>
                      <w:sz w:val="21"/>
                    </w:rPr>
                    <w:t>批次</w:t>
                  </w:r>
                </w:p>
                <w:p>
                  <w:pPr>
                    <w:jc w:val="left"/>
                  </w:pPr>
                </w:p>
                <w:p>
                  <w:pPr>
                    <w:jc w:val="left"/>
                  </w:pPr>
                </w:p>
              </w:tc>
            </w:tr>
            <w:tr>
              <w:tc>
                <w:tcPr>
                  <w:tcW w:type="dxa" w:w="1106"/>
                  <w:vMerge/>
                  <w:tcBorders>
                    <w:top w:val="none" w:color="000000" w:sz="4"/>
                    <w:left w:val="single" w:color="000000" w:sz="4"/>
                    <w:bottom w:val="single" w:color="000000" w:sz="4"/>
                    <w:right w:val="single" w:color="000000" w:sz="4"/>
                  </w:tcBorders>
                </w:tcPr>
                <w:p/>
              </w:tc>
              <w:tc>
                <w:tcPr>
                  <w:tcW w:type="dxa" w:w="3610"/>
                  <w:tcBorders>
                    <w:top w:val="none" w:color="000000" w:sz="4"/>
                    <w:left w:val="none" w:color="000000" w:sz="4"/>
                    <w:bottom w:val="single" w:color="000000" w:sz="4"/>
                    <w:right w:val="single" w:color="000000" w:sz="4"/>
                  </w:tcBorders>
                  <w:vAlign w:val="top"/>
                </w:tcPr>
                <w:p>
                  <w:pPr>
                    <w:jc w:val="left"/>
                  </w:pPr>
                  <w:r>
                    <w:rPr>
                      <w:sz w:val="21"/>
                    </w:rPr>
                    <w:t>甲拌磷（包括甲拌磷砜和甲拌磷亚砜）、氧乐果、水胺硫磷、甲基异柳磷、克百威（包括三羟基克百威）、涕灭威（包括涕灭威砜和涕灭威亚砜）、毒死蜱、三唑磷、乐果、乙酰甲胺磷、灭多威、氟虫腈（包括氟甲腈、氟虫腈硫醚、氟虫腈砜）、氰戊菊酯（</w:t>
                  </w:r>
                  <w:r>
                    <w:rPr>
                      <w:sz w:val="21"/>
                    </w:rPr>
                    <w:t>13种）</w:t>
                  </w:r>
                </w:p>
              </w:tc>
            </w:tr>
            <w:tr>
              <w:tc>
                <w:tcPr>
                  <w:tcW w:type="dxa" w:w="1106"/>
                  <w:vMerge/>
                  <w:tcBorders>
                    <w:top w:val="none" w:color="000000" w:sz="4"/>
                    <w:left w:val="single" w:color="000000" w:sz="4"/>
                    <w:bottom w:val="single" w:color="000000" w:sz="4"/>
                    <w:right w:val="single" w:color="000000" w:sz="4"/>
                  </w:tcBorders>
                </w:tcPr>
                <w:p/>
              </w:tc>
              <w:tc>
                <w:tcPr>
                  <w:tcW w:type="dxa" w:w="3610"/>
                  <w:tcBorders>
                    <w:top w:val="none" w:color="000000" w:sz="4"/>
                    <w:left w:val="none" w:color="000000" w:sz="4"/>
                    <w:bottom w:val="single" w:color="000000" w:sz="4"/>
                    <w:right w:val="single" w:color="000000" w:sz="4"/>
                  </w:tcBorders>
                  <w:vAlign w:val="top"/>
                </w:tcPr>
                <w:p>
                  <w:pPr>
                    <w:jc w:val="left"/>
                  </w:pPr>
                  <w:r>
                    <w:rPr>
                      <w:sz w:val="21"/>
                    </w:rPr>
                    <w:t>阿维菌素、啶虫脒、哒螨灵、苯醚甲环唑、嘧霉胺、甲氨基阿维菌素苯甲酸盐、烯酰吗啉、虫螨腈、咪鲜胺、嘧菌酯、二甲戊灵、噻虫嗪、氟啶脲、灭幼脲、灭蝇胺、甲霜灵、霜霉威、多效唑、氯吡脲、氯虫苯甲酰胺、氯菊酯（异构体之和）、醚菊酯、虫酰肼、吡唑醚菌酯、除虫脲、敌敌畏、丙溴磷、杀螟硫磷、二嗪磷、马拉硫磷、亚胺硫磷、伏杀硫磷、辛硫磷、氯氰菊酯、甲氰菊酯、氯氟氰菊酯、氟氯氰菊酯、溴氰菊酯、联苯菊酯、氟胺氰菊酯、氟氰戊菊酯、三唑酮、百菌清、异菌脲、甲萘威、腐霉利、五氯硝基苯、乙烯菌核利、多菌灵、吡虫啉（</w:t>
                  </w:r>
                  <w:r>
                    <w:rPr>
                      <w:sz w:val="21"/>
                    </w:rPr>
                    <w:t>50种）</w:t>
                  </w:r>
                </w:p>
              </w:tc>
            </w:tr>
            <w:tr>
              <w:tc>
                <w:tcPr>
                  <w:tcW w:type="dxa" w:w="1106"/>
                  <w:tcBorders>
                    <w:top w:val="none" w:color="000000" w:sz="4"/>
                    <w:left w:val="single" w:color="000000" w:sz="4"/>
                    <w:bottom w:val="single" w:color="000000" w:sz="4"/>
                    <w:right w:val="single" w:color="000000" w:sz="4"/>
                  </w:tcBorders>
                  <w:vAlign w:val="top"/>
                </w:tcPr>
                <w:p>
                  <w:pPr>
                    <w:jc w:val="center"/>
                  </w:pPr>
                  <w:r>
                    <w:rPr>
                      <w:sz w:val="21"/>
                    </w:rPr>
                    <w:t>其他专项监测</w:t>
                  </w:r>
                </w:p>
              </w:tc>
              <w:tc>
                <w:tcPr>
                  <w:tcW w:type="dxa" w:w="3610"/>
                  <w:tcBorders>
                    <w:top w:val="none" w:color="000000" w:sz="4"/>
                    <w:left w:val="none" w:color="000000" w:sz="4"/>
                    <w:bottom w:val="single" w:color="000000" w:sz="4"/>
                    <w:right w:val="single" w:color="000000" w:sz="4"/>
                  </w:tcBorders>
                  <w:vAlign w:val="top"/>
                </w:tcPr>
                <w:p>
                  <w:pPr>
                    <w:jc w:val="center"/>
                  </w:pPr>
                  <w:r>
                    <w:rPr>
                      <w:sz w:val="21"/>
                    </w:rPr>
                    <w:t>均参照广州市的专项监测项目</w:t>
                  </w:r>
                </w:p>
              </w:tc>
            </w:tr>
            <w:tr>
              <w:tc>
                <w:tcPr>
                  <w:tcW w:type="dxa" w:w="1106"/>
                  <w:tcBorders>
                    <w:top w:val="none" w:color="000000" w:sz="4"/>
                    <w:left w:val="single" w:color="000000" w:sz="4"/>
                    <w:bottom w:val="single" w:color="000000" w:sz="4"/>
                    <w:right w:val="single" w:color="000000" w:sz="4"/>
                  </w:tcBorders>
                  <w:vAlign w:val="top"/>
                </w:tcPr>
                <w:p>
                  <w:pPr>
                    <w:jc w:val="center"/>
                  </w:pPr>
                  <w:r>
                    <w:rPr>
                      <w:sz w:val="21"/>
                    </w:rPr>
                    <w:t>种植业产品</w:t>
                  </w:r>
                </w:p>
                <w:p>
                  <w:pPr>
                    <w:jc w:val="both"/>
                  </w:pPr>
                  <w:r>
                    <w:rPr>
                      <w:sz w:val="21"/>
                    </w:rPr>
                    <w:t>（监督抽查）</w:t>
                  </w:r>
                </w:p>
              </w:tc>
              <w:tc>
                <w:tcPr>
                  <w:tcW w:type="dxa" w:w="3610"/>
                  <w:tcBorders>
                    <w:top w:val="none" w:color="000000" w:sz="4"/>
                    <w:left w:val="none" w:color="000000" w:sz="4"/>
                    <w:bottom w:val="single" w:color="000000" w:sz="4"/>
                    <w:right w:val="single" w:color="000000" w:sz="4"/>
                  </w:tcBorders>
                  <w:vAlign w:val="top"/>
                </w:tcPr>
                <w:p>
                  <w:pPr>
                    <w:jc w:val="left"/>
                  </w:pPr>
                  <w:r>
                    <w:rPr>
                      <w:sz w:val="21"/>
                    </w:rPr>
                    <w:t>【毒死蜱、三唑磷、甲胺磷、磷胺、治螟磷、特丁硫磷、甲拌磷（包括甲拌磷砜、甲拌磷亚砜）、蝇毒磷、氟虫腈（包括氟甲腈、氟虫腈砜、氯虫腈硫醚）、对硫磷、甲基对硫磷、水胺硫磷、久效磷、硫线磷、克百威（包括</w:t>
                  </w:r>
                  <w:r>
                    <w:rPr>
                      <w:sz w:val="21"/>
                    </w:rPr>
                    <w:t>3-羟基克百威）、涕灭威（包括涕灭威砜、涕灭威亚砜）、氧乐果、灭多威、甲基异柳磷、三氯杀螨醇、硫丹、乙酰甲胺磷、丁硫克百威、乐果、啶虫脒、多菌灵、甲氨基阿维菌素苯甲酸盐、噻虫嗪、辛硫磷、吡虫啉、阿维菌素、氯氰菊酯、联苯菊酯、氯氟氰菊酯、灭蝇胺、吡唑醚菌酯、烯酰吗啉、丙溴磷、腐霉利、腈苯唑、噻虫胺、甲霜灵、嘧菌酯、丙环唑、苯醚甲环唑、溴氰菊酯（46种）】</w:t>
                  </w:r>
                </w:p>
              </w:tc>
              <w:tc>
                <w:tcPr>
                  <w:tcW w:type="dxa" w:w="880"/>
                  <w:tcBorders>
                    <w:top w:val="none" w:color="000000" w:sz="4"/>
                    <w:left w:val="none" w:color="000000" w:sz="4"/>
                    <w:bottom w:val="single" w:color="000000" w:sz="4"/>
                    <w:right w:val="single" w:color="000000" w:sz="4"/>
                  </w:tcBorders>
                  <w:vAlign w:val="top"/>
                </w:tcPr>
                <w:p>
                  <w:pPr>
                    <w:jc w:val="center"/>
                  </w:pPr>
                  <w:r>
                    <w:rPr>
                      <w:sz w:val="21"/>
                    </w:rPr>
                    <w:t>不少于</w:t>
                  </w:r>
                  <w:r>
                    <w:rPr>
                      <w:sz w:val="21"/>
                    </w:rPr>
                    <w:t>234</w:t>
                  </w:r>
                  <w:r>
                    <w:rPr>
                      <w:sz w:val="21"/>
                    </w:rPr>
                    <w:t>批次</w:t>
                  </w:r>
                </w:p>
              </w:tc>
            </w:tr>
          </w:tbl>
          <w:p>
            <w:r>
              <w:rPr/>
              <w:t xml:space="preserve"> </w:t>
            </w:r>
            <w:r>
              <w:rPr>
                <w:sz w:val="21"/>
              </w:rPr>
              <w:t>★实际抽检项目根据黄埔区当年实际生产情况及市级要求（2024年广州市产地农产品质量安全监测工作方案）进行调整</w:t>
            </w:r>
            <w:r>
              <w:rPr>
                <w:sz w:val="21"/>
              </w:rPr>
              <w:t>，</w:t>
            </w:r>
            <w:r>
              <w:rPr>
                <w:sz w:val="21"/>
              </w:rPr>
              <w:t>工作方案内含</w:t>
            </w:r>
            <w:r>
              <w:rPr>
                <w:sz w:val="21"/>
              </w:rPr>
              <w:t>标准在实施期间如有新版本发布，以新版本为准</w:t>
            </w:r>
            <w:r>
              <w:rPr>
                <w:sz w:val="21"/>
              </w:rPr>
              <w:t>。</w:t>
            </w:r>
            <w:r>
              <w:rPr>
                <w:sz w:val="21"/>
              </w:rPr>
              <w:t>（提供书面承诺函）</w:t>
            </w:r>
          </w:p>
        </w:tc>
      </w:tr>
      <w:tr>
        <w:tc>
          <w:tcPr>
            <w:tcW w:type="dxa" w:w="2076"/>
          </w:tcPr>
          <w:p/>
        </w:tc>
        <w:tc>
          <w:tcPr>
            <w:tcW w:type="dxa" w:w="415"/>
          </w:tcPr>
          <w:p>
            <w:r>
              <w:rPr/>
              <w:t>3</w:t>
            </w:r>
          </w:p>
        </w:tc>
        <w:tc>
          <w:tcPr>
            <w:tcW w:type="dxa" w:w="5814"/>
          </w:tcPr>
          <w:p>
            <w:pPr>
              <w:jc w:val="both"/>
            </w:pPr>
            <w:r>
              <w:rPr>
                <w:b/>
                <w:sz w:val="21"/>
              </w:rPr>
              <w:t>三、水产品监测项目</w:t>
            </w:r>
          </w:p>
          <w:tbl>
            <w:tblPr>
              <w:tblBorders>
                <w:top w:val="none" w:color="000000" w:sz="4"/>
                <w:left w:val="none" w:color="000000" w:sz="4"/>
                <w:bottom w:val="none" w:color="000000" w:sz="4"/>
                <w:right w:val="none" w:color="000000" w:sz="4"/>
                <w:insideH w:val="none"/>
                <w:insideV w:val="none"/>
              </w:tblBorders>
            </w:tblPr>
            <w:tblGrid>
              <w:gridCol w:w="1247"/>
              <w:gridCol w:w="3701"/>
              <w:gridCol w:w="648"/>
            </w:tblGrid>
            <w:tr>
              <w:tc>
                <w:tcPr>
                  <w:tcW w:type="dxa" w:w="1247"/>
                  <w:tcBorders>
                    <w:top w:val="single" w:color="000000" w:sz="4"/>
                    <w:left w:val="single" w:color="000000" w:sz="4"/>
                    <w:bottom w:val="single" w:color="000000" w:sz="4"/>
                    <w:right w:val="single" w:color="000000" w:sz="4"/>
                  </w:tcBorders>
                  <w:vAlign w:val="top"/>
                </w:tcPr>
                <w:p>
                  <w:pPr>
                    <w:jc w:val="center"/>
                  </w:pPr>
                  <w:r>
                    <w:rPr>
                      <w:b/>
                      <w:sz w:val="21"/>
                    </w:rPr>
                    <w:t>监测品种</w:t>
                  </w:r>
                </w:p>
              </w:tc>
              <w:tc>
                <w:tcPr>
                  <w:tcW w:type="dxa" w:w="3701"/>
                  <w:tcBorders>
                    <w:top w:val="single" w:color="000000" w:sz="4"/>
                    <w:left w:val="none" w:color="000000" w:sz="4"/>
                    <w:bottom w:val="single" w:color="000000" w:sz="4"/>
                    <w:right w:val="single" w:color="000000" w:sz="4"/>
                  </w:tcBorders>
                  <w:vAlign w:val="top"/>
                </w:tcPr>
                <w:p>
                  <w:pPr>
                    <w:jc w:val="center"/>
                  </w:pPr>
                  <w:r>
                    <w:rPr>
                      <w:b/>
                      <w:sz w:val="21"/>
                    </w:rPr>
                    <w:t>监测项目</w:t>
                  </w:r>
                </w:p>
              </w:tc>
              <w:tc>
                <w:tcPr>
                  <w:tcW w:type="dxa" w:w="648"/>
                  <w:tcBorders>
                    <w:top w:val="single" w:color="000000" w:sz="4"/>
                    <w:left w:val="none" w:color="000000" w:sz="4"/>
                    <w:bottom w:val="single" w:color="000000" w:sz="4"/>
                    <w:right w:val="single" w:color="000000" w:sz="4"/>
                  </w:tcBorders>
                  <w:vAlign w:val="top"/>
                </w:tcPr>
                <w:p>
                  <w:pPr>
                    <w:jc w:val="both"/>
                  </w:pPr>
                  <w:r>
                    <w:rPr>
                      <w:b/>
                      <w:sz w:val="21"/>
                    </w:rPr>
                    <w:t>数量</w:t>
                  </w:r>
                </w:p>
              </w:tc>
            </w:tr>
            <w:tr>
              <w:tc>
                <w:tcPr>
                  <w:tcW w:type="dxa" w:w="1247"/>
                  <w:vMerge w:val="restart"/>
                  <w:tcBorders>
                    <w:top w:val="none" w:color="000000" w:sz="4"/>
                    <w:left w:val="single" w:color="000000" w:sz="4"/>
                    <w:bottom w:val="single" w:color="000000" w:sz="4"/>
                    <w:right w:val="single" w:color="000000" w:sz="4"/>
                  </w:tcBorders>
                  <w:vAlign w:val="top"/>
                </w:tcPr>
                <w:p>
                  <w:pPr>
                    <w:jc w:val="center"/>
                  </w:pPr>
                  <w:r>
                    <w:rPr>
                      <w:sz w:val="21"/>
                    </w:rPr>
                    <w:t>水产品</w:t>
                  </w:r>
                </w:p>
                <w:p>
                  <w:pPr>
                    <w:jc w:val="center"/>
                  </w:pPr>
                  <w:r>
                    <w:rPr>
                      <w:sz w:val="21"/>
                    </w:rPr>
                    <w:t>（风险监测）</w:t>
                  </w:r>
                </w:p>
              </w:tc>
              <w:tc>
                <w:tcPr>
                  <w:tcW w:type="dxa" w:w="3701"/>
                  <w:tcBorders>
                    <w:top w:val="none" w:color="000000" w:sz="4"/>
                    <w:left w:val="none" w:color="000000" w:sz="4"/>
                    <w:bottom w:val="single" w:color="000000" w:sz="4"/>
                    <w:right w:val="single" w:color="000000" w:sz="4"/>
                  </w:tcBorders>
                  <w:vAlign w:val="top"/>
                </w:tcPr>
                <w:p>
                  <w:pPr>
                    <w:jc w:val="left"/>
                  </w:pPr>
                  <w:r>
                    <w:rPr>
                      <w:sz w:val="21"/>
                    </w:rPr>
                    <w:t>氯霉素、孔雀石绿、硝基基呋喃类代谢物（呋喃唑酮代谢物</w:t>
                  </w:r>
                  <w:r>
                    <w:rPr>
                      <w:sz w:val="21"/>
                    </w:rPr>
                    <w:t>AOZ、呋喃西林代谢物SEM、呋喃它酮代谢物AMOZ、呋喃妥因代谢物AHD）（3种）</w:t>
                  </w:r>
                </w:p>
              </w:tc>
              <w:tc>
                <w:tcPr>
                  <w:tcW w:type="dxa" w:w="648"/>
                  <w:vMerge w:val="restart"/>
                  <w:tcBorders>
                    <w:top w:val="none" w:color="000000" w:sz="4"/>
                    <w:left w:val="none" w:color="000000" w:sz="4"/>
                    <w:bottom w:val="none" w:color="000000" w:sz="4"/>
                    <w:right w:val="single" w:color="000000" w:sz="4"/>
                  </w:tcBorders>
                  <w:vAlign w:val="top"/>
                </w:tcPr>
                <w:p>
                  <w:pPr>
                    <w:jc w:val="center"/>
                  </w:pPr>
                  <w:r>
                    <w:rPr>
                      <w:color w:val="FF0000"/>
                      <w:sz w:val="21"/>
                    </w:rPr>
                    <w:t>不少于</w:t>
                  </w:r>
                  <w:r>
                    <w:rPr>
                      <w:color w:val="FF0000"/>
                      <w:sz w:val="21"/>
                    </w:rPr>
                    <w:t>240</w:t>
                  </w:r>
                  <w:r>
                    <w:rPr>
                      <w:sz w:val="21"/>
                    </w:rPr>
                    <w:t>批次</w:t>
                  </w:r>
                </w:p>
                <w:p>
                  <w:pPr>
                    <w:jc w:val="center"/>
                  </w:pPr>
                </w:p>
                <w:p>
                  <w:pPr>
                    <w:jc w:val="left"/>
                  </w:pPr>
                </w:p>
              </w:tc>
            </w:tr>
            <w:tr>
              <w:tc>
                <w:tcPr>
                  <w:tcW w:type="dxa" w:w="1247"/>
                  <w:vMerge/>
                  <w:tcBorders>
                    <w:top w:val="none" w:color="000000" w:sz="4"/>
                    <w:left w:val="single" w:color="000000" w:sz="4"/>
                    <w:bottom w:val="single" w:color="000000" w:sz="4"/>
                    <w:right w:val="single" w:color="000000" w:sz="4"/>
                  </w:tcBorders>
                </w:tcPr>
                <w:p/>
              </w:tc>
              <w:tc>
                <w:tcPr>
                  <w:tcW w:type="dxa" w:w="3701"/>
                  <w:tcBorders>
                    <w:top w:val="none" w:color="000000" w:sz="4"/>
                    <w:left w:val="none" w:color="000000" w:sz="4"/>
                    <w:bottom w:val="single" w:color="000000" w:sz="4"/>
                    <w:right w:val="single" w:color="000000" w:sz="4"/>
                  </w:tcBorders>
                  <w:vAlign w:val="top"/>
                </w:tcPr>
                <w:p>
                  <w:pPr>
                    <w:jc w:val="left"/>
                  </w:pPr>
                  <w:r>
                    <w:rPr>
                      <w:sz w:val="21"/>
                    </w:rPr>
                    <w:t>氟喹诺酮类（诺氟沙星、氧氟沙星、培氟沙星、洛美沙星）（</w:t>
                  </w:r>
                  <w:r>
                    <w:rPr>
                      <w:sz w:val="21"/>
                    </w:rPr>
                    <w:t>1种）</w:t>
                  </w:r>
                </w:p>
              </w:tc>
            </w:tr>
            <w:tr>
              <w:tc>
                <w:tcPr>
                  <w:tcW w:type="dxa" w:w="1247"/>
                  <w:vMerge/>
                  <w:tcBorders>
                    <w:top w:val="none" w:color="000000" w:sz="4"/>
                    <w:left w:val="single" w:color="000000" w:sz="4"/>
                    <w:bottom w:val="single" w:color="000000" w:sz="4"/>
                    <w:right w:val="single" w:color="000000" w:sz="4"/>
                  </w:tcBorders>
                </w:tcPr>
                <w:p/>
              </w:tc>
              <w:tc>
                <w:tcPr>
                  <w:tcW w:type="dxa" w:w="3701"/>
                  <w:tcBorders>
                    <w:top w:val="none" w:color="000000" w:sz="4"/>
                    <w:left w:val="none" w:color="000000" w:sz="4"/>
                    <w:bottom w:val="single" w:color="000000" w:sz="4"/>
                    <w:right w:val="single" w:color="000000" w:sz="4"/>
                  </w:tcBorders>
                  <w:vAlign w:val="top"/>
                </w:tcPr>
                <w:p>
                  <w:pPr>
                    <w:jc w:val="left"/>
                  </w:pPr>
                  <w:r>
                    <w:rPr>
                      <w:sz w:val="21"/>
                    </w:rPr>
                    <w:t>酰胺醇类药物（甲砜霉素、氟苯尼考）、氟喹诺酮类（恩诺沙星、环丙沙星）、磺胺类（磺胺噻唑、磺胺嘧啶、磺胺甲基嘧啶、磺胺二甲基嘧啶、磺胺甲基异噁唑、磺胺多辛、磺胺异噁唑、磺胺喹噁啉、磺胺间甲氧嘧啶、磺胺间二甲氧嘧啶、磺胺氯哒嗪和磺胺甲噻二唑）（</w:t>
                  </w:r>
                  <w:r>
                    <w:rPr>
                      <w:sz w:val="21"/>
                    </w:rPr>
                    <w:t>3种）</w:t>
                  </w:r>
                </w:p>
              </w:tc>
            </w:tr>
            <w:tr>
              <w:tc>
                <w:tcPr>
                  <w:tcW w:type="dxa" w:w="1247"/>
                  <w:tcBorders>
                    <w:top w:val="none" w:color="000000" w:sz="4"/>
                    <w:left w:val="single" w:color="000000" w:sz="4"/>
                    <w:bottom w:val="single" w:color="000000" w:sz="4"/>
                    <w:right w:val="single" w:color="000000" w:sz="4"/>
                  </w:tcBorders>
                  <w:vAlign w:val="top"/>
                </w:tcPr>
                <w:p>
                  <w:pPr>
                    <w:jc w:val="center"/>
                  </w:pPr>
                  <w:r>
                    <w:rPr>
                      <w:sz w:val="21"/>
                    </w:rPr>
                    <w:t>水产品</w:t>
                  </w:r>
                </w:p>
                <w:p>
                  <w:pPr>
                    <w:jc w:val="center"/>
                  </w:pPr>
                  <w:r>
                    <w:rPr>
                      <w:sz w:val="21"/>
                    </w:rPr>
                    <w:t>（监督抽查）</w:t>
                  </w:r>
                </w:p>
              </w:tc>
              <w:tc>
                <w:tcPr>
                  <w:tcW w:type="dxa" w:w="3701"/>
                  <w:tcBorders>
                    <w:top w:val="none" w:color="000000" w:sz="4"/>
                    <w:left w:val="none" w:color="000000" w:sz="4"/>
                    <w:bottom w:val="single" w:color="000000" w:sz="4"/>
                    <w:right w:val="single" w:color="000000" w:sz="4"/>
                  </w:tcBorders>
                  <w:vAlign w:val="top"/>
                </w:tcPr>
                <w:p>
                  <w:pPr>
                    <w:jc w:val="left"/>
                  </w:pPr>
                  <w:r>
                    <w:rPr>
                      <w:sz w:val="21"/>
                    </w:rPr>
                    <w:t>【氯霉素、孔雀石绿、地西泮、硝基基呋喃类代谢物（</w:t>
                  </w:r>
                  <w:r>
                    <w:rPr>
                      <w:sz w:val="21"/>
                    </w:rPr>
                    <w:t>AOZ、AMOZ、AHD 、SEM）、氟喹诺酮类（洛美沙星、培氟沙星、诺氟沙星、氧氟沙星）（5种）】</w:t>
                  </w:r>
                </w:p>
              </w:tc>
              <w:tc>
                <w:tcPr>
                  <w:tcW w:type="dxa" w:w="648"/>
                  <w:tcBorders>
                    <w:top w:val="none" w:color="000000" w:sz="4"/>
                    <w:left w:val="none" w:color="000000" w:sz="4"/>
                    <w:bottom w:val="single" w:color="000000" w:sz="4"/>
                    <w:right w:val="single" w:color="000000" w:sz="4"/>
                  </w:tcBorders>
                  <w:vAlign w:val="top"/>
                </w:tcPr>
                <w:p>
                  <w:pPr>
                    <w:jc w:val="center"/>
                  </w:pPr>
                  <w:r>
                    <w:rPr>
                      <w:sz w:val="21"/>
                    </w:rPr>
                    <w:t>不少于</w:t>
                  </w:r>
                  <w:r>
                    <w:rPr>
                      <w:sz w:val="21"/>
                    </w:rPr>
                    <w:t>60批次</w:t>
                  </w:r>
                </w:p>
              </w:tc>
            </w:tr>
          </w:tbl>
          <w:p>
            <w:r>
              <w:rPr/>
              <w:t xml:space="preserve"> </w:t>
            </w:r>
            <w:r>
              <w:rPr>
                <w:sz w:val="21"/>
              </w:rPr>
              <w:t>★实际抽检项目根据黄埔区当年实际生产情况及市级要求（2024年广州市产地农产品质量安全监测工作方案）进行调整</w:t>
            </w:r>
            <w:r>
              <w:rPr>
                <w:sz w:val="21"/>
              </w:rPr>
              <w:t>，</w:t>
            </w:r>
            <w:r>
              <w:rPr>
                <w:sz w:val="21"/>
              </w:rPr>
              <w:t>工作方案内含</w:t>
            </w:r>
            <w:r>
              <w:rPr>
                <w:sz w:val="21"/>
              </w:rPr>
              <w:t>标准在实施期间如有新版本发布，以新版本为准</w:t>
            </w:r>
            <w:r>
              <w:rPr>
                <w:sz w:val="21"/>
              </w:rPr>
              <w:t>。</w:t>
            </w:r>
            <w:r>
              <w:rPr>
                <w:sz w:val="21"/>
              </w:rPr>
              <w:t>（提供书面承诺函）</w:t>
            </w:r>
          </w:p>
        </w:tc>
      </w:tr>
      <w:tr>
        <w:tc>
          <w:tcPr>
            <w:tcW w:type="dxa" w:w="2076"/>
          </w:tcPr>
          <w:p/>
        </w:tc>
        <w:tc>
          <w:tcPr>
            <w:tcW w:type="dxa" w:w="415"/>
          </w:tcPr>
          <w:p>
            <w:r>
              <w:rPr/>
              <w:t>4</w:t>
            </w:r>
          </w:p>
        </w:tc>
        <w:tc>
          <w:tcPr>
            <w:tcW w:type="dxa" w:w="5814"/>
          </w:tcPr>
          <w:p>
            <w:pPr>
              <w:jc w:val="both"/>
            </w:pPr>
            <w:r>
              <w:rPr>
                <w:b/>
                <w:sz w:val="21"/>
              </w:rPr>
              <w:t>四、生鲜乳监测项目</w:t>
            </w:r>
          </w:p>
          <w:tbl>
            <w:tblPr>
              <w:tblBorders>
                <w:top w:val="none" w:color="000000" w:sz="4"/>
                <w:left w:val="none" w:color="000000" w:sz="4"/>
                <w:bottom w:val="none" w:color="000000" w:sz="4"/>
                <w:right w:val="none" w:color="000000" w:sz="4"/>
                <w:insideH w:val="none"/>
                <w:insideV w:val="none"/>
              </w:tblBorders>
            </w:tblPr>
            <w:tblGrid>
              <w:gridCol w:w="1178"/>
              <w:gridCol w:w="3596"/>
              <w:gridCol w:w="823"/>
            </w:tblGrid>
            <w:tr>
              <w:tc>
                <w:tcPr>
                  <w:tcW w:type="dxa" w:w="1178"/>
                  <w:tcBorders>
                    <w:top w:val="single" w:color="000000" w:sz="4"/>
                    <w:left w:val="single" w:color="000000" w:sz="4"/>
                    <w:bottom w:val="single" w:color="000000" w:sz="4"/>
                    <w:right w:val="single" w:color="000000" w:sz="4"/>
                  </w:tcBorders>
                  <w:vAlign w:val="top"/>
                </w:tcPr>
                <w:p>
                  <w:pPr>
                    <w:jc w:val="center"/>
                  </w:pPr>
                  <w:r>
                    <w:rPr>
                      <w:b/>
                      <w:sz w:val="21"/>
                    </w:rPr>
                    <w:t>监测品种</w:t>
                  </w:r>
                </w:p>
              </w:tc>
              <w:tc>
                <w:tcPr>
                  <w:tcW w:type="dxa" w:w="3596"/>
                  <w:tcBorders>
                    <w:top w:val="single" w:color="000000" w:sz="4"/>
                    <w:left w:val="none" w:color="000000" w:sz="4"/>
                    <w:bottom w:val="single" w:color="000000" w:sz="4"/>
                    <w:right w:val="single" w:color="000000" w:sz="4"/>
                  </w:tcBorders>
                  <w:vAlign w:val="top"/>
                </w:tcPr>
                <w:p>
                  <w:pPr>
                    <w:jc w:val="center"/>
                  </w:pPr>
                  <w:r>
                    <w:rPr>
                      <w:b/>
                      <w:sz w:val="21"/>
                    </w:rPr>
                    <w:t>监测项目</w:t>
                  </w:r>
                </w:p>
              </w:tc>
              <w:tc>
                <w:tcPr>
                  <w:tcW w:type="dxa" w:w="823"/>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1178"/>
                  <w:tcBorders>
                    <w:top w:val="none" w:color="000000" w:sz="4"/>
                    <w:left w:val="single" w:color="000000" w:sz="4"/>
                    <w:bottom w:val="single" w:color="000000" w:sz="4"/>
                    <w:right w:val="single" w:color="000000" w:sz="4"/>
                  </w:tcBorders>
                  <w:vAlign w:val="top"/>
                </w:tcPr>
                <w:p>
                  <w:pPr>
                    <w:jc w:val="center"/>
                  </w:pPr>
                  <w:r>
                    <w:rPr>
                      <w:sz w:val="21"/>
                    </w:rPr>
                    <w:t>生鲜乳</w:t>
                  </w:r>
                </w:p>
                <w:p>
                  <w:pPr>
                    <w:jc w:val="center"/>
                  </w:pPr>
                  <w:r>
                    <w:rPr>
                      <w:sz w:val="21"/>
                    </w:rPr>
                    <w:t>（风险监测）</w:t>
                  </w:r>
                </w:p>
              </w:tc>
              <w:tc>
                <w:tcPr>
                  <w:tcW w:type="dxa" w:w="3596"/>
                  <w:tcBorders>
                    <w:top w:val="none" w:color="000000" w:sz="4"/>
                    <w:left w:val="none" w:color="000000" w:sz="4"/>
                    <w:bottom w:val="single" w:color="000000" w:sz="4"/>
                    <w:right w:val="single" w:color="000000" w:sz="4"/>
                  </w:tcBorders>
                  <w:vAlign w:val="top"/>
                </w:tcPr>
                <w:p>
                  <w:pPr>
                    <w:jc w:val="left"/>
                  </w:pPr>
                  <w:r>
                    <w:rPr>
                      <w:sz w:val="21"/>
                    </w:rPr>
                    <w:t>菌落总数、蛋白质、脂肪、六六六、滴滴涕、硫氰酸钠、</w:t>
                  </w:r>
                  <w:r>
                    <w:rPr>
                      <w:sz w:val="21"/>
                    </w:rPr>
                    <w:t>β-内酰胺酶、L-羟脯氨酸、抗生素残留【阿莫西林、氨苄西林、青霉素G、链霉素、双氢链霉素、庆大霉素、大观霉素、新霉素、恩诺沙星、环丙沙星、达氟沙星、沙拉沙星、四环素、土霉素、金霉素、多西环素、磺胺类：磺胺二甲基嘧啶、磺胺二甲异嘧啶、磺胺二甲氧基嘧啶、磺胺吡啶、磺胺嘧啶、磺胺异噁唑、磺胺甲基嘧啶、磺胺甲基异噁唑】（9种）</w:t>
                  </w:r>
                </w:p>
              </w:tc>
              <w:tc>
                <w:tcPr>
                  <w:tcW w:type="dxa" w:w="823"/>
                  <w:tcBorders>
                    <w:top w:val="none" w:color="000000" w:sz="4"/>
                    <w:left w:val="none" w:color="000000" w:sz="4"/>
                    <w:bottom w:val="single" w:color="000000" w:sz="4"/>
                    <w:right w:val="single" w:color="000000" w:sz="4"/>
                  </w:tcBorders>
                  <w:vAlign w:val="top"/>
                </w:tcPr>
                <w:p>
                  <w:pPr>
                    <w:jc w:val="center"/>
                  </w:pPr>
                  <w:r>
                    <w:rPr>
                      <w:sz w:val="21"/>
                    </w:rPr>
                    <w:t>不少于</w:t>
                  </w:r>
                  <w:r>
                    <w:rPr>
                      <w:sz w:val="21"/>
                    </w:rPr>
                    <w:t>24</w:t>
                  </w:r>
                  <w:r>
                    <w:rPr>
                      <w:sz w:val="21"/>
                    </w:rPr>
                    <w:t>批次</w:t>
                  </w:r>
                </w:p>
              </w:tc>
            </w:tr>
            <w:tr>
              <w:tc>
                <w:tcPr>
                  <w:tcW w:type="dxa" w:w="1178"/>
                  <w:tcBorders>
                    <w:top w:val="none" w:color="000000" w:sz="4"/>
                    <w:left w:val="single" w:color="000000" w:sz="4"/>
                    <w:bottom w:val="single" w:color="000000" w:sz="4"/>
                    <w:right w:val="single" w:color="000000" w:sz="4"/>
                  </w:tcBorders>
                  <w:vAlign w:val="top"/>
                </w:tcPr>
                <w:p>
                  <w:pPr>
                    <w:jc w:val="center"/>
                  </w:pPr>
                  <w:r>
                    <w:rPr>
                      <w:sz w:val="21"/>
                    </w:rPr>
                    <w:t>生鲜乳</w:t>
                  </w:r>
                </w:p>
                <w:p>
                  <w:pPr>
                    <w:jc w:val="center"/>
                  </w:pPr>
                  <w:r>
                    <w:rPr>
                      <w:sz w:val="21"/>
                    </w:rPr>
                    <w:t>（监督抽查）</w:t>
                  </w:r>
                </w:p>
              </w:tc>
              <w:tc>
                <w:tcPr>
                  <w:tcW w:type="dxa" w:w="3596"/>
                  <w:tcBorders>
                    <w:top w:val="none" w:color="000000" w:sz="4"/>
                    <w:left w:val="none" w:color="000000" w:sz="4"/>
                    <w:bottom w:val="single" w:color="000000" w:sz="4"/>
                    <w:right w:val="single" w:color="000000" w:sz="4"/>
                  </w:tcBorders>
                  <w:vAlign w:val="top"/>
                </w:tcPr>
                <w:p>
                  <w:pPr>
                    <w:jc w:val="left"/>
                  </w:pPr>
                  <w:r>
                    <w:rPr>
                      <w:sz w:val="21"/>
                    </w:rPr>
                    <w:t>【三聚氰胺、黄曲霉素</w:t>
                  </w:r>
                  <w:r>
                    <w:rPr>
                      <w:sz w:val="21"/>
                    </w:rPr>
                    <w:t>M1、铅、铬、汞和总砷（6种）】</w:t>
                  </w:r>
                </w:p>
              </w:tc>
              <w:tc>
                <w:tcPr>
                  <w:tcW w:type="dxa" w:w="823"/>
                  <w:tcBorders>
                    <w:top w:val="none" w:color="000000" w:sz="4"/>
                    <w:left w:val="none" w:color="000000" w:sz="4"/>
                    <w:bottom w:val="single" w:color="000000" w:sz="4"/>
                    <w:right w:val="single" w:color="000000" w:sz="4"/>
                  </w:tcBorders>
                  <w:vAlign w:val="top"/>
                </w:tcPr>
                <w:p>
                  <w:pPr>
                    <w:jc w:val="center"/>
                  </w:pPr>
                  <w:r>
                    <w:rPr>
                      <w:sz w:val="21"/>
                    </w:rPr>
                    <w:t>不少于</w:t>
                  </w:r>
                  <w:r>
                    <w:rPr>
                      <w:sz w:val="21"/>
                    </w:rPr>
                    <w:t>6批次</w:t>
                  </w:r>
                </w:p>
              </w:tc>
            </w:tr>
          </w:tbl>
          <w:p>
            <w:r>
              <w:rPr/>
              <w:t xml:space="preserve"> </w:t>
            </w:r>
            <w:r>
              <w:rPr>
                <w:sz w:val="21"/>
              </w:rPr>
              <w:t>★实际抽检项目根据黄埔区当年实际生产情况及市级要求（2024年广州市产地农产品质量安全监测工作方案）进行调整</w:t>
            </w:r>
            <w:r>
              <w:rPr>
                <w:sz w:val="21"/>
              </w:rPr>
              <w:t>，</w:t>
            </w:r>
            <w:r>
              <w:rPr>
                <w:sz w:val="21"/>
              </w:rPr>
              <w:t>工作方案内含</w:t>
            </w:r>
            <w:r>
              <w:rPr>
                <w:sz w:val="21"/>
              </w:rPr>
              <w:t>标准在实施期间如有新版本发布，以新版本为准</w:t>
            </w:r>
            <w:r>
              <w:rPr>
                <w:sz w:val="21"/>
              </w:rPr>
              <w:t>。</w:t>
            </w:r>
          </w:p>
        </w:tc>
      </w:tr>
      <w:tr>
        <w:tc>
          <w:tcPr>
            <w:tcW w:type="dxa" w:w="2076"/>
          </w:tcPr>
          <w:p/>
        </w:tc>
        <w:tc>
          <w:tcPr>
            <w:tcW w:type="dxa" w:w="415"/>
          </w:tcPr>
          <w:p>
            <w:r>
              <w:rPr/>
              <w:t>5</w:t>
            </w:r>
          </w:p>
        </w:tc>
        <w:tc>
          <w:tcPr>
            <w:tcW w:type="dxa" w:w="5814"/>
          </w:tcPr>
          <w:p>
            <w:pPr>
              <w:jc w:val="both"/>
            </w:pPr>
            <w:r>
              <w:rPr>
                <w:b/>
                <w:sz w:val="21"/>
              </w:rPr>
              <w:t>五</w:t>
            </w:r>
            <w:r>
              <w:rPr>
                <w:b/>
                <w:sz w:val="21"/>
              </w:rPr>
              <w:t>、项目工作要求</w:t>
            </w:r>
          </w:p>
          <w:p>
            <w:pPr>
              <w:jc w:val="both"/>
            </w:pPr>
            <w:r>
              <w:rPr>
                <w:sz w:val="21"/>
              </w:rPr>
              <w:t>1、种植产品、水产品、生鲜乳检测方法和结果判定</w:t>
            </w:r>
          </w:p>
          <w:p>
            <w:pPr>
              <w:jc w:val="both"/>
            </w:pPr>
            <w:r>
              <w:rPr>
                <w:sz w:val="21"/>
              </w:rPr>
              <w:t>（</w:t>
            </w:r>
            <w:r>
              <w:rPr>
                <w:sz w:val="21"/>
              </w:rPr>
              <w:t>1）风险监测</w:t>
            </w:r>
          </w:p>
          <w:p>
            <w:pPr>
              <w:ind w:firstLine="420"/>
              <w:jc w:val="both"/>
            </w:pPr>
            <w:r>
              <w:rPr>
                <w:sz w:val="21"/>
              </w:rPr>
              <w:t>种植业产品农药残留监测项目按</w:t>
            </w:r>
            <w:r>
              <w:rPr>
                <w:sz w:val="21"/>
              </w:rPr>
              <w:t>GB 2763</w:t>
            </w:r>
            <w:r>
              <w:rPr>
                <w:sz w:val="21"/>
              </w:rPr>
              <w:t>、</w:t>
            </w:r>
            <w:r>
              <w:rPr>
                <w:sz w:val="21"/>
              </w:rPr>
              <w:t>GB 2763.1（2023年5月11日实施）</w:t>
            </w:r>
            <w:r>
              <w:rPr>
                <w:sz w:val="21"/>
              </w:rPr>
              <w:t>及国家农产品质量安全例行监测要求判定。所监测项目全部合格者，判定为</w:t>
            </w:r>
            <w:r>
              <w:rPr>
                <w:sz w:val="21"/>
              </w:rPr>
              <w:t>“该批次产品所检项目符合GB 2763</w:t>
            </w:r>
            <w:r>
              <w:rPr>
                <w:sz w:val="21"/>
              </w:rPr>
              <w:t>、</w:t>
            </w:r>
            <w:r>
              <w:rPr>
                <w:sz w:val="21"/>
              </w:rPr>
              <w:t>GB 2763.1</w:t>
            </w:r>
            <w:r>
              <w:rPr>
                <w:sz w:val="21"/>
              </w:rPr>
              <w:t>及本项目的要求</w:t>
            </w:r>
            <w:r>
              <w:rPr>
                <w:sz w:val="21"/>
              </w:rPr>
              <w:t>”；有一项（或以上）指标不合格者，即判定为“该批次产品不合格”；未上市样品所检测项目中仅对禁限用农药进行判定，农药残留普查专项主要为了解产品用药情况，仅对GB 2763</w:t>
            </w:r>
            <w:r>
              <w:rPr>
                <w:sz w:val="21"/>
              </w:rPr>
              <w:t>、</w:t>
            </w:r>
            <w:r>
              <w:rPr>
                <w:sz w:val="21"/>
              </w:rPr>
              <w:t>GB 2763.1</w:t>
            </w:r>
            <w:r>
              <w:rPr>
                <w:sz w:val="21"/>
              </w:rPr>
              <w:t>有规定的项目进行判定。种植业产品重金属监测项目按</w:t>
            </w:r>
            <w:r>
              <w:rPr>
                <w:sz w:val="21"/>
              </w:rPr>
              <w:t>GB 2762进行判定。</w:t>
            </w:r>
          </w:p>
          <w:p>
            <w:pPr>
              <w:ind w:firstLine="420"/>
              <w:jc w:val="both"/>
            </w:pPr>
            <w:r>
              <w:rPr>
                <w:sz w:val="21"/>
              </w:rPr>
              <w:t>水产品重金属监测项目按</w:t>
            </w:r>
            <w:r>
              <w:rPr>
                <w:sz w:val="21"/>
              </w:rPr>
              <w:t>GB 2762进行判定。养殖中的水产品常规药物不做判定。所检项目按以下要求判定：禁用药物：氯霉素不得检出，判定限为≤0.3μg/kg；孔雀石绿不得检出，判定限为孔雀石绿和隐色孔雀石绿的总量≤1.0μg/kg；硝基呋喃类代谢物不得检出，判定限AOZ、SEM、AMOZ和AHD各为≤1.0μg/kg；食品动物中停止使用药物：诺氟沙星、氧氟沙星、培氟沙星和洛美沙星不得检出，判定限各为≤2.0μg/kg；常规药物：酰胺醇类药物的判定限为甲砜霉素≤50μg/kg,氟苯尼考和氟苯尼考胺的总量≤1000μg/kg；氟喹诺酮类的判定限为恩诺沙星和环丙沙星的总量≤100μg/kg；磺胺类的判定限为磺胺嘧啶等12种的总量≤100μg/kg。</w:t>
            </w:r>
          </w:p>
          <w:p>
            <w:pPr>
              <w:jc w:val="both"/>
            </w:pPr>
            <w:r>
              <w:rPr>
                <w:sz w:val="21"/>
              </w:rPr>
              <w:t>（</w:t>
            </w:r>
            <w:r>
              <w:rPr>
                <w:sz w:val="21"/>
              </w:rPr>
              <w:t>2）监督抽查</w:t>
            </w:r>
          </w:p>
          <w:p>
            <w:pPr>
              <w:ind w:firstLine="420"/>
              <w:jc w:val="both"/>
            </w:pPr>
            <w:r>
              <w:rPr>
                <w:sz w:val="21"/>
              </w:rPr>
              <w:t>种植业产品按</w:t>
            </w:r>
            <w:r>
              <w:rPr>
                <w:sz w:val="21"/>
              </w:rPr>
              <w:t>GB 2763</w:t>
            </w:r>
            <w:r>
              <w:rPr>
                <w:sz w:val="21"/>
              </w:rPr>
              <w:t>、</w:t>
            </w:r>
            <w:r>
              <w:rPr>
                <w:sz w:val="21"/>
              </w:rPr>
              <w:t>GB 2763.1</w:t>
            </w:r>
            <w:r>
              <w:rPr>
                <w:sz w:val="21"/>
              </w:rPr>
              <w:t>的要求进行判定，所监测项目全部合格者，判定为</w:t>
            </w:r>
            <w:r>
              <w:rPr>
                <w:sz w:val="21"/>
              </w:rPr>
              <w:t>“该批次产品所检项目符合GB 2763</w:t>
            </w:r>
            <w:r>
              <w:rPr>
                <w:sz w:val="21"/>
              </w:rPr>
              <w:t>、</w:t>
            </w:r>
            <w:r>
              <w:rPr>
                <w:sz w:val="21"/>
              </w:rPr>
              <w:t>GB 2763.1</w:t>
            </w:r>
            <w:r>
              <w:rPr>
                <w:sz w:val="21"/>
              </w:rPr>
              <w:t>要求</w:t>
            </w:r>
            <w:r>
              <w:rPr>
                <w:sz w:val="21"/>
              </w:rPr>
              <w:t>”，有一项指标不合格者，即判定为“该批次产品不合格”。</w:t>
            </w:r>
          </w:p>
          <w:p>
            <w:pPr>
              <w:ind w:firstLine="420"/>
              <w:jc w:val="both"/>
            </w:pPr>
            <w:r>
              <w:rPr>
                <w:sz w:val="21"/>
              </w:rPr>
              <w:t>水产品按有关法律法规规章、现行有效的部令公告或相关标准进行判定。按照检测数据的统一判定原则，部分检测项目判定方式规定如下：禁用药物：氯霉素不得检出，判定限为</w:t>
            </w:r>
            <w:r>
              <w:rPr>
                <w:sz w:val="21"/>
              </w:rPr>
              <w:t>≤0.</w:t>
            </w:r>
            <w:r>
              <w:rPr>
                <w:sz w:val="21"/>
              </w:rPr>
              <w:t>1</w:t>
            </w:r>
            <w:r>
              <w:rPr>
                <w:sz w:val="21"/>
              </w:rPr>
              <w:t>μg/kg；孔雀石绿不得检出，判定限为孔雀石绿和隐色孔雀石绿的总量≤</w:t>
            </w:r>
            <w:r>
              <w:rPr>
                <w:sz w:val="21"/>
              </w:rPr>
              <w:t>0.5</w:t>
            </w:r>
            <w:r>
              <w:rPr>
                <w:sz w:val="21"/>
              </w:rPr>
              <w:t>μg/kg；硝基呋喃类代谢物不得检出，判定限AOZ、SEM、AMOZ和AHD各为≤</w:t>
            </w:r>
            <w:r>
              <w:rPr>
                <w:sz w:val="21"/>
              </w:rPr>
              <w:t>0.5</w:t>
            </w:r>
            <w:r>
              <w:rPr>
                <w:sz w:val="21"/>
              </w:rPr>
              <w:t>μg/kg；食品动物中停止使用药物：诺氟沙星、氧氟沙星、培氟沙星和洛美沙星不得检出，判定限各为≤2.0μg/kg；允许治疗用，不得在动物性食品中检出的兽药：地西泮不得检出，判定限为≤0.5μg/kg。</w:t>
            </w:r>
          </w:p>
          <w:p>
            <w:pPr>
              <w:jc w:val="both"/>
            </w:pPr>
            <w:r>
              <w:rPr>
                <w:sz w:val="21"/>
              </w:rPr>
              <w:t>（</w:t>
            </w:r>
            <w:r>
              <w:rPr>
                <w:sz w:val="21"/>
              </w:rPr>
              <w:t>3）生鲜乳</w:t>
            </w:r>
          </w:p>
          <w:p>
            <w:pPr>
              <w:jc w:val="both"/>
            </w:pPr>
            <w:r>
              <w:rPr>
                <w:sz w:val="21"/>
              </w:rPr>
              <w:t>生鲜乳检测方法和结果判定详见如下：</w:t>
            </w:r>
          </w:p>
          <w:tbl>
            <w:tblPr>
              <w:tblBorders>
                <w:top w:val="none" w:color="000000" w:sz="4"/>
                <w:left w:val="none" w:color="000000" w:sz="4"/>
                <w:bottom w:val="none" w:color="000000" w:sz="4"/>
                <w:right w:val="none" w:color="000000" w:sz="4"/>
                <w:insideH w:val="none"/>
                <w:insideV w:val="none"/>
              </w:tblBorders>
            </w:tblPr>
            <w:tblGrid>
              <w:gridCol w:w="636"/>
              <w:gridCol w:w="646"/>
              <w:gridCol w:w="2017"/>
              <w:gridCol w:w="2297"/>
            </w:tblGrid>
            <w:tr>
              <w:tc>
                <w:tcPr>
                  <w:tcW w:type="dxa" w:w="636"/>
                  <w:tcBorders>
                    <w:top w:val="single" w:color="000000" w:sz="4"/>
                    <w:left w:val="single" w:color="000000" w:sz="4"/>
                    <w:bottom w:val="single" w:color="000000" w:sz="4"/>
                    <w:right w:val="single" w:color="000000" w:sz="4"/>
                  </w:tcBorders>
                  <w:vAlign w:val="top"/>
                </w:tcPr>
                <w:p>
                  <w:pPr>
                    <w:jc w:val="center"/>
                  </w:pPr>
                  <w:r>
                    <w:rPr>
                      <w:b/>
                      <w:sz w:val="21"/>
                    </w:rPr>
                    <w:t>任务</w:t>
                  </w:r>
                </w:p>
                <w:p>
                  <w:pPr>
                    <w:jc w:val="center"/>
                  </w:pPr>
                  <w:r>
                    <w:rPr>
                      <w:b/>
                      <w:sz w:val="21"/>
                    </w:rPr>
                    <w:t>类别</w:t>
                  </w:r>
                </w:p>
              </w:tc>
              <w:tc>
                <w:tcPr>
                  <w:tcW w:type="dxa" w:w="646"/>
                  <w:tcBorders>
                    <w:top w:val="single" w:color="000000" w:sz="4"/>
                    <w:left w:val="none" w:color="000000" w:sz="4"/>
                    <w:bottom w:val="single" w:color="000000" w:sz="4"/>
                    <w:right w:val="single" w:color="000000" w:sz="4"/>
                  </w:tcBorders>
                  <w:vAlign w:val="top"/>
                </w:tcPr>
                <w:p>
                  <w:pPr>
                    <w:jc w:val="center"/>
                  </w:pPr>
                  <w:r>
                    <w:rPr>
                      <w:b/>
                      <w:sz w:val="21"/>
                    </w:rPr>
                    <w:t>监测</w:t>
                  </w:r>
                </w:p>
                <w:p>
                  <w:pPr>
                    <w:jc w:val="center"/>
                  </w:pPr>
                  <w:r>
                    <w:rPr>
                      <w:b/>
                      <w:sz w:val="21"/>
                    </w:rPr>
                    <w:t>项目</w:t>
                  </w:r>
                </w:p>
              </w:tc>
              <w:tc>
                <w:tcPr>
                  <w:tcW w:type="dxa" w:w="2017"/>
                  <w:tcBorders>
                    <w:top w:val="single" w:color="000000" w:sz="4"/>
                    <w:left w:val="none" w:color="000000" w:sz="4"/>
                    <w:bottom w:val="single" w:color="000000" w:sz="4"/>
                    <w:right w:val="single" w:color="000000" w:sz="4"/>
                  </w:tcBorders>
                  <w:vAlign w:val="top"/>
                </w:tcPr>
                <w:p>
                  <w:pPr>
                    <w:jc w:val="both"/>
                  </w:pPr>
                  <w:r>
                    <w:rPr>
                      <w:b/>
                      <w:sz w:val="21"/>
                    </w:rPr>
                    <w:t>建议检测方法</w:t>
                  </w:r>
                </w:p>
              </w:tc>
              <w:tc>
                <w:tcPr>
                  <w:tcW w:type="dxa" w:w="2297"/>
                  <w:tcBorders>
                    <w:top w:val="single" w:color="000000" w:sz="4"/>
                    <w:left w:val="none" w:color="000000" w:sz="4"/>
                    <w:bottom w:val="single" w:color="000000" w:sz="4"/>
                    <w:right w:val="single" w:color="000000" w:sz="4"/>
                  </w:tcBorders>
                  <w:vAlign w:val="top"/>
                </w:tcPr>
                <w:p>
                  <w:pPr>
                    <w:jc w:val="both"/>
                  </w:pPr>
                  <w:r>
                    <w:rPr>
                      <w:b/>
                      <w:sz w:val="21"/>
                    </w:rPr>
                    <w:t>判定标准</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菌落总数</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食品安全国家标准食品微生物学检验菌落总数测定</w:t>
                  </w:r>
                  <w:r>
                    <w:rPr>
                      <w:sz w:val="21"/>
                    </w:rPr>
                    <w:t>GB 4789.2-</w:t>
                  </w:r>
                  <w:r>
                    <w:rPr>
                      <w:sz w:val="21"/>
                    </w:rPr>
                    <w:t>2022</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19301-2010《食品安全国家标准 生乳》</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蛋白质</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食品安全国家标准食品中蛋白质的测定</w:t>
                  </w:r>
                  <w:r>
                    <w:rPr>
                      <w:sz w:val="21"/>
                    </w:rPr>
                    <w:t>GB 5009.5-2016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19301-2010《食品安全国家标准 生乳》</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脂肪</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食品安全国家标准食品中脂肪的测定</w:t>
                  </w:r>
                  <w:r>
                    <w:rPr>
                      <w:sz w:val="21"/>
                    </w:rPr>
                    <w:t>GB 5009.6-2016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19301-2010《食品安全国家标准 生乳》</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六六六</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食品中有机氯农药多组分残留量的测定</w:t>
                  </w:r>
                  <w:r>
                    <w:rPr>
                      <w:sz w:val="21"/>
                    </w:rPr>
                    <w:t>GB/T 5009.19-2008</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2763-2021《食品安全国家标准食品中农药最大残留限量》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滴滴涕</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食品中有机氯农药多组分残留量的测定</w:t>
                  </w:r>
                  <w:r>
                    <w:rPr>
                      <w:sz w:val="21"/>
                    </w:rPr>
                    <w:t>GB/T5009.19-2008</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2763-2021《食品安全国家标准食品中农药最大残留限量》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硫氰酸钠</w:t>
                  </w:r>
                </w:p>
              </w:tc>
              <w:tc>
                <w:tcPr>
                  <w:tcW w:type="dxa" w:w="2017"/>
                  <w:tcBorders>
                    <w:top w:val="none" w:color="000000" w:sz="4"/>
                    <w:left w:val="none" w:color="000000" w:sz="4"/>
                    <w:bottom w:val="single" w:color="000000" w:sz="4"/>
                    <w:right w:val="single" w:color="000000" w:sz="4"/>
                  </w:tcBorders>
                  <w:vAlign w:val="top"/>
                </w:tcPr>
                <w:p>
                  <w:pPr>
                    <w:jc w:val="left"/>
                  </w:pPr>
                  <w:r>
                    <w:rPr>
                      <w:sz w:val="21"/>
                    </w:rPr>
                    <w:t>乳及乳制品中硫氰酸根的测定</w:t>
                  </w:r>
                  <w:r>
                    <w:rPr>
                      <w:sz w:val="21"/>
                    </w:rPr>
                    <w:t>BJS 201709</w:t>
                  </w:r>
                </w:p>
              </w:tc>
              <w:tc>
                <w:tcPr>
                  <w:tcW w:type="dxa" w:w="2297"/>
                  <w:tcBorders>
                    <w:top w:val="none" w:color="000000" w:sz="4"/>
                    <w:left w:val="none" w:color="000000" w:sz="4"/>
                    <w:bottom w:val="single" w:color="000000" w:sz="4"/>
                    <w:right w:val="single" w:color="000000" w:sz="4"/>
                  </w:tcBorders>
                  <w:vAlign w:val="top"/>
                </w:tcPr>
                <w:p>
                  <w:pPr>
                    <w:jc w:val="left"/>
                  </w:pPr>
                  <w:r>
                    <w:rPr>
                      <w:sz w:val="21"/>
                    </w:rPr>
                    <w:t>实测值</w:t>
                  </w:r>
                  <w:r>
                    <w:rPr>
                      <w:sz w:val="21"/>
                    </w:rPr>
                    <w:t>(原料乳中一般含有一定本底浓度的硫氰酸钠，以十字花科的植物原料作为动物饲料饲喂奶牛，是原料乳中硫氰酸盐的来源之一)</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β-内酰胺酶</w:t>
                  </w:r>
                </w:p>
              </w:tc>
              <w:tc>
                <w:tcPr>
                  <w:tcW w:type="dxa" w:w="2017"/>
                  <w:tcBorders>
                    <w:top w:val="none" w:color="000000" w:sz="4"/>
                    <w:left w:val="none" w:color="000000" w:sz="4"/>
                    <w:bottom w:val="single" w:color="000000" w:sz="4"/>
                    <w:right w:val="single" w:color="000000" w:sz="4"/>
                  </w:tcBorders>
                  <w:vAlign w:val="top"/>
                </w:tcPr>
                <w:p>
                  <w:pPr>
                    <w:jc w:val="left"/>
                  </w:pPr>
                  <w:r>
                    <w:rPr>
                      <w:sz w:val="21"/>
                    </w:rPr>
                    <w:t>商品化试剂盒检测方法</w:t>
                  </w:r>
                  <w:r>
                    <w:rPr>
                      <w:sz w:val="21"/>
                    </w:rPr>
                    <w:t>β-内酰胺酶方法一SNT 4533.1-2016</w:t>
                  </w:r>
                </w:p>
              </w:tc>
              <w:tc>
                <w:tcPr>
                  <w:tcW w:type="dxa" w:w="2297"/>
                  <w:tcBorders>
                    <w:top w:val="none" w:color="000000" w:sz="4"/>
                    <w:left w:val="none" w:color="000000" w:sz="4"/>
                    <w:bottom w:val="single" w:color="000000" w:sz="4"/>
                    <w:right w:val="single" w:color="000000" w:sz="4"/>
                  </w:tcBorders>
                  <w:vAlign w:val="top"/>
                </w:tcPr>
                <w:p>
                  <w:pPr>
                    <w:jc w:val="left"/>
                  </w:pPr>
                  <w:r>
                    <w:rPr>
                      <w:sz w:val="21"/>
                    </w:rPr>
                    <w:t>食品整治办</w:t>
                  </w:r>
                  <w:r>
                    <w:rPr>
                      <w:sz w:val="21"/>
                    </w:rPr>
                    <w:t>[2009]5号 食品中可能违法添加的非食用物质名单(第二批)</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L~羟脯氨酸</w:t>
                  </w:r>
                </w:p>
              </w:tc>
              <w:tc>
                <w:tcPr>
                  <w:tcW w:type="dxa" w:w="2017"/>
                  <w:tcBorders>
                    <w:top w:val="none" w:color="000000" w:sz="4"/>
                    <w:left w:val="none" w:color="000000" w:sz="4"/>
                    <w:bottom w:val="single" w:color="000000" w:sz="4"/>
                    <w:right w:val="single" w:color="000000" w:sz="4"/>
                  </w:tcBorders>
                  <w:vAlign w:val="top"/>
                </w:tcPr>
                <w:p>
                  <w:pPr>
                    <w:jc w:val="left"/>
                  </w:pPr>
                  <w:r>
                    <w:rPr>
                      <w:sz w:val="21"/>
                    </w:rPr>
                    <w:t>生乳中</w:t>
                  </w:r>
                  <w:r>
                    <w:rPr>
                      <w:sz w:val="21"/>
                    </w:rPr>
                    <w:t>L-羟脯氨酸的测定 NY/T 3130-2017</w:t>
                  </w:r>
                </w:p>
              </w:tc>
              <w:tc>
                <w:tcPr>
                  <w:tcW w:type="dxa" w:w="2297"/>
                  <w:tcBorders>
                    <w:top w:val="none" w:color="000000" w:sz="4"/>
                    <w:left w:val="none" w:color="000000" w:sz="4"/>
                    <w:bottom w:val="single" w:color="000000" w:sz="4"/>
                    <w:right w:val="single" w:color="000000" w:sz="4"/>
                  </w:tcBorders>
                  <w:vAlign w:val="top"/>
                </w:tcPr>
                <w:p>
                  <w:pPr>
                    <w:jc w:val="left"/>
                  </w:pPr>
                  <w:r>
                    <w:rPr>
                      <w:sz w:val="21"/>
                    </w:rPr>
                    <w:t>食品整治办</w:t>
                  </w:r>
                  <w:r>
                    <w:rPr>
                      <w:sz w:val="21"/>
                    </w:rPr>
                    <w:t>[2009]5号 食品中可能违法添加的非食用物质名单(第二批)</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阿莫西林</w:t>
                  </w:r>
                  <w:r>
                    <w:rPr>
                      <w:sz w:val="21"/>
                    </w:rPr>
                    <w:t>(羟氨苄青霉素)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动物源性食品中青霉素族抗生素残留量检测方法</w:t>
                  </w:r>
                  <w:r>
                    <w:rPr>
                      <w:sz w:val="21"/>
                    </w:rPr>
                    <w:t>液相色谱</w:t>
                  </w:r>
                  <w:r>
                    <w:rPr>
                      <w:sz w:val="21"/>
                    </w:rPr>
                    <w:t>-质谱/质谱法 GB/T 21315-2007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氨苄西林</w:t>
                  </w:r>
                </w:p>
                <w:p>
                  <w:pPr>
                    <w:jc w:val="center"/>
                  </w:pPr>
                  <w:r>
                    <w:rPr>
                      <w:sz w:val="21"/>
                    </w:rPr>
                    <w:t>(氨苄青霉素)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动物源性食品中青霉素族抗生素残留量检测方法液相色谱</w:t>
                  </w:r>
                  <w:r>
                    <w:rPr>
                      <w:sz w:val="21"/>
                    </w:rPr>
                    <w:t>-质谱/质谱法 GB/T 21315-2007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青霉素</w:t>
                  </w:r>
                  <w:r>
                    <w:rPr>
                      <w:sz w:val="21"/>
                    </w:rPr>
                    <w:t>G</w:t>
                  </w:r>
                </w:p>
                <w:p>
                  <w:pPr>
                    <w:jc w:val="center"/>
                  </w:pPr>
                  <w:r>
                    <w:rPr>
                      <w:sz w:val="21"/>
                    </w:rPr>
                    <w:t>(青霉素)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动物源性食品中青霉素族抗生素残留量检测方法</w:t>
                  </w:r>
                  <w:r>
                    <w:rPr>
                      <w:sz w:val="21"/>
                    </w:rPr>
                    <w:t>液相色谱</w:t>
                  </w:r>
                  <w:r>
                    <w:rPr>
                      <w:sz w:val="21"/>
                    </w:rPr>
                    <w:t>-质谱/质谱法 GB/T 21315-2007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链霉素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《动物性食品中</w:t>
                  </w:r>
                  <w:r>
                    <w:rPr>
                      <w:sz w:val="21"/>
                    </w:rPr>
                    <w:t>8种氨基糖苷类药物残留检测 液相色谱-串联质谱法》农医发[2014]8号</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双氢链霉素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《动物性食品中</w:t>
                  </w:r>
                  <w:r>
                    <w:rPr>
                      <w:sz w:val="21"/>
                    </w:rPr>
                    <w:t>8种氨基糖苷类药物残留检测 液相色谱-串联质谱法》农医发[2014]8号</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庆大霉素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《动物性食品中</w:t>
                  </w:r>
                  <w:r>
                    <w:rPr>
                      <w:sz w:val="21"/>
                    </w:rPr>
                    <w:t>8种氨基糖苷类药物残留检测 液相色谱-串联质谱法》农医发[2014]8号</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大观霉素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《动物性食品中</w:t>
                  </w:r>
                  <w:r>
                    <w:rPr>
                      <w:sz w:val="21"/>
                    </w:rPr>
                    <w:t>8种氨基糖苷类药物残留检测 液相色谱-串联质谱法》农医发[2014]8号</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新霉素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《动物性食品中</w:t>
                  </w:r>
                  <w:r>
                    <w:rPr>
                      <w:sz w:val="21"/>
                    </w:rPr>
                    <w:t>8种氨基糖苷类药物残留检测 液相色谱-串联质谱法》农医发[2014]8号</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恩诺沙星</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w:t>
                  </w:r>
                  <w:r>
                    <w:rPr>
                      <w:sz w:val="21"/>
                    </w:rPr>
                    <w:t>14种喹诺酮药物残留检测方法 液相色谱-质谱/质谱法 GB/T 21312-2007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环丙沙星</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w:t>
                  </w:r>
                  <w:r>
                    <w:rPr>
                      <w:sz w:val="21"/>
                    </w:rPr>
                    <w:t>14种喹诺酮药物残留检测方法 液相色谱-质谱/质谱法 GB/T 21312-2007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达氟沙星</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w:t>
                  </w:r>
                  <w:r>
                    <w:rPr>
                      <w:sz w:val="21"/>
                    </w:rPr>
                    <w:t>14种喹诺酮药物残留检测方法 液相色谱-质谱/质谱法 GB/T 21312-2007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沙拉沙星</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w:t>
                  </w:r>
                  <w:r>
                    <w:rPr>
                      <w:sz w:val="21"/>
                    </w:rPr>
                    <w:t>14种喹诺酮药物残留检测方法 液相色谱-质谱/质谱法 GB/T 21312-2007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四环素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动物源性食品中四环素类兽药残留量检测方法</w:t>
                  </w:r>
                  <w:r>
                    <w:rPr>
                      <w:sz w:val="21"/>
                    </w:rPr>
                    <w:t>液相色谱</w:t>
                  </w:r>
                  <w:r>
                    <w:rPr>
                      <w:sz w:val="21"/>
                    </w:rPr>
                    <w:t>-质谱质谱法与高效液相色谱法GB/T 21317-2007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土霉素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动物源性食品中四环素类兽药残留量检测方法</w:t>
                  </w:r>
                  <w:r>
                    <w:rPr>
                      <w:sz w:val="21"/>
                    </w:rPr>
                    <w:t>液相色谱</w:t>
                  </w:r>
                  <w:r>
                    <w:rPr>
                      <w:sz w:val="21"/>
                    </w:rPr>
                    <w:t>-质谱质谱法与高效液相色谱法GB/T 21317-2007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金霉素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动物源性食品中四环素类兽药残留量检测方法</w:t>
                  </w:r>
                  <w:r>
                    <w:rPr>
                      <w:sz w:val="21"/>
                    </w:rPr>
                    <w:t>液相色谱</w:t>
                  </w:r>
                  <w:r>
                    <w:rPr>
                      <w:sz w:val="21"/>
                    </w:rPr>
                    <w:t>-质谱质谱法与高效液相色谱法GB/T 21317-2007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多西环素</w:t>
                  </w:r>
                </w:p>
              </w:tc>
              <w:tc>
                <w:tcPr>
                  <w:tcW w:type="dxa" w:w="2017"/>
                  <w:tcBorders>
                    <w:top w:val="none" w:color="000000" w:sz="4"/>
                    <w:left w:val="none" w:color="000000" w:sz="4"/>
                    <w:bottom w:val="single" w:color="000000" w:sz="4"/>
                    <w:right w:val="single" w:color="000000" w:sz="4"/>
                  </w:tcBorders>
                  <w:vAlign w:val="top"/>
                </w:tcPr>
                <w:p>
                  <w:pPr>
                    <w:jc w:val="left"/>
                  </w:pPr>
                  <w:r>
                    <w:rPr>
                      <w:sz w:val="21"/>
                    </w:rPr>
                    <w:t>动物源性食品中四环素类兽药残留量检测方法</w:t>
                  </w:r>
                  <w:r>
                    <w:rPr>
                      <w:sz w:val="21"/>
                    </w:rPr>
                    <w:t>液相色谱</w:t>
                  </w:r>
                  <w:r>
                    <w:rPr>
                      <w:sz w:val="21"/>
                    </w:rPr>
                    <w:t>-质谱质谱法与高效液相色谱法GB/T 21317-2007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31650-2019《食品安全国家标准食品中兽药最大残留限量》(牛泌乳期禁用)</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磺胺二甲基嘧啶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磺胺二甲异嘧啶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磺胺二甲氧基嘧啶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磺胺吡啶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磺胺嘧啶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磺胺异噁唑</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磺胺甲基嘧啶</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 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风险监测</w:t>
                  </w:r>
                </w:p>
              </w:tc>
              <w:tc>
                <w:tcPr>
                  <w:tcW w:type="dxa" w:w="646"/>
                  <w:tcBorders>
                    <w:top w:val="none" w:color="000000" w:sz="4"/>
                    <w:left w:val="none" w:color="000000" w:sz="4"/>
                    <w:bottom w:val="single" w:color="000000" w:sz="4"/>
                    <w:right w:val="single" w:color="000000" w:sz="4"/>
                  </w:tcBorders>
                  <w:vAlign w:val="top"/>
                </w:tcPr>
                <w:p>
                  <w:pPr>
                    <w:jc w:val="center"/>
                  </w:pPr>
                  <w:r>
                    <w:rPr>
                      <w:sz w:val="21"/>
                    </w:rPr>
                    <w:t>磺胺甲基异噁唑</w:t>
                  </w:r>
                </w:p>
              </w:tc>
              <w:tc>
                <w:tcPr>
                  <w:tcW w:type="dxa" w:w="2017"/>
                  <w:tcBorders>
                    <w:top w:val="none" w:color="000000" w:sz="4"/>
                    <w:left w:val="none" w:color="000000" w:sz="4"/>
                    <w:bottom w:val="single" w:color="000000" w:sz="4"/>
                    <w:right w:val="single" w:color="000000" w:sz="4"/>
                  </w:tcBorders>
                  <w:vAlign w:val="top"/>
                </w:tcPr>
                <w:p>
                  <w:pPr>
                    <w:jc w:val="left"/>
                  </w:pPr>
                  <w:r>
                    <w:rPr>
                      <w:sz w:val="21"/>
                    </w:rPr>
                    <w:t>牛奶中磺胺类药物残留量的测定液相色谱</w:t>
                  </w:r>
                  <w:r>
                    <w:rPr>
                      <w:sz w:val="21"/>
                    </w:rPr>
                    <w:t>-串联质谱法农业部781号公告-12-2006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31650-2019《食品安全国家标准食品中兽药最大残留限量》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三聚氰胺</w:t>
                  </w:r>
                </w:p>
              </w:tc>
              <w:tc>
                <w:tcPr>
                  <w:tcW w:type="dxa" w:w="2017"/>
                  <w:tcBorders>
                    <w:top w:val="none" w:color="000000" w:sz="4"/>
                    <w:left w:val="none" w:color="000000" w:sz="4"/>
                    <w:bottom w:val="single" w:color="000000" w:sz="4"/>
                    <w:right w:val="single" w:color="000000" w:sz="4"/>
                  </w:tcBorders>
                  <w:vAlign w:val="top"/>
                </w:tcPr>
                <w:p>
                  <w:pPr>
                    <w:jc w:val="left"/>
                  </w:pPr>
                  <w:r>
                    <w:rPr>
                      <w:sz w:val="21"/>
                    </w:rPr>
                    <w:t>原料乳与乳制品中三聚氰胺检洲方法</w:t>
                  </w:r>
                  <w:r>
                    <w:rPr>
                      <w:sz w:val="21"/>
                    </w:rPr>
                    <w:t>GB/T 22388-2008</w:t>
                  </w:r>
                </w:p>
              </w:tc>
              <w:tc>
                <w:tcPr>
                  <w:tcW w:type="dxa" w:w="2297"/>
                  <w:tcBorders>
                    <w:top w:val="none" w:color="000000" w:sz="4"/>
                    <w:left w:val="none" w:color="000000" w:sz="4"/>
                    <w:bottom w:val="single" w:color="000000" w:sz="4"/>
                    <w:right w:val="single" w:color="000000" w:sz="4"/>
                  </w:tcBorders>
                  <w:vAlign w:val="top"/>
                </w:tcPr>
                <w:p>
                  <w:pPr>
                    <w:jc w:val="left"/>
                  </w:pPr>
                  <w:r>
                    <w:rPr>
                      <w:sz w:val="21"/>
                    </w:rPr>
                    <w:t>卫生部、工业和信息化部、农业部、工商总局、质检总局公告</w:t>
                  </w:r>
                  <w:r>
                    <w:rPr>
                      <w:sz w:val="21"/>
                    </w:rPr>
                    <w:t>2011年第10号《关于三聚氰胺在食品中的限量值的公告》</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黄曲霉毒素</w:t>
                  </w:r>
                  <w:r>
                    <w:rPr>
                      <w:sz w:val="21"/>
                    </w:rPr>
                    <w:t>MI</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食品安全国家标准食品中黄曲霉毒素</w:t>
                  </w:r>
                  <w:r>
                    <w:rPr>
                      <w:sz w:val="21"/>
                    </w:rPr>
                    <w:t>M族的测定GB 5009.24-2016</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2761-2017《食品安全国家标准食品中真菌毒素限量》</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铅</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食品安全国家标准食品中铅的测定</w:t>
                  </w:r>
                  <w:r>
                    <w:rPr>
                      <w:sz w:val="21"/>
                    </w:rPr>
                    <w:t>GB 5009.12-2017</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2762-20</w:t>
                  </w:r>
                  <w:r>
                    <w:rPr>
                      <w:sz w:val="21"/>
                    </w:rPr>
                    <w:t>17</w:t>
                  </w:r>
                  <w:r>
                    <w:rPr>
                      <w:sz w:val="21"/>
                    </w:rPr>
                    <w:t>（</w:t>
                  </w:r>
                  <w:r>
                    <w:rPr>
                      <w:sz w:val="21"/>
                    </w:rPr>
                    <w:t>2023年6月30日前</w:t>
                  </w:r>
                  <w:r>
                    <w:rPr>
                      <w:sz w:val="21"/>
                    </w:rPr>
                    <w:t>）、</w:t>
                  </w:r>
                  <w:r>
                    <w:rPr>
                      <w:sz w:val="21"/>
                    </w:rPr>
                    <w:t>GB 2762-20</w:t>
                  </w:r>
                  <w:r>
                    <w:rPr>
                      <w:sz w:val="21"/>
                    </w:rPr>
                    <w:t>22</w:t>
                  </w:r>
                  <w:r>
                    <w:rPr>
                      <w:sz w:val="21"/>
                    </w:rPr>
                    <w:t>（</w:t>
                  </w:r>
                  <w:r>
                    <w:rPr>
                      <w:sz w:val="21"/>
                    </w:rPr>
                    <w:t>2023年6月30日起</w:t>
                  </w:r>
                  <w:r>
                    <w:rPr>
                      <w:sz w:val="21"/>
                    </w:rPr>
                    <w:t>）</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铬</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食品安全国家标准食品中铬的测定</w:t>
                  </w:r>
                  <w:r>
                    <w:rPr>
                      <w:sz w:val="21"/>
                    </w:rPr>
                    <w:t>GB 5009.123-2014</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2762-20</w:t>
                  </w:r>
                  <w:r>
                    <w:rPr>
                      <w:sz w:val="21"/>
                    </w:rPr>
                    <w:t>17</w:t>
                  </w:r>
                  <w:r>
                    <w:rPr>
                      <w:sz w:val="21"/>
                    </w:rPr>
                    <w:t>（</w:t>
                  </w:r>
                  <w:r>
                    <w:rPr>
                      <w:sz w:val="21"/>
                    </w:rPr>
                    <w:t>2023年6月30日前</w:t>
                  </w:r>
                  <w:r>
                    <w:rPr>
                      <w:sz w:val="21"/>
                    </w:rPr>
                    <w:t>）、</w:t>
                  </w:r>
                  <w:r>
                    <w:rPr>
                      <w:sz w:val="21"/>
                    </w:rPr>
                    <w:t>GB 2762-20</w:t>
                  </w:r>
                  <w:r>
                    <w:rPr>
                      <w:sz w:val="21"/>
                    </w:rPr>
                    <w:t>22</w:t>
                  </w:r>
                  <w:r>
                    <w:rPr>
                      <w:sz w:val="21"/>
                    </w:rPr>
                    <w:t>（</w:t>
                  </w:r>
                  <w:r>
                    <w:rPr>
                      <w:sz w:val="21"/>
                    </w:rPr>
                    <w:t>2023年6月30日起</w:t>
                  </w:r>
                  <w:r>
                    <w:rPr>
                      <w:sz w:val="21"/>
                    </w:rPr>
                    <w:t>）</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汞</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食品安全国家标准食品中总汞及有机汞的测定</w:t>
                  </w:r>
                  <w:r>
                    <w:rPr>
                      <w:sz w:val="21"/>
                    </w:rPr>
                    <w:t>GB 5009.17-2014</w:t>
                  </w:r>
                </w:p>
                <w:p>
                  <w:pPr>
                    <w:jc w:val="left"/>
                  </w:pPr>
                  <w:r>
                    <w:rPr>
                      <w:sz w:val="21"/>
                    </w:rPr>
                    <w:t>食品安全国家标准食品中总汞及有机汞的测定</w:t>
                  </w:r>
                  <w:r>
                    <w:rPr>
                      <w:sz w:val="21"/>
                    </w:rPr>
                    <w:t>GB 5009.17-2021（2022-03-07实施）</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2762-20</w:t>
                  </w:r>
                  <w:r>
                    <w:rPr>
                      <w:sz w:val="21"/>
                    </w:rPr>
                    <w:t>17</w:t>
                  </w:r>
                  <w:r>
                    <w:rPr>
                      <w:sz w:val="21"/>
                    </w:rPr>
                    <w:t>（</w:t>
                  </w:r>
                  <w:r>
                    <w:rPr>
                      <w:sz w:val="21"/>
                    </w:rPr>
                    <w:t>2023年6月30日前</w:t>
                  </w:r>
                  <w:r>
                    <w:rPr>
                      <w:sz w:val="21"/>
                    </w:rPr>
                    <w:t>）、</w:t>
                  </w:r>
                  <w:r>
                    <w:rPr>
                      <w:sz w:val="21"/>
                    </w:rPr>
                    <w:t>GB 2762-20</w:t>
                  </w:r>
                  <w:r>
                    <w:rPr>
                      <w:sz w:val="21"/>
                    </w:rPr>
                    <w:t>22</w:t>
                  </w:r>
                  <w:r>
                    <w:rPr>
                      <w:sz w:val="21"/>
                    </w:rPr>
                    <w:t>（</w:t>
                  </w:r>
                  <w:r>
                    <w:rPr>
                      <w:sz w:val="21"/>
                    </w:rPr>
                    <w:t>2023年6月30日起</w:t>
                  </w:r>
                  <w:r>
                    <w:rPr>
                      <w:sz w:val="21"/>
                    </w:rPr>
                    <w:t>）</w:t>
                  </w:r>
                </w:p>
              </w:tc>
            </w:tr>
            <w:tr>
              <w:tc>
                <w:tcPr>
                  <w:tcW w:type="dxa" w:w="636"/>
                  <w:tcBorders>
                    <w:top w:val="none" w:color="000000" w:sz="4"/>
                    <w:left w:val="single" w:color="000000" w:sz="4"/>
                    <w:bottom w:val="single" w:color="000000" w:sz="4"/>
                    <w:right w:val="single" w:color="000000" w:sz="4"/>
                  </w:tcBorders>
                  <w:vAlign w:val="top"/>
                </w:tcPr>
                <w:p>
                  <w:pPr>
                    <w:jc w:val="center"/>
                  </w:pPr>
                  <w:r>
                    <w:rPr>
                      <w:sz w:val="21"/>
                    </w:rPr>
                    <w:t>监督抽查</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总砷</w:t>
                  </w:r>
                </w:p>
              </w:tc>
              <w:tc>
                <w:tcPr>
                  <w:tcW w:type="dxa" w:w="2017"/>
                  <w:tcBorders>
                    <w:top w:val="none" w:color="000000" w:sz="4"/>
                    <w:left w:val="none" w:color="000000" w:sz="4"/>
                    <w:bottom w:val="single" w:color="000000" w:sz="4"/>
                    <w:right w:val="single" w:color="000000" w:sz="4"/>
                  </w:tcBorders>
                  <w:vAlign w:val="top"/>
                </w:tcPr>
                <w:p>
                  <w:pPr>
                    <w:jc w:val="left"/>
                  </w:pPr>
                  <w:r>
                    <w:rPr>
                      <w:sz w:val="21"/>
                    </w:rPr>
                    <w:t>食品安全国家标准食品中总砷及无机砷的测定</w:t>
                  </w:r>
                  <w:r>
                    <w:rPr>
                      <w:sz w:val="21"/>
                    </w:rPr>
                    <w:t>GB 5009.11-2014</w:t>
                  </w:r>
                </w:p>
              </w:tc>
              <w:tc>
                <w:tcPr>
                  <w:tcW w:type="dxa" w:w="2297"/>
                  <w:tcBorders>
                    <w:top w:val="none" w:color="000000" w:sz="4"/>
                    <w:left w:val="none" w:color="000000" w:sz="4"/>
                    <w:bottom w:val="single" w:color="000000" w:sz="4"/>
                    <w:right w:val="single" w:color="000000" w:sz="4"/>
                  </w:tcBorders>
                  <w:vAlign w:val="top"/>
                </w:tcPr>
                <w:p>
                  <w:pPr>
                    <w:jc w:val="left"/>
                  </w:pPr>
                  <w:r>
                    <w:rPr>
                      <w:sz w:val="21"/>
                    </w:rPr>
                    <w:t>GB 2762-20</w:t>
                  </w:r>
                  <w:r>
                    <w:rPr>
                      <w:sz w:val="21"/>
                    </w:rPr>
                    <w:t>17</w:t>
                  </w:r>
                  <w:r>
                    <w:rPr>
                      <w:sz w:val="21"/>
                    </w:rPr>
                    <w:t>（</w:t>
                  </w:r>
                  <w:r>
                    <w:rPr>
                      <w:sz w:val="21"/>
                    </w:rPr>
                    <w:t>2023年6月30日前</w:t>
                  </w:r>
                  <w:r>
                    <w:rPr>
                      <w:sz w:val="21"/>
                    </w:rPr>
                    <w:t>）、</w:t>
                  </w:r>
                  <w:r>
                    <w:rPr>
                      <w:sz w:val="21"/>
                    </w:rPr>
                    <w:t>GB 2762-20</w:t>
                  </w:r>
                  <w:r>
                    <w:rPr>
                      <w:sz w:val="21"/>
                    </w:rPr>
                    <w:t>22</w:t>
                  </w:r>
                  <w:r>
                    <w:rPr>
                      <w:sz w:val="21"/>
                    </w:rPr>
                    <w:t>（</w:t>
                  </w:r>
                  <w:r>
                    <w:rPr>
                      <w:sz w:val="21"/>
                    </w:rPr>
                    <w:t>2023年6月30日起</w:t>
                  </w:r>
                  <w:r>
                    <w:rPr>
                      <w:sz w:val="21"/>
                    </w:rPr>
                    <w:t>）</w:t>
                  </w:r>
                </w:p>
              </w:tc>
            </w:tr>
          </w:tbl>
          <w:p>
            <w:pPr>
              <w:jc w:val="both"/>
            </w:pPr>
            <w:r>
              <w:rPr>
                <w:sz w:val="21"/>
              </w:rPr>
              <w:t>2</w:t>
            </w:r>
            <w:r>
              <w:rPr>
                <w:sz w:val="21"/>
              </w:rPr>
              <w:t>、未征得采购人书面同意前，投标人不得将检验任务外包或分包给其他检测机构检验。</w:t>
            </w:r>
          </w:p>
          <w:p>
            <w:pPr>
              <w:jc w:val="both"/>
            </w:pPr>
            <w:r>
              <w:rPr>
                <w:sz w:val="21"/>
              </w:rPr>
              <w:t>3</w:t>
            </w:r>
            <w:r>
              <w:rPr>
                <w:sz w:val="21"/>
              </w:rPr>
              <w:t>、投标人的检验任务必须由其投标文件中载明的实验室负责检验。</w:t>
            </w:r>
          </w:p>
          <w:p>
            <w:pPr>
              <w:jc w:val="both"/>
            </w:pPr>
            <w:r>
              <w:rPr>
                <w:sz w:val="21"/>
              </w:rPr>
              <w:t>4</w:t>
            </w:r>
            <w:r>
              <w:rPr>
                <w:sz w:val="21"/>
              </w:rPr>
              <w:t>、投标人负责安排采样工作的人员及车辆，采样期间，安排</w:t>
            </w:r>
            <w:r>
              <w:rPr>
                <w:sz w:val="21"/>
              </w:rPr>
              <w:t>2台或以上车辆，派出协助采样人员4人或以上按时完成采样工作，并做好样品留存工作。</w:t>
            </w:r>
          </w:p>
          <w:p>
            <w:pPr>
              <w:jc w:val="both"/>
            </w:pPr>
            <w:r>
              <w:rPr>
                <w:sz w:val="21"/>
              </w:rPr>
              <w:t>5</w:t>
            </w:r>
            <w:r>
              <w:rPr>
                <w:sz w:val="21"/>
              </w:rPr>
              <w:t>、任务结果以检验检测报告的形式体现。</w:t>
            </w:r>
            <w:r>
              <w:rPr>
                <w:sz w:val="21"/>
              </w:rPr>
              <w:t>中标人须完成抽样任务检测数量至少</w:t>
            </w:r>
            <w:r>
              <w:rPr>
                <w:sz w:val="21"/>
              </w:rPr>
              <w:t>1500</w:t>
            </w:r>
            <w:r>
              <w:rPr>
                <w:sz w:val="21"/>
              </w:rPr>
              <w:t>批次；中标人须出具检测报告至少</w:t>
            </w:r>
            <w:r>
              <w:rPr>
                <w:sz w:val="21"/>
              </w:rPr>
              <w:t>1500</w:t>
            </w:r>
            <w:r>
              <w:rPr>
                <w:sz w:val="21"/>
              </w:rPr>
              <w:t>份；中标人须按时提交阶段性报告。</w:t>
            </w:r>
          </w:p>
          <w:p>
            <w:pPr>
              <w:jc w:val="both"/>
            </w:pPr>
            <w:r>
              <w:rPr>
                <w:b/>
                <w:sz w:val="21"/>
                <w:u w:val="single"/>
              </w:rPr>
              <w:t>★</w:t>
            </w:r>
            <w:r>
              <w:rPr>
                <w:b/>
                <w:sz w:val="21"/>
                <w:u w:val="single"/>
              </w:rPr>
              <w:t>6</w:t>
            </w:r>
            <w:r>
              <w:rPr>
                <w:b/>
                <w:sz w:val="21"/>
                <w:u w:val="single"/>
              </w:rPr>
              <w:t>、投标人须承诺监督</w:t>
            </w:r>
            <w:r>
              <w:rPr>
                <w:b/>
                <w:sz w:val="21"/>
                <w:u w:val="single"/>
              </w:rPr>
              <w:t>抽查</w:t>
            </w:r>
            <w:r>
              <w:rPr>
                <w:b/>
                <w:sz w:val="21"/>
                <w:u w:val="single"/>
              </w:rPr>
              <w:t>任务在</w:t>
            </w:r>
            <w:r>
              <w:rPr>
                <w:b/>
                <w:sz w:val="21"/>
                <w:u w:val="single"/>
              </w:rPr>
              <w:t>3个自然日内出具检测报告，</w:t>
            </w:r>
            <w:r>
              <w:rPr>
                <w:b/>
                <w:sz w:val="21"/>
                <w:u w:val="single"/>
              </w:rPr>
              <w:t>风险</w:t>
            </w:r>
            <w:r>
              <w:rPr>
                <w:b/>
                <w:sz w:val="21"/>
                <w:u w:val="single"/>
              </w:rPr>
              <w:t>监测</w:t>
            </w:r>
            <w:r>
              <w:rPr>
                <w:b/>
                <w:sz w:val="21"/>
                <w:u w:val="single"/>
              </w:rPr>
              <w:t>（</w:t>
            </w:r>
            <w:r>
              <w:rPr>
                <w:b/>
                <w:sz w:val="21"/>
                <w:u w:val="single"/>
              </w:rPr>
              <w:t>包含</w:t>
            </w:r>
            <w:r>
              <w:rPr>
                <w:b/>
                <w:sz w:val="21"/>
                <w:u w:val="single"/>
              </w:rPr>
              <w:t>例行监测、专项监测）</w:t>
            </w:r>
            <w:r>
              <w:rPr>
                <w:b/>
                <w:sz w:val="21"/>
                <w:u w:val="single"/>
              </w:rPr>
              <w:t>任务在</w:t>
            </w:r>
            <w:r>
              <w:rPr>
                <w:b/>
                <w:sz w:val="21"/>
                <w:u w:val="single"/>
              </w:rPr>
              <w:t>10个自然日内出具检测报告，考虑到农产品质量安全抽检应急需求，要求投标人每季度提供不少于3次应急监测，应急监测任务要求其在抽样后24小时内出具检测报告。另在检测过程中如遇有检出不合格样品或者是疑似不合格样品时，投标人必须24小时内通知采购人，并快速出具检测报告及做好复检工作。（须提供承诺函，格式自定。）</w:t>
            </w:r>
          </w:p>
          <w:p>
            <w:pPr>
              <w:jc w:val="both"/>
            </w:pPr>
            <w:r>
              <w:rPr>
                <w:sz w:val="21"/>
              </w:rPr>
              <w:t>7</w:t>
            </w:r>
            <w:r>
              <w:rPr>
                <w:sz w:val="21"/>
              </w:rPr>
              <w:t>、如遇检测结果与被抽样人描述用药记录不一致时，协助出具分析报告（包括但不限于土壤、水质等方面药物残留情况分析）</w:t>
            </w:r>
          </w:p>
          <w:p>
            <w:pPr>
              <w:jc w:val="both"/>
            </w:pPr>
            <w:r>
              <w:rPr>
                <w:sz w:val="21"/>
              </w:rPr>
              <w:t>8</w:t>
            </w:r>
            <w:r>
              <w:rPr>
                <w:sz w:val="21"/>
              </w:rPr>
              <w:t>、投标人须协助采购人做好水产品速测工作任务。（任务数以</w:t>
            </w:r>
            <w:r>
              <w:rPr>
                <w:sz w:val="21"/>
              </w:rPr>
              <w:t>2024年广州市产地农产品质量安全监测工作方案下达任务数为准）。</w:t>
            </w:r>
          </w:p>
          <w:p>
            <w:pPr>
              <w:jc w:val="both"/>
            </w:pPr>
            <w:r>
              <w:rPr>
                <w:sz w:val="21"/>
              </w:rPr>
              <w:t>9</w:t>
            </w:r>
            <w:r>
              <w:rPr>
                <w:sz w:val="21"/>
              </w:rPr>
              <w:t>、投标人须对服务期内监测风险较大的品种出具分析报告。</w:t>
            </w:r>
          </w:p>
          <w:p>
            <w:pPr>
              <w:jc w:val="both"/>
            </w:pPr>
            <w:r>
              <w:rPr>
                <w:sz w:val="21"/>
              </w:rPr>
              <w:t>1</w:t>
            </w:r>
            <w:r>
              <w:rPr>
                <w:sz w:val="21"/>
              </w:rPr>
              <w:t>0</w:t>
            </w:r>
            <w:r>
              <w:rPr>
                <w:sz w:val="21"/>
              </w:rPr>
              <w:t>、投标人须为本项目拟投入设备包括但不限于液相色谱串联质谱仪（</w:t>
            </w:r>
            <w:r>
              <w:rPr>
                <w:sz w:val="21"/>
              </w:rPr>
              <w:t>LC-MS-MS）、气相色谱质谱联用仪（GC-MS-MS）、电感耦合等离子体质谱仪（ICP-MS）、气相色谱仪（GC）、液相色谱仪（LC）、原子荧光-液相联用仪（AFS-LC）。</w:t>
            </w:r>
          </w:p>
          <w:p>
            <w:pPr>
              <w:jc w:val="both"/>
            </w:pPr>
            <w:r>
              <w:rPr>
                <w:sz w:val="21"/>
              </w:rPr>
              <w:t>1</w:t>
            </w:r>
            <w:r>
              <w:rPr>
                <w:sz w:val="21"/>
              </w:rPr>
              <w:t>1</w:t>
            </w:r>
            <w:r>
              <w:rPr>
                <w:sz w:val="21"/>
              </w:rPr>
              <w:t>、采购人需执行应急监测任务时，投标人应及时协助采购人制定监测方案。并且，投标人能够同时派出不少于</w:t>
            </w:r>
            <w:r>
              <w:rPr>
                <w:sz w:val="21"/>
              </w:rPr>
              <w:t>2个小组，快速出动配合采购人进行监测，从接到采购人指令起，可随时在1小时内到位。每组均有配备齐全相关设施（车辆、工具等）和人员。</w:t>
            </w:r>
          </w:p>
          <w:p>
            <w:pPr>
              <w:jc w:val="both"/>
            </w:pPr>
            <w:r>
              <w:rPr>
                <w:sz w:val="21"/>
              </w:rPr>
              <w:t>1</w:t>
            </w:r>
            <w:r>
              <w:rPr>
                <w:sz w:val="21"/>
              </w:rPr>
              <w:t>2</w:t>
            </w:r>
            <w:r>
              <w:rPr>
                <w:sz w:val="21"/>
              </w:rPr>
              <w:t>、未经采购人书面同意，投标人不得引用和公布检验检测结果和报告。</w:t>
            </w:r>
          </w:p>
          <w:p>
            <w:pPr>
              <w:jc w:val="both"/>
            </w:pPr>
            <w:r>
              <w:rPr>
                <w:sz w:val="21"/>
              </w:rPr>
              <w:t>1</w:t>
            </w:r>
            <w:r>
              <w:rPr>
                <w:sz w:val="21"/>
              </w:rPr>
              <w:t>3</w:t>
            </w:r>
            <w:r>
              <w:rPr>
                <w:sz w:val="21"/>
              </w:rPr>
              <w:t>、投标人应当依照有关法律、法规的规定，并依照食品安全标准和检验规范对样品进行检验，尊重科学，恪守职业道德，保证出具的检验数据和结论客观、公正，不得出具虚假的检验报告。</w:t>
            </w:r>
          </w:p>
          <w:p>
            <w:pPr>
              <w:jc w:val="both"/>
            </w:pPr>
            <w:r>
              <w:rPr>
                <w:sz w:val="21"/>
              </w:rPr>
              <w:t>1</w:t>
            </w:r>
            <w:r>
              <w:rPr>
                <w:sz w:val="21"/>
              </w:rPr>
              <w:t>4</w:t>
            </w:r>
            <w:r>
              <w:rPr>
                <w:sz w:val="21"/>
              </w:rPr>
              <w:t>、检验完成后，根据采购人要求主动配合做好项目验收工作，按要求对检验结果进行数据分析、结果汇总、工作总结等。</w:t>
            </w:r>
          </w:p>
          <w:p>
            <w:pPr>
              <w:jc w:val="both"/>
            </w:pPr>
            <w:r>
              <w:rPr>
                <w:sz w:val="21"/>
              </w:rPr>
              <w:t>1</w:t>
            </w:r>
            <w:r>
              <w:rPr>
                <w:sz w:val="21"/>
              </w:rPr>
              <w:t>5</w:t>
            </w:r>
            <w:r>
              <w:rPr>
                <w:sz w:val="21"/>
              </w:rPr>
              <w:t>、服务期结束后</w:t>
            </w:r>
            <w:r>
              <w:rPr>
                <w:sz w:val="21"/>
              </w:rPr>
              <w:t>5个工作日内，中标供应商应向采购人提交年度工作总结报告，报告内容及数据须真实、有效，内容应包括但不限于整个年度工作的汇总总结、数据统计和分析以及对工作的建议等。</w:t>
            </w:r>
          </w:p>
          <w:p>
            <w:pPr>
              <w:jc w:val="both"/>
            </w:pPr>
            <w:r>
              <w:rPr>
                <w:sz w:val="21"/>
              </w:rPr>
              <w:t>1</w:t>
            </w:r>
            <w:r>
              <w:rPr>
                <w:sz w:val="21"/>
              </w:rPr>
              <w:t>6</w:t>
            </w:r>
            <w:r>
              <w:rPr>
                <w:sz w:val="21"/>
              </w:rPr>
              <w:t>、中标供应商需保证抽样检测人员和车辆到位情况，同时派驻不少于</w:t>
            </w:r>
            <w:r>
              <w:rPr>
                <w:sz w:val="21"/>
              </w:rPr>
              <w:t>2人专人驻场负责农产品质量安全检测工作。（驻场人员费用包含在投标总价中）。</w:t>
            </w:r>
          </w:p>
          <w:p>
            <w:pPr>
              <w:jc w:val="both"/>
            </w:pPr>
            <w:r>
              <w:rPr>
                <w:sz w:val="21"/>
              </w:rPr>
              <w:t>1</w:t>
            </w:r>
            <w:r>
              <w:rPr>
                <w:sz w:val="21"/>
              </w:rPr>
              <w:t>7</w:t>
            </w:r>
            <w:r>
              <w:rPr>
                <w:sz w:val="21"/>
              </w:rPr>
              <w:t>、中标供应商需在</w:t>
            </w:r>
            <w:r>
              <w:rPr>
                <w:sz w:val="21"/>
              </w:rPr>
              <w:t>2024年11月20日前完成相应计划检测任务，具体任务数量参照市级方案指导性任务数。</w:t>
            </w:r>
          </w:p>
          <w:p>
            <w:pPr>
              <w:jc w:val="both"/>
            </w:pPr>
            <w:r>
              <w:rPr>
                <w:sz w:val="21"/>
              </w:rPr>
              <w:t>1</w:t>
            </w:r>
            <w:r>
              <w:rPr>
                <w:sz w:val="21"/>
              </w:rPr>
              <w:t>8</w:t>
            </w:r>
            <w:r>
              <w:rPr>
                <w:sz w:val="21"/>
              </w:rPr>
              <w:t>、检测样品采购费用，由中标供应商根据市场实际价格支付给农户（此价格已包含在投标总价中）。</w:t>
            </w:r>
          </w:p>
          <w:p>
            <w:r>
              <w:rPr/>
              <w:t xml:space="preserve"> </w:t>
            </w:r>
          </w:p>
        </w:tc>
      </w:tr>
      <w:tr>
        <w:tc>
          <w:tcPr>
            <w:tcW w:type="dxa" w:w="2076"/>
          </w:tcPr>
          <w:p/>
        </w:tc>
        <w:tc>
          <w:tcPr>
            <w:tcW w:type="dxa" w:w="415"/>
          </w:tcPr>
          <w:p>
            <w:r>
              <w:rPr/>
              <w:t>6</w:t>
            </w:r>
          </w:p>
        </w:tc>
        <w:tc>
          <w:tcPr>
            <w:tcW w:type="dxa" w:w="5814"/>
          </w:tcPr>
          <w:p>
            <w:pPr>
              <w:jc w:val="both"/>
            </w:pPr>
            <w:r>
              <w:rPr>
                <w:b/>
                <w:sz w:val="21"/>
              </w:rPr>
              <w:t>六</w:t>
            </w:r>
            <w:r>
              <w:rPr>
                <w:b/>
                <w:sz w:val="21"/>
              </w:rPr>
              <w:t>、工作安排</w:t>
            </w:r>
          </w:p>
          <w:p>
            <w:pPr>
              <w:jc w:val="both"/>
            </w:pPr>
            <w:r>
              <w:rPr>
                <w:b/>
                <w:sz w:val="21"/>
              </w:rPr>
              <w:t>★</w:t>
            </w:r>
            <w:r>
              <w:rPr>
                <w:sz w:val="21"/>
              </w:rPr>
              <w:t>1、种植业农产品的区级监测需在2024年11月20日前出具相应工作计划的检测报告数，具体任务数量参照市级方案指导性任务数</w:t>
            </w:r>
            <w:r>
              <w:rPr>
                <w:sz w:val="21"/>
              </w:rPr>
              <w:t>。</w:t>
            </w:r>
          </w:p>
          <w:p>
            <w:pPr>
              <w:jc w:val="both"/>
            </w:pPr>
            <w:r>
              <w:rPr>
                <w:b/>
                <w:sz w:val="21"/>
              </w:rPr>
              <w:t>★</w:t>
            </w:r>
            <w:r>
              <w:rPr>
                <w:sz w:val="21"/>
              </w:rPr>
              <w:t>2、水产品的区级监测需在2024年11月20日前出具相应工作计划的检测报告数，具体任务数量参照市级方案指导性任务数</w:t>
            </w:r>
            <w:r>
              <w:rPr>
                <w:sz w:val="21"/>
              </w:rPr>
              <w:t>。</w:t>
            </w:r>
          </w:p>
          <w:p>
            <w:pPr>
              <w:jc w:val="both"/>
            </w:pPr>
            <w:r>
              <w:rPr>
                <w:b/>
                <w:sz w:val="21"/>
              </w:rPr>
              <w:t>★</w:t>
            </w:r>
            <w:r>
              <w:rPr>
                <w:sz w:val="21"/>
              </w:rPr>
              <w:t>3、生鲜乳的区级监测全年共30批次（其中监督抽查不少于6批次/年），具体任务数量参照市级方案指导性任务数</w:t>
            </w:r>
            <w:r>
              <w:rPr>
                <w:sz w:val="21"/>
              </w:rPr>
              <w:t>。</w:t>
            </w:r>
          </w:p>
        </w:tc>
      </w:tr>
      <w:tr>
        <w:tc>
          <w:tcPr>
            <w:tcW w:type="dxa" w:w="2076"/>
          </w:tcPr>
          <w:p/>
        </w:tc>
        <w:tc>
          <w:tcPr>
            <w:tcW w:type="dxa" w:w="415"/>
          </w:tcPr>
          <w:p>
            <w:r>
              <w:rPr/>
              <w:t>7</w:t>
            </w:r>
          </w:p>
        </w:tc>
        <w:tc>
          <w:tcPr>
            <w:tcW w:type="dxa" w:w="5814"/>
          </w:tcPr>
          <w:p>
            <w:pPr>
              <w:jc w:val="left"/>
            </w:pPr>
            <w:r>
              <w:rPr>
                <w:b/>
                <w:sz w:val="21"/>
              </w:rPr>
              <w:t>七、</w:t>
            </w:r>
            <w:r>
              <w:rPr>
                <w:b/>
                <w:sz w:val="21"/>
              </w:rPr>
              <w:t>其他要求</w:t>
            </w:r>
          </w:p>
          <w:p>
            <w:pPr>
              <w:jc w:val="both"/>
            </w:pPr>
            <w:r>
              <w:rPr>
                <w:sz w:val="21"/>
              </w:rPr>
              <w:t>1、投标人根据所投项目的实际情况，科学合理地拟定项目的总体服务方案，对如下内容作出详细说明：</w:t>
            </w:r>
          </w:p>
          <w:p>
            <w:pPr>
              <w:jc w:val="both"/>
            </w:pPr>
            <w:r>
              <w:rPr>
                <w:sz w:val="21"/>
              </w:rPr>
              <w:t>（</w:t>
            </w:r>
            <w:r>
              <w:rPr>
                <w:sz w:val="21"/>
              </w:rPr>
              <w:t>1）工作标准；</w:t>
            </w:r>
          </w:p>
          <w:p>
            <w:pPr>
              <w:jc w:val="both"/>
            </w:pPr>
            <w:r>
              <w:rPr>
                <w:sz w:val="21"/>
              </w:rPr>
              <w:t>（</w:t>
            </w:r>
            <w:r>
              <w:rPr>
                <w:sz w:val="21"/>
              </w:rPr>
              <w:t>2）服务内容；</w:t>
            </w:r>
          </w:p>
          <w:p>
            <w:pPr>
              <w:jc w:val="both"/>
            </w:pPr>
            <w:r>
              <w:rPr>
                <w:sz w:val="21"/>
              </w:rPr>
              <w:t>（</w:t>
            </w:r>
            <w:r>
              <w:rPr>
                <w:sz w:val="21"/>
              </w:rPr>
              <w:t>3）服务计划；</w:t>
            </w:r>
          </w:p>
          <w:p>
            <w:pPr>
              <w:jc w:val="both"/>
            </w:pPr>
            <w:r>
              <w:rPr>
                <w:sz w:val="21"/>
              </w:rPr>
              <w:t>（</w:t>
            </w:r>
            <w:r>
              <w:rPr>
                <w:sz w:val="21"/>
              </w:rPr>
              <w:t>4）应急服务</w:t>
            </w:r>
            <w:r>
              <w:rPr>
                <w:sz w:val="21"/>
              </w:rPr>
              <w:t>方</w:t>
            </w:r>
            <w:r>
              <w:rPr>
                <w:sz w:val="21"/>
              </w:rPr>
              <w:t>案。</w:t>
            </w:r>
          </w:p>
          <w:p>
            <w:pPr>
              <w:jc w:val="both"/>
            </w:pPr>
            <w:r>
              <w:rPr>
                <w:sz w:val="21"/>
              </w:rPr>
              <w:t>2、投标人根据所投项目的实际情况，充分理解认知本项目检测服务工作，对如下内容做出详细说明：</w:t>
            </w:r>
          </w:p>
          <w:p>
            <w:pPr>
              <w:jc w:val="left"/>
            </w:pPr>
            <w:r>
              <w:rPr>
                <w:sz w:val="21"/>
              </w:rPr>
              <w:t>（</w:t>
            </w:r>
            <w:r>
              <w:rPr>
                <w:sz w:val="21"/>
              </w:rPr>
              <w:t>1）对本项目检测服务任务情况以及要求的理解认知；</w:t>
            </w:r>
          </w:p>
          <w:p>
            <w:pPr>
              <w:jc w:val="left"/>
            </w:pPr>
            <w:r>
              <w:rPr>
                <w:sz w:val="21"/>
              </w:rPr>
              <w:t>（</w:t>
            </w:r>
            <w:r>
              <w:rPr>
                <w:sz w:val="21"/>
              </w:rPr>
              <w:t>2）本项目重点难点分析；</w:t>
            </w:r>
          </w:p>
          <w:p>
            <w:pPr>
              <w:jc w:val="left"/>
            </w:pPr>
            <w:r>
              <w:rPr>
                <w:sz w:val="21"/>
              </w:rPr>
              <w:t>（</w:t>
            </w:r>
            <w:r>
              <w:rPr>
                <w:sz w:val="21"/>
              </w:rPr>
              <w:t>3）应对措施；</w:t>
            </w:r>
          </w:p>
          <w:p>
            <w:pPr>
              <w:jc w:val="left"/>
            </w:pPr>
            <w:r>
              <w:rPr>
                <w:sz w:val="21"/>
              </w:rPr>
              <w:t>（</w:t>
            </w:r>
            <w:r>
              <w:rPr>
                <w:sz w:val="21"/>
              </w:rPr>
              <w:t>4）合理化建议。</w:t>
            </w:r>
          </w:p>
          <w:p>
            <w:pPr>
              <w:jc w:val="both"/>
            </w:pPr>
            <w:r>
              <w:rPr>
                <w:sz w:val="21"/>
              </w:rPr>
              <w:t>3、</w:t>
            </w:r>
            <w:r>
              <w:rPr>
                <w:sz w:val="21"/>
              </w:rPr>
              <w:t>投标人根据所投项目的实际情况，科学合理地拟定</w:t>
            </w:r>
            <w:r>
              <w:rPr>
                <w:sz w:val="21"/>
              </w:rPr>
              <w:t>质量保障措施及方案</w:t>
            </w:r>
            <w:r>
              <w:rPr>
                <w:sz w:val="21"/>
              </w:rPr>
              <w:t>，对如下内容做出详细说明：</w:t>
            </w:r>
          </w:p>
          <w:p>
            <w:pPr>
              <w:jc w:val="both"/>
            </w:pPr>
            <w:r>
              <w:rPr>
                <w:sz w:val="21"/>
              </w:rPr>
              <w:t>（</w:t>
            </w:r>
            <w:r>
              <w:rPr>
                <w:sz w:val="21"/>
              </w:rPr>
              <w:t>1）服务团队稳定性保障；</w:t>
            </w:r>
          </w:p>
          <w:p>
            <w:pPr>
              <w:jc w:val="both"/>
            </w:pPr>
            <w:r>
              <w:rPr>
                <w:sz w:val="21"/>
              </w:rPr>
              <w:t>（</w:t>
            </w:r>
            <w:r>
              <w:rPr>
                <w:sz w:val="21"/>
              </w:rPr>
              <w:t>2）各环节关键节点质量保证措施；</w:t>
            </w:r>
          </w:p>
          <w:p>
            <w:pPr>
              <w:jc w:val="both"/>
            </w:pPr>
            <w:r>
              <w:rPr>
                <w:sz w:val="21"/>
              </w:rPr>
              <w:t>（</w:t>
            </w:r>
            <w:r>
              <w:rPr>
                <w:sz w:val="21"/>
              </w:rPr>
              <w:t>3）质量事故预防与处理措施；</w:t>
            </w:r>
          </w:p>
          <w:p>
            <w:pPr>
              <w:jc w:val="left"/>
            </w:pPr>
            <w:r>
              <w:rPr>
                <w:sz w:val="21"/>
              </w:rPr>
              <w:t>（</w:t>
            </w:r>
            <w:r>
              <w:rPr>
                <w:sz w:val="21"/>
              </w:rPr>
              <w:t>4）验收不通过的解决方案。</w:t>
            </w:r>
          </w:p>
          <w:p>
            <w:pPr>
              <w:jc w:val="both"/>
            </w:pPr>
            <w:r>
              <w:rPr>
                <w:sz w:val="21"/>
              </w:rPr>
              <w:t>4、</w:t>
            </w:r>
            <w:r>
              <w:rPr>
                <w:sz w:val="21"/>
              </w:rPr>
              <w:t>投标人根据所投项目的实际情况，对应急抽检响应能力拟定承诺函。</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广州市黄埔区农业农村局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黄埔区2024年农产品质量安全监测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采购包1（广州市黄埔区2024年农产品质量安全监测项目）：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采购包1（广州市黄埔区2024年农产品质量安全监测项目）：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特定资格要求【同时具备监督部门颁发的有效的检验检测机构资质认定证书（CMA）和农产品质量安全检测机构考核合格证书（CATL）】</w:t>
            </w:r>
          </w:p>
        </w:tc>
        <w:tc>
          <w:tcPr>
            <w:tcW w:type="dxa" w:w="4238"/>
          </w:tcPr>
          <w:p>
            <w:r>
              <w:rPr/>
              <w:t>同时具备监督部门颁发的有效的检验检测机构资质认定证书（CMA）和农产品质量安全检测机构考核合格证书（CATL）。 （注：提供有效的证书复印件）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采购包1（广州市黄埔区2024年农产品质量安全监测项目）：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采购包1(广州市黄埔区2024年农产品质量安全监测项目):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综合信用分5.0分</w:t>
            </w:r>
          </w:p>
          <w:p>
            <w:r>
              <w:rPr/>
              <w:t>报价得分20.0分</w:t>
            </w:r>
          </w:p>
        </w:tc>
      </w:tr>
      <w:tr>
        <w:tc>
          <w:tcPr>
            <w:tcW w:type="dxa" w:w="922"/>
            <w:gridSpan w:val="2"/>
            <w:vMerge w:val="restart"/>
          </w:tcPr>
          <w:p>
            <w:pPr>
              <w:jc w:val="center"/>
            </w:pPr>
            <w:r>
              <w:rPr/>
              <w:t>技术部分</w:t>
            </w:r>
          </w:p>
        </w:tc>
        <w:tc>
          <w:tcPr>
            <w:tcW w:type="dxa" w:w="2307"/>
          </w:tcPr>
          <w:p>
            <w:pPr>
              <w:jc w:val="left"/>
            </w:pPr>
            <w:r>
              <w:rPr/>
              <w:t>总体服务方案（一） (2.0分)</w:t>
            </w:r>
          </w:p>
        </w:tc>
        <w:tc>
          <w:tcPr>
            <w:tcW w:type="dxa" w:w="5076"/>
          </w:tcPr>
          <w:p>
            <w:pPr>
              <w:jc w:val="left"/>
            </w:pPr>
            <w:r>
              <w:rPr/>
              <w:t>评标委员会根据投标人提供的总体服务方案（一）进行综合评审，方案应包括： （1）工作标准 （2）服务内容； （3）服务计划； （4）应急服务方案。 提供全部内容得2分，每缺1项扣0.5分。</w:t>
            </w:r>
          </w:p>
        </w:tc>
      </w:tr>
      <w:tr>
        <w:tc>
          <w:tcPr>
            <w:tcW w:type="dxa" w:w="922"/>
            <w:gridSpan w:val="2"/>
            <w:vMerge/>
          </w:tcPr>
          <w:p/>
        </w:tc>
        <w:tc>
          <w:tcPr>
            <w:tcW w:type="dxa" w:w="2307"/>
          </w:tcPr>
          <w:p>
            <w:pPr>
              <w:jc w:val="left"/>
            </w:pPr>
            <w:r>
              <w:rPr/>
              <w:t>总体服务方案（二）　 (10.0分)</w:t>
            </w:r>
          </w:p>
        </w:tc>
        <w:tc>
          <w:tcPr>
            <w:tcW w:type="dxa" w:w="5076"/>
          </w:tcPr>
          <w:p>
            <w:pPr>
              <w:jc w:val="left"/>
            </w:pPr>
            <w:r>
              <w:rPr/>
              <w:t>评标委员会根据投标人提供总体服务方案（一）的详细内容进行综合评审： （1）从工作标准、服务内容、服务计划、应急服务方案方面综合评审，满足项目实施要求的，能有效保障本项目实施，有利于实现服务效果的，得10分； （2）从工作标准、服务内容、服务计划、应急服务方案方面综合评审，方案存在瑕疵的，能基本保障本项目服务实施，基本满足服务效果的，得5分； （3）从工作标准、服务内容、服务计划、应急服务方案方面综合评审，方案存在不足或缺陷的，难以本项目服务实施或难以达到服务效果的，得1分；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对检测服务工作的理解和认识（一） (2.0分)</w:t>
            </w:r>
          </w:p>
        </w:tc>
        <w:tc>
          <w:tcPr>
            <w:tcW w:type="dxa" w:w="5076"/>
          </w:tcPr>
          <w:p>
            <w:pPr>
              <w:jc w:val="left"/>
            </w:pPr>
            <w:r>
              <w:rPr/>
              <w:t>评标委员会根据投标人提供的对检测服务工作的理解和认识程度进行综合评审，方案应包括： （1）对本项目检测服务任务情况以及要求的理解认知； （2）本项目重点难点分析； （3）应对措施； （4）合理化建议。 提供全部内容得2分，每缺1项扣0.5分。</w:t>
            </w:r>
          </w:p>
        </w:tc>
      </w:tr>
      <w:tr>
        <w:tc>
          <w:tcPr>
            <w:tcW w:type="dxa" w:w="922"/>
            <w:gridSpan w:val="2"/>
            <w:vMerge/>
          </w:tcPr>
          <w:p/>
        </w:tc>
        <w:tc>
          <w:tcPr>
            <w:tcW w:type="dxa" w:w="2307"/>
          </w:tcPr>
          <w:p>
            <w:pPr>
              <w:jc w:val="left"/>
            </w:pPr>
            <w:r>
              <w:rPr/>
              <w:t>对检测服务工作的理解和认识（二） (10.0分)</w:t>
            </w:r>
          </w:p>
        </w:tc>
        <w:tc>
          <w:tcPr>
            <w:tcW w:type="dxa" w:w="5076"/>
          </w:tcPr>
          <w:p>
            <w:pPr>
              <w:jc w:val="left"/>
            </w:pPr>
            <w:r>
              <w:rPr/>
              <w:t>评标委员会根据投标人提供的对检测服务工作的理解和认识（一）详细内容进行综合评审： （1）针对项目需求有全面理解，能全面把握项目检测服务任务情况以及要求的理解认知以及重点难点问题分析透彻，并针对全部重点难点问题提出具体可行的保障措施和合理化的建议，措施建议细致可行，能有效保障本项目实施，有利于实现服务效果的，得10分； （2）针对项目需求有全面理解，针对部分重点难点进行分析，提出针对项目部分重点难点提出具体可行的保障措施或者合理化建议，措施建议基本可行，能基本保障本项目服务实施，基本满足服务效果的，得5分； （3）只针对部分需求进行理解分析或者没有分析项目需求，不理解项目的重点难点，提出建议不合理或者不具备操作性，难以本项目服务实施或难以达到服务效果的，得1分； （4）不提供或方案没有实质性内容的，得0分。</w:t>
            </w:r>
          </w:p>
        </w:tc>
      </w:tr>
      <w:tr>
        <w:tc>
          <w:tcPr>
            <w:tcW w:type="dxa" w:w="922"/>
            <w:gridSpan w:val="2"/>
            <w:vMerge/>
          </w:tcPr>
          <w:p/>
        </w:tc>
        <w:tc>
          <w:tcPr>
            <w:tcW w:type="dxa" w:w="2307"/>
          </w:tcPr>
          <w:p>
            <w:pPr>
              <w:jc w:val="left"/>
            </w:pPr>
            <w:r>
              <w:rPr/>
              <w:t>质量保障措施及方案（一）  (2.0分)</w:t>
            </w:r>
          </w:p>
        </w:tc>
        <w:tc>
          <w:tcPr>
            <w:tcW w:type="dxa" w:w="5076"/>
          </w:tcPr>
          <w:p>
            <w:pPr>
              <w:jc w:val="left"/>
            </w:pPr>
            <w:r>
              <w:rPr/>
              <w:t>评标委员会根据投标人提供的质量保障措施及方案进行综合评审，方案应包括： （1）服务团队稳定性保障；  （2）各环节关键节点质量保证措施； （3）质量事故预防与处理措施； （4）验收不通过的解决方案。 提供全部内容 得2分，每缺1项扣0.5分。</w:t>
            </w:r>
          </w:p>
        </w:tc>
      </w:tr>
      <w:tr>
        <w:tc>
          <w:tcPr>
            <w:tcW w:type="dxa" w:w="922"/>
            <w:gridSpan w:val="2"/>
            <w:vMerge/>
          </w:tcPr>
          <w:p/>
        </w:tc>
        <w:tc>
          <w:tcPr>
            <w:tcW w:type="dxa" w:w="2307"/>
          </w:tcPr>
          <w:p>
            <w:pPr>
              <w:jc w:val="left"/>
            </w:pPr>
            <w:r>
              <w:rPr/>
              <w:t>质量保障措施及方案（二） (10.0分)</w:t>
            </w:r>
          </w:p>
        </w:tc>
        <w:tc>
          <w:tcPr>
            <w:tcW w:type="dxa" w:w="5076"/>
          </w:tcPr>
          <w:p>
            <w:pPr>
              <w:jc w:val="left"/>
            </w:pPr>
            <w:r>
              <w:rPr/>
              <w:t>　评标委员会根据投标人提供质量保障措施及方案（一）的详细内容进行综合评审： （1）从服务团队稳定性保障、各环节关键节点质量保证措施、质量事故预防与处理措施、验收不通过的解决方案方面综合评审，满足项目实施要求的，能有效保障本项目实施，有利于实现服务效果的，得10分； （2）从服务团队稳定性保障、各环节关键节点质量保证措施、质量事故预防与处理措施、验收不通过的解决方案方面综合评审，方案存在瑕疵的，能基本保障本项目服务实施，基本满足服务效果的，得5分； （3）从服务团队稳定性保障、各环节关键节点质量保证措施、质量事故预防与处理措施、验收不通过的解决方案方面综合评审，方案存在不足或缺陷的，难以本项目服务实施或难以达到服务效果的，得1分；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能力验证  (4.0分)</w:t>
            </w:r>
          </w:p>
        </w:tc>
        <w:tc>
          <w:tcPr>
            <w:tcW w:type="dxa" w:w="5076"/>
          </w:tcPr>
          <w:p>
            <w:pPr>
              <w:jc w:val="left"/>
            </w:pPr>
            <w:r>
              <w:rPr/>
              <w:t>投标人自2020年1月1日至今参加政府部门组织的农产品检验能力验证活动（检测类别包括种植类产品农药残留、种植类产品重金属检测和水产品中药物残留3类检测），3类考核结果均为A，根据能力验证考核结果次数进行评审： （1）4次3类考核结果均为A，得4分； （2）3次3类考核结果均为A，得3分； （3）2次3类考核结果均为A，得2分； （1）1次3类考核结果均为A，得1分。 【注：本项目最高得4分，提供相关证明材料，不提供的不得分。】</w:t>
            </w:r>
          </w:p>
        </w:tc>
      </w:tr>
      <w:tr>
        <w:tc>
          <w:tcPr>
            <w:tcW w:type="dxa" w:w="922"/>
            <w:gridSpan w:val="2"/>
            <w:vMerge/>
          </w:tcPr>
          <w:p/>
        </w:tc>
        <w:tc>
          <w:tcPr>
            <w:tcW w:type="dxa" w:w="2307"/>
          </w:tcPr>
          <w:p>
            <w:pPr>
              <w:jc w:val="left"/>
            </w:pPr>
            <w:r>
              <w:rPr/>
              <w:t>拟投入本项目技术团队实力 (8.0分)</w:t>
            </w:r>
          </w:p>
        </w:tc>
        <w:tc>
          <w:tcPr>
            <w:tcW w:type="dxa" w:w="5076"/>
          </w:tcPr>
          <w:p>
            <w:pPr>
              <w:jc w:val="left"/>
            </w:pPr>
            <w:r>
              <w:rPr/>
              <w:t>投标人拟投入本项目的团队人员情况： 1、项目负责人具有食品工程或食品检验或质量检验或农学或自然科学或检验检疫或食品检验等相关专业正高或以上职称的，得3分；仅具有上述相关专业副高级职称的，得2分；本项最多得3分。 2、除项目负责人以外的技术团队中具有食品工程或食品检验或质量检验或农学或自然科学或检验检疫或食品检验等相关专业高级职称的，每个有效证书得1分；具有上述相关专业中级职称的，每个有效证书得0.5分；本项最多得3分。   3、具有CMA评审员或CATL评审员：每提供1人得0.5分，最高得2分； 注：同一人员不重复得分，须同时提供对应人员的①毕业证、②对应有效证书和③人事关系证明或（由社保机构或税务部门出具的在本项目投标截止日前6个月内任意一个月投标人为上述人员购买的《社会保险费人员明细表》）或代缴个税税单复印件，并加盖投标人公章，无或未按要求提供证明材料的不得分。</w:t>
            </w:r>
          </w:p>
        </w:tc>
      </w:tr>
      <w:tr>
        <w:tc>
          <w:tcPr>
            <w:tcW w:type="dxa" w:w="922"/>
            <w:gridSpan w:val="2"/>
            <w:vMerge/>
          </w:tcPr>
          <w:p/>
        </w:tc>
        <w:tc>
          <w:tcPr>
            <w:tcW w:type="dxa" w:w="2307"/>
          </w:tcPr>
          <w:p>
            <w:pPr>
              <w:jc w:val="left"/>
            </w:pPr>
            <w:r>
              <w:rPr/>
              <w:t>检验项目承检完整度（风险监测部分） (3.0分)</w:t>
            </w:r>
          </w:p>
        </w:tc>
        <w:tc>
          <w:tcPr>
            <w:tcW w:type="dxa" w:w="5076"/>
          </w:tcPr>
          <w:p>
            <w:pPr>
              <w:jc w:val="left"/>
            </w:pPr>
            <w:r>
              <w:rPr/>
              <w:t>根据“技术标准与要求”里“二、种植业产品监测项目”、“三、水产品监测项目”和“四、生鲜乳监测项目”的监测项目及种类数（风险监测部分）共3个品种内容的承检完整度进行评价：每一品种的所有监测项目为一个整体，均在CATL承检范围的，得3分；如产品中有监测项目不在CATL承检范围的，则该品种整体不得分，扣1分，扣完即止。  【注：投标人须提供监测项目响应表及CATL检验能力附表为证明文件。】</w:t>
            </w:r>
          </w:p>
        </w:tc>
      </w:tr>
      <w:tr>
        <w:tc>
          <w:tcPr>
            <w:tcW w:type="dxa" w:w="922"/>
            <w:gridSpan w:val="2"/>
            <w:vMerge/>
          </w:tcPr>
          <w:p/>
        </w:tc>
        <w:tc>
          <w:tcPr>
            <w:tcW w:type="dxa" w:w="2307"/>
          </w:tcPr>
          <w:p>
            <w:pPr>
              <w:jc w:val="left"/>
            </w:pPr>
            <w:r>
              <w:rPr/>
              <w:t>应急抽检响应能力  (4.0分)</w:t>
            </w:r>
          </w:p>
        </w:tc>
        <w:tc>
          <w:tcPr>
            <w:tcW w:type="dxa" w:w="5076"/>
          </w:tcPr>
          <w:p>
            <w:pPr>
              <w:jc w:val="left"/>
            </w:pPr>
            <w:r>
              <w:rPr/>
              <w:t>根据投标人的应急抽检响应能力情况进行评审：  （1）从接到采购人需求起，能够在工作时间60分钟内到达现场，得4分； （2）从接到采购人需求起，能够在工作时间60分钟（不含）-90分钟（含）到达现场，得2分； （3） 从接到采购人需求起，能够在工作时间90分钟（不含）-120分钟（含）到达现场，得1分； （4）其他情况不得分。  【注：须提供承诺函。】</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　投标人2021年1月1日至今同类项目（同类项目是指： 农产品质量安全检测 ）业绩情况，每提供一项合同业绩得1分，最高得5分。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投标人体系认证 (3.0分)</w:t>
            </w:r>
          </w:p>
        </w:tc>
        <w:tc>
          <w:tcPr>
            <w:tcW w:type="dxa" w:w="5076"/>
          </w:tcPr>
          <w:p>
            <w:pPr>
              <w:jc w:val="left"/>
            </w:pPr>
            <w:r>
              <w:rPr/>
              <w:t>　投标人具有质量管理体系认证、环境管理体系认证、职业健康安全管理体系认证，每个证书1分，满分3分。  注：提供认证证书复印件作为证明材料，不提供或专家无法认定的不得分。</w:t>
            </w:r>
          </w:p>
        </w:tc>
      </w:tr>
      <w:tr>
        <w:tc>
          <w:tcPr>
            <w:tcW w:type="dxa" w:w="922"/>
            <w:gridSpan w:val="2"/>
            <w:vMerge/>
          </w:tcPr>
          <w:p/>
        </w:tc>
        <w:tc>
          <w:tcPr>
            <w:tcW w:type="dxa" w:w="2307"/>
          </w:tcPr>
          <w:p>
            <w:pPr>
              <w:jc w:val="left"/>
            </w:pPr>
            <w:r>
              <w:rPr/>
              <w:t>综合实力 (3.0分)</w:t>
            </w:r>
          </w:p>
        </w:tc>
        <w:tc>
          <w:tcPr>
            <w:tcW w:type="dxa" w:w="5076"/>
          </w:tcPr>
          <w:p>
            <w:pPr>
              <w:jc w:val="left"/>
            </w:pPr>
            <w:r>
              <w:rPr/>
              <w:t>　获得有效期内的中国合格评定国家认可委员会实验室认可证书CNAS的，得3分，不提供不得分。 【注：提供证书证明文件并加盖公章。】</w:t>
            </w:r>
          </w:p>
        </w:tc>
      </w:tr>
      <w:tr>
        <w:tc>
          <w:tcPr>
            <w:tcW w:type="dxa" w:w="922"/>
            <w:gridSpan w:val="2"/>
            <w:vMerge/>
          </w:tcPr>
          <w:p/>
        </w:tc>
        <w:tc>
          <w:tcPr>
            <w:tcW w:type="dxa" w:w="2307"/>
          </w:tcPr>
          <w:p>
            <w:pPr>
              <w:jc w:val="left"/>
            </w:pPr>
            <w:r>
              <w:rPr/>
              <w:t>实验室情况 (6.0分)</w:t>
            </w:r>
          </w:p>
        </w:tc>
        <w:tc>
          <w:tcPr>
            <w:tcW w:type="dxa" w:w="5076"/>
          </w:tcPr>
          <w:p>
            <w:pPr>
              <w:jc w:val="left"/>
            </w:pPr>
            <w:r>
              <w:rPr/>
              <w:t>　实验室设备齐全，配备（至少含）液相色谱串联质谱仪（LC-MS-MS）、气相色谱质谱联用仪（GC-MS-MS）、电感耦合等离子体质谱仪（ICP-MS）、气相色谱仪（GC）、液相色谱仪（LC）、原子荧光-液相联用仪（AFS-LC）6项，且在计量检定有效期内得6分；每缺少1项设备扣1分，最低扣至0分。  【注：需在投标文件中提供设备清单、图片、购置发票（或购置合同或租赁合同）复印件、有效的校准/检定证书复印件，并加盖公章，否则不得分。】</w:t>
            </w:r>
          </w:p>
        </w:tc>
      </w:tr>
      <w:tr>
        <w:tc>
          <w:tcPr>
            <w:tcW w:type="dxa" w:w="922"/>
            <w:gridSpan w:val="2"/>
            <w:vMerge/>
          </w:tcPr>
          <w:p/>
        </w:tc>
        <w:tc>
          <w:tcPr>
            <w:tcW w:type="dxa" w:w="2307"/>
          </w:tcPr>
          <w:p>
            <w:pPr>
              <w:jc w:val="left"/>
            </w:pPr>
            <w:r>
              <w:rPr/>
              <w:t>拟投入的样品运输保障情况 (3.0分)</w:t>
            </w:r>
          </w:p>
        </w:tc>
        <w:tc>
          <w:tcPr>
            <w:tcW w:type="dxa" w:w="5076"/>
          </w:tcPr>
          <w:p>
            <w:pPr>
              <w:jc w:val="left"/>
            </w:pPr>
            <w:r>
              <w:rPr/>
              <w:t>　根据投标人拟投入的自有或租赁冷藏车情况进行评审：每拟投入1辆冷藏车得1.5分，本项最高得3分。 【注：提供车辆行驶证或租赁合同等证明材料并加盖公章，未提供不得分。】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center"/>
      </w:pPr>
      <w:r>
        <w:rPr>
          <w:b/>
          <w:sz w:val="21"/>
        </w:rPr>
        <w:t>合　同　书</w:t>
      </w:r>
    </w:p>
    <w:p>
      <w:pPr>
        <w:jc w:val="center"/>
      </w:pPr>
      <w:r>
        <w:br/>
      </w:r>
      <w:r>
        <w:br/>
      </w:r>
      <w:r>
        <w:br/>
      </w:r>
      <w:r>
        <w:br/>
      </w:r>
      <w:r>
        <w:br/>
      </w:r>
      <w:r>
        <w:br/>
      </w:r>
      <w:r>
        <w:rPr>
          <w:sz w:val="21"/>
        </w:rPr>
        <w:t xml:space="preserve"> </w:t>
      </w:r>
    </w:p>
    <w:p>
      <w:pPr>
        <w:jc w:val="both"/>
      </w:pPr>
      <w:r>
        <w:rPr>
          <w:sz w:val="28"/>
        </w:rPr>
        <w:t>采购计划编号：</w:t>
      </w:r>
      <w:r>
        <w:rPr>
          <w:sz w:val="21"/>
          <w:u w:val="single"/>
        </w:rPr>
        <w:t xml:space="preserve">                          </w:t>
      </w:r>
    </w:p>
    <w:p>
      <w:pPr>
        <w:jc w:val="both"/>
      </w:pPr>
      <w:r>
        <w:rPr>
          <w:sz w:val="21"/>
        </w:rPr>
        <w:t xml:space="preserve"> </w:t>
      </w:r>
    </w:p>
    <w:p>
      <w:pPr>
        <w:jc w:val="both"/>
      </w:pPr>
      <w:r>
        <w:rPr>
          <w:sz w:val="28"/>
        </w:rPr>
        <w:t>项目编号：</w:t>
      </w:r>
      <w:r>
        <w:rPr>
          <w:sz w:val="21"/>
          <w:u w:val="single"/>
        </w:rPr>
        <w:t xml:space="preserve">                              </w:t>
      </w:r>
    </w:p>
    <w:p>
      <w:pPr>
        <w:jc w:val="both"/>
      </w:pPr>
      <w:r>
        <w:rPr>
          <w:sz w:val="21"/>
        </w:rPr>
        <w:t xml:space="preserve"> </w:t>
      </w:r>
    </w:p>
    <w:p>
      <w:pPr>
        <w:jc w:val="both"/>
      </w:pPr>
      <w:r>
        <w:rPr>
          <w:sz w:val="28"/>
        </w:rPr>
        <w:t>项目名称：</w:t>
      </w:r>
      <w:r>
        <w:rPr>
          <w:sz w:val="21"/>
          <w:u w:val="single"/>
        </w:rPr>
        <w:t xml:space="preserve">                             </w:t>
      </w:r>
    </w:p>
    <w:p>
      <w:pPr>
        <w:jc w:val="both"/>
      </w:pPr>
      <w:r>
        <w:rPr>
          <w:sz w:val="21"/>
        </w:rPr>
        <w:t xml:space="preserve"> </w:t>
      </w:r>
    </w:p>
    <w:p>
      <w:pPr>
        <w:jc w:val="both"/>
      </w:pPr>
      <w:r>
        <w:rPr>
          <w:sz w:val="21"/>
        </w:rPr>
        <w:t xml:space="preserve"> </w:t>
      </w:r>
    </w:p>
    <w:p>
      <w:pPr>
        <w:jc w:val="both"/>
      </w:pPr>
      <w:r>
        <w:rPr>
          <w:sz w:val="21"/>
        </w:rPr>
        <w:t xml:space="preserve"> </w:t>
      </w:r>
      <w:r>
        <w:rPr>
          <w:b/>
          <w:sz w:val="22"/>
        </w:rPr>
        <w:t>注：本合同仅为合同的参考文本，合同签订双方可根据项目的具体要求进行修订，但不得修改实质性条款。</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r>
        <w:rPr>
          <w:b/>
          <w:sz w:val="30"/>
        </w:rPr>
        <w:t>甲方：</w:t>
      </w:r>
      <w:r>
        <w:rPr>
          <w:sz w:val="21"/>
          <w:u w:val="single"/>
        </w:rPr>
        <w:t xml:space="preserve"> </w:t>
      </w:r>
    </w:p>
    <w:p>
      <w:pPr>
        <w:jc w:val="both"/>
      </w:pPr>
      <w:r>
        <w:rPr>
          <w:sz w:val="30"/>
        </w:rPr>
        <w:t>电话：</w:t>
      </w:r>
      <w:r>
        <w:rPr>
          <w:sz w:val="21"/>
          <w:u w:val="single"/>
        </w:rPr>
        <w:t xml:space="preserve"> </w:t>
      </w:r>
      <w:r>
        <w:rPr>
          <w:sz w:val="30"/>
        </w:rPr>
        <w:t>传真</w:t>
      </w:r>
      <w:r>
        <w:rPr>
          <w:sz w:val="30"/>
        </w:rPr>
        <w:t>：</w:t>
      </w:r>
      <w:r>
        <w:rPr>
          <w:sz w:val="21"/>
          <w:u w:val="single"/>
        </w:rPr>
        <w:t xml:space="preserve"> </w:t>
      </w:r>
      <w:r>
        <w:rPr>
          <w:sz w:val="30"/>
        </w:rPr>
        <w:t>地址：</w:t>
      </w:r>
      <w:r>
        <w:rPr>
          <w:sz w:val="21"/>
          <w:u w:val="single"/>
        </w:rPr>
        <w:t xml:space="preserve">  </w:t>
      </w:r>
    </w:p>
    <w:p>
      <w:pPr>
        <w:jc w:val="both"/>
      </w:pPr>
      <w:r>
        <w:rPr>
          <w:b/>
          <w:sz w:val="30"/>
        </w:rPr>
        <w:t>乙方：</w:t>
      </w:r>
      <w:r>
        <w:rPr>
          <w:sz w:val="21"/>
          <w:u w:val="single"/>
        </w:rPr>
        <w:t xml:space="preserve"> </w:t>
      </w:r>
    </w:p>
    <w:p>
      <w:pPr>
        <w:jc w:val="both"/>
      </w:pPr>
      <w:r>
        <w:rPr>
          <w:sz w:val="30"/>
        </w:rPr>
        <w:t>电话：</w:t>
      </w:r>
      <w:r>
        <w:rPr>
          <w:sz w:val="21"/>
          <w:u w:val="single"/>
        </w:rPr>
        <w:t xml:space="preserve">  </w:t>
      </w:r>
      <w:r>
        <w:rPr>
          <w:sz w:val="30"/>
        </w:rPr>
        <w:t>传真：</w:t>
      </w:r>
      <w:r>
        <w:rPr>
          <w:sz w:val="21"/>
          <w:u w:val="single"/>
        </w:rPr>
        <w:t xml:space="preserve">  </w:t>
      </w:r>
      <w:r>
        <w:rPr>
          <w:sz w:val="30"/>
        </w:rPr>
        <w:t>地址：</w:t>
      </w:r>
      <w:r>
        <w:rPr>
          <w:sz w:val="21"/>
          <w:u w:val="single"/>
        </w:rPr>
        <w:t xml:space="preserve">  </w:t>
      </w:r>
    </w:p>
    <w:p>
      <w:pPr>
        <w:jc w:val="both"/>
      </w:pPr>
      <w:r>
        <w:rPr>
          <w:sz w:val="21"/>
        </w:rPr>
        <w:t xml:space="preserve"> </w:t>
      </w:r>
    </w:p>
    <w:p>
      <w:pPr>
        <w:jc w:val="both"/>
      </w:pPr>
      <w:r>
        <w:rPr>
          <w:sz w:val="21"/>
        </w:rPr>
        <w:t xml:space="preserve">  </w:t>
      </w:r>
    </w:p>
    <w:p>
      <w:pPr>
        <w:jc w:val="both"/>
      </w:pPr>
      <w:r>
        <w:rPr>
          <w:sz w:val="24"/>
        </w:rPr>
        <w:t>根据《中华人民共和国政府采购法》及</w:t>
      </w:r>
      <w:r>
        <w:rPr>
          <w:sz w:val="24"/>
        </w:rPr>
        <w:t>“</w:t>
      </w:r>
      <w:r>
        <w:rPr>
          <w:sz w:val="21"/>
          <w:u w:val="single"/>
        </w:rPr>
        <w:t xml:space="preserve">      </w:t>
      </w:r>
      <w:r>
        <w:rPr>
          <w:sz w:val="24"/>
        </w:rPr>
        <w:t>项目</w:t>
      </w:r>
      <w:r>
        <w:rPr>
          <w:sz w:val="24"/>
        </w:rPr>
        <w:t>”</w:t>
      </w:r>
      <w:r>
        <w:rPr>
          <w:sz w:val="24"/>
        </w:rPr>
        <w:t>（</w:t>
      </w:r>
      <w:r>
        <w:rPr>
          <w:sz w:val="24"/>
        </w:rPr>
        <w:t>项目</w:t>
      </w:r>
      <w:r>
        <w:rPr>
          <w:sz w:val="24"/>
        </w:rPr>
        <w:t>编号：</w:t>
      </w:r>
      <w:r>
        <w:rPr>
          <w:sz w:val="24"/>
        </w:rPr>
        <w:t xml:space="preserve">     </w:t>
      </w:r>
      <w:r>
        <w:rPr>
          <w:sz w:val="24"/>
        </w:rPr>
        <w:t>）公开招标文件的要求和招标结果，经甲乙双方协商一致，签订本合同。本项目的招标文件、投标文件等均为本合同不可分割之一部分。双方共同遵守如下条款：</w:t>
      </w:r>
    </w:p>
    <w:p>
      <w:pPr>
        <w:jc w:val="both"/>
      </w:pPr>
      <w:r>
        <w:rPr>
          <w:b/>
          <w:sz w:val="24"/>
        </w:rPr>
        <w:t>一、检测品种、数量、项目：（以采购人需求为准）</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235"/>
        <w:gridCol w:w="1372"/>
        <w:gridCol w:w="5697"/>
      </w:tblGrid>
      <w:tr>
        <w:tc>
          <w:tcPr>
            <w:tcW w:type="dxa" w:w="1235"/>
            <w:tcBorders>
              <w:top w:val="single" w:color="000000" w:sz="4"/>
              <w:left w:val="single" w:color="000000" w:sz="4"/>
              <w:bottom w:val="single" w:color="000000" w:sz="4"/>
              <w:right w:val="single" w:color="000000" w:sz="4"/>
            </w:tcBorders>
            <w:vAlign w:val="top"/>
          </w:tcPr>
          <w:p>
            <w:pPr>
              <w:jc w:val="center"/>
            </w:pPr>
            <w:r>
              <w:rPr>
                <w:sz w:val="24"/>
              </w:rPr>
              <w:t>检测品种</w:t>
            </w:r>
          </w:p>
        </w:tc>
        <w:tc>
          <w:tcPr>
            <w:tcW w:type="dxa" w:w="1372"/>
            <w:tcBorders>
              <w:top w:val="single" w:color="000000" w:sz="4"/>
              <w:left w:val="none" w:color="000000" w:sz="4"/>
              <w:bottom w:val="single" w:color="000000" w:sz="4"/>
              <w:right w:val="single" w:color="000000" w:sz="4"/>
            </w:tcBorders>
            <w:vAlign w:val="top"/>
          </w:tcPr>
          <w:p>
            <w:pPr>
              <w:jc w:val="center"/>
            </w:pPr>
            <w:r>
              <w:rPr>
                <w:sz w:val="24"/>
              </w:rPr>
              <w:t>数量（份）</w:t>
            </w:r>
          </w:p>
        </w:tc>
        <w:tc>
          <w:tcPr>
            <w:tcW w:type="dxa" w:w="5697"/>
            <w:tcBorders>
              <w:top w:val="single" w:color="000000" w:sz="4"/>
              <w:left w:val="none" w:color="000000" w:sz="4"/>
              <w:bottom w:val="single" w:color="000000" w:sz="4"/>
              <w:right w:val="single" w:color="000000" w:sz="4"/>
            </w:tcBorders>
            <w:vAlign w:val="top"/>
          </w:tcPr>
          <w:p>
            <w:pPr>
              <w:jc w:val="center"/>
            </w:pPr>
            <w:r>
              <w:rPr>
                <w:sz w:val="24"/>
              </w:rPr>
              <w:t>监</w:t>
            </w:r>
            <w:r>
              <w:rPr>
                <w:sz w:val="24"/>
              </w:rPr>
              <w:t>测</w:t>
            </w:r>
            <w:r>
              <w:rPr>
                <w:sz w:val="24"/>
              </w:rPr>
              <w:t>项</w:t>
            </w:r>
            <w:r>
              <w:rPr>
                <w:sz w:val="24"/>
              </w:rPr>
              <w:t>目</w:t>
            </w:r>
          </w:p>
        </w:tc>
      </w:tr>
      <w:tr>
        <w:tc>
          <w:tcPr>
            <w:tcW w:type="dxa" w:w="1235"/>
            <w:tcBorders>
              <w:top w:val="none" w:color="000000" w:sz="4"/>
              <w:left w:val="single" w:color="000000" w:sz="4"/>
              <w:bottom w:val="single" w:color="000000" w:sz="4"/>
              <w:right w:val="single" w:color="000000" w:sz="4"/>
            </w:tcBorders>
            <w:vAlign w:val="top"/>
          </w:tcPr>
          <w:p>
            <w:pPr>
              <w:jc w:val="both"/>
            </w:pPr>
          </w:p>
        </w:tc>
        <w:tc>
          <w:tcPr>
            <w:tcW w:type="dxa" w:w="1372"/>
            <w:tcBorders>
              <w:top w:val="none" w:color="000000" w:sz="4"/>
              <w:left w:val="none" w:color="000000" w:sz="4"/>
              <w:bottom w:val="single" w:color="000000" w:sz="4"/>
              <w:right w:val="single" w:color="000000" w:sz="4"/>
            </w:tcBorders>
            <w:vAlign w:val="top"/>
          </w:tcPr>
          <w:p>
            <w:pPr>
              <w:jc w:val="both"/>
            </w:pPr>
          </w:p>
        </w:tc>
        <w:tc>
          <w:tcPr>
            <w:tcW w:type="dxa" w:w="5697"/>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1235"/>
            <w:tcBorders>
              <w:top w:val="none" w:color="000000" w:sz="4"/>
              <w:left w:val="single" w:color="000000" w:sz="4"/>
              <w:bottom w:val="single" w:color="000000" w:sz="4"/>
              <w:right w:val="single" w:color="000000" w:sz="4"/>
            </w:tcBorders>
            <w:vAlign w:val="top"/>
          </w:tcPr>
          <w:p>
            <w:pPr>
              <w:jc w:val="both"/>
            </w:pPr>
          </w:p>
        </w:tc>
        <w:tc>
          <w:tcPr>
            <w:tcW w:type="dxa" w:w="1372"/>
            <w:tcBorders>
              <w:top w:val="none" w:color="000000" w:sz="4"/>
              <w:left w:val="none" w:color="000000" w:sz="4"/>
              <w:bottom w:val="single" w:color="000000" w:sz="4"/>
              <w:right w:val="single" w:color="000000" w:sz="4"/>
            </w:tcBorders>
            <w:vAlign w:val="top"/>
          </w:tcPr>
          <w:p>
            <w:pPr>
              <w:jc w:val="both"/>
            </w:pPr>
          </w:p>
        </w:tc>
        <w:tc>
          <w:tcPr>
            <w:tcW w:type="dxa" w:w="5697"/>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1235"/>
            <w:tcBorders>
              <w:top w:val="none" w:color="000000" w:sz="4"/>
              <w:left w:val="single" w:color="000000" w:sz="4"/>
              <w:bottom w:val="single" w:color="000000" w:sz="4"/>
              <w:right w:val="single" w:color="000000" w:sz="4"/>
            </w:tcBorders>
            <w:vAlign w:val="top"/>
          </w:tcPr>
          <w:p>
            <w:pPr>
              <w:jc w:val="both"/>
            </w:pPr>
          </w:p>
        </w:tc>
        <w:tc>
          <w:tcPr>
            <w:tcW w:type="dxa" w:w="1372"/>
            <w:tcBorders>
              <w:top w:val="none" w:color="000000" w:sz="4"/>
              <w:left w:val="none" w:color="000000" w:sz="4"/>
              <w:bottom w:val="single" w:color="000000" w:sz="4"/>
              <w:right w:val="single" w:color="000000" w:sz="4"/>
            </w:tcBorders>
            <w:vAlign w:val="top"/>
          </w:tcPr>
          <w:p>
            <w:pPr>
              <w:jc w:val="both"/>
            </w:pPr>
          </w:p>
        </w:tc>
        <w:tc>
          <w:tcPr>
            <w:tcW w:type="dxa" w:w="5697"/>
            <w:tcBorders>
              <w:top w:val="none" w:color="000000" w:sz="4"/>
              <w:left w:val="none" w:color="000000" w:sz="4"/>
              <w:bottom w:val="single" w:color="000000" w:sz="4"/>
              <w:right w:val="single" w:color="000000" w:sz="4"/>
            </w:tcBorders>
            <w:vAlign w:val="top"/>
          </w:tcPr>
          <w:p>
            <w:pPr>
              <w:jc w:val="both"/>
            </w:pPr>
            <w:r>
              <w:rPr>
                <w:sz w:val="21"/>
              </w:rPr>
              <w:t xml:space="preserve"> </w:t>
            </w:r>
          </w:p>
        </w:tc>
      </w:tr>
      <w:tr>
        <w:tc>
          <w:tcPr>
            <w:tcW w:type="dxa" w:w="1235"/>
            <w:tcBorders>
              <w:top w:val="none" w:color="000000" w:sz="4"/>
              <w:left w:val="single" w:color="000000" w:sz="4"/>
              <w:bottom w:val="single" w:color="000000" w:sz="4"/>
              <w:right w:val="single" w:color="000000" w:sz="4"/>
            </w:tcBorders>
            <w:vAlign w:val="top"/>
          </w:tcPr>
          <w:p>
            <w:pPr>
              <w:jc w:val="both"/>
            </w:pPr>
          </w:p>
        </w:tc>
        <w:tc>
          <w:tcPr>
            <w:tcW w:type="dxa" w:w="1372"/>
            <w:tcBorders>
              <w:top w:val="none" w:color="000000" w:sz="4"/>
              <w:left w:val="none" w:color="000000" w:sz="4"/>
              <w:bottom w:val="single" w:color="000000" w:sz="4"/>
              <w:right w:val="single" w:color="000000" w:sz="4"/>
            </w:tcBorders>
            <w:vAlign w:val="top"/>
          </w:tcPr>
          <w:p>
            <w:pPr>
              <w:jc w:val="both"/>
            </w:pPr>
          </w:p>
        </w:tc>
        <w:tc>
          <w:tcPr>
            <w:tcW w:type="dxa" w:w="5697"/>
            <w:tcBorders>
              <w:top w:val="none" w:color="000000" w:sz="4"/>
              <w:left w:val="none" w:color="000000" w:sz="4"/>
              <w:bottom w:val="single" w:color="000000" w:sz="4"/>
              <w:right w:val="single" w:color="000000" w:sz="4"/>
            </w:tcBorders>
            <w:vAlign w:val="top"/>
          </w:tcPr>
          <w:p>
            <w:pPr>
              <w:jc w:val="both"/>
            </w:pPr>
            <w:r>
              <w:rPr>
                <w:sz w:val="21"/>
              </w:rPr>
              <w:t xml:space="preserve"> </w:t>
            </w:r>
          </w:p>
        </w:tc>
      </w:tr>
    </w:tbl>
    <w:p>
      <w:pPr>
        <w:jc w:val="both"/>
      </w:pPr>
      <w:r>
        <w:rPr>
          <w:b/>
          <w:sz w:val="24"/>
        </w:rPr>
        <w:t>二、服务期：</w:t>
      </w:r>
      <w:r>
        <w:rPr>
          <w:b/>
          <w:sz w:val="24"/>
        </w:rPr>
        <w:t xml:space="preserve">   </w:t>
      </w:r>
      <w:r>
        <w:rPr>
          <w:b/>
          <w:sz w:val="24"/>
        </w:rPr>
        <w:t>年</w:t>
      </w:r>
      <w:r>
        <w:rPr>
          <w:b/>
          <w:sz w:val="24"/>
        </w:rPr>
        <w:t xml:space="preserve">  </w:t>
      </w:r>
      <w:r>
        <w:rPr>
          <w:b/>
          <w:sz w:val="24"/>
        </w:rPr>
        <w:t>月</w:t>
      </w:r>
      <w:r>
        <w:rPr>
          <w:b/>
          <w:sz w:val="24"/>
        </w:rPr>
        <w:t xml:space="preserve">  </w:t>
      </w:r>
      <w:r>
        <w:rPr>
          <w:b/>
          <w:sz w:val="24"/>
        </w:rPr>
        <w:t>日至</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pPr>
        <w:jc w:val="both"/>
      </w:pPr>
      <w:r>
        <w:rPr>
          <w:b/>
          <w:sz w:val="24"/>
        </w:rPr>
        <w:t>三、抽检要求</w:t>
      </w:r>
    </w:p>
    <w:p>
      <w:pPr>
        <w:jc w:val="both"/>
      </w:pPr>
      <w:r>
        <w:rPr>
          <w:sz w:val="24"/>
        </w:rPr>
        <w:t>1</w:t>
      </w:r>
      <w:r>
        <w:rPr>
          <w:sz w:val="24"/>
        </w:rPr>
        <w:t>、种植产品、水产品、生鲜乳检测方法和结果判定</w:t>
      </w:r>
    </w:p>
    <w:p>
      <w:pPr>
        <w:jc w:val="both"/>
      </w:pPr>
      <w:r>
        <w:rPr>
          <w:sz w:val="24"/>
        </w:rPr>
        <w:t>（</w:t>
      </w:r>
      <w:r>
        <w:rPr>
          <w:sz w:val="24"/>
        </w:rPr>
        <w:t>1</w:t>
      </w:r>
      <w:r>
        <w:rPr>
          <w:sz w:val="24"/>
        </w:rPr>
        <w:t>）风险监测</w:t>
      </w:r>
    </w:p>
    <w:p>
      <w:pPr>
        <w:jc w:val="both"/>
      </w:pPr>
      <w:r>
        <w:rPr>
          <w:sz w:val="24"/>
        </w:rPr>
        <w:t>种植业产品农药残留监测项目按</w:t>
      </w:r>
      <w:r>
        <w:rPr>
          <w:sz w:val="24"/>
        </w:rPr>
        <w:t>GB 2763</w:t>
      </w:r>
      <w:r>
        <w:rPr>
          <w:sz w:val="24"/>
        </w:rPr>
        <w:t>、</w:t>
      </w:r>
      <w:r>
        <w:rPr>
          <w:sz w:val="24"/>
        </w:rPr>
        <w:t>GB 2763.1</w:t>
      </w:r>
      <w:r>
        <w:rPr>
          <w:sz w:val="24"/>
        </w:rPr>
        <w:t>（</w:t>
      </w:r>
      <w:r>
        <w:rPr>
          <w:sz w:val="24"/>
        </w:rPr>
        <w:t>2023</w:t>
      </w:r>
      <w:r>
        <w:rPr>
          <w:sz w:val="24"/>
        </w:rPr>
        <w:t>年</w:t>
      </w:r>
      <w:r>
        <w:rPr>
          <w:sz w:val="24"/>
        </w:rPr>
        <w:t>5</w:t>
      </w:r>
      <w:r>
        <w:rPr>
          <w:sz w:val="24"/>
        </w:rPr>
        <w:t>月</w:t>
      </w:r>
      <w:r>
        <w:rPr>
          <w:sz w:val="24"/>
        </w:rPr>
        <w:t>11</w:t>
      </w:r>
      <w:r>
        <w:rPr>
          <w:sz w:val="24"/>
        </w:rPr>
        <w:t>日实施）</w:t>
      </w:r>
      <w:r>
        <w:rPr>
          <w:sz w:val="24"/>
        </w:rPr>
        <w:t>及国家农产品质量安全例行监测要求判定。所监测项目全部合格者，判定为</w:t>
      </w:r>
      <w:r>
        <w:rPr>
          <w:sz w:val="24"/>
        </w:rPr>
        <w:t>“</w:t>
      </w:r>
      <w:r>
        <w:rPr>
          <w:sz w:val="24"/>
        </w:rPr>
        <w:t>该批次产品所检项目符合</w:t>
      </w:r>
      <w:r>
        <w:rPr>
          <w:sz w:val="24"/>
        </w:rPr>
        <w:t>GB2763</w:t>
      </w:r>
      <w:r>
        <w:rPr>
          <w:sz w:val="24"/>
        </w:rPr>
        <w:t>、</w:t>
      </w:r>
      <w:r>
        <w:rPr>
          <w:sz w:val="24"/>
        </w:rPr>
        <w:t>GB 2763.1</w:t>
      </w:r>
      <w:r>
        <w:rPr>
          <w:sz w:val="24"/>
        </w:rPr>
        <w:t>及本项目的要求</w:t>
      </w:r>
      <w:r>
        <w:rPr>
          <w:sz w:val="24"/>
        </w:rPr>
        <w:t>”</w:t>
      </w:r>
      <w:r>
        <w:rPr>
          <w:sz w:val="24"/>
        </w:rPr>
        <w:t>；有一项（或以上）指标不合格者，即判定为</w:t>
      </w:r>
      <w:r>
        <w:rPr>
          <w:sz w:val="24"/>
        </w:rPr>
        <w:t>“</w:t>
      </w:r>
      <w:r>
        <w:rPr>
          <w:sz w:val="24"/>
        </w:rPr>
        <w:t>该批次产品不合格</w:t>
      </w:r>
      <w:r>
        <w:rPr>
          <w:sz w:val="24"/>
        </w:rPr>
        <w:t>”</w:t>
      </w:r>
      <w:r>
        <w:rPr>
          <w:sz w:val="24"/>
        </w:rPr>
        <w:t>；未上市样品所检测项目中仅对禁限用农药进行判定，农药残留普查专项主要为了解产品用药情况，仅对</w:t>
      </w:r>
      <w:r>
        <w:rPr>
          <w:sz w:val="24"/>
        </w:rPr>
        <w:t>GB 2763</w:t>
      </w:r>
      <w:r>
        <w:rPr>
          <w:sz w:val="24"/>
        </w:rPr>
        <w:t>、</w:t>
      </w:r>
      <w:r>
        <w:rPr>
          <w:sz w:val="24"/>
        </w:rPr>
        <w:t>GB 2763.1</w:t>
      </w:r>
      <w:r>
        <w:rPr>
          <w:sz w:val="24"/>
        </w:rPr>
        <w:t>有规定的项目进行判定。种植业产品重金属监测项目按</w:t>
      </w:r>
      <w:r>
        <w:rPr>
          <w:sz w:val="24"/>
        </w:rPr>
        <w:t>GB 2762</w:t>
      </w:r>
      <w:r>
        <w:rPr>
          <w:sz w:val="24"/>
        </w:rPr>
        <w:t>进行判定。</w:t>
      </w:r>
    </w:p>
    <w:p>
      <w:pPr>
        <w:jc w:val="both"/>
      </w:pPr>
      <w:r>
        <w:rPr>
          <w:sz w:val="24"/>
        </w:rPr>
        <w:t>水产品重金属监测项目按</w:t>
      </w:r>
      <w:r>
        <w:rPr>
          <w:sz w:val="24"/>
        </w:rPr>
        <w:t>GB 2762</w:t>
      </w:r>
      <w:r>
        <w:rPr>
          <w:sz w:val="24"/>
        </w:rPr>
        <w:t>进行判定。养殖中的水产品常规药物不做判定。所检项目按以下要求判定：禁用药物：氯霉素不得检出，判定限为</w:t>
      </w:r>
      <w:r>
        <w:rPr>
          <w:sz w:val="24"/>
        </w:rPr>
        <w:t>≤0.3μg/kg</w:t>
      </w:r>
      <w:r>
        <w:rPr>
          <w:sz w:val="24"/>
        </w:rPr>
        <w:t>；孔雀石绿不得检出，判定限为孔雀石绿和隐色孔雀石绿的总量</w:t>
      </w:r>
      <w:r>
        <w:rPr>
          <w:sz w:val="24"/>
        </w:rPr>
        <w:t>≤1.0 μg/kg</w:t>
      </w:r>
      <w:r>
        <w:rPr>
          <w:sz w:val="24"/>
        </w:rPr>
        <w:t>；硝基呋喃类代谢物不得检出，判定限</w:t>
      </w:r>
      <w:r>
        <w:rPr>
          <w:sz w:val="24"/>
        </w:rPr>
        <w:t>AOZ</w:t>
      </w:r>
      <w:r>
        <w:rPr>
          <w:sz w:val="24"/>
        </w:rPr>
        <w:t>、</w:t>
      </w:r>
      <w:r>
        <w:rPr>
          <w:sz w:val="24"/>
        </w:rPr>
        <w:t>SEM</w:t>
      </w:r>
      <w:r>
        <w:rPr>
          <w:sz w:val="24"/>
        </w:rPr>
        <w:t>、</w:t>
      </w:r>
      <w:r>
        <w:rPr>
          <w:sz w:val="24"/>
        </w:rPr>
        <w:t>AMOZ</w:t>
      </w:r>
      <w:r>
        <w:rPr>
          <w:sz w:val="24"/>
        </w:rPr>
        <w:t>和</w:t>
      </w:r>
      <w:r>
        <w:rPr>
          <w:sz w:val="24"/>
        </w:rPr>
        <w:t>AHD</w:t>
      </w:r>
      <w:r>
        <w:rPr>
          <w:sz w:val="24"/>
        </w:rPr>
        <w:t>各为</w:t>
      </w:r>
      <w:r>
        <w:rPr>
          <w:sz w:val="24"/>
        </w:rPr>
        <w:t>≤1.0μg/kg</w:t>
      </w:r>
      <w:r>
        <w:rPr>
          <w:sz w:val="24"/>
        </w:rPr>
        <w:t>；食品动物中停止使用药物：诺氟沙星、氧氟沙星、培氟沙星和洛美沙星不得检出，判定限各为</w:t>
      </w:r>
      <w:r>
        <w:rPr>
          <w:sz w:val="24"/>
        </w:rPr>
        <w:t>≤2.0μg/kg</w:t>
      </w:r>
      <w:r>
        <w:rPr>
          <w:sz w:val="24"/>
        </w:rPr>
        <w:t>；常规药物：酰胺醇类药物的判定限为甲砜霉素</w:t>
      </w:r>
      <w:r>
        <w:rPr>
          <w:sz w:val="24"/>
        </w:rPr>
        <w:t>≤50μg/kg</w:t>
      </w:r>
      <w:r>
        <w:rPr>
          <w:sz w:val="24"/>
        </w:rPr>
        <w:t>；氟苯尼考和氟苯尼考胺的总量</w:t>
      </w:r>
      <w:r>
        <w:rPr>
          <w:sz w:val="24"/>
        </w:rPr>
        <w:t>≤1000μg/kg</w:t>
      </w:r>
      <w:r>
        <w:rPr>
          <w:sz w:val="24"/>
        </w:rPr>
        <w:t>；氟喹诺酮类的判定限为恩诺沙星和环丙沙星的总量</w:t>
      </w:r>
      <w:r>
        <w:rPr>
          <w:sz w:val="24"/>
        </w:rPr>
        <w:t>≤100μg/kg</w:t>
      </w:r>
      <w:r>
        <w:rPr>
          <w:sz w:val="24"/>
        </w:rPr>
        <w:t>；磺胺类的判定限为磺胺嘧啶等</w:t>
      </w:r>
      <w:r>
        <w:rPr>
          <w:sz w:val="24"/>
        </w:rPr>
        <w:t>12</w:t>
      </w:r>
      <w:r>
        <w:rPr>
          <w:sz w:val="24"/>
        </w:rPr>
        <w:t>种的总量</w:t>
      </w:r>
      <w:r>
        <w:rPr>
          <w:sz w:val="24"/>
        </w:rPr>
        <w:t>≤100μg/kg</w:t>
      </w:r>
      <w:r>
        <w:rPr>
          <w:sz w:val="24"/>
        </w:rPr>
        <w:t>。</w:t>
      </w:r>
    </w:p>
    <w:p>
      <w:pPr>
        <w:jc w:val="both"/>
      </w:pPr>
      <w:r>
        <w:rPr>
          <w:sz w:val="24"/>
        </w:rPr>
        <w:t>（</w:t>
      </w:r>
      <w:r>
        <w:rPr>
          <w:sz w:val="24"/>
        </w:rPr>
        <w:t>2</w:t>
      </w:r>
      <w:r>
        <w:rPr>
          <w:sz w:val="24"/>
        </w:rPr>
        <w:t>）监督抽查</w:t>
      </w:r>
    </w:p>
    <w:p>
      <w:pPr>
        <w:jc w:val="both"/>
      </w:pPr>
      <w:r>
        <w:rPr>
          <w:sz w:val="24"/>
        </w:rPr>
        <w:t>种植业产品按</w:t>
      </w:r>
      <w:r>
        <w:rPr>
          <w:sz w:val="24"/>
        </w:rPr>
        <w:t>GB 2763</w:t>
      </w:r>
      <w:r>
        <w:rPr>
          <w:sz w:val="24"/>
        </w:rPr>
        <w:t>、</w:t>
      </w:r>
      <w:r>
        <w:rPr>
          <w:sz w:val="24"/>
        </w:rPr>
        <w:t>GB 2763.1</w:t>
      </w:r>
      <w:r>
        <w:rPr>
          <w:sz w:val="24"/>
        </w:rPr>
        <w:t>的要求进行判定，所监测项目全部合格者，判定为</w:t>
      </w:r>
      <w:r>
        <w:rPr>
          <w:sz w:val="24"/>
        </w:rPr>
        <w:t>“</w:t>
      </w:r>
      <w:r>
        <w:rPr>
          <w:sz w:val="24"/>
        </w:rPr>
        <w:t>该批次产品所检项目符合</w:t>
      </w:r>
      <w:r>
        <w:rPr>
          <w:sz w:val="24"/>
        </w:rPr>
        <w:t>GB 2763</w:t>
      </w:r>
      <w:r>
        <w:rPr>
          <w:sz w:val="24"/>
        </w:rPr>
        <w:t>、</w:t>
      </w:r>
      <w:r>
        <w:rPr>
          <w:sz w:val="24"/>
        </w:rPr>
        <w:t>GB 2763.1</w:t>
      </w:r>
      <w:r>
        <w:rPr>
          <w:sz w:val="24"/>
        </w:rPr>
        <w:t>要求</w:t>
      </w:r>
      <w:r>
        <w:rPr>
          <w:sz w:val="24"/>
        </w:rPr>
        <w:t>”</w:t>
      </w:r>
      <w:r>
        <w:rPr>
          <w:sz w:val="24"/>
        </w:rPr>
        <w:t>，有一项指标不合格者，即判定为</w:t>
      </w:r>
      <w:r>
        <w:rPr>
          <w:sz w:val="24"/>
        </w:rPr>
        <w:t>“</w:t>
      </w:r>
      <w:r>
        <w:rPr>
          <w:sz w:val="24"/>
        </w:rPr>
        <w:t>该批次产品不合格</w:t>
      </w:r>
      <w:r>
        <w:rPr>
          <w:sz w:val="24"/>
        </w:rPr>
        <w:t>”</w:t>
      </w:r>
      <w:r>
        <w:rPr>
          <w:sz w:val="24"/>
        </w:rPr>
        <w:t>。</w:t>
      </w:r>
    </w:p>
    <w:p>
      <w:pPr>
        <w:jc w:val="both"/>
      </w:pPr>
      <w:r>
        <w:rPr>
          <w:sz w:val="24"/>
        </w:rPr>
        <w:t>水产品按有关法律法规规章、现行有效的部令公告或相关标准进行判定。按照检测数据的统一判定原则，部分检测项目判定方式规定如下：禁用药物：氯霉素不得检出，判定限为</w:t>
      </w:r>
      <w:r>
        <w:rPr>
          <w:sz w:val="24"/>
        </w:rPr>
        <w:t>≤0.</w:t>
      </w:r>
      <w:r>
        <w:rPr>
          <w:sz w:val="24"/>
        </w:rPr>
        <w:t>1</w:t>
      </w:r>
      <w:r>
        <w:rPr>
          <w:sz w:val="24"/>
        </w:rPr>
        <w:t>μg/kg;</w:t>
      </w:r>
      <w:r>
        <w:rPr>
          <w:sz w:val="24"/>
        </w:rPr>
        <w:t>孔雀石绿不得检出，判定限为孔雀石绿和隐色孔雀石绿的总量</w:t>
      </w:r>
      <w:r>
        <w:rPr>
          <w:sz w:val="24"/>
        </w:rPr>
        <w:t>≤</w:t>
      </w:r>
      <w:r>
        <w:rPr>
          <w:sz w:val="24"/>
        </w:rPr>
        <w:t>0.5</w:t>
      </w:r>
      <w:r>
        <w:rPr>
          <w:sz w:val="24"/>
        </w:rPr>
        <w:t>μg/kg</w:t>
      </w:r>
      <w:r>
        <w:rPr>
          <w:sz w:val="24"/>
        </w:rPr>
        <w:t>；硝基呋喃类代谢物不得检出，判定限</w:t>
      </w:r>
      <w:r>
        <w:rPr>
          <w:sz w:val="24"/>
        </w:rPr>
        <w:t>AOZ</w:t>
      </w:r>
      <w:r>
        <w:rPr>
          <w:sz w:val="24"/>
        </w:rPr>
        <w:t>、</w:t>
      </w:r>
      <w:r>
        <w:rPr>
          <w:sz w:val="24"/>
        </w:rPr>
        <w:t>SEM</w:t>
      </w:r>
      <w:r>
        <w:rPr>
          <w:sz w:val="24"/>
        </w:rPr>
        <w:t>、</w:t>
      </w:r>
      <w:r>
        <w:rPr>
          <w:sz w:val="24"/>
        </w:rPr>
        <w:t>AMOZ</w:t>
      </w:r>
      <w:r>
        <w:rPr>
          <w:sz w:val="24"/>
        </w:rPr>
        <w:t>和</w:t>
      </w:r>
      <w:r>
        <w:rPr>
          <w:sz w:val="24"/>
        </w:rPr>
        <w:t>AHD</w:t>
      </w:r>
      <w:r>
        <w:rPr>
          <w:sz w:val="24"/>
        </w:rPr>
        <w:t>各为</w:t>
      </w:r>
      <w:r>
        <w:rPr>
          <w:sz w:val="24"/>
        </w:rPr>
        <w:t>≤1.0μg/kg</w:t>
      </w:r>
      <w:r>
        <w:rPr>
          <w:sz w:val="24"/>
        </w:rPr>
        <w:t>；食品动物中停止使用药物：诺氟沙星、氧氟沙星、培氟沙星和洛美沙星不得检出，判定限各为</w:t>
      </w:r>
      <w:r>
        <w:rPr>
          <w:sz w:val="24"/>
        </w:rPr>
        <w:t>≤</w:t>
      </w:r>
      <w:r>
        <w:rPr>
          <w:sz w:val="24"/>
        </w:rPr>
        <w:t>0.5</w:t>
      </w:r>
      <w:r>
        <w:rPr>
          <w:sz w:val="24"/>
        </w:rPr>
        <w:t>μg/kg</w:t>
      </w:r>
      <w:r>
        <w:rPr>
          <w:sz w:val="24"/>
        </w:rPr>
        <w:t>；允许治疗用，不得在动物性食品中检出的兽药：地西泮不得检出，判定限为</w:t>
      </w:r>
      <w:r>
        <w:rPr>
          <w:sz w:val="24"/>
        </w:rPr>
        <w:t>≤0.5μg/kg</w:t>
      </w:r>
      <w:r>
        <w:rPr>
          <w:sz w:val="24"/>
        </w:rPr>
        <w:t>。</w:t>
      </w:r>
    </w:p>
    <w:p>
      <w:pPr>
        <w:jc w:val="both"/>
      </w:pPr>
      <w:r>
        <w:rPr>
          <w:sz w:val="24"/>
        </w:rPr>
        <w:t>（</w:t>
      </w:r>
      <w:r>
        <w:rPr>
          <w:sz w:val="24"/>
        </w:rPr>
        <w:t>3</w:t>
      </w:r>
      <w:r>
        <w:rPr>
          <w:sz w:val="24"/>
        </w:rPr>
        <w:t>）生鲜乳</w:t>
      </w:r>
    </w:p>
    <w:p>
      <w:pPr>
        <w:jc w:val="both"/>
      </w:pPr>
      <w:r>
        <w:rPr>
          <w:sz w:val="24"/>
        </w:rPr>
        <w:t>生鲜乳检测方法和结果判定详见如下：</w:t>
      </w:r>
    </w:p>
    <w:tbl>
      <w:tblPr>
        <w:tblW w:w="0" w:type="auto"/>
        <w:tblBorders>
          <w:top w:val="none" w:color="000000" w:sz="4"/>
          <w:left w:val="none" w:color="000000" w:sz="4"/>
          <w:bottom w:val="none" w:color="000000" w:sz="4"/>
          <w:right w:val="none" w:color="000000" w:sz="4"/>
          <w:insideH w:val="none"/>
          <w:insideV w:val="none"/>
        </w:tblBorders>
      </w:tblPr>
      <w:tblGrid>
        <w:gridCol w:w="1017"/>
        <w:gridCol w:w="1161"/>
        <w:gridCol w:w="3062"/>
        <w:gridCol w:w="3062"/>
      </w:tblGrid>
      <w:tr>
        <w:tc>
          <w:tcPr>
            <w:tcW w:type="dxa" w:w="1017"/>
            <w:tcBorders>
              <w:top w:val="single" w:color="000000" w:sz="4"/>
              <w:left w:val="single" w:color="000000" w:sz="4"/>
              <w:bottom w:val="single" w:color="000000" w:sz="4"/>
              <w:right w:val="single" w:color="000000" w:sz="4"/>
            </w:tcBorders>
            <w:vAlign w:val="top"/>
          </w:tcPr>
          <w:p>
            <w:pPr>
              <w:jc w:val="center"/>
            </w:pPr>
            <w:r>
              <w:rPr>
                <w:b/>
                <w:sz w:val="24"/>
              </w:rPr>
              <w:t>任务类别</w:t>
            </w:r>
          </w:p>
        </w:tc>
        <w:tc>
          <w:tcPr>
            <w:tcW w:type="dxa" w:w="1161"/>
            <w:tcBorders>
              <w:top w:val="single" w:color="000000" w:sz="4"/>
              <w:left w:val="none" w:color="000000" w:sz="4"/>
              <w:bottom w:val="single" w:color="000000" w:sz="4"/>
              <w:right w:val="single" w:color="000000" w:sz="4"/>
            </w:tcBorders>
            <w:vAlign w:val="top"/>
          </w:tcPr>
          <w:p>
            <w:pPr>
              <w:jc w:val="center"/>
            </w:pPr>
            <w:r>
              <w:rPr>
                <w:b/>
                <w:sz w:val="24"/>
              </w:rPr>
              <w:t>监测项目</w:t>
            </w:r>
          </w:p>
        </w:tc>
        <w:tc>
          <w:tcPr>
            <w:tcW w:type="dxa" w:w="3062"/>
            <w:tcBorders>
              <w:top w:val="single" w:color="000000" w:sz="4"/>
              <w:left w:val="none" w:color="000000" w:sz="4"/>
              <w:bottom w:val="single" w:color="000000" w:sz="4"/>
              <w:right w:val="single" w:color="000000" w:sz="4"/>
            </w:tcBorders>
            <w:vAlign w:val="top"/>
          </w:tcPr>
          <w:p>
            <w:pPr>
              <w:jc w:val="center"/>
            </w:pPr>
            <w:r>
              <w:rPr>
                <w:b/>
                <w:sz w:val="24"/>
              </w:rPr>
              <w:t>建议检测方法</w:t>
            </w:r>
          </w:p>
        </w:tc>
        <w:tc>
          <w:tcPr>
            <w:tcW w:type="dxa" w:w="3062"/>
            <w:tcBorders>
              <w:top w:val="single" w:color="000000" w:sz="4"/>
              <w:left w:val="none" w:color="000000" w:sz="4"/>
              <w:bottom w:val="single" w:color="000000" w:sz="4"/>
              <w:right w:val="single" w:color="000000" w:sz="4"/>
            </w:tcBorders>
            <w:vAlign w:val="top"/>
          </w:tcPr>
          <w:p>
            <w:pPr>
              <w:jc w:val="center"/>
            </w:pPr>
            <w:r>
              <w:rPr>
                <w:b/>
                <w:sz w:val="24"/>
              </w:rPr>
              <w:t>判定标准</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菌落总数</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食品安全国家标准食品微生物学检验菌落总数测定</w:t>
            </w:r>
            <w:r>
              <w:rPr>
                <w:sz w:val="24"/>
              </w:rPr>
              <w:t>GB 4789.2-</w:t>
            </w:r>
            <w:r>
              <w:rPr>
                <w:sz w:val="24"/>
              </w:rPr>
              <w:t>2022</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19301-2010《食品安全国家标准 生乳》</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蛋白质</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食品安全国家标准食品中蛋白质的测定</w:t>
            </w:r>
            <w:r>
              <w:rPr>
                <w:sz w:val="24"/>
              </w:rPr>
              <w:t>GB 5009.5-2016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19301-2010《食品安全国家标准 生乳》</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脂肪</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食品安全国家标准食品中脂肪的测定</w:t>
            </w:r>
            <w:r>
              <w:rPr>
                <w:sz w:val="24"/>
              </w:rPr>
              <w:t>GB 5009.6-2016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19301-2010《食品安全国家标准 生乳》</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六六六</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食品中有机氯农药多组分残留量的测定</w:t>
            </w:r>
            <w:r>
              <w:rPr>
                <w:sz w:val="24"/>
              </w:rPr>
              <w:t>GB/T 5009.19-2008</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2763-2021《食品安全国家标准食品中农药最大残留限量》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滴滴涕</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食品中有机氯农药多组分残留量的测定</w:t>
            </w:r>
            <w:r>
              <w:rPr>
                <w:sz w:val="24"/>
              </w:rPr>
              <w:t>GB/T5009.19-2008</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2763-2021《食品安全国家标准食品中农药最大残留限量》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硫氰酸钠</w:t>
            </w:r>
          </w:p>
        </w:tc>
        <w:tc>
          <w:tcPr>
            <w:tcW w:type="dxa" w:w="3062"/>
            <w:tcBorders>
              <w:top w:val="none" w:color="000000" w:sz="4"/>
              <w:left w:val="none" w:color="000000" w:sz="4"/>
              <w:bottom w:val="single" w:color="000000" w:sz="4"/>
              <w:right w:val="single" w:color="000000" w:sz="4"/>
            </w:tcBorders>
            <w:vAlign w:val="top"/>
          </w:tcPr>
          <w:p>
            <w:pPr>
              <w:jc w:val="left"/>
            </w:pPr>
            <w:r>
              <w:rPr>
                <w:sz w:val="24"/>
              </w:rPr>
              <w:t>乳及乳制品中硫氰酸根的测定</w:t>
            </w:r>
            <w:r>
              <w:rPr>
                <w:sz w:val="24"/>
              </w:rPr>
              <w:t>BJS 201709</w:t>
            </w:r>
          </w:p>
        </w:tc>
        <w:tc>
          <w:tcPr>
            <w:tcW w:type="dxa" w:w="3062"/>
            <w:tcBorders>
              <w:top w:val="none" w:color="000000" w:sz="4"/>
              <w:left w:val="none" w:color="000000" w:sz="4"/>
              <w:bottom w:val="single" w:color="000000" w:sz="4"/>
              <w:right w:val="single" w:color="000000" w:sz="4"/>
            </w:tcBorders>
            <w:vAlign w:val="top"/>
          </w:tcPr>
          <w:p>
            <w:pPr>
              <w:jc w:val="left"/>
            </w:pPr>
            <w:r>
              <w:rPr>
                <w:sz w:val="24"/>
              </w:rPr>
              <w:t>实测值</w:t>
            </w:r>
            <w:r>
              <w:rPr>
                <w:sz w:val="24"/>
              </w:rPr>
              <w:t>(原料乳中一般含有一定本底浓度的硫氰酸钠，以十字花科的植物原料作为动物饲料饲喂奶牛，是原料乳中硫氰酸盐的来源之一)</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β-内酰胺酶</w:t>
            </w:r>
          </w:p>
        </w:tc>
        <w:tc>
          <w:tcPr>
            <w:tcW w:type="dxa" w:w="3062"/>
            <w:tcBorders>
              <w:top w:val="none" w:color="000000" w:sz="4"/>
              <w:left w:val="none" w:color="000000" w:sz="4"/>
              <w:bottom w:val="single" w:color="000000" w:sz="4"/>
              <w:right w:val="single" w:color="000000" w:sz="4"/>
            </w:tcBorders>
            <w:vAlign w:val="top"/>
          </w:tcPr>
          <w:p>
            <w:pPr>
              <w:jc w:val="left"/>
            </w:pPr>
            <w:r>
              <w:rPr>
                <w:sz w:val="24"/>
              </w:rPr>
              <w:t>商品化试剂盒检测方法</w:t>
            </w:r>
            <w:r>
              <w:rPr>
                <w:sz w:val="24"/>
              </w:rPr>
              <w:t>β-内酰胺酶方法一SNT 4533.1-2016</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食品整治办</w:t>
            </w:r>
            <w:r>
              <w:rPr>
                <w:sz w:val="24"/>
              </w:rPr>
              <w:t>[2009]5号 食品中可能违法添加的非食用物质名单(第二批)</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L~羟脯氨酸</w:t>
            </w:r>
          </w:p>
        </w:tc>
        <w:tc>
          <w:tcPr>
            <w:tcW w:type="dxa" w:w="3062"/>
            <w:tcBorders>
              <w:top w:val="none" w:color="000000" w:sz="4"/>
              <w:left w:val="none" w:color="000000" w:sz="4"/>
              <w:bottom w:val="single" w:color="000000" w:sz="4"/>
              <w:right w:val="single" w:color="000000" w:sz="4"/>
            </w:tcBorders>
            <w:vAlign w:val="top"/>
          </w:tcPr>
          <w:p>
            <w:pPr>
              <w:jc w:val="left"/>
            </w:pPr>
            <w:r>
              <w:rPr>
                <w:sz w:val="24"/>
              </w:rPr>
              <w:t>生乳中</w:t>
            </w:r>
            <w:r>
              <w:rPr>
                <w:sz w:val="24"/>
              </w:rPr>
              <w:t>L-羟脯氨酸的测定 NY/T 3130-2017</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食品整治办</w:t>
            </w:r>
            <w:r>
              <w:rPr>
                <w:sz w:val="24"/>
              </w:rPr>
              <w:t>[2009]5号 食品中可能违法添加的非食用物质名单(第二批)</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阿莫西林</w:t>
            </w:r>
            <w:r>
              <w:rPr>
                <w:sz w:val="24"/>
              </w:rPr>
              <w:t>(羟氨苄青霉素)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动物源性食品中青霉素族抗生素残留量检测方法</w:t>
            </w:r>
            <w:r>
              <w:rPr>
                <w:sz w:val="24"/>
              </w:rPr>
              <w:t>液相色谱</w:t>
            </w:r>
            <w:r>
              <w:rPr>
                <w:sz w:val="24"/>
              </w:rPr>
              <w:t>-质谱/质谱法 GB/T 21315-2007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氨苄西林</w:t>
            </w:r>
          </w:p>
          <w:p>
            <w:pPr>
              <w:jc w:val="center"/>
            </w:pPr>
            <w:r>
              <w:rPr>
                <w:sz w:val="24"/>
              </w:rPr>
              <w:t>(氨苄青霉素)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动物源性食品中青霉素族抗生素残留量检测方法液相色谱</w:t>
            </w:r>
            <w:r>
              <w:rPr>
                <w:sz w:val="24"/>
              </w:rPr>
              <w:t>-质谱/质谱法 GB/T 21315-2007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青霉素</w:t>
            </w:r>
            <w:r>
              <w:rPr>
                <w:sz w:val="24"/>
              </w:rPr>
              <w:t>G</w:t>
            </w:r>
          </w:p>
          <w:p>
            <w:pPr>
              <w:jc w:val="center"/>
            </w:pPr>
            <w:r>
              <w:rPr>
                <w:sz w:val="24"/>
              </w:rPr>
              <w:t>(青霉素)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动物源性食品中青霉素族抗生素残留量检测方法</w:t>
            </w:r>
            <w:r>
              <w:rPr>
                <w:sz w:val="24"/>
              </w:rPr>
              <w:t>液相色谱</w:t>
            </w:r>
            <w:r>
              <w:rPr>
                <w:sz w:val="24"/>
              </w:rPr>
              <w:t>-质谱/质谱法 GB/T 21315-2007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链霉素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《动物性食品中</w:t>
            </w:r>
            <w:r>
              <w:rPr>
                <w:sz w:val="24"/>
              </w:rPr>
              <w:t>8种氨基糖苷类药物残留检测 液相色谱-串联质谱法》农医发[2014]8号</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双氢链霉素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《动物性食品中</w:t>
            </w:r>
            <w:r>
              <w:rPr>
                <w:sz w:val="24"/>
              </w:rPr>
              <w:t>8种氨基糖苷类药物残留检测 液相色谱-串联质谱法》农医发[2014]8号</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庆大霉素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《动物性食品中</w:t>
            </w:r>
            <w:r>
              <w:rPr>
                <w:sz w:val="24"/>
              </w:rPr>
              <w:t>8种氨基糖苷类药物残留检测 液相色谱-串联质谱法》农医发[2014]8号</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大观霉素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《动物性食品中</w:t>
            </w:r>
            <w:r>
              <w:rPr>
                <w:sz w:val="24"/>
              </w:rPr>
              <w:t>8种氨基糖苷类药物残留检测 液相色谱-串联质谱法》农医发[2014]8号</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新霉素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《动物性食品中</w:t>
            </w:r>
            <w:r>
              <w:rPr>
                <w:sz w:val="24"/>
              </w:rPr>
              <w:t>8种氨基糖苷类药物残留检测 液相色谱-串联质谱法》农医发[2014]8号</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恩诺沙星</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w:t>
            </w:r>
            <w:r>
              <w:rPr>
                <w:sz w:val="24"/>
              </w:rPr>
              <w:t>14种喹诺酮药物残留检测方法 液相色谱-质谱/质谱法 GB/T 21312-2007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环丙沙星</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w:t>
            </w:r>
            <w:r>
              <w:rPr>
                <w:sz w:val="24"/>
              </w:rPr>
              <w:t>14种喹诺酮药物残留检测方法 液相色谱-质谱/质谱法 GB/T 21312-2007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达氟沙星</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w:t>
            </w:r>
            <w:r>
              <w:rPr>
                <w:sz w:val="24"/>
              </w:rPr>
              <w:t>14种喹诺酮药物残留检测方法 液相色谱-质谱/质谱法 GB/T 21312-2007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沙拉沙星</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w:t>
            </w:r>
            <w:r>
              <w:rPr>
                <w:sz w:val="24"/>
              </w:rPr>
              <w:t>14种喹诺酮药物残留检测方法 液相色谱-质谱/质谱法 GB/T 21312-2007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四环素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动物源性食品中四环素类兽药残留量检测方法</w:t>
            </w:r>
            <w:r>
              <w:rPr>
                <w:sz w:val="24"/>
              </w:rPr>
              <w:t>液相色谱</w:t>
            </w:r>
            <w:r>
              <w:rPr>
                <w:sz w:val="24"/>
              </w:rPr>
              <w:t>-质谱质谱法与高效液相色谱法GB/T 21317-2007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土霉素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动物源性食品中四环素类兽药残留量检测方法</w:t>
            </w:r>
            <w:r>
              <w:rPr>
                <w:sz w:val="24"/>
              </w:rPr>
              <w:t>液相色谱</w:t>
            </w:r>
            <w:r>
              <w:rPr>
                <w:sz w:val="24"/>
              </w:rPr>
              <w:t>-质谱质谱法与高效液相色谱法GB/T 21317-2007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金霉素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动物源性食品中四环素类兽药残留量检测方法</w:t>
            </w:r>
            <w:r>
              <w:rPr>
                <w:sz w:val="24"/>
              </w:rPr>
              <w:t>液相色谱</w:t>
            </w:r>
            <w:r>
              <w:rPr>
                <w:sz w:val="24"/>
              </w:rPr>
              <w:t>-质谱质谱法与高效液相色谱法GB/T 21317-2007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多西环素</w:t>
            </w:r>
          </w:p>
        </w:tc>
        <w:tc>
          <w:tcPr>
            <w:tcW w:type="dxa" w:w="3062"/>
            <w:tcBorders>
              <w:top w:val="none" w:color="000000" w:sz="4"/>
              <w:left w:val="none" w:color="000000" w:sz="4"/>
              <w:bottom w:val="single" w:color="000000" w:sz="4"/>
              <w:right w:val="single" w:color="000000" w:sz="4"/>
            </w:tcBorders>
            <w:vAlign w:val="top"/>
          </w:tcPr>
          <w:p>
            <w:pPr>
              <w:jc w:val="left"/>
            </w:pPr>
            <w:r>
              <w:rPr>
                <w:sz w:val="24"/>
              </w:rPr>
              <w:t>动物源性食品中四环素类兽药残留量检测方法</w:t>
            </w:r>
            <w:r>
              <w:rPr>
                <w:sz w:val="24"/>
              </w:rPr>
              <w:t>液相色谱</w:t>
            </w:r>
            <w:r>
              <w:rPr>
                <w:sz w:val="24"/>
              </w:rPr>
              <w:t>-质谱质谱法与高效液相色谱法GB/T 21317-2007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31650-2019《食品安全国家标准食品中兽药最大残留限量》(牛泌乳期禁用)</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磺胺二甲基嘧啶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磺胺二甲异嘧啶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磺胺二甲氧基嘧啶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磺胺吡啶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磺胺嘧啶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磺胺异噁唑</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磺胺甲基嘧啶</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 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风险监测</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磺胺甲基异噁唑</w:t>
            </w:r>
          </w:p>
        </w:tc>
        <w:tc>
          <w:tcPr>
            <w:tcW w:type="dxa" w:w="3062"/>
            <w:tcBorders>
              <w:top w:val="none" w:color="000000" w:sz="4"/>
              <w:left w:val="none" w:color="000000" w:sz="4"/>
              <w:bottom w:val="single" w:color="000000" w:sz="4"/>
              <w:right w:val="single" w:color="000000" w:sz="4"/>
            </w:tcBorders>
            <w:vAlign w:val="top"/>
          </w:tcPr>
          <w:p>
            <w:pPr>
              <w:jc w:val="left"/>
            </w:pPr>
            <w:r>
              <w:rPr>
                <w:sz w:val="24"/>
              </w:rPr>
              <w:t>牛奶中磺胺类药物残留量的测定液相色谱</w:t>
            </w:r>
            <w:r>
              <w:rPr>
                <w:sz w:val="24"/>
              </w:rPr>
              <w:t>-串联质谱法农业部781号公告-12-2006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31650-2019《食品安全国家标准食品中兽药最大残留限量》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三聚氰胺</w:t>
            </w:r>
          </w:p>
        </w:tc>
        <w:tc>
          <w:tcPr>
            <w:tcW w:type="dxa" w:w="3062"/>
            <w:tcBorders>
              <w:top w:val="none" w:color="000000" w:sz="4"/>
              <w:left w:val="none" w:color="000000" w:sz="4"/>
              <w:bottom w:val="single" w:color="000000" w:sz="4"/>
              <w:right w:val="single" w:color="000000" w:sz="4"/>
            </w:tcBorders>
            <w:vAlign w:val="top"/>
          </w:tcPr>
          <w:p>
            <w:pPr>
              <w:jc w:val="left"/>
            </w:pPr>
            <w:r>
              <w:rPr>
                <w:sz w:val="24"/>
              </w:rPr>
              <w:t>原料乳与乳制品中三聚氰胺检洲方法</w:t>
            </w:r>
            <w:r>
              <w:rPr>
                <w:sz w:val="24"/>
              </w:rPr>
              <w:t>GB/T 22388-2008</w:t>
            </w:r>
          </w:p>
        </w:tc>
        <w:tc>
          <w:tcPr>
            <w:tcW w:type="dxa" w:w="3062"/>
            <w:tcBorders>
              <w:top w:val="none" w:color="000000" w:sz="4"/>
              <w:left w:val="none" w:color="000000" w:sz="4"/>
              <w:bottom w:val="single" w:color="000000" w:sz="4"/>
              <w:right w:val="single" w:color="000000" w:sz="4"/>
            </w:tcBorders>
            <w:vAlign w:val="top"/>
          </w:tcPr>
          <w:p>
            <w:pPr>
              <w:jc w:val="left"/>
            </w:pPr>
            <w:r>
              <w:rPr>
                <w:sz w:val="24"/>
              </w:rPr>
              <w:t>卫生部、工业和信息化部、农业部、工商总局、质检总局公告</w:t>
            </w:r>
            <w:r>
              <w:rPr>
                <w:sz w:val="24"/>
              </w:rPr>
              <w:t>2011年第10号《关于三聚氰胺在食品中的限量值的公告》</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黄曲霉毒素</w:t>
            </w:r>
            <w:r>
              <w:rPr>
                <w:sz w:val="24"/>
              </w:rPr>
              <w:t>MI</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食品安全国家标准食品中黄曲霉毒素</w:t>
            </w:r>
            <w:r>
              <w:rPr>
                <w:sz w:val="24"/>
              </w:rPr>
              <w:t>M族的测定GB 5009.24-2016</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2761-2017《食品安全国家标准食品中真菌毒素限量》</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铅</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食品安全国家标准食品中铅的测定</w:t>
            </w:r>
            <w:r>
              <w:rPr>
                <w:sz w:val="24"/>
              </w:rPr>
              <w:t>GB 5009.12-2017</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2762-20</w:t>
            </w:r>
            <w:r>
              <w:rPr>
                <w:sz w:val="24"/>
              </w:rPr>
              <w:t>17</w:t>
            </w:r>
            <w:r>
              <w:rPr>
                <w:sz w:val="24"/>
              </w:rPr>
              <w:t>（</w:t>
            </w:r>
            <w:r>
              <w:rPr>
                <w:sz w:val="24"/>
              </w:rPr>
              <w:t>2023年6月30日前</w:t>
            </w:r>
            <w:r>
              <w:rPr>
                <w:sz w:val="24"/>
              </w:rPr>
              <w:t>）、</w:t>
            </w:r>
            <w:r>
              <w:rPr>
                <w:sz w:val="24"/>
              </w:rPr>
              <w:t>GB 2762-20</w:t>
            </w:r>
            <w:r>
              <w:rPr>
                <w:sz w:val="24"/>
              </w:rPr>
              <w:t>22</w:t>
            </w:r>
            <w:r>
              <w:rPr>
                <w:sz w:val="24"/>
              </w:rPr>
              <w:t>（</w:t>
            </w:r>
            <w:r>
              <w:rPr>
                <w:sz w:val="24"/>
              </w:rPr>
              <w:t>2023年6月30日起</w:t>
            </w:r>
            <w:r>
              <w:rPr>
                <w:sz w:val="24"/>
              </w:rPr>
              <w:t>）</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铬</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食品安全国家标准食品中铬的测定</w:t>
            </w:r>
            <w:r>
              <w:rPr>
                <w:sz w:val="24"/>
              </w:rPr>
              <w:t>GB 5009.123-2014</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2762-20</w:t>
            </w:r>
            <w:r>
              <w:rPr>
                <w:sz w:val="24"/>
              </w:rPr>
              <w:t>17</w:t>
            </w:r>
            <w:r>
              <w:rPr>
                <w:sz w:val="24"/>
              </w:rPr>
              <w:t>（</w:t>
            </w:r>
            <w:r>
              <w:rPr>
                <w:sz w:val="24"/>
              </w:rPr>
              <w:t>2023年6月30日前</w:t>
            </w:r>
            <w:r>
              <w:rPr>
                <w:sz w:val="24"/>
              </w:rPr>
              <w:t>）、</w:t>
            </w:r>
            <w:r>
              <w:rPr>
                <w:sz w:val="24"/>
              </w:rPr>
              <w:t>GB 2762-20</w:t>
            </w:r>
            <w:r>
              <w:rPr>
                <w:sz w:val="24"/>
              </w:rPr>
              <w:t>22</w:t>
            </w:r>
            <w:r>
              <w:rPr>
                <w:sz w:val="24"/>
              </w:rPr>
              <w:t>（</w:t>
            </w:r>
            <w:r>
              <w:rPr>
                <w:sz w:val="24"/>
              </w:rPr>
              <w:t>2023年6月30日起</w:t>
            </w:r>
            <w:r>
              <w:rPr>
                <w:sz w:val="24"/>
              </w:rPr>
              <w:t>）</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汞</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食品安全国家标准食品中总汞及有机汞的测定</w:t>
            </w:r>
            <w:r>
              <w:rPr>
                <w:sz w:val="24"/>
              </w:rPr>
              <w:t>GB 5009.17-2014</w:t>
            </w:r>
          </w:p>
          <w:p>
            <w:pPr>
              <w:jc w:val="left"/>
            </w:pPr>
            <w:r>
              <w:rPr>
                <w:sz w:val="24"/>
              </w:rPr>
              <w:t>食品安全国家标准食品中总汞及有机汞的测定</w:t>
            </w:r>
            <w:r>
              <w:rPr>
                <w:sz w:val="24"/>
              </w:rPr>
              <w:t>GB 5009.17-2021（2022-03-07实施）</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2762-20</w:t>
            </w:r>
            <w:r>
              <w:rPr>
                <w:sz w:val="24"/>
              </w:rPr>
              <w:t>17</w:t>
            </w:r>
            <w:r>
              <w:rPr>
                <w:sz w:val="24"/>
              </w:rPr>
              <w:t>（</w:t>
            </w:r>
            <w:r>
              <w:rPr>
                <w:sz w:val="24"/>
              </w:rPr>
              <w:t>2023年6月30日前</w:t>
            </w:r>
            <w:r>
              <w:rPr>
                <w:sz w:val="24"/>
              </w:rPr>
              <w:t>）、</w:t>
            </w:r>
            <w:r>
              <w:rPr>
                <w:sz w:val="24"/>
              </w:rPr>
              <w:t>GB 2762-20</w:t>
            </w:r>
            <w:r>
              <w:rPr>
                <w:sz w:val="24"/>
              </w:rPr>
              <w:t>22</w:t>
            </w:r>
            <w:r>
              <w:rPr>
                <w:sz w:val="24"/>
              </w:rPr>
              <w:t>（</w:t>
            </w:r>
            <w:r>
              <w:rPr>
                <w:sz w:val="24"/>
              </w:rPr>
              <w:t>2023年6月30日起</w:t>
            </w:r>
            <w:r>
              <w:rPr>
                <w:sz w:val="24"/>
              </w:rPr>
              <w:t>）</w:t>
            </w:r>
          </w:p>
        </w:tc>
      </w:tr>
      <w:tr>
        <w:tc>
          <w:tcPr>
            <w:tcW w:type="dxa" w:w="1017"/>
            <w:tcBorders>
              <w:top w:val="none" w:color="000000" w:sz="4"/>
              <w:left w:val="single" w:color="000000" w:sz="4"/>
              <w:bottom w:val="single" w:color="000000" w:sz="4"/>
              <w:right w:val="single" w:color="000000" w:sz="4"/>
            </w:tcBorders>
            <w:vAlign w:val="top"/>
          </w:tcPr>
          <w:p>
            <w:pPr>
              <w:jc w:val="both"/>
            </w:pPr>
            <w:r>
              <w:rPr>
                <w:sz w:val="24"/>
              </w:rPr>
              <w:t>监督抽查</w:t>
            </w:r>
          </w:p>
        </w:tc>
        <w:tc>
          <w:tcPr>
            <w:tcW w:type="dxa" w:w="1161"/>
            <w:tcBorders>
              <w:top w:val="none" w:color="000000" w:sz="4"/>
              <w:left w:val="none" w:color="000000" w:sz="4"/>
              <w:bottom w:val="single" w:color="000000" w:sz="4"/>
              <w:right w:val="single" w:color="000000" w:sz="4"/>
            </w:tcBorders>
            <w:vAlign w:val="top"/>
          </w:tcPr>
          <w:p>
            <w:pPr>
              <w:jc w:val="center"/>
            </w:pPr>
            <w:r>
              <w:rPr>
                <w:sz w:val="24"/>
              </w:rPr>
              <w:t>总砷</w:t>
            </w:r>
          </w:p>
        </w:tc>
        <w:tc>
          <w:tcPr>
            <w:tcW w:type="dxa" w:w="3062"/>
            <w:tcBorders>
              <w:top w:val="none" w:color="000000" w:sz="4"/>
              <w:left w:val="none" w:color="000000" w:sz="4"/>
              <w:bottom w:val="single" w:color="000000" w:sz="4"/>
              <w:right w:val="single" w:color="000000" w:sz="4"/>
            </w:tcBorders>
            <w:vAlign w:val="top"/>
          </w:tcPr>
          <w:p>
            <w:pPr>
              <w:jc w:val="left"/>
            </w:pPr>
            <w:r>
              <w:rPr>
                <w:sz w:val="24"/>
              </w:rPr>
              <w:t>食品安全国家标准食品中总砷及无机砷的测定</w:t>
            </w:r>
            <w:r>
              <w:rPr>
                <w:sz w:val="24"/>
              </w:rPr>
              <w:t>GB 5009.11-2014</w:t>
            </w:r>
          </w:p>
        </w:tc>
        <w:tc>
          <w:tcPr>
            <w:tcW w:type="dxa" w:w="3062"/>
            <w:tcBorders>
              <w:top w:val="none" w:color="000000" w:sz="4"/>
              <w:left w:val="none" w:color="000000" w:sz="4"/>
              <w:bottom w:val="single" w:color="000000" w:sz="4"/>
              <w:right w:val="single" w:color="000000" w:sz="4"/>
            </w:tcBorders>
            <w:vAlign w:val="top"/>
          </w:tcPr>
          <w:p>
            <w:pPr>
              <w:jc w:val="left"/>
            </w:pPr>
            <w:r>
              <w:rPr>
                <w:sz w:val="24"/>
              </w:rPr>
              <w:t>GB 2762-20</w:t>
            </w:r>
            <w:r>
              <w:rPr>
                <w:sz w:val="24"/>
              </w:rPr>
              <w:t>17</w:t>
            </w:r>
            <w:r>
              <w:rPr>
                <w:sz w:val="24"/>
              </w:rPr>
              <w:t>（</w:t>
            </w:r>
            <w:r>
              <w:rPr>
                <w:sz w:val="24"/>
              </w:rPr>
              <w:t>2023年6月30日前</w:t>
            </w:r>
            <w:r>
              <w:rPr>
                <w:sz w:val="24"/>
              </w:rPr>
              <w:t>）、</w:t>
            </w:r>
            <w:r>
              <w:rPr>
                <w:sz w:val="24"/>
              </w:rPr>
              <w:t>GB 2762-20</w:t>
            </w:r>
            <w:r>
              <w:rPr>
                <w:sz w:val="24"/>
              </w:rPr>
              <w:t>22</w:t>
            </w:r>
            <w:r>
              <w:rPr>
                <w:sz w:val="24"/>
              </w:rPr>
              <w:t>（</w:t>
            </w:r>
            <w:r>
              <w:rPr>
                <w:sz w:val="24"/>
              </w:rPr>
              <w:t>2023年6月30日起</w:t>
            </w:r>
            <w:r>
              <w:rPr>
                <w:sz w:val="24"/>
              </w:rPr>
              <w:t>）</w:t>
            </w:r>
          </w:p>
        </w:tc>
      </w:tr>
    </w:tbl>
    <w:p>
      <w:pPr>
        <w:jc w:val="left"/>
      </w:pPr>
      <w:r>
        <w:rPr>
          <w:sz w:val="24"/>
        </w:rPr>
        <w:t>实际抽检要求根据黄埔区当年实际生产情况及市级要求（</w:t>
      </w:r>
      <w:r>
        <w:rPr>
          <w:sz w:val="24"/>
        </w:rPr>
        <w:t>202</w:t>
      </w:r>
      <w:r>
        <w:rPr>
          <w:sz w:val="24"/>
        </w:rPr>
        <w:t>4</w:t>
      </w:r>
      <w:r>
        <w:rPr>
          <w:sz w:val="24"/>
        </w:rPr>
        <w:t>年广州市产地农产品质量安全监测工作方案）进行调整。</w:t>
      </w:r>
    </w:p>
    <w:p>
      <w:pPr>
        <w:jc w:val="both"/>
      </w:pPr>
      <w:r>
        <w:rPr>
          <w:sz w:val="24"/>
        </w:rPr>
        <w:t>2</w:t>
      </w:r>
      <w:r>
        <w:rPr>
          <w:sz w:val="24"/>
        </w:rPr>
        <w:t>、乙方负责安排采样工作的人员及车辆，采样期间，安排</w:t>
      </w:r>
      <w:r>
        <w:rPr>
          <w:sz w:val="24"/>
        </w:rPr>
        <w:t>2</w:t>
      </w:r>
      <w:r>
        <w:rPr>
          <w:sz w:val="24"/>
        </w:rPr>
        <w:t>台或以上车辆，派出协助采样人员</w:t>
      </w:r>
      <w:r>
        <w:rPr>
          <w:sz w:val="24"/>
        </w:rPr>
        <w:t>4</w:t>
      </w:r>
      <w:r>
        <w:rPr>
          <w:sz w:val="24"/>
        </w:rPr>
        <w:t>人或以上按时完成采样工作。并做</w:t>
      </w:r>
      <w:r>
        <w:rPr>
          <w:sz w:val="24"/>
        </w:rPr>
        <w:t>好样品留存工作。</w:t>
      </w:r>
    </w:p>
    <w:p>
      <w:pPr>
        <w:jc w:val="both"/>
      </w:pPr>
      <w:r>
        <w:rPr>
          <w:b/>
          <w:sz w:val="24"/>
        </w:rPr>
        <w:t>四、检验的实施</w:t>
      </w:r>
    </w:p>
    <w:p>
      <w:pPr>
        <w:jc w:val="left"/>
      </w:pPr>
      <w:r>
        <w:rPr>
          <w:sz w:val="24"/>
        </w:rPr>
        <w:t>1</w:t>
      </w:r>
      <w:r>
        <w:rPr>
          <w:sz w:val="24"/>
        </w:rPr>
        <w:t>、检验项目及数量</w:t>
      </w:r>
    </w:p>
    <w:p>
      <w:pPr>
        <w:jc w:val="center"/>
      </w:pPr>
      <w:r>
        <w:rPr>
          <w:sz w:val="24"/>
        </w:rPr>
        <w:t>种植业产品监测项目</w:t>
      </w:r>
    </w:p>
    <w:tbl>
      <w:tblPr>
        <w:tblW w:w="0" w:type="auto"/>
        <w:tblBorders>
          <w:top w:val="none" w:color="000000" w:sz="4"/>
          <w:left w:val="none" w:color="000000" w:sz="4"/>
          <w:bottom w:val="none" w:color="000000" w:sz="4"/>
          <w:right w:val="none" w:color="000000" w:sz="4"/>
          <w:insideH w:val="none"/>
          <w:insideV w:val="none"/>
        </w:tblBorders>
      </w:tblPr>
      <w:tblGrid>
        <w:gridCol w:w="1465"/>
        <w:gridCol w:w="5373"/>
        <w:gridCol w:w="1465"/>
      </w:tblGrid>
      <w:tr>
        <w:tc>
          <w:tcPr>
            <w:tcW w:type="dxa" w:w="1465"/>
            <w:tcBorders>
              <w:top w:val="single" w:color="000000" w:sz="4"/>
              <w:left w:val="single" w:color="000000" w:sz="4"/>
              <w:bottom w:val="single" w:color="000000" w:sz="4"/>
              <w:right w:val="single" w:color="000000" w:sz="4"/>
            </w:tcBorders>
            <w:vAlign w:val="top"/>
          </w:tcPr>
          <w:p>
            <w:pPr>
              <w:jc w:val="center"/>
            </w:pPr>
            <w:r>
              <w:rPr>
                <w:b/>
                <w:sz w:val="24"/>
              </w:rPr>
              <w:t>监测品种</w:t>
            </w:r>
          </w:p>
        </w:tc>
        <w:tc>
          <w:tcPr>
            <w:tcW w:type="dxa" w:w="5373"/>
            <w:tcBorders>
              <w:top w:val="single" w:color="000000" w:sz="4"/>
              <w:left w:val="none" w:color="000000" w:sz="4"/>
              <w:bottom w:val="single" w:color="000000" w:sz="4"/>
              <w:right w:val="single" w:color="000000" w:sz="4"/>
            </w:tcBorders>
            <w:vAlign w:val="top"/>
          </w:tcPr>
          <w:p>
            <w:pPr>
              <w:jc w:val="center"/>
            </w:pPr>
            <w:r>
              <w:rPr>
                <w:b/>
                <w:sz w:val="24"/>
              </w:rPr>
              <w:t>监测</w:t>
            </w:r>
            <w:r>
              <w:rPr>
                <w:b/>
                <w:sz w:val="24"/>
              </w:rPr>
              <w:t>项目</w:t>
            </w:r>
          </w:p>
        </w:tc>
        <w:tc>
          <w:tcPr>
            <w:tcW w:type="dxa" w:w="1465"/>
            <w:tcBorders>
              <w:top w:val="single" w:color="000000" w:sz="4"/>
              <w:left w:val="none" w:color="000000" w:sz="4"/>
              <w:bottom w:val="single" w:color="000000" w:sz="4"/>
              <w:right w:val="single" w:color="000000" w:sz="4"/>
            </w:tcBorders>
            <w:vAlign w:val="top"/>
          </w:tcPr>
          <w:p>
            <w:pPr>
              <w:jc w:val="center"/>
            </w:pPr>
            <w:r>
              <w:rPr>
                <w:b/>
                <w:sz w:val="24"/>
              </w:rPr>
              <w:t>数量</w:t>
            </w:r>
          </w:p>
        </w:tc>
      </w:tr>
      <w:tr>
        <w:tc>
          <w:tcPr>
            <w:tcW w:type="dxa" w:w="1465"/>
            <w:vMerge w:val="restart"/>
            <w:tcBorders>
              <w:top w:val="none" w:color="000000" w:sz="4"/>
              <w:left w:val="single" w:color="000000" w:sz="4"/>
              <w:bottom w:val="single" w:color="000000" w:sz="4"/>
              <w:right w:val="single" w:color="000000" w:sz="4"/>
            </w:tcBorders>
            <w:vAlign w:val="top"/>
          </w:tcPr>
          <w:p>
            <w:pPr>
              <w:jc w:val="center"/>
            </w:pPr>
            <w:r>
              <w:rPr>
                <w:sz w:val="24"/>
              </w:rPr>
              <w:t>种植业产品</w:t>
            </w:r>
          </w:p>
          <w:p>
            <w:pPr>
              <w:jc w:val="center"/>
            </w:pPr>
            <w:r>
              <w:rPr>
                <w:sz w:val="24"/>
              </w:rPr>
              <w:t>（风险监测）</w:t>
            </w:r>
          </w:p>
        </w:tc>
        <w:tc>
          <w:tcPr>
            <w:tcW w:type="dxa" w:w="5373"/>
            <w:tcBorders>
              <w:top w:val="none" w:color="000000" w:sz="4"/>
              <w:left w:val="none" w:color="000000" w:sz="4"/>
              <w:bottom w:val="single" w:color="000000" w:sz="4"/>
              <w:right w:val="single" w:color="000000" w:sz="4"/>
            </w:tcBorders>
            <w:vAlign w:val="top"/>
          </w:tcPr>
          <w:p>
            <w:pPr>
              <w:jc w:val="both"/>
            </w:pPr>
            <w:r>
              <w:rPr>
                <w:sz w:val="24"/>
              </w:rPr>
              <w:t>甲胺磷、对硫磷、甲基对硫磷、六六六、三氯杀螨醇（</w:t>
            </w:r>
            <w:r>
              <w:rPr>
                <w:sz w:val="24"/>
              </w:rPr>
              <w:t>5</w:t>
            </w:r>
            <w:r>
              <w:rPr>
                <w:sz w:val="24"/>
              </w:rPr>
              <w:t>种）</w:t>
            </w:r>
          </w:p>
        </w:tc>
        <w:tc>
          <w:tcPr>
            <w:tcW w:type="dxa" w:w="1465"/>
            <w:vMerge w:val="restart"/>
            <w:tcBorders>
              <w:top w:val="none" w:color="000000" w:sz="4"/>
              <w:left w:val="none" w:color="000000" w:sz="4"/>
              <w:bottom w:val="single" w:color="000000" w:sz="4"/>
              <w:right w:val="single" w:color="000000" w:sz="4"/>
            </w:tcBorders>
            <w:vAlign w:val="top"/>
          </w:tcPr>
          <w:p>
            <w:pPr>
              <w:jc w:val="center"/>
            </w:pPr>
            <w:r>
              <w:rPr>
                <w:sz w:val="24"/>
              </w:rPr>
              <w:t>不少于</w:t>
            </w:r>
            <w:r>
              <w:rPr>
                <w:sz w:val="24"/>
              </w:rPr>
              <w:t>936</w:t>
            </w:r>
            <w:r>
              <w:rPr>
                <w:sz w:val="24"/>
              </w:rPr>
              <w:t>批次</w:t>
            </w:r>
          </w:p>
        </w:tc>
      </w:tr>
      <w:tr>
        <w:tc>
          <w:tcPr>
            <w:tcW w:type="dxa" w:w="1465"/>
            <w:vMerge/>
            <w:tcBorders>
              <w:top w:val="none" w:color="000000" w:sz="4"/>
              <w:left w:val="single" w:color="000000" w:sz="4"/>
              <w:bottom w:val="single" w:color="000000" w:sz="4"/>
              <w:right w:val="single" w:color="000000" w:sz="4"/>
            </w:tcBorders>
          </w:tcPr>
          <w:p/>
        </w:tc>
        <w:tc>
          <w:tcPr>
            <w:tcW w:type="dxa" w:w="5373"/>
            <w:tcBorders>
              <w:top w:val="none" w:color="000000" w:sz="4"/>
              <w:left w:val="none" w:color="000000" w:sz="4"/>
              <w:bottom w:val="single" w:color="000000" w:sz="4"/>
              <w:right w:val="single" w:color="000000" w:sz="4"/>
            </w:tcBorders>
            <w:vAlign w:val="top"/>
          </w:tcPr>
          <w:p>
            <w:pPr>
              <w:jc w:val="left"/>
            </w:pPr>
            <w:r>
              <w:rPr>
                <w:sz w:val="24"/>
              </w:rPr>
              <w:t>甲拌磷（包括甲拌磷砜和甲拌磷亚砜）、氧乐果、水胺硫磷、甲基异柳磷、克百威（包括三羟基克百威）、涕灭威（包括涕灭威砜和涕灭威亚砜）、毒死蜱、三唑磷、乐果、乙酰甲胺磷、灭多威、氟虫腈（包括氟甲腈、氟虫腈硫醚、氟虫腈砜）、氰戊菊酯（</w:t>
            </w:r>
            <w:r>
              <w:rPr>
                <w:sz w:val="24"/>
              </w:rPr>
              <w:t>13</w:t>
            </w:r>
            <w:r>
              <w:rPr>
                <w:sz w:val="24"/>
              </w:rPr>
              <w:t>种）</w:t>
            </w:r>
          </w:p>
        </w:tc>
      </w:tr>
      <w:tr>
        <w:tc>
          <w:tcPr>
            <w:tcW w:type="dxa" w:w="1465"/>
            <w:vMerge/>
            <w:tcBorders>
              <w:top w:val="none" w:color="000000" w:sz="4"/>
              <w:left w:val="single" w:color="000000" w:sz="4"/>
              <w:bottom w:val="single" w:color="000000" w:sz="4"/>
              <w:right w:val="single" w:color="000000" w:sz="4"/>
            </w:tcBorders>
          </w:tcPr>
          <w:p/>
        </w:tc>
        <w:tc>
          <w:tcPr>
            <w:tcW w:type="dxa" w:w="5373"/>
            <w:tcBorders>
              <w:top w:val="none" w:color="000000" w:sz="4"/>
              <w:left w:val="none" w:color="000000" w:sz="4"/>
              <w:bottom w:val="single" w:color="000000" w:sz="4"/>
              <w:right w:val="single" w:color="000000" w:sz="4"/>
            </w:tcBorders>
            <w:vAlign w:val="top"/>
          </w:tcPr>
          <w:p>
            <w:pPr>
              <w:jc w:val="left"/>
            </w:pPr>
            <w:r>
              <w:rPr>
                <w:sz w:val="24"/>
              </w:rPr>
              <w:t>阿维菌素、啶虫脒、哒螨灵、苯醚甲环唑、嘧霉胺、甲氨基阿维菌素苯甲酸盐、烯酰吗啉、虫螨腈、咪鲜胺、嘧菌酯、二甲戊灵、噻虫嗪、氟啶脲、灭幼脲、灭蝇胺、甲霜灵、霜霉威、多效唑、氯吡脲、氯虫苯甲酰胺、氯菊酯（异构体之和）、醚菊酯、虫酰肼、吡唑醚菌酯、除虫脲、敌敌畏、丙溴磷、杀螟硫磷、二嗪磷、马拉硫磷、亚胺硫磷、伏杀硫磷、辛硫磷、氯氰菊酯、甲氰菊酯、氯氟氰菊酯、氟氯氰菊酯、溴氰菊酯、联苯菊酯、氟胺氰菊酯、氟氰戊菊酯、三唑酮、百菌清、异菌脲、甲萘威、腐霉利、五氯硝基苯、乙烯菌核利、多菌灵、吡虫啉（</w:t>
            </w:r>
            <w:r>
              <w:rPr>
                <w:sz w:val="24"/>
              </w:rPr>
              <w:t>50</w:t>
            </w:r>
            <w:r>
              <w:rPr>
                <w:sz w:val="24"/>
              </w:rPr>
              <w:t>种）</w:t>
            </w:r>
          </w:p>
        </w:tc>
      </w:tr>
      <w:tr>
        <w:tc>
          <w:tcPr>
            <w:tcW w:type="dxa" w:w="1465"/>
            <w:tcBorders>
              <w:top w:val="none" w:color="000000" w:sz="4"/>
              <w:left w:val="single" w:color="000000" w:sz="4"/>
              <w:bottom w:val="single" w:color="000000" w:sz="4"/>
              <w:right w:val="single" w:color="000000" w:sz="4"/>
            </w:tcBorders>
            <w:vAlign w:val="top"/>
          </w:tcPr>
          <w:p>
            <w:pPr>
              <w:jc w:val="center"/>
            </w:pPr>
            <w:r>
              <w:rPr>
                <w:sz w:val="24"/>
              </w:rPr>
              <w:t>其他专项监测</w:t>
            </w:r>
          </w:p>
        </w:tc>
        <w:tc>
          <w:tcPr>
            <w:tcW w:type="dxa" w:w="5373"/>
            <w:tcBorders>
              <w:top w:val="none" w:color="000000" w:sz="4"/>
              <w:left w:val="none" w:color="000000" w:sz="4"/>
              <w:bottom w:val="single" w:color="000000" w:sz="4"/>
              <w:right w:val="single" w:color="000000" w:sz="4"/>
            </w:tcBorders>
            <w:vAlign w:val="top"/>
          </w:tcPr>
          <w:p>
            <w:pPr>
              <w:jc w:val="center"/>
            </w:pPr>
            <w:r>
              <w:rPr>
                <w:sz w:val="24"/>
              </w:rPr>
              <w:t>均参照广州市的专项监测项目</w:t>
            </w:r>
          </w:p>
        </w:tc>
      </w:tr>
      <w:tr>
        <w:tc>
          <w:tcPr>
            <w:tcW w:type="dxa" w:w="1465"/>
            <w:tcBorders>
              <w:top w:val="none" w:color="000000" w:sz="4"/>
              <w:left w:val="single" w:color="000000" w:sz="4"/>
              <w:bottom w:val="single" w:color="000000" w:sz="4"/>
              <w:right w:val="single" w:color="000000" w:sz="4"/>
            </w:tcBorders>
            <w:vAlign w:val="top"/>
          </w:tcPr>
          <w:p>
            <w:pPr>
              <w:jc w:val="center"/>
            </w:pPr>
            <w:r>
              <w:rPr>
                <w:sz w:val="24"/>
              </w:rPr>
              <w:t>种植业产品</w:t>
            </w:r>
          </w:p>
          <w:p>
            <w:pPr>
              <w:jc w:val="center"/>
            </w:pPr>
            <w:r>
              <w:rPr>
                <w:sz w:val="24"/>
              </w:rPr>
              <w:t>（监督抽查）</w:t>
            </w:r>
          </w:p>
        </w:tc>
        <w:tc>
          <w:tcPr>
            <w:tcW w:type="dxa" w:w="5373"/>
            <w:tcBorders>
              <w:top w:val="none" w:color="000000" w:sz="4"/>
              <w:left w:val="none" w:color="000000" w:sz="4"/>
              <w:bottom w:val="single" w:color="000000" w:sz="4"/>
              <w:right w:val="single" w:color="000000" w:sz="4"/>
            </w:tcBorders>
            <w:vAlign w:val="top"/>
          </w:tcPr>
          <w:p>
            <w:pPr>
              <w:jc w:val="left"/>
            </w:pPr>
            <w:r>
              <w:rPr>
                <w:sz w:val="24"/>
              </w:rPr>
              <w:t>★</w:t>
            </w:r>
            <w:r>
              <w:rPr>
                <w:sz w:val="24"/>
              </w:rPr>
              <w:t>毒死蜱、三唑磷、甲胺磷、磷胺、治螟磷、特丁硫磷、甲拌磷（包括甲拌磷砜、甲拌磷亚砜）、蝇毒磷、氟虫腈（包括氟甲腈、氟虫腈砜、氯虫腈硫醚）、对硫磷、甲基对硫磷、水胺硫磷、久效磷、硫线磷、克百威（包括</w:t>
            </w:r>
            <w:r>
              <w:rPr>
                <w:sz w:val="24"/>
              </w:rPr>
              <w:t>3-</w:t>
            </w:r>
            <w:r>
              <w:rPr>
                <w:sz w:val="24"/>
              </w:rPr>
              <w:t>羟基克百威）、涕灭威（包括涕灭威砜、涕灭威亚砜）、氧乐果、灭多威、甲基异柳磷、三氯杀螨醇、硫丹、乙酰甲胺磷、丁硫克百威、乐果、啶虫脒、多菌灵、甲氨基阿维菌素苯甲酸盐、噻虫嗪、辛硫磷、吡虫啉、阿维菌素、氯氰菊酯、联苯菊酯、氯氟氰菊酯、灭蝇胺、吡唑醚菌酯、烯酰吗啉、丙溴磷、腐霉利、腈苯唑、噻虫胺、甲霜灵、嘧菌酯、丙环唑、苯醚甲环唑、溴氰菊酯（</w:t>
            </w:r>
            <w:r>
              <w:rPr>
                <w:sz w:val="24"/>
              </w:rPr>
              <w:t>46</w:t>
            </w:r>
            <w:r>
              <w:rPr>
                <w:sz w:val="24"/>
              </w:rPr>
              <w:t>种）</w:t>
            </w:r>
          </w:p>
        </w:tc>
        <w:tc>
          <w:tcPr>
            <w:tcW w:type="dxa" w:w="1465"/>
            <w:tcBorders>
              <w:top w:val="none" w:color="000000" w:sz="4"/>
              <w:left w:val="none" w:color="000000" w:sz="4"/>
              <w:bottom w:val="single" w:color="000000" w:sz="4"/>
              <w:right w:val="single" w:color="000000" w:sz="4"/>
            </w:tcBorders>
            <w:vAlign w:val="top"/>
          </w:tcPr>
          <w:p>
            <w:pPr>
              <w:jc w:val="center"/>
            </w:pPr>
            <w:r>
              <w:rPr>
                <w:sz w:val="24"/>
              </w:rPr>
              <w:t>不少于</w:t>
            </w:r>
            <w:r>
              <w:rPr>
                <w:sz w:val="24"/>
              </w:rPr>
              <w:t>234</w:t>
            </w:r>
            <w:r>
              <w:rPr>
                <w:sz w:val="24"/>
              </w:rPr>
              <w:t>批次</w:t>
            </w:r>
          </w:p>
        </w:tc>
      </w:tr>
    </w:tbl>
    <w:p>
      <w:pPr>
        <w:jc w:val="both"/>
      </w:pPr>
    </w:p>
    <w:p>
      <w:pPr>
        <w:jc w:val="center"/>
      </w:pPr>
      <w:r>
        <w:rPr>
          <w:sz w:val="24"/>
        </w:rPr>
        <w:t>水产品监测项目</w:t>
      </w:r>
    </w:p>
    <w:tbl>
      <w:tblPr>
        <w:tblW w:w="0" w:type="auto"/>
        <w:tblBorders>
          <w:top w:val="none" w:color="000000" w:sz="4"/>
          <w:left w:val="none" w:color="000000" w:sz="4"/>
          <w:bottom w:val="none" w:color="000000" w:sz="4"/>
          <w:right w:val="none" w:color="000000" w:sz="4"/>
          <w:insideH w:val="none"/>
          <w:insideV w:val="none"/>
        </w:tblBorders>
      </w:tblPr>
      <w:tblGrid>
        <w:gridCol w:w="1465"/>
        <w:gridCol w:w="5356"/>
        <w:gridCol w:w="1483"/>
      </w:tblGrid>
      <w:tr>
        <w:tc>
          <w:tcPr>
            <w:tcW w:type="dxa" w:w="1465"/>
            <w:tcBorders>
              <w:top w:val="single" w:color="000000" w:sz="4"/>
              <w:left w:val="single" w:color="000000" w:sz="4"/>
              <w:bottom w:val="single" w:color="000000" w:sz="4"/>
              <w:right w:val="single" w:color="000000" w:sz="4"/>
            </w:tcBorders>
            <w:vAlign w:val="top"/>
          </w:tcPr>
          <w:p>
            <w:pPr>
              <w:jc w:val="center"/>
            </w:pPr>
            <w:r>
              <w:rPr>
                <w:b/>
                <w:sz w:val="24"/>
              </w:rPr>
              <w:t>监测品种</w:t>
            </w:r>
          </w:p>
        </w:tc>
        <w:tc>
          <w:tcPr>
            <w:tcW w:type="dxa" w:w="5356"/>
            <w:tcBorders>
              <w:top w:val="single" w:color="000000" w:sz="4"/>
              <w:left w:val="none" w:color="000000" w:sz="4"/>
              <w:bottom w:val="single" w:color="000000" w:sz="4"/>
              <w:right w:val="single" w:color="000000" w:sz="4"/>
            </w:tcBorders>
            <w:vAlign w:val="top"/>
          </w:tcPr>
          <w:p>
            <w:pPr>
              <w:jc w:val="center"/>
            </w:pPr>
            <w:r>
              <w:rPr>
                <w:b/>
                <w:sz w:val="24"/>
              </w:rPr>
              <w:t>监测项目</w:t>
            </w:r>
          </w:p>
        </w:tc>
        <w:tc>
          <w:tcPr>
            <w:tcW w:type="dxa" w:w="1483"/>
            <w:tcBorders>
              <w:top w:val="single" w:color="000000" w:sz="4"/>
              <w:left w:val="none" w:color="000000" w:sz="4"/>
              <w:bottom w:val="single" w:color="000000" w:sz="4"/>
              <w:right w:val="single" w:color="000000" w:sz="4"/>
            </w:tcBorders>
            <w:vAlign w:val="top"/>
          </w:tcPr>
          <w:p>
            <w:pPr>
              <w:jc w:val="center"/>
            </w:pPr>
            <w:r>
              <w:rPr>
                <w:b/>
                <w:sz w:val="24"/>
              </w:rPr>
              <w:t>数量</w:t>
            </w:r>
          </w:p>
        </w:tc>
      </w:tr>
      <w:tr>
        <w:tc>
          <w:tcPr>
            <w:tcW w:type="dxa" w:w="1465"/>
            <w:vMerge w:val="restart"/>
            <w:tcBorders>
              <w:top w:val="none" w:color="000000" w:sz="4"/>
              <w:left w:val="single" w:color="000000" w:sz="4"/>
              <w:bottom w:val="single" w:color="000000" w:sz="4"/>
              <w:right w:val="single" w:color="000000" w:sz="4"/>
            </w:tcBorders>
            <w:vAlign w:val="top"/>
          </w:tcPr>
          <w:p>
            <w:pPr>
              <w:jc w:val="center"/>
            </w:pPr>
            <w:r>
              <w:rPr>
                <w:sz w:val="24"/>
              </w:rPr>
              <w:t>水产品</w:t>
            </w:r>
          </w:p>
          <w:p>
            <w:pPr>
              <w:jc w:val="center"/>
            </w:pPr>
            <w:r>
              <w:rPr>
                <w:sz w:val="24"/>
              </w:rPr>
              <w:t>（风险监测）</w:t>
            </w:r>
          </w:p>
        </w:tc>
        <w:tc>
          <w:tcPr>
            <w:tcW w:type="dxa" w:w="5356"/>
            <w:tcBorders>
              <w:top w:val="none" w:color="000000" w:sz="4"/>
              <w:left w:val="none" w:color="000000" w:sz="4"/>
              <w:bottom w:val="single" w:color="000000" w:sz="4"/>
              <w:right w:val="single" w:color="000000" w:sz="4"/>
            </w:tcBorders>
            <w:vAlign w:val="top"/>
          </w:tcPr>
          <w:p>
            <w:pPr>
              <w:jc w:val="left"/>
            </w:pPr>
            <w:r>
              <w:rPr>
                <w:sz w:val="24"/>
              </w:rPr>
              <w:t>氯霉素、孔雀石绿、硝基基呋喃类代谢物（呋喃唑酮代谢物</w:t>
            </w:r>
            <w:r>
              <w:rPr>
                <w:sz w:val="24"/>
              </w:rPr>
              <w:t>AOZ</w:t>
            </w:r>
            <w:r>
              <w:rPr>
                <w:sz w:val="24"/>
              </w:rPr>
              <w:t>、呋喃西林代谢物</w:t>
            </w:r>
            <w:r>
              <w:rPr>
                <w:sz w:val="24"/>
              </w:rPr>
              <w:t>SEM</w:t>
            </w:r>
            <w:r>
              <w:rPr>
                <w:sz w:val="24"/>
              </w:rPr>
              <w:t>、呋喃它酮代谢物</w:t>
            </w:r>
            <w:r>
              <w:rPr>
                <w:sz w:val="24"/>
              </w:rPr>
              <w:t>AMOZ</w:t>
            </w:r>
            <w:r>
              <w:rPr>
                <w:sz w:val="24"/>
              </w:rPr>
              <w:t>、呋喃妥因代谢物</w:t>
            </w:r>
            <w:r>
              <w:rPr>
                <w:sz w:val="24"/>
              </w:rPr>
              <w:t>AHD</w:t>
            </w:r>
            <w:r>
              <w:rPr>
                <w:sz w:val="24"/>
              </w:rPr>
              <w:t>）（</w:t>
            </w:r>
            <w:r>
              <w:rPr>
                <w:sz w:val="24"/>
              </w:rPr>
              <w:t>3</w:t>
            </w:r>
            <w:r>
              <w:rPr>
                <w:sz w:val="24"/>
              </w:rPr>
              <w:t>种）</w:t>
            </w:r>
          </w:p>
        </w:tc>
        <w:tc>
          <w:tcPr>
            <w:tcW w:type="dxa" w:w="1483"/>
            <w:vMerge w:val="restart"/>
            <w:tcBorders>
              <w:top w:val="none" w:color="000000" w:sz="4"/>
              <w:left w:val="none" w:color="000000" w:sz="4"/>
              <w:bottom w:val="single" w:color="000000" w:sz="4"/>
              <w:right w:val="single" w:color="000000" w:sz="4"/>
            </w:tcBorders>
            <w:vAlign w:val="top"/>
          </w:tcPr>
          <w:p>
            <w:pPr>
              <w:jc w:val="center"/>
            </w:pPr>
            <w:r>
              <w:rPr>
                <w:sz w:val="24"/>
              </w:rPr>
              <w:t>不少于</w:t>
            </w:r>
            <w:r>
              <w:rPr>
                <w:sz w:val="24"/>
              </w:rPr>
              <w:t>240</w:t>
            </w:r>
            <w:r>
              <w:rPr>
                <w:sz w:val="24"/>
              </w:rPr>
              <w:t>批次</w:t>
            </w:r>
          </w:p>
        </w:tc>
      </w:tr>
      <w:tr>
        <w:tc>
          <w:tcPr>
            <w:tcW w:type="dxa" w:w="1465"/>
            <w:vMerge/>
            <w:tcBorders>
              <w:top w:val="none" w:color="000000" w:sz="4"/>
              <w:left w:val="single" w:color="000000" w:sz="4"/>
              <w:bottom w:val="single" w:color="000000" w:sz="4"/>
              <w:right w:val="single" w:color="000000" w:sz="4"/>
            </w:tcBorders>
          </w:tcPr>
          <w:p/>
        </w:tc>
        <w:tc>
          <w:tcPr>
            <w:tcW w:type="dxa" w:w="5356"/>
            <w:tcBorders>
              <w:top w:val="none" w:color="000000" w:sz="4"/>
              <w:left w:val="none" w:color="000000" w:sz="4"/>
              <w:bottom w:val="single" w:color="000000" w:sz="4"/>
              <w:right w:val="single" w:color="000000" w:sz="4"/>
            </w:tcBorders>
            <w:vAlign w:val="top"/>
          </w:tcPr>
          <w:p>
            <w:pPr>
              <w:jc w:val="center"/>
            </w:pPr>
            <w:r>
              <w:rPr>
                <w:sz w:val="24"/>
              </w:rPr>
              <w:t>氟喹诺酮类（诺氟沙星、氧氟沙星、培氟沙星、洛美沙星）（</w:t>
            </w:r>
            <w:r>
              <w:rPr>
                <w:sz w:val="24"/>
              </w:rPr>
              <w:t>1</w:t>
            </w:r>
            <w:r>
              <w:rPr>
                <w:sz w:val="24"/>
              </w:rPr>
              <w:t>种）</w:t>
            </w:r>
          </w:p>
        </w:tc>
      </w:tr>
      <w:tr>
        <w:tc>
          <w:tcPr>
            <w:tcW w:type="dxa" w:w="1465"/>
            <w:vMerge/>
            <w:tcBorders>
              <w:top w:val="none" w:color="000000" w:sz="4"/>
              <w:left w:val="single" w:color="000000" w:sz="4"/>
              <w:bottom w:val="single" w:color="000000" w:sz="4"/>
              <w:right w:val="single" w:color="000000" w:sz="4"/>
            </w:tcBorders>
          </w:tcPr>
          <w:p/>
        </w:tc>
        <w:tc>
          <w:tcPr>
            <w:tcW w:type="dxa" w:w="5356"/>
            <w:tcBorders>
              <w:top w:val="none" w:color="000000" w:sz="4"/>
              <w:left w:val="none" w:color="000000" w:sz="4"/>
              <w:bottom w:val="single" w:color="000000" w:sz="4"/>
              <w:right w:val="single" w:color="000000" w:sz="4"/>
            </w:tcBorders>
            <w:vAlign w:val="top"/>
          </w:tcPr>
          <w:p>
            <w:pPr>
              <w:jc w:val="left"/>
            </w:pPr>
            <w:r>
              <w:rPr>
                <w:sz w:val="24"/>
              </w:rPr>
              <w:t>酰胺醇类药物（甲砜霉素、氟苯尼考）、氟喹诺酮类（恩诺沙星、环丙沙星）、磺胺类（磺胺噻唑、磺胺嘧啶、磺胺甲基嘧啶、磺胺二甲基嘧啶、磺胺甲基异噁唑、磺胺多辛、磺胺异噁唑、磺胺喹噁啉、磺胺间甲氧嘧啶、磺胺间二甲氧嘧啶、磺胺氯哒嗪和磺胺甲噻二唑）（</w:t>
            </w:r>
            <w:r>
              <w:rPr>
                <w:sz w:val="24"/>
              </w:rPr>
              <w:t>3</w:t>
            </w:r>
            <w:r>
              <w:rPr>
                <w:sz w:val="24"/>
              </w:rPr>
              <w:t>种）</w:t>
            </w:r>
          </w:p>
        </w:tc>
      </w:tr>
      <w:tr>
        <w:tc>
          <w:tcPr>
            <w:tcW w:type="dxa" w:w="1465"/>
            <w:tcBorders>
              <w:top w:val="none" w:color="000000" w:sz="4"/>
              <w:left w:val="single" w:color="000000" w:sz="4"/>
              <w:bottom w:val="single" w:color="000000" w:sz="4"/>
              <w:right w:val="single" w:color="000000" w:sz="4"/>
            </w:tcBorders>
            <w:vAlign w:val="top"/>
          </w:tcPr>
          <w:p>
            <w:pPr>
              <w:jc w:val="center"/>
            </w:pPr>
            <w:r>
              <w:rPr>
                <w:sz w:val="24"/>
              </w:rPr>
              <w:t>水产品</w:t>
            </w:r>
          </w:p>
          <w:p>
            <w:pPr>
              <w:jc w:val="center"/>
            </w:pPr>
            <w:r>
              <w:rPr>
                <w:sz w:val="24"/>
              </w:rPr>
              <w:t>（监督抽查）</w:t>
            </w:r>
          </w:p>
        </w:tc>
        <w:tc>
          <w:tcPr>
            <w:tcW w:type="dxa" w:w="5356"/>
            <w:tcBorders>
              <w:top w:val="none" w:color="000000" w:sz="4"/>
              <w:left w:val="none" w:color="000000" w:sz="4"/>
              <w:bottom w:val="single" w:color="000000" w:sz="4"/>
              <w:right w:val="single" w:color="000000" w:sz="4"/>
            </w:tcBorders>
            <w:vAlign w:val="top"/>
          </w:tcPr>
          <w:p>
            <w:pPr>
              <w:jc w:val="left"/>
            </w:pPr>
            <w:r>
              <w:rPr>
                <w:sz w:val="24"/>
              </w:rPr>
              <w:t>★</w:t>
            </w:r>
            <w:r>
              <w:rPr>
                <w:sz w:val="24"/>
              </w:rPr>
              <w:t>氯霉素、孔雀石绿、地西泮、硝基基呋喃类代谢物（</w:t>
            </w:r>
            <w:r>
              <w:rPr>
                <w:sz w:val="24"/>
              </w:rPr>
              <w:t>AOZ</w:t>
            </w:r>
            <w:r>
              <w:rPr>
                <w:sz w:val="24"/>
              </w:rPr>
              <w:t>、</w:t>
            </w:r>
            <w:r>
              <w:rPr>
                <w:sz w:val="24"/>
              </w:rPr>
              <w:t>AMOZ</w:t>
            </w:r>
            <w:r>
              <w:rPr>
                <w:sz w:val="24"/>
              </w:rPr>
              <w:t>、</w:t>
            </w:r>
            <w:r>
              <w:rPr>
                <w:sz w:val="24"/>
              </w:rPr>
              <w:t>AHD</w:t>
            </w:r>
            <w:r>
              <w:rPr>
                <w:sz w:val="24"/>
              </w:rPr>
              <w:t>、</w:t>
            </w:r>
            <w:r>
              <w:rPr>
                <w:sz w:val="24"/>
              </w:rPr>
              <w:t>SEM</w:t>
            </w:r>
            <w:r>
              <w:rPr>
                <w:sz w:val="24"/>
              </w:rPr>
              <w:t>）、氟喹诺酮类（洛美沙星、培氟沙星、诺氟沙星、氧氟沙星）（</w:t>
            </w:r>
            <w:r>
              <w:rPr>
                <w:sz w:val="24"/>
              </w:rPr>
              <w:t>5</w:t>
            </w:r>
            <w:r>
              <w:rPr>
                <w:sz w:val="24"/>
              </w:rPr>
              <w:t>种）</w:t>
            </w:r>
          </w:p>
        </w:tc>
        <w:tc>
          <w:tcPr>
            <w:tcW w:type="dxa" w:w="1483"/>
            <w:tcBorders>
              <w:top w:val="none" w:color="000000" w:sz="4"/>
              <w:left w:val="none" w:color="000000" w:sz="4"/>
              <w:bottom w:val="single" w:color="000000" w:sz="4"/>
              <w:right w:val="single" w:color="000000" w:sz="4"/>
            </w:tcBorders>
            <w:vAlign w:val="top"/>
          </w:tcPr>
          <w:p>
            <w:pPr>
              <w:jc w:val="center"/>
            </w:pPr>
            <w:r>
              <w:rPr>
                <w:sz w:val="24"/>
              </w:rPr>
              <w:t>不少于</w:t>
            </w:r>
            <w:r>
              <w:rPr>
                <w:sz w:val="24"/>
              </w:rPr>
              <w:t>60</w:t>
            </w:r>
            <w:r>
              <w:rPr>
                <w:sz w:val="24"/>
              </w:rPr>
              <w:t>批次</w:t>
            </w:r>
          </w:p>
        </w:tc>
      </w:tr>
    </w:tbl>
    <w:p>
      <w:pPr>
        <w:jc w:val="both"/>
      </w:pPr>
    </w:p>
    <w:p>
      <w:pPr>
        <w:jc w:val="center"/>
      </w:pPr>
      <w:r>
        <w:rPr>
          <w:sz w:val="24"/>
        </w:rPr>
        <w:t>生鲜乳监测项目</w:t>
      </w:r>
    </w:p>
    <w:tbl>
      <w:tblPr>
        <w:tblW w:w="0" w:type="auto"/>
        <w:tblBorders>
          <w:top w:val="none" w:color="000000" w:sz="4"/>
          <w:left w:val="none" w:color="000000" w:sz="4"/>
          <w:bottom w:val="none" w:color="000000" w:sz="4"/>
          <w:right w:val="none" w:color="000000" w:sz="4"/>
          <w:insideH w:val="none"/>
          <w:insideV w:val="none"/>
        </w:tblBorders>
      </w:tblPr>
      <w:tblGrid>
        <w:gridCol w:w="1470"/>
        <w:gridCol w:w="5349"/>
        <w:gridCol w:w="1485"/>
      </w:tblGrid>
      <w:tr>
        <w:tc>
          <w:tcPr>
            <w:tcW w:type="dxa" w:w="1470"/>
            <w:tcBorders>
              <w:top w:val="single" w:color="000000" w:sz="4"/>
              <w:left w:val="single" w:color="000000" w:sz="4"/>
              <w:bottom w:val="single" w:color="000000" w:sz="4"/>
              <w:right w:val="single" w:color="000000" w:sz="4"/>
            </w:tcBorders>
            <w:vAlign w:val="top"/>
          </w:tcPr>
          <w:p>
            <w:pPr>
              <w:jc w:val="center"/>
            </w:pPr>
            <w:r>
              <w:rPr>
                <w:b/>
                <w:sz w:val="24"/>
              </w:rPr>
              <w:t>监测品种</w:t>
            </w:r>
          </w:p>
        </w:tc>
        <w:tc>
          <w:tcPr>
            <w:tcW w:type="dxa" w:w="5349"/>
            <w:tcBorders>
              <w:top w:val="single" w:color="000000" w:sz="4"/>
              <w:left w:val="none" w:color="000000" w:sz="4"/>
              <w:bottom w:val="single" w:color="000000" w:sz="4"/>
              <w:right w:val="single" w:color="000000" w:sz="4"/>
            </w:tcBorders>
            <w:vAlign w:val="top"/>
          </w:tcPr>
          <w:p>
            <w:pPr>
              <w:jc w:val="center"/>
            </w:pPr>
            <w:r>
              <w:rPr>
                <w:b/>
                <w:sz w:val="24"/>
              </w:rPr>
              <w:t>监测项目</w:t>
            </w:r>
          </w:p>
        </w:tc>
        <w:tc>
          <w:tcPr>
            <w:tcW w:type="dxa" w:w="1485"/>
            <w:tcBorders>
              <w:top w:val="single" w:color="000000" w:sz="4"/>
              <w:left w:val="none" w:color="000000" w:sz="4"/>
              <w:bottom w:val="single" w:color="000000" w:sz="4"/>
              <w:right w:val="single" w:color="000000" w:sz="4"/>
            </w:tcBorders>
            <w:vAlign w:val="top"/>
          </w:tcPr>
          <w:p>
            <w:pPr>
              <w:jc w:val="center"/>
            </w:pPr>
            <w:r>
              <w:rPr>
                <w:b/>
                <w:sz w:val="24"/>
              </w:rPr>
              <w:t>数量</w:t>
            </w:r>
          </w:p>
        </w:tc>
      </w:tr>
      <w:tr>
        <w:tc>
          <w:tcPr>
            <w:tcW w:type="dxa" w:w="1470"/>
            <w:tcBorders>
              <w:top w:val="none" w:color="000000" w:sz="4"/>
              <w:left w:val="single" w:color="000000" w:sz="4"/>
              <w:bottom w:val="single" w:color="000000" w:sz="4"/>
              <w:right w:val="single" w:color="000000" w:sz="4"/>
            </w:tcBorders>
            <w:vAlign w:val="top"/>
          </w:tcPr>
          <w:p>
            <w:pPr>
              <w:jc w:val="center"/>
            </w:pPr>
            <w:r>
              <w:rPr>
                <w:sz w:val="24"/>
              </w:rPr>
              <w:t>生鲜乳</w:t>
            </w:r>
          </w:p>
          <w:p>
            <w:pPr>
              <w:jc w:val="center"/>
            </w:pPr>
            <w:r>
              <w:rPr>
                <w:sz w:val="24"/>
              </w:rPr>
              <w:t>（风险监测）</w:t>
            </w:r>
          </w:p>
        </w:tc>
        <w:tc>
          <w:tcPr>
            <w:tcW w:type="dxa" w:w="5349"/>
            <w:tcBorders>
              <w:top w:val="none" w:color="000000" w:sz="4"/>
              <w:left w:val="none" w:color="000000" w:sz="4"/>
              <w:bottom w:val="single" w:color="000000" w:sz="4"/>
              <w:right w:val="single" w:color="000000" w:sz="4"/>
            </w:tcBorders>
            <w:vAlign w:val="top"/>
          </w:tcPr>
          <w:p>
            <w:pPr>
              <w:jc w:val="left"/>
            </w:pPr>
            <w:r>
              <w:rPr>
                <w:sz w:val="24"/>
              </w:rPr>
              <w:t>菌落总数、蛋白质、脂肪、六六六、滴滴涕、硫氰酸钠、</w:t>
            </w:r>
            <w:r>
              <w:rPr>
                <w:sz w:val="24"/>
              </w:rPr>
              <w:t>β-</w:t>
            </w:r>
            <w:r>
              <w:rPr>
                <w:sz w:val="24"/>
              </w:rPr>
              <w:t>内酰胺酶、</w:t>
            </w:r>
            <w:r>
              <w:rPr>
                <w:sz w:val="24"/>
              </w:rPr>
              <w:t>L-</w:t>
            </w:r>
            <w:r>
              <w:rPr>
                <w:sz w:val="24"/>
              </w:rPr>
              <w:t>羟脯氨酸、抗生素残留【阿莫西林、氨苄西林、青霉素</w:t>
            </w:r>
            <w:r>
              <w:rPr>
                <w:sz w:val="24"/>
              </w:rPr>
              <w:t>G</w:t>
            </w:r>
            <w:r>
              <w:rPr>
                <w:sz w:val="24"/>
              </w:rPr>
              <w:t>、链霉素、双氢链霉素、庆大霉素、大观霉素、新霉素、恩诺沙星、环丙沙星、达氟沙星、沙拉沙星、四环素、土霉素、金霉素、多西环素、磺胺类：磺胺二甲基嘧啶、磺胺二甲异嘧啶、磺胺二甲氧基嘧啶、磺胺吡啶、磺胺嘧啶、磺胺异噁唑、磺胺甲基嘧啶、磺胺甲基异噁唑】（</w:t>
            </w:r>
            <w:r>
              <w:rPr>
                <w:sz w:val="24"/>
              </w:rPr>
              <w:t>9</w:t>
            </w:r>
            <w:r>
              <w:rPr>
                <w:sz w:val="24"/>
              </w:rPr>
              <w:t>种）</w:t>
            </w:r>
          </w:p>
        </w:tc>
        <w:tc>
          <w:tcPr>
            <w:tcW w:type="dxa" w:w="1485"/>
            <w:tcBorders>
              <w:top w:val="none" w:color="000000" w:sz="4"/>
              <w:left w:val="none" w:color="000000" w:sz="4"/>
              <w:bottom w:val="single" w:color="000000" w:sz="4"/>
              <w:right w:val="single" w:color="000000" w:sz="4"/>
            </w:tcBorders>
            <w:vAlign w:val="top"/>
          </w:tcPr>
          <w:p>
            <w:pPr>
              <w:jc w:val="center"/>
            </w:pPr>
            <w:r>
              <w:rPr>
                <w:sz w:val="24"/>
              </w:rPr>
              <w:t>不少于</w:t>
            </w:r>
            <w:r>
              <w:rPr>
                <w:sz w:val="24"/>
              </w:rPr>
              <w:t>24</w:t>
            </w:r>
            <w:r>
              <w:rPr>
                <w:sz w:val="24"/>
              </w:rPr>
              <w:t>批次</w:t>
            </w:r>
          </w:p>
        </w:tc>
      </w:tr>
      <w:tr>
        <w:tc>
          <w:tcPr>
            <w:tcW w:type="dxa" w:w="1470"/>
            <w:tcBorders>
              <w:top w:val="none" w:color="000000" w:sz="4"/>
              <w:left w:val="single" w:color="000000" w:sz="4"/>
              <w:bottom w:val="single" w:color="000000" w:sz="4"/>
              <w:right w:val="single" w:color="000000" w:sz="4"/>
            </w:tcBorders>
            <w:vAlign w:val="top"/>
          </w:tcPr>
          <w:p>
            <w:pPr>
              <w:jc w:val="center"/>
            </w:pPr>
            <w:r>
              <w:rPr>
                <w:sz w:val="24"/>
              </w:rPr>
              <w:t>生鲜乳</w:t>
            </w:r>
          </w:p>
          <w:p>
            <w:pPr>
              <w:jc w:val="center"/>
            </w:pPr>
            <w:r>
              <w:rPr>
                <w:sz w:val="24"/>
              </w:rPr>
              <w:t>（监督抽查）</w:t>
            </w:r>
          </w:p>
        </w:tc>
        <w:tc>
          <w:tcPr>
            <w:tcW w:type="dxa" w:w="5349"/>
            <w:tcBorders>
              <w:top w:val="none" w:color="000000" w:sz="4"/>
              <w:left w:val="none" w:color="000000" w:sz="4"/>
              <w:bottom w:val="single" w:color="000000" w:sz="4"/>
              <w:right w:val="single" w:color="000000" w:sz="4"/>
            </w:tcBorders>
            <w:vAlign w:val="top"/>
          </w:tcPr>
          <w:p>
            <w:pPr>
              <w:jc w:val="left"/>
            </w:pPr>
            <w:r>
              <w:rPr>
                <w:sz w:val="24"/>
              </w:rPr>
              <w:t>★</w:t>
            </w:r>
            <w:r>
              <w:rPr>
                <w:sz w:val="24"/>
              </w:rPr>
              <w:t>三聚氰胺、黄曲霉素</w:t>
            </w:r>
            <w:r>
              <w:rPr>
                <w:sz w:val="24"/>
              </w:rPr>
              <w:t>M1</w:t>
            </w:r>
            <w:r>
              <w:rPr>
                <w:sz w:val="24"/>
              </w:rPr>
              <w:t>、铅、铬、汞和总砷（</w:t>
            </w:r>
            <w:r>
              <w:rPr>
                <w:sz w:val="24"/>
              </w:rPr>
              <w:t>6</w:t>
            </w:r>
            <w:r>
              <w:rPr>
                <w:sz w:val="24"/>
              </w:rPr>
              <w:t>种）</w:t>
            </w:r>
          </w:p>
        </w:tc>
        <w:tc>
          <w:tcPr>
            <w:tcW w:type="dxa" w:w="1485"/>
            <w:tcBorders>
              <w:top w:val="none" w:color="000000" w:sz="4"/>
              <w:left w:val="none" w:color="000000" w:sz="4"/>
              <w:bottom w:val="single" w:color="000000" w:sz="4"/>
              <w:right w:val="single" w:color="000000" w:sz="4"/>
            </w:tcBorders>
            <w:vAlign w:val="top"/>
          </w:tcPr>
          <w:p>
            <w:pPr>
              <w:jc w:val="both"/>
            </w:pPr>
            <w:r>
              <w:rPr>
                <w:sz w:val="24"/>
              </w:rPr>
              <w:t>不少于</w:t>
            </w:r>
            <w:r>
              <w:rPr>
                <w:sz w:val="24"/>
              </w:rPr>
              <w:t>6</w:t>
            </w:r>
            <w:r>
              <w:rPr>
                <w:sz w:val="24"/>
              </w:rPr>
              <w:t>批次</w:t>
            </w:r>
          </w:p>
        </w:tc>
      </w:tr>
    </w:tbl>
    <w:p>
      <w:pPr>
        <w:jc w:val="both"/>
      </w:pPr>
    </w:p>
    <w:p>
      <w:pPr>
        <w:jc w:val="both"/>
      </w:pPr>
      <w:r>
        <w:rPr>
          <w:sz w:val="24"/>
        </w:rPr>
        <w:t>注：</w:t>
      </w:r>
      <w:r>
        <w:rPr>
          <w:sz w:val="24"/>
        </w:rPr>
        <w:t>1</w:t>
      </w:r>
      <w:r>
        <w:rPr>
          <w:sz w:val="24"/>
        </w:rPr>
        <w:t>、</w:t>
      </w:r>
      <w:r>
        <w:rPr>
          <w:sz w:val="24"/>
        </w:rPr>
        <w:t>202</w:t>
      </w:r>
      <w:r>
        <w:rPr>
          <w:sz w:val="24"/>
        </w:rPr>
        <w:t>4</w:t>
      </w:r>
      <w:r>
        <w:rPr>
          <w:sz w:val="24"/>
        </w:rPr>
        <w:t>年黄埔区农产品质量安全监测工作检测任务基础数量为</w:t>
      </w:r>
      <w:r>
        <w:rPr>
          <w:sz w:val="24"/>
        </w:rPr>
        <w:t>1500</w:t>
      </w:r>
      <w:r>
        <w:rPr>
          <w:sz w:val="24"/>
        </w:rPr>
        <w:t>批次，在合同有效期内完成，最终检测数量以乙方出具的检测报告为准。如检测数量少于</w:t>
      </w:r>
      <w:r>
        <w:rPr>
          <w:sz w:val="24"/>
        </w:rPr>
        <w:t>1500</w:t>
      </w:r>
      <w:r>
        <w:rPr>
          <w:sz w:val="24"/>
        </w:rPr>
        <w:t>批次的，则按实际数量进行结算，如检测数量等于或大于</w:t>
      </w:r>
      <w:r>
        <w:rPr>
          <w:sz w:val="24"/>
        </w:rPr>
        <w:t>150</w:t>
      </w:r>
      <w:r>
        <w:rPr>
          <w:sz w:val="24"/>
        </w:rPr>
        <w:t>0</w:t>
      </w:r>
      <w:r>
        <w:rPr>
          <w:sz w:val="24"/>
        </w:rPr>
        <w:t>批次的，则以最终合同总价结算，甲方不再另行支付费用。</w:t>
      </w:r>
    </w:p>
    <w:p>
      <w:pPr>
        <w:jc w:val="left"/>
      </w:pPr>
      <w:r>
        <w:rPr>
          <w:sz w:val="24"/>
        </w:rPr>
        <w:t>2</w:t>
      </w:r>
      <w:r>
        <w:rPr>
          <w:sz w:val="24"/>
        </w:rPr>
        <w:t>、实际抽检项目及判定依据根据黄埔区当年实际生产情况及市级要求（</w:t>
      </w:r>
      <w:r>
        <w:rPr>
          <w:sz w:val="24"/>
        </w:rPr>
        <w:t>202</w:t>
      </w:r>
      <w:r>
        <w:rPr>
          <w:sz w:val="24"/>
        </w:rPr>
        <w:t>4</w:t>
      </w:r>
      <w:r>
        <w:rPr>
          <w:sz w:val="24"/>
        </w:rPr>
        <w:t>年广州市产地农产品质量安全监测工作方案）进行调整。</w:t>
      </w:r>
    </w:p>
    <w:p>
      <w:pPr>
        <w:jc w:val="both"/>
      </w:pPr>
      <w:r>
        <w:rPr>
          <w:sz w:val="24"/>
        </w:rPr>
        <w:t>3</w:t>
      </w:r>
      <w:r>
        <w:rPr>
          <w:sz w:val="24"/>
        </w:rPr>
        <w:t>、未征得甲方</w:t>
      </w:r>
      <w:r>
        <w:rPr>
          <w:sz w:val="24"/>
        </w:rPr>
        <w:t>书面</w:t>
      </w:r>
      <w:r>
        <w:rPr>
          <w:sz w:val="24"/>
        </w:rPr>
        <w:t>同意前，乙方不得将检验任务外包或分包给其他检测机构检验。</w:t>
      </w:r>
    </w:p>
    <w:p>
      <w:pPr>
        <w:jc w:val="both"/>
      </w:pPr>
      <w:r>
        <w:rPr>
          <w:sz w:val="24"/>
        </w:rPr>
        <w:t>4</w:t>
      </w:r>
      <w:r>
        <w:rPr>
          <w:sz w:val="24"/>
        </w:rPr>
        <w:t>、乙方的检验任务必须由其投标文件中载明的实验室负责检验。</w:t>
      </w:r>
    </w:p>
    <w:p>
      <w:pPr>
        <w:jc w:val="both"/>
      </w:pPr>
      <w:r>
        <w:rPr>
          <w:sz w:val="24"/>
        </w:rPr>
        <w:t>5</w:t>
      </w:r>
      <w:r>
        <w:rPr>
          <w:sz w:val="24"/>
        </w:rPr>
        <w:t>、乙方负责安排采样工作的人员及车辆，采样期间，安排</w:t>
      </w:r>
      <w:r>
        <w:rPr>
          <w:sz w:val="24"/>
        </w:rPr>
        <w:t>2</w:t>
      </w:r>
      <w:r>
        <w:rPr>
          <w:sz w:val="24"/>
        </w:rPr>
        <w:t>台或以上车辆，派出协助采样人员</w:t>
      </w:r>
      <w:r>
        <w:rPr>
          <w:sz w:val="24"/>
        </w:rPr>
        <w:t>4</w:t>
      </w:r>
      <w:r>
        <w:rPr>
          <w:sz w:val="24"/>
        </w:rPr>
        <w:t>人或以上按时完成采样工作。并做好样品留存工作。</w:t>
      </w:r>
    </w:p>
    <w:p>
      <w:pPr>
        <w:jc w:val="both"/>
      </w:pPr>
      <w:r>
        <w:rPr>
          <w:sz w:val="24"/>
        </w:rPr>
        <w:t>6</w:t>
      </w:r>
      <w:r>
        <w:rPr>
          <w:sz w:val="24"/>
        </w:rPr>
        <w:t>、任务结果以检验检测报告的形式体现。</w:t>
      </w:r>
      <w:r>
        <w:rPr>
          <w:sz w:val="24"/>
        </w:rPr>
        <w:t>乙方</w:t>
      </w:r>
      <w:r>
        <w:rPr>
          <w:sz w:val="24"/>
        </w:rPr>
        <w:t>须完成抽样任务检测数量至少</w:t>
      </w:r>
      <w:r>
        <w:rPr>
          <w:sz w:val="24"/>
        </w:rPr>
        <w:t>1500</w:t>
      </w:r>
      <w:r>
        <w:rPr>
          <w:sz w:val="24"/>
        </w:rPr>
        <w:t>批次；</w:t>
      </w:r>
      <w:r>
        <w:rPr>
          <w:sz w:val="24"/>
        </w:rPr>
        <w:t>乙方</w:t>
      </w:r>
      <w:r>
        <w:rPr>
          <w:sz w:val="24"/>
        </w:rPr>
        <w:t>须出具检测报告至少</w:t>
      </w:r>
      <w:r>
        <w:rPr>
          <w:sz w:val="24"/>
        </w:rPr>
        <w:t>1500</w:t>
      </w:r>
      <w:r>
        <w:rPr>
          <w:sz w:val="24"/>
        </w:rPr>
        <w:t>份；</w:t>
      </w:r>
      <w:r>
        <w:rPr>
          <w:sz w:val="24"/>
        </w:rPr>
        <w:t>乙方</w:t>
      </w:r>
      <w:r>
        <w:rPr>
          <w:sz w:val="24"/>
        </w:rPr>
        <w:t>须按时提交阶段性报告。</w:t>
      </w:r>
    </w:p>
    <w:p>
      <w:pPr>
        <w:jc w:val="both"/>
      </w:pPr>
      <w:r>
        <w:rPr>
          <w:sz w:val="24"/>
        </w:rPr>
        <w:t>7</w:t>
      </w:r>
      <w:r>
        <w:rPr>
          <w:sz w:val="24"/>
        </w:rPr>
        <w:t>、监督</w:t>
      </w:r>
      <w:r>
        <w:rPr>
          <w:sz w:val="24"/>
        </w:rPr>
        <w:t>抽查</w:t>
      </w:r>
      <w:r>
        <w:rPr>
          <w:sz w:val="24"/>
        </w:rPr>
        <w:t>任务在</w:t>
      </w:r>
      <w:r>
        <w:rPr>
          <w:sz w:val="24"/>
        </w:rPr>
        <w:t>3</w:t>
      </w:r>
      <w:r>
        <w:rPr>
          <w:sz w:val="24"/>
        </w:rPr>
        <w:t>个自然日内出具检测报告，</w:t>
      </w:r>
      <w:r>
        <w:rPr>
          <w:sz w:val="24"/>
        </w:rPr>
        <w:t>风险</w:t>
      </w:r>
      <w:r>
        <w:rPr>
          <w:sz w:val="24"/>
        </w:rPr>
        <w:t>监测</w:t>
      </w:r>
      <w:r>
        <w:rPr>
          <w:sz w:val="24"/>
        </w:rPr>
        <w:t>（</w:t>
      </w:r>
      <w:r>
        <w:rPr>
          <w:sz w:val="24"/>
        </w:rPr>
        <w:t>包含</w:t>
      </w:r>
      <w:r>
        <w:rPr>
          <w:sz w:val="24"/>
        </w:rPr>
        <w:t>例行监测、专项监测）</w:t>
      </w:r>
      <w:r>
        <w:rPr>
          <w:sz w:val="24"/>
        </w:rPr>
        <w:t>任务在</w:t>
      </w:r>
      <w:r>
        <w:rPr>
          <w:sz w:val="24"/>
        </w:rPr>
        <w:t>10</w:t>
      </w:r>
      <w:r>
        <w:rPr>
          <w:sz w:val="24"/>
        </w:rPr>
        <w:t>个自然日内出具检测报告，考虑到农产品质量安全抽检应急需求，乙方每季度提供不少于</w:t>
      </w:r>
      <w:r>
        <w:rPr>
          <w:sz w:val="24"/>
        </w:rPr>
        <w:t>3</w:t>
      </w:r>
      <w:r>
        <w:rPr>
          <w:sz w:val="24"/>
        </w:rPr>
        <w:t>次应急监测，应急监测任务要求其在抽样后</w:t>
      </w:r>
      <w:r>
        <w:rPr>
          <w:sz w:val="24"/>
        </w:rPr>
        <w:t>24</w:t>
      </w:r>
      <w:r>
        <w:rPr>
          <w:sz w:val="24"/>
        </w:rPr>
        <w:t>小时内出具检测报告。另在检测过程中如遇有检出不合格样品或者是疑似不合格样品时，乙方必须</w:t>
      </w:r>
      <w:r>
        <w:rPr>
          <w:sz w:val="24"/>
        </w:rPr>
        <w:t>24</w:t>
      </w:r>
      <w:r>
        <w:rPr>
          <w:sz w:val="24"/>
        </w:rPr>
        <w:t>小时内通知甲方，并快速出具检测报告及做好复检工作。</w:t>
      </w:r>
    </w:p>
    <w:p>
      <w:pPr>
        <w:jc w:val="both"/>
      </w:pPr>
      <w:r>
        <w:rPr>
          <w:sz w:val="24"/>
        </w:rPr>
        <w:t>8</w:t>
      </w:r>
      <w:r>
        <w:rPr>
          <w:sz w:val="24"/>
        </w:rPr>
        <w:t>、</w:t>
      </w:r>
      <w:r>
        <w:rPr>
          <w:sz w:val="24"/>
        </w:rPr>
        <w:t>如遇检测结果与被抽样人描述用药记录不一致时，乙方须协助出具分析报告（包括但不限于土壤、水质等方面药物残留情况分析）</w:t>
      </w:r>
    </w:p>
    <w:p>
      <w:pPr>
        <w:jc w:val="both"/>
      </w:pPr>
      <w:r>
        <w:rPr>
          <w:sz w:val="24"/>
        </w:rPr>
        <w:t>9</w:t>
      </w:r>
      <w:r>
        <w:rPr>
          <w:sz w:val="24"/>
        </w:rPr>
        <w:t>、乙方须协助甲方做好水产品速测工作任务。（任务数以</w:t>
      </w:r>
      <w:r>
        <w:rPr>
          <w:sz w:val="24"/>
        </w:rPr>
        <w:t>2024</w:t>
      </w:r>
      <w:r>
        <w:rPr>
          <w:sz w:val="24"/>
        </w:rPr>
        <w:t>年广州市产地农产品质量安全监测工作方案下达任务数为准）。</w:t>
      </w:r>
    </w:p>
    <w:p>
      <w:pPr>
        <w:jc w:val="both"/>
      </w:pPr>
      <w:r>
        <w:rPr>
          <w:sz w:val="24"/>
        </w:rPr>
        <w:t>10</w:t>
      </w:r>
      <w:r>
        <w:rPr>
          <w:sz w:val="24"/>
        </w:rPr>
        <w:t>、乙方须对全年监测风险较大的品种出具分析报告。</w:t>
      </w:r>
    </w:p>
    <w:p>
      <w:pPr>
        <w:jc w:val="both"/>
      </w:pPr>
      <w:r>
        <w:rPr>
          <w:sz w:val="24"/>
        </w:rPr>
        <w:t>11</w:t>
      </w:r>
      <w:r>
        <w:rPr>
          <w:sz w:val="24"/>
        </w:rPr>
        <w:t>、</w:t>
      </w:r>
      <w:r>
        <w:rPr>
          <w:sz w:val="24"/>
        </w:rPr>
        <w:t>乙方须为本项目投入设备包括但不限于液相色谱串联质谱仪（</w:t>
      </w:r>
      <w:r>
        <w:rPr>
          <w:sz w:val="24"/>
        </w:rPr>
        <w:t>LC-MS-MS）、气相色谱质谱联用仪（GC-MS-MS）、电感耦合等离子体质谱仪（ICP-MS）、气相色谱仪（GC）、液相色谱仪（LC）、原子荧光-液相联用仪（AFS-LC）。</w:t>
      </w:r>
    </w:p>
    <w:p>
      <w:pPr>
        <w:jc w:val="both"/>
      </w:pPr>
      <w:r>
        <w:rPr>
          <w:sz w:val="24"/>
        </w:rPr>
        <w:t>12</w:t>
      </w:r>
      <w:r>
        <w:rPr>
          <w:sz w:val="24"/>
        </w:rPr>
        <w:t>、</w:t>
      </w:r>
      <w:r>
        <w:rPr>
          <w:sz w:val="24"/>
        </w:rPr>
        <w:t>甲方需执行应急监测任务时，乙方应及时协助甲方制定监测方案。并且，乙方能够同时派出不少于</w:t>
      </w:r>
      <w:r>
        <w:rPr>
          <w:sz w:val="24"/>
        </w:rPr>
        <w:t>2</w:t>
      </w:r>
      <w:r>
        <w:rPr>
          <w:sz w:val="24"/>
        </w:rPr>
        <w:t>个小组，快速出动配合甲方进行监测，从接到甲方指令起，可随时在</w:t>
      </w:r>
      <w:r>
        <w:rPr>
          <w:sz w:val="24"/>
        </w:rPr>
        <w:t>1</w:t>
      </w:r>
      <w:r>
        <w:rPr>
          <w:sz w:val="24"/>
        </w:rPr>
        <w:t>小时内到位。每组均有配备齐全相关设施（车辆、工具等）和人员。</w:t>
      </w:r>
    </w:p>
    <w:p>
      <w:pPr>
        <w:jc w:val="both"/>
      </w:pPr>
      <w:r>
        <w:rPr>
          <w:sz w:val="24"/>
        </w:rPr>
        <w:t>13</w:t>
      </w:r>
      <w:r>
        <w:rPr>
          <w:sz w:val="24"/>
        </w:rPr>
        <w:t>、未经甲方</w:t>
      </w:r>
      <w:r>
        <w:rPr>
          <w:sz w:val="24"/>
        </w:rPr>
        <w:t>书面</w:t>
      </w:r>
      <w:r>
        <w:rPr>
          <w:sz w:val="24"/>
        </w:rPr>
        <w:t>同意，乙方不得引用和公布检验检测结果和报告。</w:t>
      </w:r>
    </w:p>
    <w:p>
      <w:pPr>
        <w:jc w:val="both"/>
      </w:pPr>
      <w:r>
        <w:rPr>
          <w:sz w:val="24"/>
        </w:rPr>
        <w:t>1</w:t>
      </w:r>
      <w:r>
        <w:rPr>
          <w:sz w:val="24"/>
        </w:rPr>
        <w:t>4</w:t>
      </w:r>
      <w:r>
        <w:rPr>
          <w:sz w:val="24"/>
        </w:rPr>
        <w:t>、乙方应当依照有关法律、法规的规定，并依照食品安全标准和检验规范对样品进行检验，尊重科学，恪守职业道德，保证出具的检验数据和结论客观、公正，不得出具虚假的检验报告。</w:t>
      </w:r>
    </w:p>
    <w:p>
      <w:pPr>
        <w:jc w:val="both"/>
      </w:pPr>
      <w:r>
        <w:rPr>
          <w:sz w:val="24"/>
        </w:rPr>
        <w:t>1</w:t>
      </w:r>
      <w:r>
        <w:rPr>
          <w:sz w:val="24"/>
        </w:rPr>
        <w:t>5</w:t>
      </w:r>
      <w:r>
        <w:rPr>
          <w:sz w:val="24"/>
        </w:rPr>
        <w:t>、检验完成后，根据甲方要求主动配合做好项目验收工作，按要求对检验结果进行数据分析、结果汇总、工作总结等。</w:t>
      </w:r>
    </w:p>
    <w:p>
      <w:pPr>
        <w:jc w:val="both"/>
      </w:pPr>
      <w:r>
        <w:rPr>
          <w:sz w:val="24"/>
        </w:rPr>
        <w:t>1</w:t>
      </w:r>
      <w:r>
        <w:rPr>
          <w:sz w:val="24"/>
        </w:rPr>
        <w:t>6</w:t>
      </w:r>
      <w:r>
        <w:rPr>
          <w:sz w:val="24"/>
        </w:rPr>
        <w:t>、服务期结束后</w:t>
      </w:r>
      <w:r>
        <w:rPr>
          <w:sz w:val="24"/>
        </w:rPr>
        <w:t>5</w:t>
      </w:r>
      <w:r>
        <w:rPr>
          <w:sz w:val="24"/>
        </w:rPr>
        <w:t>个工作日内，乙方应向甲方提交年度工作总结报告，报告内容及数据须真实、有效，内容应包括但不限于整个年度工作的汇总总结、数据统计和分析以及对工作的建议等。</w:t>
      </w:r>
    </w:p>
    <w:p>
      <w:pPr>
        <w:jc w:val="both"/>
      </w:pPr>
      <w:r>
        <w:rPr>
          <w:sz w:val="24"/>
        </w:rPr>
        <w:t>1</w:t>
      </w:r>
      <w:r>
        <w:rPr>
          <w:sz w:val="24"/>
        </w:rPr>
        <w:t>7</w:t>
      </w:r>
      <w:r>
        <w:rPr>
          <w:sz w:val="24"/>
        </w:rPr>
        <w:t>、</w:t>
      </w:r>
      <w:r>
        <w:rPr>
          <w:sz w:val="24"/>
        </w:rPr>
        <w:t>乙方须需保证抽样检测人员和车辆到位情况，同时派驻不少于</w:t>
      </w:r>
      <w:r>
        <w:rPr>
          <w:sz w:val="24"/>
        </w:rPr>
        <w:t>2人专人驻场负责农产品质量安全检测工作。（驻场人员费用包含在投标总价中）</w:t>
      </w:r>
      <w:r>
        <w:rPr>
          <w:sz w:val="24"/>
        </w:rPr>
        <w:t>。</w:t>
      </w:r>
    </w:p>
    <w:p>
      <w:pPr>
        <w:jc w:val="both"/>
      </w:pPr>
      <w:r>
        <w:rPr>
          <w:sz w:val="24"/>
        </w:rPr>
        <w:t>1</w:t>
      </w:r>
      <w:r>
        <w:rPr>
          <w:sz w:val="24"/>
        </w:rPr>
        <w:t>8</w:t>
      </w:r>
      <w:r>
        <w:rPr>
          <w:sz w:val="24"/>
        </w:rPr>
        <w:t>、乙方需在</w:t>
      </w:r>
      <w:r>
        <w:rPr>
          <w:sz w:val="24"/>
        </w:rPr>
        <w:t>202</w:t>
      </w:r>
      <w:r>
        <w:rPr>
          <w:sz w:val="24"/>
        </w:rPr>
        <w:t>4</w:t>
      </w:r>
      <w:r>
        <w:rPr>
          <w:sz w:val="24"/>
        </w:rPr>
        <w:t>年</w:t>
      </w:r>
      <w:r>
        <w:rPr>
          <w:sz w:val="24"/>
        </w:rPr>
        <w:t>11</w:t>
      </w:r>
      <w:r>
        <w:rPr>
          <w:sz w:val="24"/>
        </w:rPr>
        <w:t>月</w:t>
      </w:r>
      <w:r>
        <w:rPr>
          <w:sz w:val="24"/>
        </w:rPr>
        <w:t>20</w:t>
      </w:r>
      <w:r>
        <w:rPr>
          <w:sz w:val="24"/>
        </w:rPr>
        <w:t>日前完成相应计划检测任务，具体任务数量参照市级方案指导性任务数。</w:t>
      </w:r>
    </w:p>
    <w:p>
      <w:pPr>
        <w:jc w:val="both"/>
      </w:pPr>
      <w:r>
        <w:rPr>
          <w:sz w:val="24"/>
        </w:rPr>
        <w:t>1</w:t>
      </w:r>
      <w:r>
        <w:rPr>
          <w:sz w:val="24"/>
        </w:rPr>
        <w:t>9</w:t>
      </w:r>
      <w:r>
        <w:rPr>
          <w:sz w:val="24"/>
        </w:rPr>
        <w:t>、检测样品采购费用，由乙方根据市场实际价格支付给农户（此价格已包含在合同总价中）。</w:t>
      </w:r>
    </w:p>
    <w:p>
      <w:pPr>
        <w:jc w:val="both"/>
      </w:pPr>
      <w:r>
        <w:rPr>
          <w:b/>
          <w:sz w:val="24"/>
        </w:rPr>
        <w:t>五、工作安排</w:t>
      </w:r>
    </w:p>
    <w:p>
      <w:pPr>
        <w:jc w:val="both"/>
      </w:pPr>
      <w:r>
        <w:rPr>
          <w:sz w:val="24"/>
        </w:rPr>
        <w:t>1</w:t>
      </w:r>
      <w:r>
        <w:rPr>
          <w:sz w:val="24"/>
        </w:rPr>
        <w:t>、种植业农产品的区级监测需在</w:t>
      </w:r>
      <w:r>
        <w:rPr>
          <w:sz w:val="24"/>
        </w:rPr>
        <w:t>202</w:t>
      </w:r>
      <w:r>
        <w:rPr>
          <w:sz w:val="24"/>
        </w:rPr>
        <w:t>4</w:t>
      </w:r>
      <w:r>
        <w:rPr>
          <w:sz w:val="24"/>
        </w:rPr>
        <w:t>年</w:t>
      </w:r>
      <w:r>
        <w:rPr>
          <w:sz w:val="24"/>
        </w:rPr>
        <w:t>11</w:t>
      </w:r>
      <w:r>
        <w:rPr>
          <w:sz w:val="24"/>
        </w:rPr>
        <w:t>月</w:t>
      </w:r>
      <w:r>
        <w:rPr>
          <w:sz w:val="24"/>
        </w:rPr>
        <w:t>20</w:t>
      </w:r>
      <w:r>
        <w:rPr>
          <w:sz w:val="24"/>
        </w:rPr>
        <w:t>日前出具相应工作计划的检测报告数，具体任务数量参照市级方案指导性任务数；</w:t>
      </w:r>
    </w:p>
    <w:p>
      <w:pPr>
        <w:jc w:val="both"/>
      </w:pPr>
      <w:r>
        <w:rPr>
          <w:sz w:val="24"/>
        </w:rPr>
        <w:t>2</w:t>
      </w:r>
      <w:r>
        <w:rPr>
          <w:sz w:val="24"/>
        </w:rPr>
        <w:t>、水产品的区级监测需在</w:t>
      </w:r>
      <w:r>
        <w:rPr>
          <w:sz w:val="24"/>
        </w:rPr>
        <w:t>202</w:t>
      </w:r>
      <w:r>
        <w:rPr>
          <w:sz w:val="24"/>
        </w:rPr>
        <w:t>4</w:t>
      </w:r>
      <w:r>
        <w:rPr>
          <w:sz w:val="24"/>
        </w:rPr>
        <w:t>年</w:t>
      </w:r>
      <w:r>
        <w:rPr>
          <w:sz w:val="24"/>
        </w:rPr>
        <w:t>11</w:t>
      </w:r>
      <w:r>
        <w:rPr>
          <w:sz w:val="24"/>
        </w:rPr>
        <w:t>月</w:t>
      </w:r>
      <w:r>
        <w:rPr>
          <w:sz w:val="24"/>
        </w:rPr>
        <w:t>20</w:t>
      </w:r>
      <w:r>
        <w:rPr>
          <w:sz w:val="24"/>
        </w:rPr>
        <w:t>日前出具相应工作计划的检测报告数，具体任务数量参照市级方案指导性任务数；</w:t>
      </w:r>
    </w:p>
    <w:p>
      <w:pPr>
        <w:jc w:val="both"/>
      </w:pPr>
      <w:r>
        <w:rPr>
          <w:sz w:val="24"/>
        </w:rPr>
        <w:t>3</w:t>
      </w:r>
      <w:r>
        <w:rPr>
          <w:sz w:val="24"/>
        </w:rPr>
        <w:t>、生鲜乳的区级监测全年共</w:t>
      </w:r>
      <w:r>
        <w:rPr>
          <w:sz w:val="24"/>
        </w:rPr>
        <w:t>30</w:t>
      </w:r>
      <w:r>
        <w:rPr>
          <w:sz w:val="24"/>
        </w:rPr>
        <w:t>批次（其中监督抽查不少于</w:t>
      </w:r>
      <w:r>
        <w:rPr>
          <w:sz w:val="24"/>
        </w:rPr>
        <w:t>5</w:t>
      </w:r>
      <w:r>
        <w:rPr>
          <w:sz w:val="24"/>
        </w:rPr>
        <w:t>批次</w:t>
      </w:r>
      <w:r>
        <w:rPr>
          <w:sz w:val="24"/>
        </w:rPr>
        <w:t>/</w:t>
      </w:r>
      <w:r>
        <w:rPr>
          <w:sz w:val="24"/>
        </w:rPr>
        <w:t>年），具体任务数量参照市级方案指导性任务数；</w:t>
      </w:r>
    </w:p>
    <w:p>
      <w:pPr>
        <w:jc w:val="both"/>
      </w:pPr>
      <w:r>
        <w:rPr>
          <w:b/>
          <w:sz w:val="24"/>
        </w:rPr>
        <w:t>六、费用支付：</w:t>
      </w:r>
    </w:p>
    <w:p>
      <w:pPr>
        <w:jc w:val="both"/>
      </w:pPr>
      <w:r>
        <w:rPr>
          <w:sz w:val="24"/>
        </w:rPr>
        <w:t>1</w:t>
      </w:r>
      <w:r>
        <w:rPr>
          <w:sz w:val="24"/>
        </w:rPr>
        <w:t>、费用构成：合同总价包括</w:t>
      </w:r>
      <w:r>
        <w:rPr>
          <w:sz w:val="24"/>
        </w:rPr>
        <w:t>投入人员的劳务费、检测物资费、采购费、购样费、检验费、邮寄费、差旅费、采样费以及在项目实施过程中所发生的其他一切费用，</w:t>
      </w:r>
      <w:r>
        <w:rPr>
          <w:sz w:val="24"/>
        </w:rPr>
        <w:t>不再另外支付其他费用。</w:t>
      </w:r>
    </w:p>
    <w:p>
      <w:pPr>
        <w:jc w:val="both"/>
      </w:pPr>
      <w:r>
        <w:rPr>
          <w:sz w:val="24"/>
        </w:rPr>
        <w:t>2</w:t>
      </w:r>
      <w:r>
        <w:rPr>
          <w:sz w:val="24"/>
        </w:rPr>
        <w:t>、付款方式：</w:t>
      </w:r>
    </w:p>
    <w:p>
      <w:pPr>
        <w:ind w:firstLine="480"/>
        <w:jc w:val="both"/>
      </w:pPr>
      <w:r>
        <w:rPr>
          <w:sz w:val="24"/>
        </w:rPr>
        <w:t>（</w:t>
      </w:r>
      <w:r>
        <w:rPr>
          <w:sz w:val="24"/>
        </w:rPr>
        <w:t>1</w:t>
      </w:r>
      <w:r>
        <w:rPr>
          <w:sz w:val="24"/>
        </w:rPr>
        <w:t>）</w:t>
      </w:r>
      <w:r>
        <w:rPr>
          <w:sz w:val="24"/>
        </w:rPr>
        <w:t>合同生效后</w:t>
      </w:r>
      <w:r>
        <w:rPr>
          <w:sz w:val="24"/>
        </w:rPr>
        <w:t>5</w:t>
      </w:r>
      <w:r>
        <w:rPr>
          <w:sz w:val="24"/>
        </w:rPr>
        <w:t>个工作日</w:t>
      </w:r>
      <w:r>
        <w:rPr>
          <w:sz w:val="24"/>
        </w:rPr>
        <w:t>,</w:t>
      </w:r>
      <w:r>
        <w:rPr>
          <w:sz w:val="24"/>
        </w:rPr>
        <w:t>甲方向乙方支付总合同金额的</w:t>
      </w:r>
      <w:r>
        <w:rPr>
          <w:sz w:val="24"/>
        </w:rPr>
        <w:t>50</w:t>
      </w:r>
      <w:r>
        <w:rPr>
          <w:sz w:val="24"/>
        </w:rPr>
        <w:t>%</w:t>
      </w:r>
      <w:r>
        <w:rPr>
          <w:sz w:val="24"/>
        </w:rPr>
        <w:t>。</w:t>
      </w:r>
    </w:p>
    <w:p>
      <w:pPr>
        <w:ind w:firstLine="480"/>
        <w:jc w:val="both"/>
      </w:pPr>
      <w:r>
        <w:rPr>
          <w:sz w:val="24"/>
        </w:rPr>
        <w:t>（</w:t>
      </w:r>
      <w:r>
        <w:rPr>
          <w:sz w:val="24"/>
        </w:rPr>
        <w:t>2</w:t>
      </w:r>
      <w:r>
        <w:rPr>
          <w:sz w:val="24"/>
        </w:rPr>
        <w:t>）项目开展工作量达到</w:t>
      </w:r>
      <w:r>
        <w:rPr>
          <w:sz w:val="24"/>
        </w:rPr>
        <w:t>50</w:t>
      </w:r>
      <w:r>
        <w:rPr>
          <w:sz w:val="24"/>
        </w:rPr>
        <w:t>％</w:t>
      </w:r>
      <w:r>
        <w:rPr>
          <w:sz w:val="24"/>
        </w:rPr>
        <w:t>【累计完成超过</w:t>
      </w:r>
      <w:r>
        <w:rPr>
          <w:sz w:val="24"/>
        </w:rPr>
        <w:t>750</w:t>
      </w:r>
      <w:r>
        <w:rPr>
          <w:sz w:val="24"/>
        </w:rPr>
        <w:t>个（含</w:t>
      </w:r>
      <w:r>
        <w:rPr>
          <w:sz w:val="24"/>
        </w:rPr>
        <w:t>750</w:t>
      </w:r>
      <w:r>
        <w:rPr>
          <w:sz w:val="24"/>
        </w:rPr>
        <w:t>）】</w:t>
      </w:r>
      <w:r>
        <w:rPr>
          <w:sz w:val="24"/>
        </w:rPr>
        <w:t>，</w:t>
      </w:r>
      <w:r>
        <w:rPr>
          <w:sz w:val="24"/>
        </w:rPr>
        <w:t>乙方</w:t>
      </w:r>
      <w:r>
        <w:rPr>
          <w:sz w:val="24"/>
        </w:rPr>
        <w:t>须按照</w:t>
      </w:r>
      <w:r>
        <w:rPr>
          <w:sz w:val="24"/>
        </w:rPr>
        <w:t>甲方</w:t>
      </w:r>
      <w:r>
        <w:rPr>
          <w:sz w:val="24"/>
        </w:rPr>
        <w:t>要求完成相应的检测工作后且</w:t>
      </w:r>
      <w:r>
        <w:rPr>
          <w:sz w:val="24"/>
        </w:rPr>
        <w:t>甲方</w:t>
      </w:r>
      <w:r>
        <w:rPr>
          <w:sz w:val="24"/>
        </w:rPr>
        <w:t>在收到发票后</w:t>
      </w:r>
      <w:r>
        <w:rPr>
          <w:sz w:val="24"/>
        </w:rPr>
        <w:t>10</w:t>
      </w:r>
      <w:r>
        <w:rPr>
          <w:sz w:val="24"/>
        </w:rPr>
        <w:t>个工作日内向</w:t>
      </w:r>
      <w:r>
        <w:rPr>
          <w:sz w:val="24"/>
        </w:rPr>
        <w:t>乙方</w:t>
      </w:r>
      <w:r>
        <w:rPr>
          <w:sz w:val="24"/>
        </w:rPr>
        <w:t>支付合同总价的</w:t>
      </w:r>
      <w:r>
        <w:rPr>
          <w:sz w:val="24"/>
        </w:rPr>
        <w:t>25%</w:t>
      </w:r>
      <w:r>
        <w:rPr>
          <w:sz w:val="24"/>
        </w:rPr>
        <w:t>。</w:t>
      </w:r>
    </w:p>
    <w:p>
      <w:pPr>
        <w:ind w:firstLine="480"/>
        <w:jc w:val="both"/>
      </w:pPr>
      <w:r>
        <w:rPr>
          <w:sz w:val="24"/>
        </w:rPr>
        <w:t>（</w:t>
      </w:r>
      <w:r>
        <w:rPr>
          <w:sz w:val="24"/>
        </w:rPr>
        <w:t>3</w:t>
      </w:r>
      <w:r>
        <w:rPr>
          <w:sz w:val="24"/>
        </w:rPr>
        <w:t>）项目开展工作量达到</w:t>
      </w:r>
      <w:r>
        <w:rPr>
          <w:sz w:val="24"/>
        </w:rPr>
        <w:t>80</w:t>
      </w:r>
      <w:r>
        <w:rPr>
          <w:sz w:val="24"/>
        </w:rPr>
        <w:t>％</w:t>
      </w:r>
      <w:r>
        <w:rPr>
          <w:sz w:val="24"/>
        </w:rPr>
        <w:t>【累计完成超过</w:t>
      </w:r>
      <w:r>
        <w:rPr>
          <w:sz w:val="24"/>
        </w:rPr>
        <w:t>1200</w:t>
      </w:r>
      <w:r>
        <w:rPr>
          <w:sz w:val="24"/>
        </w:rPr>
        <w:t>个（含</w:t>
      </w:r>
      <w:r>
        <w:rPr>
          <w:sz w:val="24"/>
        </w:rPr>
        <w:t>1200</w:t>
      </w:r>
      <w:r>
        <w:rPr>
          <w:sz w:val="24"/>
        </w:rPr>
        <w:t>）】</w:t>
      </w:r>
      <w:r>
        <w:rPr>
          <w:sz w:val="24"/>
        </w:rPr>
        <w:t>，</w:t>
      </w:r>
      <w:r>
        <w:rPr>
          <w:sz w:val="24"/>
        </w:rPr>
        <w:t>乙方</w:t>
      </w:r>
      <w:r>
        <w:rPr>
          <w:sz w:val="24"/>
        </w:rPr>
        <w:t>须按照</w:t>
      </w:r>
      <w:r>
        <w:rPr>
          <w:sz w:val="24"/>
        </w:rPr>
        <w:t>甲方</w:t>
      </w:r>
      <w:r>
        <w:rPr>
          <w:sz w:val="24"/>
        </w:rPr>
        <w:t>要求完成相应的检测工作后且</w:t>
      </w:r>
      <w:r>
        <w:rPr>
          <w:sz w:val="24"/>
        </w:rPr>
        <w:t>甲方</w:t>
      </w:r>
      <w:r>
        <w:rPr>
          <w:sz w:val="24"/>
        </w:rPr>
        <w:t>在收到发票后</w:t>
      </w:r>
      <w:r>
        <w:rPr>
          <w:sz w:val="24"/>
        </w:rPr>
        <w:t>10</w:t>
      </w:r>
      <w:r>
        <w:rPr>
          <w:sz w:val="24"/>
        </w:rPr>
        <w:t>个工作日内向</w:t>
      </w:r>
      <w:r>
        <w:rPr>
          <w:sz w:val="24"/>
        </w:rPr>
        <w:t>乙方</w:t>
      </w:r>
      <w:r>
        <w:rPr>
          <w:sz w:val="24"/>
        </w:rPr>
        <w:t>支付合同总价的</w:t>
      </w:r>
      <w:r>
        <w:rPr>
          <w:sz w:val="24"/>
        </w:rPr>
        <w:t>15</w:t>
      </w:r>
      <w:r>
        <w:rPr>
          <w:sz w:val="24"/>
        </w:rPr>
        <w:t>%</w:t>
      </w:r>
      <w:r>
        <w:rPr>
          <w:sz w:val="24"/>
        </w:rPr>
        <w:t>。</w:t>
      </w:r>
    </w:p>
    <w:p>
      <w:pPr>
        <w:ind w:firstLine="480"/>
        <w:jc w:val="both"/>
      </w:pPr>
      <w:r>
        <w:rPr>
          <w:sz w:val="24"/>
        </w:rPr>
        <w:t>（</w:t>
      </w:r>
      <w:r>
        <w:rPr>
          <w:sz w:val="24"/>
        </w:rPr>
        <w:t>4</w:t>
      </w:r>
      <w:r>
        <w:rPr>
          <w:sz w:val="24"/>
        </w:rPr>
        <w:t>）项目完成并验收合格后</w:t>
      </w:r>
      <w:r>
        <w:rPr>
          <w:sz w:val="24"/>
        </w:rPr>
        <w:t>，</w:t>
      </w:r>
      <w:r>
        <w:rPr>
          <w:sz w:val="24"/>
        </w:rPr>
        <w:t>甲方</w:t>
      </w:r>
      <w:r>
        <w:rPr>
          <w:sz w:val="24"/>
        </w:rPr>
        <w:t>在收到发票后</w:t>
      </w:r>
      <w:r>
        <w:rPr>
          <w:sz w:val="24"/>
        </w:rPr>
        <w:t>10</w:t>
      </w:r>
      <w:r>
        <w:rPr>
          <w:sz w:val="24"/>
        </w:rPr>
        <w:t>个工作日内向</w:t>
      </w:r>
      <w:r>
        <w:rPr>
          <w:sz w:val="24"/>
        </w:rPr>
        <w:t>乙方</w:t>
      </w:r>
      <w:r>
        <w:rPr>
          <w:sz w:val="24"/>
        </w:rPr>
        <w:t>支付合同总价的</w:t>
      </w:r>
      <w:r>
        <w:rPr>
          <w:sz w:val="24"/>
        </w:rPr>
        <w:t>10%</w:t>
      </w:r>
      <w:r>
        <w:rPr>
          <w:sz w:val="24"/>
        </w:rPr>
        <w:t>。</w:t>
      </w:r>
    </w:p>
    <w:p>
      <w:pPr>
        <w:ind w:firstLine="480"/>
        <w:jc w:val="both"/>
      </w:pPr>
      <w:r>
        <w:rPr>
          <w:sz w:val="24"/>
        </w:rPr>
        <w:t>注：</w:t>
      </w:r>
      <w:r>
        <w:rPr>
          <w:sz w:val="24"/>
        </w:rPr>
        <w:t>1</w:t>
      </w:r>
      <w:r>
        <w:rPr>
          <w:sz w:val="24"/>
        </w:rPr>
        <w:t>、每笔款项支付前，中标供应商须提交与每笔款项金额相等的正式发票。</w:t>
      </w:r>
    </w:p>
    <w:p>
      <w:pPr>
        <w:ind w:firstLine="480"/>
        <w:jc w:val="both"/>
      </w:pPr>
      <w:r>
        <w:rPr>
          <w:sz w:val="24"/>
        </w:rPr>
        <w:t>2</w:t>
      </w:r>
      <w:r>
        <w:rPr>
          <w:sz w:val="24"/>
        </w:rPr>
        <w:t>、支付方式：采用支票、银行汇付（含电汇）等形式。</w:t>
      </w:r>
    </w:p>
    <w:p>
      <w:pPr>
        <w:jc w:val="both"/>
      </w:pPr>
      <w:r>
        <w:rPr>
          <w:b/>
          <w:sz w:val="24"/>
        </w:rPr>
        <w:t>七、项目验收</w:t>
      </w:r>
    </w:p>
    <w:p>
      <w:pPr>
        <w:ind w:firstLine="480"/>
        <w:jc w:val="both"/>
      </w:pPr>
      <w:r>
        <w:rPr>
          <w:sz w:val="24"/>
        </w:rPr>
        <w:t>1</w:t>
      </w:r>
      <w:r>
        <w:rPr>
          <w:sz w:val="24"/>
        </w:rPr>
        <w:t>、</w:t>
      </w:r>
      <w:r>
        <w:rPr>
          <w:sz w:val="24"/>
        </w:rPr>
        <w:t>服务期满后，</w:t>
      </w:r>
      <w:r>
        <w:rPr>
          <w:sz w:val="24"/>
        </w:rPr>
        <w:t>甲方</w:t>
      </w:r>
      <w:r>
        <w:rPr>
          <w:sz w:val="24"/>
        </w:rPr>
        <w:t>应于收到中</w:t>
      </w:r>
      <w:r>
        <w:rPr>
          <w:sz w:val="24"/>
        </w:rPr>
        <w:t>乙方</w:t>
      </w:r>
      <w:r>
        <w:rPr>
          <w:sz w:val="24"/>
        </w:rPr>
        <w:t>验收申请后</w:t>
      </w:r>
      <w:r>
        <w:rPr>
          <w:sz w:val="24"/>
        </w:rPr>
        <w:t>7</w:t>
      </w:r>
      <w:r>
        <w:rPr>
          <w:sz w:val="24"/>
        </w:rPr>
        <w:t>个工作日内组织履约验收。</w:t>
      </w:r>
      <w:r>
        <w:rPr>
          <w:sz w:val="24"/>
        </w:rPr>
        <w:t>甲方</w:t>
      </w:r>
      <w:r>
        <w:rPr>
          <w:sz w:val="24"/>
        </w:rPr>
        <w:t>按照采购合同规定的技术、服务、安全标准组织对</w:t>
      </w:r>
      <w:r>
        <w:rPr>
          <w:sz w:val="24"/>
        </w:rPr>
        <w:t>乙方</w:t>
      </w:r>
      <w:r>
        <w:rPr>
          <w:sz w:val="24"/>
        </w:rPr>
        <w:t>履约情况进行验收，并出具验收书。验收书应当包括每一项技术、服务、安全标准的履约情况。</w:t>
      </w:r>
    </w:p>
    <w:p>
      <w:pPr>
        <w:ind w:firstLine="480"/>
        <w:jc w:val="both"/>
      </w:pPr>
      <w:r>
        <w:rPr>
          <w:sz w:val="24"/>
        </w:rPr>
        <w:t>2</w:t>
      </w:r>
      <w:r>
        <w:rPr>
          <w:sz w:val="24"/>
        </w:rPr>
        <w:t>、甲方</w:t>
      </w:r>
      <w:r>
        <w:rPr>
          <w:sz w:val="24"/>
        </w:rPr>
        <w:t>组成验收小组，按照采购合同规定的技术、服务、安全标准组织对</w:t>
      </w:r>
      <w:r>
        <w:rPr>
          <w:sz w:val="24"/>
        </w:rPr>
        <w:t>乙方</w:t>
      </w:r>
      <w:r>
        <w:rPr>
          <w:sz w:val="24"/>
        </w:rPr>
        <w:t>履约情况进行验收。验收完毕由采购人及中标供应商在验收报告上盖章确认。</w:t>
      </w:r>
    </w:p>
    <w:p>
      <w:pPr>
        <w:jc w:val="both"/>
      </w:pPr>
      <w:r>
        <w:rPr>
          <w:sz w:val="24"/>
        </w:rPr>
        <w:t>3</w:t>
      </w:r>
      <w:r>
        <w:rPr>
          <w:sz w:val="24"/>
        </w:rPr>
        <w:t>、乙方</w:t>
      </w:r>
      <w:r>
        <w:rPr>
          <w:sz w:val="24"/>
        </w:rPr>
        <w:t>开展的相关工作及提交的验收内容应得到</w:t>
      </w:r>
      <w:r>
        <w:rPr>
          <w:sz w:val="24"/>
        </w:rPr>
        <w:t>甲方</w:t>
      </w:r>
      <w:r>
        <w:rPr>
          <w:sz w:val="24"/>
        </w:rPr>
        <w:t>认同、验收后方为完成合同内容；对验收不合格的部分，</w:t>
      </w:r>
      <w:r>
        <w:rPr>
          <w:sz w:val="24"/>
        </w:rPr>
        <w:t>乙方</w:t>
      </w:r>
      <w:r>
        <w:rPr>
          <w:sz w:val="24"/>
        </w:rPr>
        <w:t>应在</w:t>
      </w:r>
      <w:r>
        <w:rPr>
          <w:sz w:val="24"/>
        </w:rPr>
        <w:t>甲方</w:t>
      </w:r>
      <w:r>
        <w:rPr>
          <w:sz w:val="24"/>
        </w:rPr>
        <w:t>规定时间内及时整改完善直至合格。因整改完善所增加的时间不计入项目服务期，</w:t>
      </w:r>
      <w:r>
        <w:rPr>
          <w:sz w:val="24"/>
        </w:rPr>
        <w:t>乙方</w:t>
      </w:r>
      <w:r>
        <w:rPr>
          <w:sz w:val="24"/>
        </w:rPr>
        <w:t>不得以此要求增加任何费用。</w:t>
      </w:r>
    </w:p>
    <w:p>
      <w:pPr>
        <w:jc w:val="both"/>
      </w:pPr>
      <w:r>
        <w:rPr>
          <w:b/>
          <w:sz w:val="24"/>
        </w:rPr>
        <w:t>八、重要声明：</w:t>
      </w:r>
    </w:p>
    <w:p>
      <w:pPr>
        <w:ind w:firstLine="480"/>
        <w:jc w:val="both"/>
      </w:pPr>
      <w:r>
        <w:rPr>
          <w:sz w:val="24"/>
        </w:rPr>
        <w:t>本项目为大包干形式实行，合同实施时不再另行追加其他任何费用。本内容将作为合同的重要条款。</w:t>
      </w:r>
    </w:p>
    <w:p>
      <w:pPr>
        <w:jc w:val="both"/>
      </w:pPr>
      <w:r>
        <w:rPr>
          <w:b/>
          <w:sz w:val="24"/>
        </w:rPr>
        <w:t>九、违约责任：</w:t>
      </w:r>
    </w:p>
    <w:p>
      <w:pPr>
        <w:ind w:firstLine="480"/>
        <w:jc w:val="both"/>
      </w:pPr>
      <w:r>
        <w:rPr>
          <w:sz w:val="24"/>
        </w:rPr>
        <w:t>若复检结果差异较大，甲方有权扣除乙方总检测费</w:t>
      </w:r>
      <w:r>
        <w:rPr>
          <w:sz w:val="24"/>
        </w:rPr>
        <w:t>30%</w:t>
      </w:r>
      <w:r>
        <w:rPr>
          <w:sz w:val="24"/>
        </w:rPr>
        <w:t>；若送其他检测机构确认乙方检测结果错误较多，甲方有权拒交所有检测费。</w:t>
      </w:r>
    </w:p>
    <w:p>
      <w:pPr>
        <w:jc w:val="both"/>
      </w:pPr>
      <w:r>
        <w:rPr>
          <w:b/>
          <w:sz w:val="24"/>
        </w:rPr>
        <w:t>十、本合约一式</w:t>
      </w:r>
      <w:r>
        <w:rPr>
          <w:b/>
          <w:sz w:val="24"/>
        </w:rPr>
        <w:t>肆</w:t>
      </w:r>
      <w:r>
        <w:rPr>
          <w:b/>
          <w:sz w:val="24"/>
        </w:rPr>
        <w:t>份，甲方执</w:t>
      </w:r>
      <w:r>
        <w:rPr>
          <w:b/>
          <w:sz w:val="24"/>
        </w:rPr>
        <w:t>贰</w:t>
      </w:r>
      <w:r>
        <w:rPr>
          <w:b/>
          <w:sz w:val="24"/>
        </w:rPr>
        <w:t>份，乙方执</w:t>
      </w:r>
      <w:r>
        <w:rPr>
          <w:b/>
          <w:sz w:val="24"/>
        </w:rPr>
        <w:t>壹</w:t>
      </w:r>
      <w:r>
        <w:rPr>
          <w:b/>
          <w:sz w:val="24"/>
        </w:rPr>
        <w:t>份，代理机构</w:t>
      </w:r>
      <w:r>
        <w:rPr>
          <w:b/>
          <w:sz w:val="24"/>
        </w:rPr>
        <w:t>壹</w:t>
      </w:r>
      <w:r>
        <w:rPr>
          <w:b/>
          <w:sz w:val="24"/>
        </w:rPr>
        <w:t>份。具有同等法律效力。</w:t>
      </w:r>
    </w:p>
    <w:p>
      <w:pPr>
        <w:jc w:val="both"/>
      </w:pPr>
      <w:r>
        <w:rPr>
          <w:b/>
          <w:sz w:val="24"/>
        </w:rPr>
        <w:t>十一、本协议自签字</w:t>
      </w:r>
      <w:r>
        <w:rPr>
          <w:b/>
          <w:sz w:val="24"/>
        </w:rPr>
        <w:t>盖章</w:t>
      </w:r>
      <w:r>
        <w:rPr>
          <w:b/>
          <w:sz w:val="24"/>
        </w:rPr>
        <w:t>之日起生效，抽检任务结束后失效，双方要共同遵守，不得违约。未尽事宜双方本着互谅互让的原则协商解决。</w:t>
      </w:r>
    </w:p>
    <w:p>
      <w:pPr>
        <w:jc w:val="left"/>
      </w:pPr>
      <w:r>
        <w:rPr>
          <w:b/>
          <w:sz w:val="24"/>
        </w:rPr>
        <w:t>十二、乙方资质要求：</w:t>
      </w:r>
      <w:r>
        <w:rPr>
          <w:b/>
          <w:sz w:val="24"/>
        </w:rPr>
        <w:t>同时</w:t>
      </w:r>
      <w:r>
        <w:rPr>
          <w:b/>
          <w:sz w:val="24"/>
        </w:rPr>
        <w:t>具备监督部门颁发的有效的检验检测机构资质认定证书（</w:t>
      </w:r>
      <w:r>
        <w:rPr>
          <w:b/>
          <w:sz w:val="24"/>
        </w:rPr>
        <w:t>CMA</w:t>
      </w:r>
      <w:r>
        <w:rPr>
          <w:b/>
          <w:sz w:val="24"/>
        </w:rPr>
        <w:t>）和农产品质量安全检测机构考核合格证书（</w:t>
      </w:r>
      <w:r>
        <w:rPr>
          <w:b/>
          <w:sz w:val="24"/>
        </w:rPr>
        <w:t>CATL</w:t>
      </w:r>
      <w:r>
        <w:rPr>
          <w:b/>
          <w:sz w:val="24"/>
        </w:rPr>
        <w:t>），证书都应在有效期内。</w:t>
      </w:r>
    </w:p>
    <w:p>
      <w:pPr>
        <w:jc w:val="both"/>
      </w:pPr>
      <w:r>
        <w:rPr>
          <w:sz w:val="24"/>
        </w:rPr>
        <w:t>（以下无正文）</w:t>
      </w:r>
    </w:p>
    <w:p>
      <w:pPr>
        <w:jc w:val="both"/>
      </w:pPr>
    </w:p>
    <w:p>
      <w:pPr>
        <w:jc w:val="both"/>
      </w:pPr>
      <w:r>
        <w:rPr>
          <w:sz w:val="24"/>
        </w:rPr>
        <w:t>甲方</w:t>
      </w:r>
      <w:r>
        <w:rPr>
          <w:sz w:val="24"/>
        </w:rPr>
        <w:t>(</w:t>
      </w:r>
      <w:r>
        <w:rPr>
          <w:sz w:val="24"/>
        </w:rPr>
        <w:t>盖章</w:t>
      </w:r>
      <w:r>
        <w:rPr>
          <w:sz w:val="24"/>
        </w:rPr>
        <w:t>)</w:t>
      </w:r>
      <w:r>
        <w:rPr>
          <w:sz w:val="24"/>
        </w:rPr>
        <w:t>：</w:t>
      </w:r>
    </w:p>
    <w:p>
      <w:pPr>
        <w:jc w:val="both"/>
      </w:pPr>
      <w:r>
        <w:rPr>
          <w:sz w:val="24"/>
        </w:rPr>
        <w:t>代表：</w:t>
      </w:r>
    </w:p>
    <w:p>
      <w:pPr>
        <w:jc w:val="both"/>
      </w:pPr>
      <w:r>
        <w:rPr>
          <w:sz w:val="24"/>
        </w:rPr>
        <w:t>签定地点：</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p>
    <w:p>
      <w:pPr>
        <w:jc w:val="both"/>
      </w:pPr>
      <w:r>
        <w:rPr>
          <w:sz w:val="24"/>
        </w:rPr>
        <w:t>乙方</w:t>
      </w:r>
      <w:r>
        <w:rPr>
          <w:sz w:val="24"/>
        </w:rPr>
        <w:t>(</w:t>
      </w:r>
      <w:r>
        <w:rPr>
          <w:sz w:val="24"/>
        </w:rPr>
        <w:t>盖章</w:t>
      </w:r>
      <w:r>
        <w:rPr>
          <w:sz w:val="24"/>
        </w:rPr>
        <w:t>)</w:t>
      </w:r>
      <w:r>
        <w:rPr>
          <w:sz w:val="24"/>
        </w:rPr>
        <w:t>：</w:t>
      </w:r>
    </w:p>
    <w:p>
      <w:pPr>
        <w:jc w:val="both"/>
      </w:pPr>
      <w:r>
        <w:rPr>
          <w:sz w:val="24"/>
        </w:rPr>
        <w:t>代表：</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p>
      <w:pPr>
        <w:jc w:val="both"/>
      </w:pPr>
      <w:r>
        <w:rPr>
          <w:sz w:val="24"/>
        </w:rPr>
        <w:t>开户名称：</w:t>
      </w:r>
    </w:p>
    <w:p>
      <w:pPr>
        <w:jc w:val="both"/>
      </w:pPr>
      <w:r>
        <w:rPr>
          <w:sz w:val="24"/>
        </w:rPr>
        <w:t>银行账号：</w:t>
      </w:r>
    </w:p>
    <w:p>
      <w:pPr>
        <w:jc w:val="both"/>
      </w:pPr>
      <w:r>
        <w:rPr>
          <w:sz w:val="24"/>
        </w:rPr>
        <w:t>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440112-2024-00239</w:t>
      </w:r>
    </w:p>
    <w:p>
      <w:pPr>
        <w:jc w:val="center"/>
      </w:pPr>
      <w:r>
        <w:rPr>
          <w:b/>
          <w:sz w:val="24"/>
        </w:rPr>
        <w:t>采购项目编号：</w:t>
      </w:r>
      <w:r>
        <w:rPr>
          <w:b/>
          <w:sz w:val="24"/>
        </w:rPr>
        <w:t>GZGK24D012C0026Z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广州市黄埔区2024年农产品质量安全监测项目</w:t>
      </w:r>
      <w:r>
        <w:rPr>
          <w:u w:val="single"/>
        </w:rPr>
        <w:t>”</w:t>
      </w:r>
      <w:r>
        <w:rPr/>
        <w:t>项目的招标[采购项目编号为：</w:t>
      </w:r>
      <w:r>
        <w:rPr>
          <w:u w:val="single"/>
        </w:rPr>
        <w:t>GZGK24D012C0026Z</w:t>
      </w:r>
      <w:r>
        <w:rPr/>
        <w:t>]，我方愿参与投标。</w:t>
      </w:r>
    </w:p>
    <w:p>
      <w:pPr>
        <w:ind w:firstLine="480"/>
      </w:pPr>
      <w:r>
        <w:rPr/>
        <w:t>我方确认收到贵方提供的</w:t>
      </w:r>
      <w:r>
        <w:rPr>
          <w:u w:val="single"/>
        </w:rPr>
        <w:t>“</w:t>
      </w:r>
      <w:r>
        <w:rPr>
          <w:u w:val="single"/>
        </w:rPr>
        <w:t>广州市黄埔区2024年农产品质量安全监测项目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广州市黄埔区2024年农产品质量安全监测项目</w:t>
      </w:r>
      <w:r>
        <w:rPr/>
        <w:t>”项目采购[采购项目编号为</w:t>
      </w:r>
      <w:r>
        <w:rPr/>
        <w:t>GZGK24D012C0026Z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广州市黄埔区2024年农产品质量安全监测项目</w:t>
      </w:r>
      <w:r>
        <w:rPr/>
        <w:t>招标中获中标（采购项目编号：</w:t>
      </w:r>
      <w:r>
        <w:rPr/>
        <w:t>GZGK24D012C0026Z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