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440112-2023-03905</w:t>
      </w:r>
    </w:p>
    <w:p>
      <w:pPr>
        <w:jc w:val="center"/>
      </w:pPr>
      <w:r>
        <w:rPr>
          <w:b/>
          <w:sz w:val="24"/>
        </w:rPr>
        <w:t>采购项目编号：</w:t>
      </w:r>
      <w:r>
        <w:rPr>
          <w:b/>
          <w:sz w:val="24"/>
        </w:rPr>
        <w:t>GZGK23D196C0572Z</w:t>
      </w:r>
    </w:p>
    <w:p>
      <w:pPr>
        <w:jc w:val="center"/>
      </w:pPr>
      <w:r>
        <w:rPr>
          <w:b/>
          <w:sz w:val="24"/>
        </w:rPr>
        <w:t>项目名称：</w:t>
      </w:r>
      <w:r>
        <w:rPr>
          <w:b/>
          <w:sz w:val="24"/>
        </w:rPr>
        <w:t>高层次人才体检服务</w:t>
      </w:r>
    </w:p>
    <w:p>
      <w:pPr>
        <w:jc w:val="center"/>
      </w:pPr>
      <w:r>
        <w:rPr>
          <w:b/>
          <w:sz w:val="24"/>
        </w:rPr>
        <w:t>采购人：</w:t>
      </w:r>
      <w:r>
        <w:rPr>
          <w:b/>
          <w:sz w:val="24"/>
        </w:rPr>
        <w:t>广州市黄埔区人才交流服务中心、广州开发区人才交流服务中心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广州市黄埔区人才交流服务中心、广州开发区人才交流服务中心</w:t>
      </w:r>
      <w:r>
        <w:rPr/>
        <w:t>的委托，采用</w:t>
      </w:r>
      <w:r>
        <w:rPr/>
        <w:t>公开招标</w:t>
      </w:r>
      <w:r>
        <w:rPr/>
        <w:t>方式组织采购</w:t>
      </w:r>
      <w:r>
        <w:rPr/>
        <w:t>高层次人才体检服务</w:t>
      </w:r>
      <w:r>
        <w:rPr/>
        <w:t>。欢迎符合资格条件的国内供应商参加投标。</w:t>
      </w:r>
    </w:p>
    <w:p>
      <w:r>
        <w:rPr>
          <w:b/>
          <w:sz w:val="28"/>
        </w:rPr>
        <w:t>一.项目概述</w:t>
      </w:r>
    </w:p>
    <w:p>
      <w:r>
        <w:rPr>
          <w:b/>
          <w:sz w:val="24"/>
        </w:rPr>
        <w:t>1.名称与编号</w:t>
      </w:r>
    </w:p>
    <w:p>
      <w:pPr>
        <w:ind w:firstLine="480"/>
      </w:pPr>
      <w:r>
        <w:rPr/>
        <w:t>项目名称：</w:t>
      </w:r>
      <w:r>
        <w:rPr/>
        <w:t>高层次人才体检服务</w:t>
      </w:r>
    </w:p>
    <w:p>
      <w:pPr>
        <w:ind w:firstLine="480"/>
      </w:pPr>
      <w:r>
        <w:rPr/>
        <w:t>采购计划编号：</w:t>
      </w:r>
      <w:r>
        <w:rPr/>
        <w:t>440112-2023-03905</w:t>
      </w:r>
    </w:p>
    <w:p>
      <w:pPr>
        <w:ind w:firstLine="480"/>
      </w:pPr>
      <w:r>
        <w:rPr/>
        <w:t>采购项目编号：</w:t>
      </w:r>
      <w:r>
        <w:rPr/>
        <w:t>GZGK23D196C0572Z</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采购包1(高层次人才体检服务):</w:t>
      </w:r>
    </w:p>
    <w:p>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高层次人才体检服务</w:t>
            </w:r>
          </w:p>
        </w:tc>
        <w:tc>
          <w:tcPr>
            <w:tcW w:type="dxa" w:w="977"/>
          </w:tcPr>
          <w:p>
            <w:r>
              <w:rPr/>
              <w:t>1.00(项)</w:t>
            </w:r>
          </w:p>
        </w:tc>
        <w:tc>
          <w:tcPr>
            <w:tcW w:type="dxa" w:w="977"/>
          </w:tcPr>
          <w:p>
            <w:r>
              <w:rPr/>
              <w:t>详见第二章</w:t>
            </w:r>
          </w:p>
        </w:tc>
        <w:tc>
          <w:tcPr>
            <w:tcW w:type="dxa" w:w="977"/>
          </w:tcPr>
          <w:p>
            <w:r>
              <w:rPr/>
              <w:t>1,200,000.00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采购包1（高层次人才体检服务）：</w:t>
      </w:r>
      <w:r>
        <w:rPr/>
        <w:t>本采购包不属于专门面向中小企业采购的项目。</w:t>
      </w:r>
    </w:p>
    <w:p/>
    <w:p>
      <w:r>
        <w:rPr>
          <w:b/>
          <w:sz w:val="24"/>
        </w:rPr>
        <w:t>3.本项目特定的资格要求：</w:t>
      </w:r>
    </w:p>
    <w:p>
      <w:pPr>
        <w:ind w:firstLine="480"/>
      </w:pPr>
    </w:p>
    <w:p/>
    <w:p>
      <w:r>
        <w:rPr/>
        <w:t>采购包1（高层次人才体检服务）：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3)投标人须为卫生行政主管部门批准的医疗卫生机构，提供有效的《医疗机构执业许可证》。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广州市黄埔区人才交流服务中心、广州开发区人才交流服务中心</w:t>
      </w:r>
    </w:p>
    <w:p>
      <w:pPr>
        <w:ind w:firstLine="480"/>
      </w:pPr>
      <w:r>
        <w:rPr/>
        <w:t>地址：</w:t>
      </w:r>
      <w:r>
        <w:rPr/>
        <w:t>广州市黄埔区新阳东路东中国广州人力资源服务产业园7楼</w:t>
      </w:r>
    </w:p>
    <w:p>
      <w:pPr>
        <w:ind w:firstLine="480"/>
      </w:pPr>
      <w:r>
        <w:rPr/>
        <w:t>联系方式：</w:t>
      </w:r>
      <w:r>
        <w:rPr/>
        <w:t>020-82298986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020-37656571、020-87776423</w:t>
      </w:r>
    </w:p>
    <w:p>
      <w:r>
        <w:rPr>
          <w:b/>
          <w:sz w:val="24"/>
        </w:rPr>
        <w:t>3.项目联系方式</w:t>
      </w:r>
    </w:p>
    <w:p>
      <w:pPr>
        <w:ind w:firstLine="480"/>
      </w:pPr>
      <w:r>
        <w:rPr/>
        <w:t>项目联系人：</w:t>
      </w:r>
      <w:r>
        <w:rPr/>
        <w:t>张智钊、董镜</w:t>
      </w:r>
    </w:p>
    <w:p>
      <w:pPr>
        <w:ind w:firstLine="480"/>
      </w:pPr>
      <w:r>
        <w:rPr/>
        <w:t>电话：</w:t>
      </w:r>
      <w:r>
        <w:rPr/>
        <w:t>020-37656571、020-87776423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GZGK23D196C0572Z</w:t>
      </w:r>
    </w:p>
    <w:p>
      <w:pPr>
        <w:jc w:val="both"/>
      </w:pPr>
      <w:r>
        <w:rPr>
          <w:b/>
          <w:sz w:val="21"/>
        </w:rPr>
        <w:t>（二）</w:t>
      </w:r>
      <w:r>
        <w:rPr>
          <w:b/>
          <w:sz w:val="21"/>
        </w:rPr>
        <w:t>项目名称：</w:t>
      </w:r>
      <w:r>
        <w:rPr>
          <w:sz w:val="21"/>
        </w:rPr>
        <w:t>高层次人才体检服务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不允许中标供应商转包、分包项目内容。</w:t>
      </w:r>
    </w:p>
    <w:p>
      <w:pPr>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jc w:val="both"/>
      </w:pPr>
      <w:r>
        <w:rPr>
          <w:sz w:val="21"/>
        </w:rPr>
        <w:t>7、</w:t>
      </w:r>
      <w:r>
        <w:rPr>
          <w:sz w:val="21"/>
        </w:rPr>
        <w:t>小型和微型企业、监狱企业和残疾人福利性单位必须按照招标（采购）文件第三章内容提供相应的资料。</w:t>
      </w:r>
    </w:p>
    <w:p>
      <w:pPr>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9、</w:t>
      </w:r>
      <w:r>
        <w:rPr>
          <w:sz w:val="21"/>
        </w:rPr>
        <w:t>本项目符合《政府采购促进中小企业发展管理办法》第六条第（二）项的情形，故不专门面向中小企业。</w:t>
      </w:r>
    </w:p>
    <w:p>
      <w:pPr>
        <w:jc w:val="both"/>
      </w:pPr>
      <w:r>
        <w:rPr>
          <w:sz w:val="21"/>
        </w:rPr>
        <w:t>符合下列情形之一的，可不专门面向中小企业预留采购份额：</w:t>
      </w:r>
    </w:p>
    <w:p>
      <w:pPr>
        <w:jc w:val="both"/>
      </w:pPr>
      <w:r>
        <w:rPr>
          <w:sz w:val="21"/>
        </w:rPr>
        <w:t>（一）法律法规和国家有关政策明确规定优先或者应当面向事业单位、社会组织等非企业主体采购的；</w:t>
      </w:r>
    </w:p>
    <w:p>
      <w:pPr>
        <w:jc w:val="both"/>
      </w:pPr>
      <w:r>
        <w:rPr>
          <w:sz w:val="21"/>
        </w:rPr>
        <w:t>（二）因确需使用不可替代的专利、专有技术，基础设施限制，或者提供特定公共服务等原因，只能从中小企业之外的供应商处采购的；</w:t>
      </w:r>
    </w:p>
    <w:p>
      <w:pPr>
        <w:jc w:val="both"/>
      </w:pPr>
      <w:r>
        <w:rPr>
          <w:sz w:val="21"/>
        </w:rPr>
        <w:t>（三）按照本办法规定预留采购份额无法确保充分供应、充分竞争，或者存在可能影响政府采购目标实现的情形；</w:t>
      </w:r>
    </w:p>
    <w:p>
      <w:pPr>
        <w:jc w:val="both"/>
      </w:pPr>
      <w:r>
        <w:rPr>
          <w:sz w:val="21"/>
        </w:rPr>
        <w:t>（四）框架协议采购项目；</w:t>
      </w:r>
    </w:p>
    <w:p>
      <w:pPr>
        <w:jc w:val="both"/>
      </w:pPr>
      <w:r>
        <w:rPr>
          <w:sz w:val="21"/>
        </w:rPr>
        <w:t>（五）省级以上人民政府财政部门规定的其他情形。</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1</w:t>
      </w:r>
      <w:r>
        <w:rPr>
          <w:sz w:val="21"/>
        </w:rPr>
        <w:t>.</w:t>
      </w:r>
      <w:r>
        <w:rPr>
          <w:sz w:val="21"/>
        </w:rPr>
        <w:t>投标报价包括：报价包括但不限于响应供应商完成该项体检项目所需仪器、材料、检测、人工、营养早餐等全部费用（含税），漏报或少报的费用，视为此项费用已包含在</w:t>
      </w:r>
      <w:r>
        <w:rPr>
          <w:sz w:val="21"/>
        </w:rPr>
        <w:t>投标</w:t>
      </w:r>
      <w:r>
        <w:rPr>
          <w:sz w:val="21"/>
        </w:rPr>
        <w:t>报价中。</w:t>
      </w:r>
    </w:p>
    <w:p>
      <w:pPr>
        <w:ind w:firstLine="420"/>
        <w:jc w:val="both"/>
      </w:pPr>
      <w:r>
        <w:rPr>
          <w:sz w:val="21"/>
        </w:rPr>
        <w:t>2.投标人以各类别人员体检套餐单价限价统一报出投标综合折扣率（投标综合折扣率适用于本次项目采购的所有类别人员），投标综合折扣率在0%-100%范围内取值，若报价超出此范围则响应无效。</w:t>
      </w:r>
    </w:p>
    <w:p>
      <w:pPr>
        <w:ind w:firstLine="420"/>
        <w:jc w:val="both"/>
      </w:pPr>
      <w:r>
        <w:rPr>
          <w:sz w:val="21"/>
        </w:rPr>
        <w:t>3.投标综合折扣率必须为固定报价，不接受区间报价（例如□□.□□％～□□.□□％）。</w:t>
      </w:r>
    </w:p>
    <w:p>
      <w:pPr>
        <w:ind w:firstLine="420"/>
        <w:jc w:val="both"/>
      </w:pPr>
      <w:r>
        <w:rPr>
          <w:sz w:val="21"/>
        </w:rPr>
        <w:t>例如：某体检套餐单价限价为</w:t>
      </w:r>
      <w:r>
        <w:rPr>
          <w:sz w:val="21"/>
        </w:rPr>
        <w:t>100.00元，投标拟优惠20.00元，结算价格为80.00元，则投标综合折扣率为：（80.00/100.00）*100%=80.00%。</w:t>
      </w:r>
    </w:p>
    <w:p>
      <w:pPr>
        <w:ind w:firstLine="420"/>
        <w:jc w:val="both"/>
      </w:pPr>
      <w:r>
        <w:rPr>
          <w:sz w:val="21"/>
        </w:rPr>
        <w:t>4.综合折扣率=实际体检套餐单价/体检套餐单价限价×100％。</w:t>
      </w:r>
    </w:p>
    <w:p>
      <w:pPr>
        <w:ind w:firstLine="420"/>
        <w:jc w:val="both"/>
      </w:pPr>
      <w:r>
        <w:rPr>
          <w:sz w:val="21"/>
        </w:rPr>
        <w:t>5</w:t>
      </w:r>
      <w:r>
        <w:rPr>
          <w:sz w:val="21"/>
        </w:rPr>
        <w:t>.</w:t>
      </w:r>
      <w:r>
        <w:rPr>
          <w:sz w:val="21"/>
        </w:rPr>
        <w:t>服务人员类别及单价限价：本项目采购需求中的人数仅为预计体检人数，本项目体检服务费用以实际完成体检人数为准进行结算，如最终体检费用超出总预算，</w:t>
      </w:r>
      <w:r>
        <w:rPr>
          <w:sz w:val="21"/>
        </w:rPr>
        <w:t>在不改变合同其他条款的前提下，采购人可以与供应商协商签订补充合同，但所有补充合同的采购金额不得超过原合同采购金额的百分之十</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833"/>
        <w:gridCol w:w="1301"/>
        <w:gridCol w:w="1231"/>
        <w:gridCol w:w="2127"/>
        <w:gridCol w:w="1813"/>
      </w:tblGrid>
      <w:tr>
        <w:tc>
          <w:tcPr>
            <w:tcW w:type="dxa" w:w="1833"/>
            <w:tcBorders>
              <w:top w:val="single" w:color="000000" w:sz="4"/>
              <w:left w:val="single" w:color="000000" w:sz="4"/>
              <w:bottom w:val="single" w:color="000000" w:sz="4"/>
              <w:right w:val="single" w:color="000000" w:sz="4"/>
            </w:tcBorders>
            <w:vAlign w:val="top"/>
          </w:tcPr>
          <w:p>
            <w:pPr>
              <w:jc w:val="center"/>
            </w:pPr>
            <w:r>
              <w:rPr>
                <w:sz w:val="21"/>
              </w:rPr>
              <w:t>采购内容</w:t>
            </w:r>
          </w:p>
        </w:tc>
        <w:tc>
          <w:tcPr>
            <w:tcW w:type="dxa" w:w="1301"/>
            <w:tcBorders>
              <w:top w:val="single" w:color="000000" w:sz="4"/>
              <w:left w:val="none" w:color="000000" w:sz="4"/>
              <w:bottom w:val="single" w:color="000000" w:sz="4"/>
              <w:right w:val="single" w:color="000000" w:sz="4"/>
            </w:tcBorders>
            <w:vAlign w:val="top"/>
          </w:tcPr>
          <w:p>
            <w:pPr>
              <w:jc w:val="center"/>
            </w:pPr>
            <w:r>
              <w:rPr>
                <w:sz w:val="21"/>
              </w:rPr>
              <w:t>类别</w:t>
            </w:r>
          </w:p>
        </w:tc>
        <w:tc>
          <w:tcPr>
            <w:tcW w:type="dxa" w:w="1231"/>
            <w:tcBorders>
              <w:top w:val="single" w:color="000000" w:sz="4"/>
              <w:left w:val="none" w:color="000000" w:sz="4"/>
              <w:bottom w:val="single" w:color="000000" w:sz="4"/>
              <w:right w:val="single" w:color="000000" w:sz="4"/>
            </w:tcBorders>
            <w:vAlign w:val="top"/>
          </w:tcPr>
          <w:p>
            <w:pPr>
              <w:jc w:val="center"/>
            </w:pPr>
            <w:r>
              <w:rPr>
                <w:sz w:val="21"/>
              </w:rPr>
              <w:t>预计人数</w:t>
            </w:r>
          </w:p>
        </w:tc>
        <w:tc>
          <w:tcPr>
            <w:tcW w:type="dxa" w:w="2127"/>
            <w:tcBorders>
              <w:top w:val="single" w:color="000000" w:sz="4"/>
              <w:left w:val="none" w:color="000000" w:sz="4"/>
              <w:bottom w:val="single" w:color="000000" w:sz="4"/>
              <w:right w:val="single" w:color="000000" w:sz="4"/>
            </w:tcBorders>
            <w:vAlign w:val="top"/>
          </w:tcPr>
          <w:p>
            <w:pPr>
              <w:jc w:val="center"/>
            </w:pPr>
            <w:r>
              <w:rPr>
                <w:sz w:val="21"/>
              </w:rPr>
              <w:t>体检套餐单价限价</w:t>
            </w:r>
          </w:p>
        </w:tc>
        <w:tc>
          <w:tcPr>
            <w:tcW w:type="dxa" w:w="1813"/>
            <w:tcBorders>
              <w:top w:val="single" w:color="000000" w:sz="4"/>
              <w:left w:val="none" w:color="000000" w:sz="4"/>
              <w:bottom w:val="single" w:color="000000" w:sz="4"/>
              <w:right w:val="single" w:color="000000" w:sz="4"/>
            </w:tcBorders>
            <w:vAlign w:val="top"/>
          </w:tcPr>
          <w:p>
            <w:pPr>
              <w:jc w:val="center"/>
            </w:pPr>
            <w:r>
              <w:rPr>
                <w:sz w:val="21"/>
              </w:rPr>
              <w:t>预计总预算</w:t>
            </w:r>
          </w:p>
        </w:tc>
      </w:tr>
      <w:tr>
        <w:tc>
          <w:tcPr>
            <w:tcW w:type="dxa" w:w="1833"/>
            <w:vMerge w:val="restart"/>
            <w:tcBorders>
              <w:top w:val="none" w:color="000000" w:sz="4"/>
              <w:left w:val="single" w:color="000000" w:sz="4"/>
              <w:bottom w:val="single" w:color="000000" w:sz="4"/>
              <w:right w:val="single" w:color="000000" w:sz="4"/>
            </w:tcBorders>
            <w:vAlign w:val="top"/>
          </w:tcPr>
          <w:p>
            <w:pPr>
              <w:jc w:val="center"/>
            </w:pPr>
            <w:r>
              <w:rPr>
                <w:sz w:val="21"/>
              </w:rPr>
              <w:t>高层次人才体检</w:t>
            </w:r>
          </w:p>
        </w:tc>
        <w:tc>
          <w:tcPr>
            <w:tcW w:type="dxa" w:w="1301"/>
            <w:tcBorders>
              <w:top w:val="none" w:color="000000" w:sz="4"/>
              <w:left w:val="none" w:color="000000" w:sz="4"/>
              <w:bottom w:val="single" w:color="000000" w:sz="4"/>
              <w:right w:val="single" w:color="000000" w:sz="4"/>
            </w:tcBorders>
            <w:vAlign w:val="top"/>
          </w:tcPr>
          <w:p>
            <w:pPr>
              <w:jc w:val="center"/>
            </w:pPr>
            <w:r>
              <w:rPr>
                <w:sz w:val="21"/>
              </w:rPr>
              <w:t>男性</w:t>
            </w:r>
          </w:p>
        </w:tc>
        <w:tc>
          <w:tcPr>
            <w:tcW w:type="dxa" w:w="1231"/>
            <w:tcBorders>
              <w:top w:val="none" w:color="000000" w:sz="4"/>
              <w:left w:val="none" w:color="000000" w:sz="4"/>
              <w:bottom w:val="single" w:color="000000" w:sz="4"/>
              <w:right w:val="single" w:color="000000" w:sz="4"/>
            </w:tcBorders>
            <w:vAlign w:val="top"/>
          </w:tcPr>
          <w:p>
            <w:pPr>
              <w:jc w:val="center"/>
            </w:pPr>
            <w:r>
              <w:rPr>
                <w:sz w:val="21"/>
              </w:rPr>
              <w:t>380人</w:t>
            </w:r>
          </w:p>
        </w:tc>
        <w:tc>
          <w:tcPr>
            <w:tcW w:type="dxa" w:w="2127"/>
            <w:tcBorders>
              <w:top w:val="none" w:color="000000" w:sz="4"/>
              <w:left w:val="none" w:color="000000" w:sz="4"/>
              <w:bottom w:val="single" w:color="000000" w:sz="4"/>
              <w:right w:val="single" w:color="000000" w:sz="4"/>
            </w:tcBorders>
            <w:vAlign w:val="top"/>
          </w:tcPr>
          <w:p>
            <w:pPr>
              <w:jc w:val="center"/>
            </w:pPr>
            <w:r>
              <w:rPr>
                <w:sz w:val="21"/>
              </w:rPr>
              <w:t>2750元</w:t>
            </w:r>
            <w:r>
              <w:rPr>
                <w:sz w:val="21"/>
              </w:rPr>
              <w:t>/</w:t>
            </w:r>
            <w:r>
              <w:rPr>
                <w:sz w:val="21"/>
              </w:rPr>
              <w:t>人</w:t>
            </w:r>
          </w:p>
        </w:tc>
        <w:tc>
          <w:tcPr>
            <w:tcW w:type="dxa" w:w="1813"/>
            <w:vMerge w:val="restart"/>
            <w:tcBorders>
              <w:top w:val="none" w:color="000000" w:sz="4"/>
              <w:left w:val="none" w:color="000000" w:sz="4"/>
              <w:bottom w:val="single" w:color="000000" w:sz="4"/>
              <w:right w:val="single" w:color="000000" w:sz="4"/>
            </w:tcBorders>
            <w:vAlign w:val="top"/>
          </w:tcPr>
          <w:p>
            <w:pPr>
              <w:jc w:val="center"/>
            </w:pPr>
            <w:r>
              <w:rPr>
                <w:sz w:val="21"/>
              </w:rPr>
              <w:t>人民币约</w:t>
            </w:r>
            <w:r>
              <w:rPr>
                <w:sz w:val="21"/>
              </w:rPr>
              <w:t>120万</w:t>
            </w:r>
            <w:r>
              <w:rPr>
                <w:sz w:val="21"/>
              </w:rPr>
              <w:t>元</w:t>
            </w:r>
          </w:p>
        </w:tc>
      </w:tr>
      <w:tr>
        <w:tc>
          <w:tcPr>
            <w:tcW w:type="dxa" w:w="1833"/>
            <w:vMerge/>
            <w:tcBorders>
              <w:top w:val="none" w:color="000000" w:sz="4"/>
              <w:left w:val="singl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vAlign w:val="top"/>
          </w:tcPr>
          <w:p>
            <w:pPr>
              <w:jc w:val="center"/>
            </w:pPr>
            <w:r>
              <w:rPr>
                <w:sz w:val="21"/>
              </w:rPr>
              <w:t>女性</w:t>
            </w:r>
          </w:p>
        </w:tc>
        <w:tc>
          <w:tcPr>
            <w:tcW w:type="dxa" w:w="1231"/>
            <w:tcBorders>
              <w:top w:val="none" w:color="000000" w:sz="4"/>
              <w:left w:val="none" w:color="000000" w:sz="4"/>
              <w:bottom w:val="single" w:color="000000" w:sz="4"/>
              <w:right w:val="single" w:color="000000" w:sz="4"/>
            </w:tcBorders>
            <w:vAlign w:val="top"/>
          </w:tcPr>
          <w:p>
            <w:pPr>
              <w:jc w:val="center"/>
            </w:pPr>
            <w:r>
              <w:rPr>
                <w:sz w:val="21"/>
              </w:rPr>
              <w:t>50人</w:t>
            </w:r>
          </w:p>
        </w:tc>
        <w:tc>
          <w:tcPr>
            <w:tcW w:type="dxa" w:w="2127"/>
            <w:tcBorders>
              <w:top w:val="none" w:color="000000" w:sz="4"/>
              <w:left w:val="none" w:color="000000" w:sz="4"/>
              <w:bottom w:val="single" w:color="000000" w:sz="4"/>
              <w:right w:val="single" w:color="000000" w:sz="4"/>
            </w:tcBorders>
            <w:vAlign w:val="top"/>
          </w:tcPr>
          <w:p>
            <w:pPr>
              <w:jc w:val="center"/>
            </w:pPr>
            <w:r>
              <w:rPr>
                <w:sz w:val="21"/>
              </w:rPr>
              <w:t>3050元</w:t>
            </w:r>
            <w:r>
              <w:rPr>
                <w:sz w:val="21"/>
              </w:rPr>
              <w:t>/</w:t>
            </w:r>
            <w:r>
              <w:rPr>
                <w:sz w:val="21"/>
              </w:rPr>
              <w:t>人</w:t>
            </w:r>
          </w:p>
        </w:tc>
      </w:tr>
    </w:tbl>
    <w:p>
      <w:pPr>
        <w:jc w:val="both"/>
      </w:pPr>
      <w:r>
        <w:rPr>
          <w:b/>
          <w:sz w:val="21"/>
        </w:rPr>
        <w:t>（六）</w:t>
      </w:r>
      <w:r>
        <w:rPr>
          <w:b/>
          <w:sz w:val="21"/>
        </w:rPr>
        <w:t>实现的目标</w:t>
      </w:r>
    </w:p>
    <w:p>
      <w:pPr>
        <w:ind w:firstLine="420"/>
        <w:jc w:val="both"/>
      </w:pPr>
      <w:r>
        <w:rPr>
          <w:sz w:val="21"/>
        </w:rPr>
        <w:t>为了保障</w:t>
      </w:r>
      <w:r>
        <w:rPr>
          <w:sz w:val="21"/>
        </w:rPr>
        <w:t>黄埔区和开发区</w:t>
      </w:r>
      <w:r>
        <w:rPr>
          <w:sz w:val="21"/>
        </w:rPr>
        <w:t>高层次人才的身心健康，提高高层次人才的健康素质和生活质量，</w:t>
      </w:r>
      <w:r>
        <w:rPr>
          <w:sz w:val="21"/>
        </w:rPr>
        <w:t>黄埔区和开发区</w:t>
      </w:r>
      <w:r>
        <w:rPr>
          <w:sz w:val="21"/>
        </w:rPr>
        <w:t>计划</w:t>
      </w:r>
      <w:r>
        <w:rPr>
          <w:sz w:val="21"/>
        </w:rPr>
        <w:t>2023年8月-11月分批组织</w:t>
      </w:r>
      <w:r>
        <w:rPr>
          <w:sz w:val="21"/>
        </w:rPr>
        <w:t>黄埔区和开发区</w:t>
      </w:r>
      <w:r>
        <w:rPr>
          <w:sz w:val="21"/>
        </w:rPr>
        <w:t>的高层次人才预计</w:t>
      </w:r>
      <w:r>
        <w:rPr>
          <w:sz w:val="21"/>
        </w:rPr>
        <w:t>430人（男：预计380人；女：预计50人）进行健康体检。</w:t>
      </w:r>
    </w:p>
    <w:p>
      <w:pPr>
        <w:jc w:val="both"/>
      </w:pPr>
      <w:r>
        <w:rPr>
          <w:b/>
          <w:sz w:val="21"/>
        </w:rPr>
        <w:t>（七）</w:t>
      </w:r>
      <w:r>
        <w:rPr>
          <w:b/>
          <w:sz w:val="21"/>
        </w:rPr>
        <w:t>需执行国家相关标准、行业标准、地方标准或者其他标准、规范</w:t>
      </w:r>
    </w:p>
    <w:p/>
    <w:p>
      <w:pPr>
        <w:ind w:firstLine="480"/>
      </w:pPr>
    </w:p>
    <w:p/>
    <w:p>
      <w:r>
        <w:rPr/>
        <w:t>采购包1（高层次人才体检服务）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合同签订之日起1年内完成 ，完成所有服务合同即终止。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1期：支付比例100%,1.体检费用按实际完成体检人数进行结算，结算金额=∑对应性别人员数量*对应性别人员的体检套餐单价限价*中标综合折扣率。 2.采购人所有人员体检结束后10个工作日内，中标供应商向采购人提供完成的体检人数结算表及整体体检情况报告，采购人审核确认后5个工作日内一次性向中标供应商支付审核确认后的合同金额。 3.中标供应商须在采购人办理付款手续之前5个工作日内，提供等额的正式发票给采购人，以便采购人及时办理支付手续。</w:t>
            </w:r>
          </w:p>
        </w:tc>
      </w:tr>
      <w:tr>
        <w:tc>
          <w:tcPr>
            <w:tcW w:type="dxa" w:w="4153"/>
          </w:tcPr>
          <w:p>
            <w:r>
              <w:rPr/>
              <w:t>验收要求</w:t>
            </w:r>
          </w:p>
        </w:tc>
        <w:tc>
          <w:tcPr>
            <w:tcW w:type="dxa" w:w="4153"/>
          </w:tcPr>
          <w:p/>
          <w:p/>
          <w:p/>
          <w:p>
            <w:r>
              <w:rPr/>
              <w:t>1期：中标供应商交付全部体检报告。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高层次人才体检服务</w:t>
            </w:r>
          </w:p>
        </w:tc>
        <w:tc>
          <w:tcPr>
            <w:tcW w:type="dxa" w:w="831"/>
          </w:tcPr>
          <w:p>
            <w:pPr>
              <w:jc w:val="left"/>
            </w:pPr>
            <w:r>
              <w:rPr/>
              <w:t>项</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高层次人才体检服务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一、体检服务</w:t>
            </w:r>
          </w:p>
          <w:p>
            <w:pPr>
              <w:ind w:firstLine="420"/>
              <w:jc w:val="both"/>
            </w:pPr>
            <w:r>
              <w:rPr>
                <w:sz w:val="21"/>
              </w:rPr>
              <w:t>（一）体检套餐项目</w:t>
            </w:r>
          </w:p>
          <w:tbl>
            <w:tblPr>
              <w:tblBorders>
                <w:top w:val="none" w:color="000000" w:sz="4"/>
                <w:left w:val="none" w:color="000000" w:sz="4"/>
                <w:bottom w:val="none" w:color="000000" w:sz="4"/>
                <w:right w:val="none" w:color="000000" w:sz="4"/>
                <w:insideH w:val="none"/>
                <w:insideV w:val="none"/>
              </w:tblBorders>
            </w:tblPr>
            <w:tblGrid>
              <w:gridCol w:w="292"/>
              <w:gridCol w:w="1212"/>
              <w:gridCol w:w="1295"/>
              <w:gridCol w:w="751"/>
              <w:gridCol w:w="1629"/>
              <w:gridCol w:w="209"/>
              <w:gridCol w:w="209"/>
            </w:tblGrid>
            <w:tr>
              <w:tc>
                <w:tcPr>
                  <w:tcW w:type="dxa" w:w="29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12"/>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1295"/>
                  <w:tcBorders>
                    <w:top w:val="single" w:color="000000" w:sz="4"/>
                    <w:left w:val="none" w:color="000000" w:sz="4"/>
                    <w:bottom w:val="single" w:color="000000" w:sz="4"/>
                    <w:right w:val="single" w:color="000000" w:sz="4"/>
                  </w:tcBorders>
                  <w:vAlign w:val="top"/>
                </w:tcPr>
                <w:p>
                  <w:pPr>
                    <w:jc w:val="center"/>
                  </w:pPr>
                  <w:r>
                    <w:rPr>
                      <w:sz w:val="21"/>
                    </w:rPr>
                    <w:t>具体细项</w:t>
                  </w:r>
                </w:p>
              </w:tc>
              <w:tc>
                <w:tcPr>
                  <w:tcW w:type="dxa" w:w="751"/>
                  <w:tcBorders>
                    <w:top w:val="single" w:color="000000" w:sz="4"/>
                    <w:left w:val="none" w:color="000000" w:sz="4"/>
                    <w:bottom w:val="single" w:color="000000" w:sz="4"/>
                    <w:right w:val="single" w:color="000000" w:sz="4"/>
                  </w:tcBorders>
                  <w:vAlign w:val="top"/>
                </w:tcPr>
                <w:p>
                  <w:pPr>
                    <w:jc w:val="center"/>
                  </w:pPr>
                  <w:r>
                    <w:rPr>
                      <w:sz w:val="21"/>
                    </w:rPr>
                    <w:t>检查方法</w:t>
                  </w:r>
                </w:p>
              </w:tc>
              <w:tc>
                <w:tcPr>
                  <w:tcW w:type="dxa" w:w="1629"/>
                  <w:tcBorders>
                    <w:top w:val="single" w:color="000000" w:sz="4"/>
                    <w:left w:val="none" w:color="000000" w:sz="4"/>
                    <w:bottom w:val="single" w:color="000000" w:sz="4"/>
                    <w:right w:val="single" w:color="000000" w:sz="4"/>
                  </w:tcBorders>
                  <w:vAlign w:val="top"/>
                </w:tcPr>
                <w:p>
                  <w:pPr>
                    <w:jc w:val="center"/>
                  </w:pPr>
                  <w:r>
                    <w:rPr>
                      <w:sz w:val="21"/>
                    </w:rPr>
                    <w:t>检查意义</w:t>
                  </w:r>
                </w:p>
              </w:tc>
              <w:tc>
                <w:tcPr>
                  <w:tcW w:type="dxa" w:w="209"/>
                  <w:tcBorders>
                    <w:top w:val="single" w:color="000000" w:sz="4"/>
                    <w:left w:val="none" w:color="000000" w:sz="4"/>
                    <w:bottom w:val="single" w:color="000000" w:sz="4"/>
                    <w:right w:val="single" w:color="000000" w:sz="4"/>
                  </w:tcBorders>
                  <w:vAlign w:val="top"/>
                </w:tcPr>
                <w:p>
                  <w:pPr>
                    <w:jc w:val="center"/>
                  </w:pPr>
                  <w:r>
                    <w:rPr>
                      <w:sz w:val="21"/>
                    </w:rPr>
                    <w:t>男</w:t>
                  </w:r>
                </w:p>
              </w:tc>
              <w:tc>
                <w:tcPr>
                  <w:tcW w:type="dxa" w:w="209"/>
                  <w:tcBorders>
                    <w:top w:val="single" w:color="000000" w:sz="4"/>
                    <w:left w:val="none" w:color="000000" w:sz="4"/>
                    <w:bottom w:val="single" w:color="000000" w:sz="4"/>
                    <w:right w:val="single" w:color="000000" w:sz="4"/>
                  </w:tcBorders>
                  <w:vAlign w:val="top"/>
                </w:tcPr>
                <w:p>
                  <w:pPr>
                    <w:jc w:val="center"/>
                  </w:pPr>
                  <w:r>
                    <w:rPr>
                      <w:sz w:val="21"/>
                    </w:rPr>
                    <w:t>女</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既往史收集及一般常规检查</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r>
                    <w:rPr>
                      <w:sz w:val="21"/>
                    </w:rPr>
                    <w:t>仪器</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视力、血压</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内科检查</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病史、家族史、心率、心律、心音、肺部听诊、肝脏触诊、脾脏触诊、肾脏叩诊、内科其它</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外科检查</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心（心率、心律、心音、心界）肺</w:t>
                  </w:r>
                  <w:r>
                    <w:rPr>
                      <w:sz w:val="21"/>
                    </w:rPr>
                    <w:t>(听诊)腹部--发育、营养、心、肺、腹、皮肤、浅表淋巴结、甲状腺、脊柱、四肢、关节检查等</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眼科检查全套</w:t>
                  </w:r>
                  <w:r>
                    <w:rPr>
                      <w:sz w:val="21"/>
                    </w:rPr>
                    <w:t>+眼底+裂隙灯+眼压</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r>
                    <w:rPr>
                      <w:sz w:val="21"/>
                    </w:rPr>
                    <w:t>仪器</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筛查常见眼部疾病：结膜炎、角膜炎、屈光不正、青光眼、白内障等</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眼底摄影</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人工智能视网膜影像慢病评估</w:t>
                  </w:r>
                </w:p>
              </w:tc>
              <w:tc>
                <w:tcPr>
                  <w:tcW w:type="dxa" w:w="751"/>
                  <w:tcBorders>
                    <w:top w:val="none" w:color="000000" w:sz="4"/>
                    <w:left w:val="none" w:color="000000" w:sz="4"/>
                    <w:bottom w:val="single" w:color="000000" w:sz="4"/>
                    <w:right w:val="single" w:color="000000" w:sz="4"/>
                  </w:tcBorders>
                  <w:vAlign w:val="top"/>
                </w:tcPr>
                <w:p>
                  <w:pPr>
                    <w:jc w:val="center"/>
                  </w:pPr>
                  <w:r>
                    <w:rPr>
                      <w:sz w:val="21"/>
                    </w:rPr>
                    <w:t>仪器</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通过眼底视网膜照相和人工智能技术，检测评估</w:t>
                  </w:r>
                  <w:r>
                    <w:rPr>
                      <w:sz w:val="21"/>
                    </w:rPr>
                    <w:t>35项致盲性眼底病变+6项慢病风险，共计41项健康评估，致官性眼病早期可能无症状，但视力损伤不可逆，早期检测评估具有重要意义。</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血常规检查（血常规二十四项）</w:t>
                  </w:r>
                </w:p>
              </w:tc>
              <w:tc>
                <w:tcPr>
                  <w:tcW w:type="dxa" w:w="1295"/>
                  <w:tcBorders>
                    <w:top w:val="none" w:color="000000" w:sz="4"/>
                    <w:left w:val="none" w:color="000000" w:sz="4"/>
                    <w:bottom w:val="single" w:color="000000" w:sz="4"/>
                    <w:right w:val="single" w:color="000000" w:sz="4"/>
                  </w:tcBorders>
                  <w:shd w:fill="FFFFFF"/>
                  <w:vAlign w:val="top"/>
                </w:tcPr>
                <w:p>
                  <w:pPr>
                    <w:jc w:val="center"/>
                  </w:pPr>
                  <w:r>
                    <w:rPr>
                      <w:sz w:val="21"/>
                    </w:rPr>
                    <w:t>白细胞计数（</w:t>
                  </w:r>
                  <w:r>
                    <w:rPr>
                      <w:sz w:val="21"/>
                    </w:rPr>
                    <w:t>WBC）、红细胞计数(RBC) 、血红蛋白（HGB）、红细胞压积(HCT) 、平均红细胞体积（MCV） 、平均血红蛋白含量（MCH）、平均血红蛋白浓度（MCHC）、 红细胞体积分布宽度(RDW) 、血小板计数（PLT）、 平均血小板体积(MPV) 、血小板压积(PCT)、血小板分布宽度(PDW)、 淋巴细胞百分含量(LYMPH%) 、淋巴细胞数量(LYM#) 、单核细胞百分含量(MON%) 、单核细胞数量(MON#) 、中性粒细胞百分含量(NEU%) 、中性粒细胞数量（NEU#） 、嗜酸细胞百分含量(EOS%) 、嗜酸细胞数量（EOS#）、嗜碱细胞百分含量(BAS%) 、嗜碱细胞数量（BAS#）、有核红细胞计数(NRBC#) 、核红细胞百分比(NRBC%) 、网织红细胞百分比(RET%)、网织红细胞计数(RET#) 、网织红细胞平均体积（MRV）、 未成熟网织红细胞（IRF） 、球形红细胞平均体积（MSCV）、强光散射网织红细胞数量（HLR#）、强光散射网织红细胞百分比（HLR%） 网织红细胞数量（HLR#）、强光散射网织红细胞百分比（HLR%）</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白细胞计数、红细胞计数、血红蛋白、红细胞压积、平均红细胞体积、平均红细胞血红蛋白含量、平均红细胞血红蛋白浓度、红细胞分布宽度</w:t>
                  </w:r>
                  <w:r>
                    <w:rPr>
                      <w:sz w:val="21"/>
                    </w:rPr>
                    <w:t>-变异系数、血小板计数、平均血小板体积、血小板分布宽度、淋巴细胞百分比、中间细胞百分比、中性粒细胞百分比、淋巴细胞绝对值、中间细胞绝对值、中性粒细胞绝对值、红细胞分布宽度-标准差、血小板压积</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肝功能检查（肝功十项）</w:t>
                  </w:r>
                  <w:r>
                    <w:rPr>
                      <w:sz w:val="21"/>
                    </w:rPr>
                    <w:t>/罗氏生化仪</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谷丙转氨酶</w:t>
                  </w:r>
                  <w:r>
                    <w:rPr>
                      <w:sz w:val="21"/>
                    </w:rPr>
                    <w:t>(ALT)</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谷丙转氨酶、谷草转氨酶、</w:t>
                  </w:r>
                  <w:r>
                    <w:rPr>
                      <w:sz w:val="21"/>
                    </w:rPr>
                    <w:t>γ</w:t>
                  </w:r>
                  <w:r>
                    <w:rPr>
                      <w:sz w:val="21"/>
                    </w:rPr>
                    <w:t>-谷氨酰转肽酶（γ-GT）、总蛋白（T.Prot）、白蛋白（ALB）、球蛋白（GLOB）、白蛋白/球蛋白（A/G）、谷草／谷丙ST/ALT）</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谷草转氨酶</w:t>
                  </w:r>
                  <w:r>
                    <w:rPr>
                      <w:sz w:val="21"/>
                    </w:rPr>
                    <w:t>(AST)</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谷草转氨酶</w:t>
                  </w:r>
                  <w:r>
                    <w:rPr>
                      <w:sz w:val="21"/>
                    </w:rPr>
                    <w:t>/谷丙转氨酶</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γ</w:t>
                  </w:r>
                  <w:r>
                    <w:rPr>
                      <w:sz w:val="21"/>
                    </w:rPr>
                    <w:t>-谷氨酰转肽酶(GGT)</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碱性磷酸酶</w:t>
                  </w:r>
                  <w:r>
                    <w:rPr>
                      <w:sz w:val="21"/>
                    </w:rPr>
                    <w:t>(ALP)</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乳酸脱氢酶</w:t>
                  </w:r>
                  <w:r>
                    <w:rPr>
                      <w:sz w:val="21"/>
                    </w:rPr>
                    <w:t>(LDH)</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速率法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总蛋白</w:t>
                  </w:r>
                  <w:r>
                    <w:rPr>
                      <w:sz w:val="21"/>
                    </w:rPr>
                    <w:t>(TP)</w:t>
                  </w:r>
                </w:p>
              </w:tc>
              <w:tc>
                <w:tcPr>
                  <w:tcW w:type="dxa" w:w="751"/>
                  <w:tcBorders>
                    <w:top w:val="none" w:color="000000" w:sz="4"/>
                    <w:left w:val="none" w:color="000000" w:sz="4"/>
                    <w:bottom w:val="single" w:color="000000" w:sz="4"/>
                    <w:right w:val="single" w:color="000000" w:sz="4"/>
                  </w:tcBorders>
                  <w:vAlign w:val="top"/>
                </w:tcPr>
                <w:p>
                  <w:pPr>
                    <w:jc w:val="center"/>
                  </w:pPr>
                  <w:r>
                    <w:rPr>
                      <w:sz w:val="21"/>
                    </w:rPr>
                    <w:t>双缩脲法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白蛋白</w:t>
                  </w:r>
                  <w:r>
                    <w:rPr>
                      <w:sz w:val="21"/>
                    </w:rPr>
                    <w:t>(ALB)</w:t>
                  </w:r>
                </w:p>
              </w:tc>
              <w:tc>
                <w:tcPr>
                  <w:tcW w:type="dxa" w:w="751"/>
                  <w:tcBorders>
                    <w:top w:val="none" w:color="000000" w:sz="4"/>
                    <w:left w:val="none" w:color="000000" w:sz="4"/>
                    <w:bottom w:val="single" w:color="000000" w:sz="4"/>
                    <w:right w:val="single" w:color="000000" w:sz="4"/>
                  </w:tcBorders>
                  <w:vAlign w:val="top"/>
                </w:tcPr>
                <w:p>
                  <w:pPr>
                    <w:jc w:val="center"/>
                  </w:pPr>
                  <w:r>
                    <w:rPr>
                      <w:sz w:val="21"/>
                    </w:rPr>
                    <w:t>BCG法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球蛋白</w:t>
                  </w:r>
                  <w:r>
                    <w:rPr>
                      <w:sz w:val="21"/>
                    </w:rPr>
                    <w:t>(GLOB)</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白蛋白</w:t>
                  </w:r>
                  <w:r>
                    <w:rPr>
                      <w:sz w:val="21"/>
                    </w:rPr>
                    <w:t>/球蛋白(A/G)</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总胆红素</w:t>
                  </w:r>
                  <w:r>
                    <w:rPr>
                      <w:sz w:val="21"/>
                    </w:rPr>
                    <w:t>(TBIL)</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重氮法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直接胆红素</w:t>
                  </w:r>
                  <w:r>
                    <w:rPr>
                      <w:sz w:val="21"/>
                    </w:rPr>
                    <w:t>(DBIL)</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重氮法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间接胆红素</w:t>
                  </w:r>
                  <w:r>
                    <w:rPr>
                      <w:sz w:val="21"/>
                    </w:rPr>
                    <w:t>(IBIL)</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风湿三项</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抗</w:t>
                  </w:r>
                  <w:r>
                    <w:rPr>
                      <w:sz w:val="21"/>
                    </w:rPr>
                    <w:t>O（ASO）\C-反应蛋白、类风湿因子</w:t>
                  </w:r>
                </w:p>
              </w:tc>
              <w:tc>
                <w:tcPr>
                  <w:tcW w:type="dxa" w:w="751"/>
                  <w:tcBorders>
                    <w:top w:val="none" w:color="000000" w:sz="4"/>
                    <w:left w:val="none" w:color="000000" w:sz="4"/>
                    <w:bottom w:val="single" w:color="000000" w:sz="4"/>
                    <w:right w:val="single" w:color="000000" w:sz="4"/>
                  </w:tcBorders>
                  <w:vAlign w:val="top"/>
                </w:tcPr>
                <w:p>
                  <w:pPr>
                    <w:jc w:val="center"/>
                  </w:pPr>
                  <w:r>
                    <w:rPr>
                      <w:sz w:val="21"/>
                    </w:rPr>
                    <w:t>ELISA法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溶血性链球菌感染指标，自身免疫性疾病、风湿辅助诊断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肾功能检查</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尿素（</w:t>
                  </w:r>
                  <w:r>
                    <w:rPr>
                      <w:sz w:val="21"/>
                    </w:rPr>
                    <w:t>Urea）</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酶法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尿素（</w:t>
                  </w:r>
                  <w:r>
                    <w:rPr>
                      <w:sz w:val="21"/>
                    </w:rPr>
                    <w:t>Urea）、肌酐（CRE）、尿酸（UA）</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肌酐（</w:t>
                  </w:r>
                  <w:r>
                    <w:rPr>
                      <w:sz w:val="21"/>
                    </w:rPr>
                    <w:t>CRE）</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酶法</w:t>
                  </w:r>
                </w:p>
              </w:tc>
              <w:tc>
                <w:tcPr>
                  <w:tcW w:type="dxa" w:w="162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尿酸（</w:t>
                  </w:r>
                  <w:r>
                    <w:rPr>
                      <w:sz w:val="21"/>
                    </w:rPr>
                    <w:t>UA）</w:t>
                  </w:r>
                </w:p>
              </w:tc>
              <w:tc>
                <w:tcPr>
                  <w:tcW w:type="dxa" w:w="751"/>
                  <w:tcBorders>
                    <w:top w:val="none" w:color="000000" w:sz="4"/>
                    <w:left w:val="none" w:color="000000" w:sz="4"/>
                    <w:bottom w:val="single" w:color="000000" w:sz="4"/>
                    <w:right w:val="single" w:color="000000" w:sz="4"/>
                  </w:tcBorders>
                  <w:vAlign w:val="top"/>
                </w:tcPr>
                <w:p>
                  <w:pPr>
                    <w:jc w:val="center"/>
                  </w:pPr>
                  <w:r>
                    <w:rPr>
                      <w:sz w:val="21"/>
                    </w:rPr>
                    <w:t>尿酸酶紫外法</w:t>
                  </w:r>
                </w:p>
              </w:tc>
              <w:tc>
                <w:tcPr>
                  <w:tcW w:type="dxa" w:w="162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507"/>
                  <w:gridSpan w:val="2"/>
                  <w:tcBorders>
                    <w:top w:val="none" w:color="000000" w:sz="4"/>
                    <w:left w:val="none" w:color="000000" w:sz="4"/>
                    <w:bottom w:val="single" w:color="000000" w:sz="4"/>
                    <w:right w:val="single" w:color="000000" w:sz="4"/>
                  </w:tcBorders>
                  <w:vAlign w:val="top"/>
                </w:tcPr>
                <w:p>
                  <w:pPr>
                    <w:jc w:val="center"/>
                  </w:pPr>
                  <w:r>
                    <w:rPr>
                      <w:sz w:val="21"/>
                    </w:rPr>
                    <w:t>糖尿病筛查（</w:t>
                  </w:r>
                  <w:r>
                    <w:rPr>
                      <w:sz w:val="21"/>
                    </w:rPr>
                    <w:t>GLU）</w:t>
                  </w:r>
                </w:p>
              </w:tc>
              <w:tc>
                <w:tcPr>
                  <w:tcW w:type="dxa" w:w="751"/>
                  <w:tcBorders>
                    <w:top w:val="none" w:color="000000" w:sz="4"/>
                    <w:left w:val="none" w:color="000000" w:sz="4"/>
                    <w:bottom w:val="single" w:color="000000" w:sz="4"/>
                    <w:right w:val="single" w:color="000000" w:sz="4"/>
                  </w:tcBorders>
                  <w:vAlign w:val="top"/>
                </w:tcPr>
                <w:p>
                  <w:pPr>
                    <w:jc w:val="center"/>
                  </w:pPr>
                  <w:r>
                    <w:rPr>
                      <w:sz w:val="21"/>
                    </w:rPr>
                    <w:t>己糖激酶法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空腹血糖</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507"/>
                  <w:gridSpan w:val="2"/>
                  <w:tcBorders>
                    <w:top w:val="none" w:color="000000" w:sz="4"/>
                    <w:left w:val="none" w:color="000000" w:sz="4"/>
                    <w:bottom w:val="single" w:color="000000" w:sz="4"/>
                    <w:right w:val="single" w:color="000000" w:sz="4"/>
                  </w:tcBorders>
                  <w:vAlign w:val="top"/>
                </w:tcPr>
                <w:p>
                  <w:pPr>
                    <w:jc w:val="center"/>
                  </w:pPr>
                  <w:r>
                    <w:rPr>
                      <w:sz w:val="21"/>
                    </w:rPr>
                    <w:t>糖化血红蛋白（</w:t>
                  </w:r>
                  <w:r>
                    <w:rPr>
                      <w:sz w:val="21"/>
                    </w:rPr>
                    <w:t>HbAIC）</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高效液相色谱法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可反映检查前</w:t>
                  </w:r>
                  <w:r>
                    <w:rPr>
                      <w:sz w:val="21"/>
                    </w:rPr>
                    <w:t>1-3个月的血糖水平</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血脂项四</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甘油三酯</w:t>
                  </w:r>
                  <w:r>
                    <w:rPr>
                      <w:sz w:val="21"/>
                    </w:rPr>
                    <w:t>(TG)</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酶法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总胆固醇（</w:t>
                  </w:r>
                  <w:r>
                    <w:rPr>
                      <w:sz w:val="21"/>
                    </w:rPr>
                    <w:t>TCHO）、甘油三酯（TG）、</w:t>
                  </w:r>
                  <w:r>
                    <w:rPr>
                      <w:sz w:val="21"/>
                    </w:rPr>
                    <w:t>高密度脂蛋白胆固醇（</w:t>
                  </w:r>
                  <w:r>
                    <w:rPr>
                      <w:sz w:val="21"/>
                    </w:rPr>
                    <w:t>HDL-C）、低密度脂蛋白胆固醇（LDL-C）、载脂蛋白A1(APOA1)、载脂蛋白B(APOB)、载脂A1/载脂B比值</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singl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胆固醇</w:t>
                  </w:r>
                  <w:r>
                    <w:rPr>
                      <w:sz w:val="21"/>
                    </w:rPr>
                    <w:t>(CHOL)</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胆固醇氧化酶法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高密度脂蛋白胆固醇</w:t>
                  </w:r>
                  <w:r>
                    <w:rPr>
                      <w:sz w:val="21"/>
                    </w:rPr>
                    <w:t>(HDL-CH)</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直接法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低密度脂蛋白胆固醇</w:t>
                  </w:r>
                  <w:r>
                    <w:rPr>
                      <w:sz w:val="21"/>
                    </w:rPr>
                    <w:t>(LDL-CH)</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直接法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血流变学检测</w:t>
                  </w:r>
                  <w:r>
                    <w:rPr>
                      <w:sz w:val="21"/>
                    </w:rPr>
                    <w:t>14项</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全血粘度</w:t>
                  </w:r>
                  <w:r>
                    <w:rPr>
                      <w:sz w:val="21"/>
                    </w:rPr>
                    <w:t>(低切)│10(1/S)</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血液流变检测主要反映血液流动性、凝滞性和血液粘度的变化，适用于高血压、动脉硬化、脑中风、糖尿病及高脂血症等疾患的检查。</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全血粘度</w:t>
                  </w:r>
                  <w:r>
                    <w:rPr>
                      <w:sz w:val="21"/>
                    </w:rPr>
                    <w:t>(中切)│60(1/S)</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全血粘度</w:t>
                  </w:r>
                  <w:r>
                    <w:rPr>
                      <w:sz w:val="21"/>
                    </w:rPr>
                    <w:t>(高切)│150(1/S)</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血浆粘度</w:t>
                  </w:r>
                </w:p>
              </w:tc>
              <w:tc>
                <w:tcPr>
                  <w:tcW w:type="dxa" w:w="751"/>
                  <w:tcBorders>
                    <w:top w:val="none" w:color="000000" w:sz="4"/>
                    <w:left w:val="none" w:color="000000" w:sz="4"/>
                    <w:bottom w:val="single" w:color="000000" w:sz="4"/>
                    <w:right w:val="single" w:color="000000" w:sz="4"/>
                  </w:tcBorders>
                  <w:vAlign w:val="top"/>
                </w:tcPr>
                <w:p>
                  <w:pPr>
                    <w:jc w:val="center"/>
                  </w:pPr>
                  <w:r>
                    <w:rPr>
                      <w:sz w:val="21"/>
                    </w:rPr>
                    <w:t>毛细管法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全血还原粘度</w:t>
                  </w:r>
                  <w:r>
                    <w:rPr>
                      <w:sz w:val="21"/>
                    </w:rPr>
                    <w:t>(低切)</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全血还原粘度</w:t>
                  </w:r>
                  <w:r>
                    <w:rPr>
                      <w:sz w:val="21"/>
                    </w:rPr>
                    <w:t>(中切)</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全血还原粘度</w:t>
                  </w:r>
                  <w:r>
                    <w:rPr>
                      <w:sz w:val="21"/>
                    </w:rPr>
                    <w:t>(高切)</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锥板法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红细胞压积</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魏氏法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红细胞变形指数</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血沉</w:t>
                  </w:r>
                  <w:r>
                    <w:rPr>
                      <w:sz w:val="21"/>
                    </w:rPr>
                    <w:t>(血流变)</w:t>
                  </w:r>
                </w:p>
              </w:tc>
              <w:tc>
                <w:tcPr>
                  <w:tcW w:type="dxa" w:w="751"/>
                  <w:tcBorders>
                    <w:top w:val="none" w:color="000000" w:sz="4"/>
                    <w:left w:val="none" w:color="000000" w:sz="4"/>
                    <w:bottom w:val="single" w:color="000000" w:sz="4"/>
                    <w:right w:val="single" w:color="000000" w:sz="4"/>
                  </w:tcBorders>
                  <w:vAlign w:val="top"/>
                </w:tcPr>
                <w:p>
                  <w:pPr>
                    <w:jc w:val="center"/>
                  </w:pPr>
                  <w:r>
                    <w:rPr>
                      <w:sz w:val="21"/>
                    </w:rPr>
                    <w:t>魏氏法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血沉方程</w:t>
                  </w:r>
                  <w:r>
                    <w:rPr>
                      <w:sz w:val="21"/>
                    </w:rPr>
                    <w:t>K值</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红细胞聚集指数</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红细胞刚性指数</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红细胞电泳指数</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计算法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心功能五项</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肌酸激酶同工酶</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蛋白芯片</w:t>
                  </w:r>
                  <w:r>
                    <w:rPr>
                      <w:sz w:val="21"/>
                    </w:rPr>
                    <w:t>-荧光法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早期反映心功能损伤，对心肌损伤、心力衰竭、心肌梗死、急性冠脉综合征等疾病的早期辅助诊断。具有对四高基础病并发症的早期预防和预后监测、心血管疾病的早期辅助诊断的应用。</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肌钙蛋白</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蛋白芯片</w:t>
                  </w:r>
                  <w:r>
                    <w:rPr>
                      <w:sz w:val="21"/>
                    </w:rPr>
                    <w:t>-荧光法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心型脂肪酸结合蛋白</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蛋白芯片</w:t>
                  </w:r>
                  <w:r>
                    <w:rPr>
                      <w:sz w:val="21"/>
                    </w:rPr>
                    <w:t>-荧光法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N-端脑利钠肽前体</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蛋白芯片</w:t>
                  </w:r>
                  <w:r>
                    <w:rPr>
                      <w:sz w:val="21"/>
                    </w:rPr>
                    <w:t>-荧光法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shd w:fill="FFFFFF"/>
                  <w:vAlign w:val="top"/>
                </w:tcPr>
                <w:p>
                  <w:pPr>
                    <w:jc w:val="center"/>
                  </w:pPr>
                  <w:r>
                    <w:rPr>
                      <w:sz w:val="21"/>
                    </w:rPr>
                    <w:t>肌红蛋白</w:t>
                  </w:r>
                </w:p>
              </w:tc>
              <w:tc>
                <w:tcPr>
                  <w:tcW w:type="dxa" w:w="751"/>
                  <w:tcBorders>
                    <w:top w:val="none" w:color="000000" w:sz="4"/>
                    <w:left w:val="none" w:color="000000" w:sz="4"/>
                    <w:bottom w:val="single" w:color="000000" w:sz="4"/>
                    <w:right w:val="single" w:color="000000" w:sz="4"/>
                  </w:tcBorders>
                  <w:vAlign w:val="top"/>
                </w:tcPr>
                <w:p>
                  <w:pPr>
                    <w:jc w:val="center"/>
                  </w:pPr>
                  <w:r>
                    <w:rPr>
                      <w:sz w:val="21"/>
                    </w:rPr>
                    <w:t>蛋白芯片</w:t>
                  </w:r>
                  <w:r>
                    <w:rPr>
                      <w:sz w:val="21"/>
                    </w:rPr>
                    <w:t>-荧光法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sz w:val="21"/>
                    </w:rPr>
                    <w:t>高密度亚组分检测（</w:t>
                  </w:r>
                  <w:r>
                    <w:rPr>
                      <w:sz w:val="21"/>
                    </w:rPr>
                    <w:t>HDL-2B）</w:t>
                  </w:r>
                </w:p>
              </w:tc>
              <w:tc>
                <w:tcPr>
                  <w:tcW w:type="dxa" w:w="2046"/>
                  <w:gridSpan w:val="2"/>
                  <w:tcBorders>
                    <w:top w:val="none" w:color="000000" w:sz="4"/>
                    <w:left w:val="none" w:color="000000" w:sz="4"/>
                    <w:bottom w:val="single" w:color="000000" w:sz="4"/>
                    <w:right w:val="single" w:color="000000" w:sz="4"/>
                  </w:tcBorders>
                  <w:shd w:fill="FFFFFF"/>
                  <w:vAlign w:val="top"/>
                </w:tcPr>
                <w:p>
                  <w:pPr>
                    <w:jc w:val="center"/>
                  </w:pPr>
                  <w:r>
                    <w:rPr>
                      <w:sz w:val="21"/>
                    </w:rPr>
                    <w:t>高密度亚组分检测（</w:t>
                  </w:r>
                  <w:r>
                    <w:rPr>
                      <w:sz w:val="21"/>
                    </w:rPr>
                    <w:t xml:space="preserve">HDL-2B）   </w:t>
                  </w:r>
                  <w:r>
                    <w:rPr>
                      <w:sz w:val="21"/>
                    </w:rPr>
                    <w:t>微流控芯片电泳法</w:t>
                  </w:r>
                </w:p>
              </w:tc>
              <w:tc>
                <w:tcPr>
                  <w:tcW w:type="dxa" w:w="1629"/>
                  <w:tcBorders>
                    <w:top w:val="none" w:color="000000" w:sz="4"/>
                    <w:left w:val="none" w:color="000000" w:sz="4"/>
                    <w:bottom w:val="single" w:color="000000" w:sz="4"/>
                    <w:right w:val="single" w:color="000000" w:sz="4"/>
                  </w:tcBorders>
                  <w:shd w:fill="FFFFFF"/>
                  <w:vAlign w:val="top"/>
                </w:tcPr>
                <w:p>
                  <w:pPr>
                    <w:jc w:val="center"/>
                  </w:pPr>
                  <w:r>
                    <w:rPr>
                      <w:sz w:val="21"/>
                    </w:rPr>
                    <w:t>早期冠心病与脑卒中的发病风险筛查诊断</w:t>
                  </w:r>
                </w:p>
              </w:tc>
              <w:tc>
                <w:tcPr>
                  <w:tcW w:type="dxa" w:w="209"/>
                  <w:tcBorders>
                    <w:top w:val="none" w:color="000000" w:sz="4"/>
                    <w:left w:val="none" w:color="000000" w:sz="4"/>
                    <w:bottom w:val="single" w:color="000000" w:sz="4"/>
                    <w:right w:val="single" w:color="000000" w:sz="4"/>
                  </w:tcBorders>
                  <w:shd w:fill="FFFFFF"/>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shd w:fill="FFFFFF"/>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甲功五项（</w:t>
                  </w:r>
                  <w:r>
                    <w:rPr>
                      <w:sz w:val="21"/>
                    </w:rPr>
                    <w:t>FT3\FT4\HTSH\TGAB\TMAB）</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超敏促甲状腺素</w:t>
                  </w:r>
                  <w:r>
                    <w:rPr>
                      <w:sz w:val="21"/>
                    </w:rPr>
                    <w:t>(TSH)</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判断甲状腺功能、甲亢、甲低、甲状腺肿瘤等</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singl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游离三碘甲状腺原氨酸</w:t>
                  </w:r>
                  <w:r>
                    <w:rPr>
                      <w:sz w:val="21"/>
                    </w:rPr>
                    <w:t>(FT3)</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游离甲状腺素</w:t>
                  </w:r>
                  <w:r>
                    <w:rPr>
                      <w:sz w:val="21"/>
                    </w:rPr>
                    <w:t>(FT4)</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抗甲状腺微粒抗体</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抗甲状腺球蛋白抗体</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2507"/>
                  <w:gridSpan w:val="2"/>
                  <w:tcBorders>
                    <w:top w:val="none" w:color="000000" w:sz="4"/>
                    <w:left w:val="none" w:color="000000" w:sz="4"/>
                    <w:bottom w:val="single" w:color="000000" w:sz="4"/>
                    <w:right w:val="single" w:color="000000" w:sz="4"/>
                  </w:tcBorders>
                  <w:vAlign w:val="top"/>
                </w:tcPr>
                <w:p>
                  <w:pPr>
                    <w:jc w:val="center"/>
                  </w:pPr>
                  <w:r>
                    <w:rPr>
                      <w:sz w:val="21"/>
                    </w:rPr>
                    <w:t>甲胎蛋白（</w:t>
                  </w:r>
                  <w:r>
                    <w:rPr>
                      <w:sz w:val="21"/>
                    </w:rPr>
                    <w:t>AFP）(化学光法)</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2507"/>
                  <w:gridSpan w:val="2"/>
                  <w:tcBorders>
                    <w:top w:val="none" w:color="000000" w:sz="4"/>
                    <w:left w:val="none" w:color="000000" w:sz="4"/>
                    <w:bottom w:val="single" w:color="000000" w:sz="4"/>
                    <w:right w:val="single" w:color="000000" w:sz="4"/>
                  </w:tcBorders>
                  <w:vAlign w:val="top"/>
                </w:tcPr>
                <w:p>
                  <w:pPr>
                    <w:jc w:val="center"/>
                  </w:pPr>
                  <w:r>
                    <w:rPr>
                      <w:sz w:val="21"/>
                    </w:rPr>
                    <w:t>癌胚抗原（</w:t>
                  </w:r>
                  <w:r>
                    <w:rPr>
                      <w:sz w:val="21"/>
                    </w:rPr>
                    <w:t>CEA）(化学光法)</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结肠癌，直肠癌，乳腺癌等肿瘤诊断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EB病毒三项</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EA-IgA)</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vMerge w:val="restart"/>
                  <w:tcBorders>
                    <w:top w:val="none" w:color="000000" w:sz="4"/>
                    <w:left w:val="none" w:color="000000" w:sz="4"/>
                    <w:bottom w:val="single" w:color="000000" w:sz="4"/>
                    <w:right w:val="single" w:color="000000" w:sz="4"/>
                  </w:tcBorders>
                  <w:vAlign w:val="top"/>
                </w:tcPr>
                <w:p>
                  <w:pPr>
                    <w:jc w:val="center"/>
                  </w:pPr>
                  <w:r>
                    <w:rPr>
                      <w:sz w:val="21"/>
                    </w:rPr>
                    <w:t>EB病毒检测，辅助诊断鼻咽癌</w:t>
                  </w:r>
                </w:p>
              </w:tc>
              <w:tc>
                <w:tcPr>
                  <w:tcW w:type="dxa" w:w="209"/>
                  <w:vMerge w:val="restart"/>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vMerge w:val="restart"/>
                  <w:tcBorders>
                    <w:top w:val="singl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EB-IGA</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RTA抗体检测</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212"/>
                  <w:vMerge w:val="restart"/>
                  <w:tcBorders>
                    <w:top w:val="none" w:color="000000" w:sz="4"/>
                    <w:left w:val="none" w:color="000000" w:sz="4"/>
                    <w:bottom w:val="single" w:color="000000" w:sz="4"/>
                    <w:right w:val="single" w:color="000000" w:sz="4"/>
                  </w:tcBorders>
                  <w:vAlign w:val="top"/>
                </w:tcPr>
                <w:p>
                  <w:pPr>
                    <w:jc w:val="center"/>
                  </w:pPr>
                  <w:r>
                    <w:rPr>
                      <w:sz w:val="21"/>
                    </w:rPr>
                    <w:t>前列腺特异抗原三项</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前列腺特异抗原</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前列腺癌筛查诊断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游离前列腺特异抗体</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212"/>
                  <w:vMerge/>
                  <w:tcBorders>
                    <w:top w:val="none" w:color="000000" w:sz="4"/>
                    <w:left w:val="none" w:color="000000" w:sz="4"/>
                    <w:bottom w:val="single" w:color="000000" w:sz="4"/>
                    <w:right w:val="single" w:color="000000" w:sz="4"/>
                  </w:tcBorders>
                </w:tcPr>
                <w:p/>
              </w:tc>
              <w:tc>
                <w:tcPr>
                  <w:tcW w:type="dxa" w:w="1295"/>
                  <w:tcBorders>
                    <w:top w:val="none" w:color="000000" w:sz="4"/>
                    <w:left w:val="none" w:color="000000" w:sz="4"/>
                    <w:bottom w:val="single" w:color="000000" w:sz="4"/>
                    <w:right w:val="single" w:color="000000" w:sz="4"/>
                  </w:tcBorders>
                  <w:vAlign w:val="top"/>
                </w:tcPr>
                <w:p>
                  <w:pPr>
                    <w:jc w:val="center"/>
                  </w:pPr>
                  <w:r>
                    <w:rPr>
                      <w:sz w:val="21"/>
                    </w:rPr>
                    <w:t>F-PSA/PSA</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肠癌基因</w:t>
                  </w:r>
                </w:p>
              </w:tc>
              <w:tc>
                <w:tcPr>
                  <w:tcW w:type="dxa" w:w="2046"/>
                  <w:gridSpan w:val="2"/>
                  <w:tcBorders>
                    <w:top w:val="none" w:color="000000" w:sz="4"/>
                    <w:left w:val="none" w:color="000000" w:sz="4"/>
                    <w:bottom w:val="single" w:color="000000" w:sz="4"/>
                    <w:right w:val="single" w:color="000000" w:sz="4"/>
                  </w:tcBorders>
                  <w:vAlign w:val="top"/>
                </w:tcPr>
                <w:p>
                  <w:pPr>
                    <w:jc w:val="center"/>
                  </w:pPr>
                  <w:r>
                    <w:rPr>
                      <w:sz w:val="21"/>
                    </w:rPr>
                    <w:t>粪便</w:t>
                  </w:r>
                  <w:r>
                    <w:rPr>
                      <w:sz w:val="21"/>
                    </w:rPr>
                    <w:t>DNA基因检测</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肠癌</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癌肿抗原（</w:t>
                  </w:r>
                  <w:r>
                    <w:rPr>
                      <w:sz w:val="21"/>
                    </w:rPr>
                    <w:t>CA15-3）</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癌肿抗原（</w:t>
                  </w:r>
                  <w:r>
                    <w:rPr>
                      <w:sz w:val="21"/>
                    </w:rPr>
                    <w:t>CA15-3）</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诊断乳腺癌和转移乳腺癌，辅助诊断卵巢癌，肺癌。</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singl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癌肿抗原</w:t>
                  </w:r>
                  <w:r>
                    <w:rPr>
                      <w:sz w:val="21"/>
                    </w:rPr>
                    <w:t>125（CA125）</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w:t>
                  </w:r>
                  <w:r>
                    <w:rPr>
                      <w:sz w:val="21"/>
                    </w:rPr>
                    <w:t>CA125）</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卵巢、子宫内膜、肝、肺、结直肠、胃癌的诊断和治疗监测。</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肿瘤抗原</w:t>
                  </w:r>
                  <w:r>
                    <w:rPr>
                      <w:sz w:val="21"/>
                    </w:rPr>
                    <w:t>724</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ca724</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胃癌、卵巢癌诊断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铁蛋白</w:t>
                  </w:r>
                  <w:r>
                    <w:rPr>
                      <w:sz w:val="21"/>
                    </w:rPr>
                    <w:t>FER</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FER</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缺铁性贫血诊断、肿瘤辅助诊断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鳞癌细胞抗原</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SCC</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肺鳞癌、子宫颈癌、食道癌、肛门、皮肤、口腔癌等鳞状上皮细胞癌</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恶性肿瘤特异性生长因子</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TSGF</w:t>
                  </w:r>
                </w:p>
              </w:tc>
              <w:tc>
                <w:tcPr>
                  <w:tcW w:type="dxa" w:w="751"/>
                  <w:tcBorders>
                    <w:top w:val="none" w:color="000000" w:sz="4"/>
                    <w:left w:val="none" w:color="000000" w:sz="4"/>
                    <w:bottom w:val="single" w:color="000000" w:sz="4"/>
                    <w:right w:val="single" w:color="000000" w:sz="4"/>
                  </w:tcBorders>
                  <w:vAlign w:val="top"/>
                </w:tcPr>
                <w:p>
                  <w:pPr>
                    <w:jc w:val="center"/>
                  </w:pPr>
                  <w:r>
                    <w:rPr>
                      <w:sz w:val="21"/>
                    </w:rPr>
                    <w:t>免疫发</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用于肿瘤筛查</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广谱癌肿抗原</w:t>
                  </w:r>
                  <w:r>
                    <w:rPr>
                      <w:sz w:val="21"/>
                    </w:rPr>
                    <w:t>CA50</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CA50</w:t>
                  </w:r>
                </w:p>
              </w:tc>
              <w:tc>
                <w:tcPr>
                  <w:tcW w:type="dxa" w:w="751"/>
                  <w:tcBorders>
                    <w:top w:val="none" w:color="000000" w:sz="4"/>
                    <w:left w:val="none" w:color="000000" w:sz="4"/>
                    <w:bottom w:val="single" w:color="000000" w:sz="4"/>
                    <w:right w:val="single" w:color="000000" w:sz="4"/>
                  </w:tcBorders>
                  <w:vAlign w:val="top"/>
                </w:tcPr>
                <w:p>
                  <w:pPr>
                    <w:jc w:val="center"/>
                  </w:pPr>
                  <w:r>
                    <w:rPr>
                      <w:sz w:val="21"/>
                    </w:rPr>
                    <w:t>免疫发</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广谱、多器官肿瘤诊断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癌肿瘤抗原</w:t>
                  </w:r>
                  <w:r>
                    <w:rPr>
                      <w:sz w:val="21"/>
                    </w:rPr>
                    <w:t>199</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CA199</w:t>
                  </w:r>
                </w:p>
              </w:tc>
              <w:tc>
                <w:tcPr>
                  <w:tcW w:type="dxa" w:w="751"/>
                  <w:tcBorders>
                    <w:top w:val="none" w:color="000000" w:sz="4"/>
                    <w:left w:val="none" w:color="000000" w:sz="4"/>
                    <w:bottom w:val="single" w:color="000000" w:sz="4"/>
                    <w:right w:val="single" w:color="000000" w:sz="4"/>
                  </w:tcBorders>
                  <w:vAlign w:val="top"/>
                </w:tcPr>
                <w:p>
                  <w:pPr>
                    <w:jc w:val="center"/>
                  </w:pPr>
                  <w:r>
                    <w:rPr>
                      <w:sz w:val="21"/>
                    </w:rPr>
                    <w:t>电化学发光法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胰腺癌、胆道恶性肿瘤诊断</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尿液常规检查（尿常规十项）</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筛查泌尿系统疾病简单并且准确的方法，糖尿病、肾炎等疾病也可在该项检查中出现异常改变。</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彩超检查（消化系统、泌尿系统）</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肝、胆、脾、胰、膀胱、输尿管、双肾</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前列腺彩超（男）</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前列腺</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子宫附件彩超（女）</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盆腔子宫附件</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乳腺彩超（女）</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乳腺</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腹主动脉彩超</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诊断腹主动脉瘤、主动脉旁的肿物</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甲状腺彩超</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甲状腺</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常规心电图</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r>
                    <w:rPr>
                      <w:sz w:val="21"/>
                    </w:rPr>
                    <w:t>常规心电图</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CT平扫</w:t>
                  </w:r>
                </w:p>
              </w:tc>
              <w:tc>
                <w:tcPr>
                  <w:tcW w:type="dxa" w:w="1295"/>
                  <w:tcBorders>
                    <w:top w:val="none" w:color="000000" w:sz="4"/>
                    <w:left w:val="none" w:color="000000" w:sz="4"/>
                    <w:bottom w:val="single" w:color="000000" w:sz="4"/>
                    <w:right w:val="single" w:color="000000" w:sz="4"/>
                  </w:tcBorders>
                  <w:vAlign w:val="top"/>
                </w:tcPr>
                <w:p>
                  <w:pPr>
                    <w:jc w:val="center"/>
                  </w:pPr>
                  <w:r>
                    <w:rPr>
                      <w:sz w:val="21"/>
                    </w:rPr>
                    <w:t>胸部</w:t>
                  </w:r>
                  <w:r>
                    <w:rPr>
                      <w:sz w:val="21"/>
                    </w:rPr>
                    <w:t>CT平扫</w:t>
                  </w: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shd w:fill="FFFFFF"/>
                  <w:vAlign w:val="top"/>
                </w:tcPr>
                <w:p>
                  <w:pPr>
                    <w:jc w:val="center"/>
                  </w:pPr>
                  <w:r>
                    <w:rPr>
                      <w:sz w:val="21"/>
                    </w:rPr>
                    <w:t>发现肺部的炎症、肺部的肿瘤性病变</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sz w:val="21"/>
                    </w:rPr>
                    <w:t>CT平扫</w:t>
                  </w:r>
                </w:p>
              </w:tc>
              <w:tc>
                <w:tcPr>
                  <w:tcW w:type="dxa" w:w="1295"/>
                  <w:tcBorders>
                    <w:top w:val="none" w:color="000000" w:sz="4"/>
                    <w:left w:val="none" w:color="000000" w:sz="4"/>
                    <w:bottom w:val="single" w:color="000000" w:sz="4"/>
                    <w:right w:val="none" w:color="000000" w:sz="4"/>
                  </w:tcBorders>
                  <w:shd w:fill="FFFFFF"/>
                  <w:vAlign w:val="top"/>
                </w:tcPr>
                <w:p>
                  <w:pPr>
                    <w:jc w:val="center"/>
                  </w:pPr>
                  <w:r>
                    <w:rPr>
                      <w:sz w:val="21"/>
                    </w:rPr>
                    <w:t>头颅</w:t>
                  </w:r>
                  <w:r>
                    <w:rPr>
                      <w:sz w:val="21"/>
                    </w:rPr>
                    <w:t>CT平扫</w:t>
                  </w:r>
                </w:p>
              </w:tc>
              <w:tc>
                <w:tcPr>
                  <w:tcW w:type="dxa" w:w="751"/>
                  <w:tcBorders>
                    <w:top w:val="none" w:color="000000" w:sz="4"/>
                    <w:left w:val="single" w:color="000000" w:sz="4"/>
                    <w:bottom w:val="single" w:color="000000" w:sz="4"/>
                    <w:right w:val="single" w:color="000000" w:sz="4"/>
                  </w:tcBorders>
                  <w:shd w:fill="FFFFFF"/>
                  <w:vAlign w:val="top"/>
                </w:tcPr>
                <w:p>
                  <w:pPr>
                    <w:jc w:val="center"/>
                  </w:pPr>
                </w:p>
              </w:tc>
              <w:tc>
                <w:tcPr>
                  <w:tcW w:type="dxa" w:w="1629"/>
                  <w:tcBorders>
                    <w:top w:val="none" w:color="000000" w:sz="4"/>
                    <w:left w:val="none" w:color="000000" w:sz="4"/>
                    <w:bottom w:val="single" w:color="000000" w:sz="4"/>
                    <w:right w:val="single" w:color="000000" w:sz="4"/>
                  </w:tcBorders>
                  <w:shd w:fill="FFFFFF"/>
                  <w:vAlign w:val="top"/>
                </w:tcPr>
                <w:p>
                  <w:pPr>
                    <w:jc w:val="center"/>
                  </w:pPr>
                  <w:r>
                    <w:rPr>
                      <w:sz w:val="21"/>
                    </w:rPr>
                    <w:t>发现颅内先天异常、各类感染、肿瘤、血管性病变等</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sz w:val="21"/>
                    </w:rPr>
                    <w:t>妇科检查</w:t>
                  </w:r>
                </w:p>
              </w:tc>
              <w:tc>
                <w:tcPr>
                  <w:tcW w:type="dxa" w:w="1295"/>
                  <w:tcBorders>
                    <w:top w:val="none" w:color="000000" w:sz="4"/>
                    <w:left w:val="none" w:color="000000" w:sz="4"/>
                    <w:bottom w:val="single" w:color="000000" w:sz="4"/>
                    <w:right w:val="single" w:color="000000" w:sz="4"/>
                  </w:tcBorders>
                  <w:shd w:fill="FFFFFF"/>
                  <w:vAlign w:val="top"/>
                </w:tcPr>
                <w:p>
                  <w:pPr>
                    <w:jc w:val="center"/>
                  </w:pPr>
                </w:p>
              </w:tc>
              <w:tc>
                <w:tcPr>
                  <w:tcW w:type="dxa" w:w="751"/>
                  <w:tcBorders>
                    <w:top w:val="none" w:color="000000" w:sz="4"/>
                    <w:left w:val="none" w:color="000000" w:sz="4"/>
                    <w:bottom w:val="single" w:color="000000" w:sz="4"/>
                    <w:right w:val="single" w:color="000000" w:sz="4"/>
                  </w:tcBorders>
                  <w:shd w:fill="FFFFFF"/>
                  <w:vAlign w:val="top"/>
                </w:tcPr>
                <w:p>
                  <w:pPr>
                    <w:jc w:val="center"/>
                  </w:pPr>
                </w:p>
              </w:tc>
              <w:tc>
                <w:tcPr>
                  <w:tcW w:type="dxa" w:w="1629"/>
                  <w:vMerge w:val="restart"/>
                  <w:tcBorders>
                    <w:top w:val="none" w:color="000000" w:sz="4"/>
                    <w:left w:val="none" w:color="000000" w:sz="4"/>
                    <w:bottom w:val="single" w:color="000000" w:sz="4"/>
                    <w:right w:val="single" w:color="000000" w:sz="4"/>
                  </w:tcBorders>
                  <w:shd w:fill="FFFFFF"/>
                  <w:vAlign w:val="top"/>
                </w:tcPr>
                <w:p>
                  <w:pPr>
                    <w:jc w:val="center"/>
                  </w:pPr>
                  <w:r>
                    <w:rPr>
                      <w:sz w:val="21"/>
                    </w:rPr>
                    <w:t>女性生殖器有无异常病变，有无宫颈及阴道感染等。</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sz w:val="21"/>
                    </w:rPr>
                    <w:t>白带常规</w:t>
                  </w:r>
                </w:p>
              </w:tc>
              <w:tc>
                <w:tcPr>
                  <w:tcW w:type="dxa" w:w="1295"/>
                  <w:tcBorders>
                    <w:top w:val="none" w:color="000000" w:sz="4"/>
                    <w:left w:val="none" w:color="000000" w:sz="4"/>
                    <w:bottom w:val="single" w:color="000000" w:sz="4"/>
                    <w:right w:val="single" w:color="000000" w:sz="4"/>
                  </w:tcBorders>
                  <w:shd w:fill="FFFFFF"/>
                  <w:vAlign w:val="top"/>
                </w:tcPr>
                <w:p>
                  <w:pPr>
                    <w:jc w:val="center"/>
                  </w:pPr>
                </w:p>
              </w:tc>
              <w:tc>
                <w:tcPr>
                  <w:tcW w:type="dxa" w:w="751"/>
                  <w:tcBorders>
                    <w:top w:val="none" w:color="000000" w:sz="4"/>
                    <w:left w:val="none" w:color="000000" w:sz="4"/>
                    <w:bottom w:val="single" w:color="000000" w:sz="4"/>
                    <w:right w:val="single" w:color="000000" w:sz="4"/>
                  </w:tcBorders>
                  <w:shd w:fill="FFFFFF"/>
                  <w:vAlign w:val="top"/>
                </w:tcPr>
                <w:p>
                  <w:pPr>
                    <w:jc w:val="center"/>
                  </w:pPr>
                </w:p>
              </w:tc>
              <w:tc>
                <w:tcPr>
                  <w:tcW w:type="dxa" w:w="162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212"/>
                  <w:tcBorders>
                    <w:top w:val="none" w:color="000000" w:sz="4"/>
                    <w:left w:val="none" w:color="000000" w:sz="4"/>
                    <w:bottom w:val="single" w:color="000000" w:sz="4"/>
                    <w:right w:val="single" w:color="000000" w:sz="4"/>
                  </w:tcBorders>
                  <w:shd w:fill="FFFFFF"/>
                  <w:vAlign w:val="top"/>
                </w:tcPr>
                <w:p>
                  <w:pPr>
                    <w:jc w:val="center"/>
                  </w:pPr>
                  <w:r>
                    <w:rPr>
                      <w:sz w:val="21"/>
                    </w:rPr>
                    <w:t>子宫颈癌液基细胞学筛查</w:t>
                  </w:r>
                  <w:r>
                    <w:rPr>
                      <w:sz w:val="21"/>
                    </w:rPr>
                    <w:t xml:space="preserve"> (TCT)</w:t>
                  </w:r>
                </w:p>
              </w:tc>
              <w:tc>
                <w:tcPr>
                  <w:tcW w:type="dxa" w:w="1295"/>
                  <w:tcBorders>
                    <w:top w:val="none" w:color="000000" w:sz="4"/>
                    <w:left w:val="none" w:color="000000" w:sz="4"/>
                    <w:bottom w:val="single" w:color="000000" w:sz="4"/>
                    <w:right w:val="single" w:color="000000" w:sz="4"/>
                  </w:tcBorders>
                  <w:shd w:fill="FFFFFF"/>
                  <w:vAlign w:val="top"/>
                </w:tcPr>
                <w:p>
                  <w:pPr>
                    <w:jc w:val="center"/>
                  </w:pPr>
                </w:p>
              </w:tc>
              <w:tc>
                <w:tcPr>
                  <w:tcW w:type="dxa" w:w="751"/>
                  <w:tcBorders>
                    <w:top w:val="none" w:color="000000" w:sz="4"/>
                    <w:left w:val="none" w:color="000000" w:sz="4"/>
                    <w:bottom w:val="single" w:color="000000" w:sz="4"/>
                    <w:right w:val="single" w:color="000000" w:sz="4"/>
                  </w:tcBorders>
                  <w:shd w:fill="FFFFFF"/>
                  <w:vAlign w:val="top"/>
                </w:tcPr>
                <w:p>
                  <w:pPr>
                    <w:jc w:val="center"/>
                  </w:pPr>
                  <w:r>
                    <w:rPr>
                      <w:sz w:val="21"/>
                    </w:rPr>
                    <w:t>新柏氏</w:t>
                  </w:r>
                  <w:r>
                    <w:rPr>
                      <w:sz w:val="21"/>
                    </w:rPr>
                    <w:t>TCT</w:t>
                  </w:r>
                </w:p>
              </w:tc>
              <w:tc>
                <w:tcPr>
                  <w:tcW w:type="dxa" w:w="1629"/>
                  <w:tcBorders>
                    <w:top w:val="none" w:color="000000" w:sz="4"/>
                    <w:left w:val="none" w:color="000000" w:sz="4"/>
                    <w:bottom w:val="single" w:color="000000" w:sz="4"/>
                    <w:right w:val="single" w:color="000000" w:sz="4"/>
                  </w:tcBorders>
                  <w:shd w:fill="FFFFFF"/>
                  <w:vAlign w:val="top"/>
                </w:tcPr>
                <w:p>
                  <w:pPr>
                    <w:jc w:val="center"/>
                  </w:pPr>
                  <w:r>
                    <w:rPr>
                      <w:sz w:val="21"/>
                    </w:rPr>
                    <w:t>是目前国内外替代传统宫颈涂片检测宫颈癌最准确的检测技术，大大减少了由于血液、粘液、炎症而造成的模糊子宫颈细胞样本的数量，从而大大提高了妇女宫颈癌早期病变的检出率。</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高危型</w:t>
                  </w:r>
                  <w:r>
                    <w:rPr>
                      <w:sz w:val="21"/>
                    </w:rPr>
                    <w:t>HPV-DNA27项分型检测</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r>
                    <w:rPr>
                      <w:sz w:val="21"/>
                    </w:rPr>
                    <w:t>流式荧光杂交法</w:t>
                  </w:r>
                </w:p>
              </w:tc>
              <w:tc>
                <w:tcPr>
                  <w:tcW w:type="dxa" w:w="1629"/>
                  <w:tcBorders>
                    <w:top w:val="none" w:color="000000" w:sz="4"/>
                    <w:left w:val="none" w:color="000000" w:sz="4"/>
                    <w:bottom w:val="single" w:color="000000" w:sz="4"/>
                    <w:right w:val="single" w:color="000000" w:sz="4"/>
                  </w:tcBorders>
                  <w:vAlign w:val="top"/>
                </w:tcPr>
                <w:p>
                  <w:pPr>
                    <w:jc w:val="center"/>
                  </w:pPr>
                  <w:r>
                    <w:rPr>
                      <w:sz w:val="21"/>
                    </w:rPr>
                    <w:t>阳性直接反映人体内乳头瘤病毒是否存在，可具体判断出感染病毒型别，为临床诊断宫颈癌提供参考。</w:t>
                  </w:r>
                </w:p>
              </w:tc>
              <w:tc>
                <w:tcPr>
                  <w:tcW w:type="dxa" w:w="20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抽血材料</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体检总结及医生评估</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292"/>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早餐</w:t>
                  </w:r>
                </w:p>
              </w:tc>
              <w:tc>
                <w:tcPr>
                  <w:tcW w:type="dxa" w:w="1295"/>
                  <w:tcBorders>
                    <w:top w:val="none" w:color="000000" w:sz="4"/>
                    <w:left w:val="none" w:color="000000" w:sz="4"/>
                    <w:bottom w:val="single" w:color="000000" w:sz="4"/>
                    <w:right w:val="single" w:color="000000" w:sz="4"/>
                  </w:tcBorders>
                  <w:vAlign w:val="top"/>
                </w:tcPr>
                <w:p>
                  <w:pPr>
                    <w:jc w:val="center"/>
                  </w:pPr>
                </w:p>
              </w:tc>
              <w:tc>
                <w:tcPr>
                  <w:tcW w:type="dxa" w:w="751"/>
                  <w:tcBorders>
                    <w:top w:val="none" w:color="000000" w:sz="4"/>
                    <w:left w:val="none" w:color="000000" w:sz="4"/>
                    <w:bottom w:val="single" w:color="000000" w:sz="4"/>
                    <w:right w:val="single" w:color="000000" w:sz="4"/>
                  </w:tcBorders>
                  <w:vAlign w:val="top"/>
                </w:tcPr>
                <w:p>
                  <w:pPr>
                    <w:jc w:val="center"/>
                  </w:pPr>
                </w:p>
              </w:tc>
              <w:tc>
                <w:tcPr>
                  <w:tcW w:type="dxa" w:w="1629"/>
                  <w:tcBorders>
                    <w:top w:val="none" w:color="000000" w:sz="4"/>
                    <w:left w:val="none" w:color="000000" w:sz="4"/>
                    <w:bottom w:val="single" w:color="000000" w:sz="4"/>
                    <w:right w:val="single" w:color="000000" w:sz="4"/>
                  </w:tcBorders>
                  <w:vAlign w:val="top"/>
                </w:tcPr>
                <w:p>
                  <w:pPr>
                    <w:jc w:val="center"/>
                  </w:pP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c>
                <w:tcPr>
                  <w:tcW w:type="dxa" w:w="209"/>
                  <w:tcBorders>
                    <w:top w:val="none" w:color="000000" w:sz="4"/>
                    <w:left w:val="none" w:color="000000" w:sz="4"/>
                    <w:bottom w:val="single" w:color="000000" w:sz="4"/>
                    <w:right w:val="single" w:color="000000" w:sz="4"/>
                  </w:tcBorders>
                  <w:vAlign w:val="top"/>
                </w:tcPr>
                <w:p>
                  <w:pPr>
                    <w:jc w:val="center"/>
                  </w:pPr>
                  <w:r>
                    <w:rPr>
                      <w:sz w:val="21"/>
                    </w:rPr>
                    <w:t>√</w:t>
                  </w:r>
                </w:p>
              </w:tc>
            </w:tr>
          </w:tbl>
          <w:p>
            <w:r>
              <w:rPr/>
              <w:t xml:space="preserve"> </w:t>
            </w:r>
          </w:p>
          <w:p>
            <w:pPr>
              <w:ind w:firstLine="422"/>
              <w:jc w:val="both"/>
            </w:pPr>
            <w:r>
              <w:rPr>
                <w:b/>
                <w:sz w:val="21"/>
              </w:rPr>
              <w:t>（二）投标人总体要求</w:t>
            </w:r>
          </w:p>
          <w:p>
            <w:pPr>
              <w:ind w:firstLine="420"/>
              <w:jc w:val="both"/>
            </w:pPr>
            <w:r>
              <w:rPr>
                <w:sz w:val="21"/>
              </w:rPr>
              <w:t>1.体检全部结束后，中标供应商须根据体检情况写出书面总结及综合详细的分析（含电子版和纸质版）。</w:t>
            </w:r>
          </w:p>
          <w:p>
            <w:pPr>
              <w:ind w:firstLine="420"/>
              <w:jc w:val="both"/>
            </w:pPr>
            <w:r>
              <w:rPr>
                <w:sz w:val="21"/>
              </w:rPr>
              <w:t>2.响应“禁止受检者和患者共检”的号召，要求投标人有独立的体检中心，所有仪器设备人员为体检专用，远离病人就诊或住院区域。</w:t>
            </w:r>
          </w:p>
          <w:p>
            <w:pPr>
              <w:ind w:firstLine="420"/>
              <w:jc w:val="both"/>
            </w:pPr>
            <w:r>
              <w:rPr>
                <w:sz w:val="21"/>
              </w:rPr>
              <w:t>3.体检设备检测状况良好。</w:t>
            </w:r>
          </w:p>
          <w:p>
            <w:pPr>
              <w:ind w:firstLine="420"/>
              <w:jc w:val="both"/>
            </w:pPr>
            <w:r>
              <w:rPr>
                <w:sz w:val="21"/>
              </w:rPr>
              <w:t>4.投标人的体检中心检验科具有国家相关许可资格，并建立完整的质量控制体系，确保检验结果的准确性。</w:t>
            </w:r>
          </w:p>
          <w:p>
            <w:pPr>
              <w:ind w:firstLine="420"/>
              <w:jc w:val="both"/>
            </w:pPr>
            <w:r>
              <w:rPr>
                <w:sz w:val="21"/>
              </w:rPr>
              <w:t>5.体检质量达到医学行业标准，检验室有定期参加室间质控</w:t>
            </w:r>
            <w:r>
              <w:rPr>
                <w:color w:val="333333"/>
                <w:sz w:val="21"/>
              </w:rPr>
              <w:t>活动</w:t>
            </w:r>
            <w:r>
              <w:rPr>
                <w:sz w:val="21"/>
              </w:rPr>
              <w:t>，提供有关证明材料。</w:t>
            </w:r>
          </w:p>
          <w:p>
            <w:pPr>
              <w:ind w:firstLine="422"/>
              <w:jc w:val="both"/>
            </w:pPr>
            <w:r>
              <w:rPr>
                <w:b/>
                <w:sz w:val="21"/>
              </w:rPr>
              <w:t>（三）服务要求</w:t>
            </w:r>
          </w:p>
          <w:p>
            <w:pPr>
              <w:ind w:firstLine="420"/>
              <w:jc w:val="both"/>
            </w:pPr>
            <w:r>
              <w:rPr>
                <w:sz w:val="21"/>
              </w:rPr>
              <w:t>1.投标人所有仪器设备人员为体检专用，投入本项目的彩色B超仪器不得少于3台（含3台）。</w:t>
            </w:r>
          </w:p>
          <w:p>
            <w:pPr>
              <w:ind w:firstLine="420"/>
              <w:jc w:val="both"/>
            </w:pPr>
            <w:r>
              <w:rPr>
                <w:sz w:val="21"/>
              </w:rPr>
              <w:t>2.中标供应商需要为本项目设体检专场，每批次完成人数不少于50人。</w:t>
            </w:r>
          </w:p>
          <w:p>
            <w:pPr>
              <w:ind w:firstLine="420"/>
              <w:jc w:val="both"/>
            </w:pPr>
            <w:r>
              <w:rPr>
                <w:sz w:val="21"/>
              </w:rPr>
              <w:t>3.中标供应商需为当天参与体检人员提供不少于50个免费车位。</w:t>
            </w:r>
          </w:p>
          <w:p>
            <w:pPr>
              <w:ind w:firstLine="420"/>
              <w:jc w:val="both"/>
            </w:pPr>
            <w:r>
              <w:rPr>
                <w:sz w:val="21"/>
              </w:rPr>
              <w:t>4.所有检查项目尽可能在同一层楼内完成，在中标供应商的体检中心范围内要有清晰准确的体检引导标志牌及体检导诊员。</w:t>
            </w:r>
          </w:p>
          <w:p>
            <w:pPr>
              <w:ind w:firstLine="420"/>
              <w:jc w:val="both"/>
            </w:pPr>
            <w:r>
              <w:rPr>
                <w:sz w:val="21"/>
              </w:rPr>
              <w:t>5.中标供应商由副主任级及以上医生填写每人的体检总评报告，并由</w:t>
            </w:r>
            <w:r>
              <w:rPr>
                <w:sz w:val="21"/>
              </w:rPr>
              <w:t>中标供应商</w:t>
            </w:r>
            <w:r>
              <w:rPr>
                <w:sz w:val="21"/>
              </w:rPr>
              <w:t>盖章出具报告（内容包括检验结果及建议），以书面形式于体检结束</w:t>
            </w:r>
            <w:r>
              <w:rPr>
                <w:sz w:val="21"/>
              </w:rPr>
              <w:t>10个工作日内汇总体检报告，个人体检报告独立密封封装。</w:t>
            </w:r>
          </w:p>
          <w:p>
            <w:pPr>
              <w:ind w:firstLine="420"/>
              <w:jc w:val="both"/>
            </w:pPr>
            <w:r>
              <w:rPr>
                <w:sz w:val="21"/>
              </w:rPr>
              <w:t>6.中标供应商须建立体检者健康档案，并于全部职工体检完毕后，提供基本健康情况，做出分析报告并提出相关建议。</w:t>
            </w:r>
          </w:p>
          <w:p>
            <w:pPr>
              <w:ind w:firstLine="420"/>
              <w:jc w:val="both"/>
            </w:pPr>
            <w:r>
              <w:rPr>
                <w:sz w:val="21"/>
              </w:rPr>
              <w:t>7.体检过程中，如遇发现疑似恶性肿瘤、传染病（如结核病）等特殊情况，中标供应商应立即通知采购人，对可疑病例要复查的，复查名单及内容通知其个人及采购人单位联系人。</w:t>
            </w:r>
          </w:p>
          <w:p>
            <w:pPr>
              <w:ind w:firstLine="422"/>
              <w:jc w:val="both"/>
            </w:pPr>
            <w:r>
              <w:rPr>
                <w:b/>
                <w:sz w:val="21"/>
              </w:rPr>
              <w:t>（四）其他要求</w:t>
            </w:r>
          </w:p>
          <w:p>
            <w:pPr>
              <w:ind w:firstLine="420"/>
              <w:jc w:val="both"/>
            </w:pPr>
            <w:r>
              <w:rPr>
                <w:sz w:val="21"/>
              </w:rPr>
              <w:t>1.中标供应商服务需技术精良、服务周到、环境优雅、安全舒适、价格合理。</w:t>
            </w:r>
          </w:p>
          <w:p>
            <w:pPr>
              <w:ind w:firstLine="420"/>
              <w:jc w:val="both"/>
            </w:pPr>
            <w:r>
              <w:rPr>
                <w:sz w:val="21"/>
              </w:rPr>
              <w:t>2.中标供应商须对本次投标的服务提供服务方案，如：体检流程及指引。</w:t>
            </w:r>
          </w:p>
          <w:p>
            <w:pPr>
              <w:ind w:firstLine="420"/>
              <w:jc w:val="both"/>
            </w:pPr>
            <w:r>
              <w:rPr>
                <w:sz w:val="21"/>
              </w:rPr>
              <w:t>3.在本次项目限价内，采购人可对体检人员的体检项目进行调整。</w:t>
            </w:r>
          </w:p>
          <w:p>
            <w:pPr>
              <w:ind w:firstLine="420"/>
              <w:jc w:val="both"/>
            </w:pPr>
            <w:r>
              <w:rPr>
                <w:sz w:val="21"/>
              </w:rPr>
              <w:t>4.中标后不得将体检业务转包、分包给其他单位。</w:t>
            </w:r>
          </w:p>
          <w:p>
            <w:pPr>
              <w:ind w:firstLine="420"/>
              <w:jc w:val="both"/>
            </w:pP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广州市黄埔区人才交流服务中心、广州开发区人才交流服务中心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￥16,600.00元（大写：人民币壹万陆仟陆佰元整）。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张智钊、董镜</w:t>
      </w:r>
    </w:p>
    <w:p>
      <w:pPr>
        <w:ind w:firstLine="480"/>
      </w:pPr>
      <w:r>
        <w:rPr/>
        <w:t>电话：</w:t>
      </w:r>
      <w:r>
        <w:rPr/>
        <w:t>020-37656571、020-87776423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采购包1(高层次人才体检服务)：综合评分法,是指投标文件满足招标文件全部实质性要求，且按照评审因素的量化指标评审得分最高的投标人为中标候选人的评标方法。（最低报价不是中标的唯一依据。）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采购包1（高层次人才体检服务）：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采购包1（高层次人才体检服务）：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特定资格要求（投标人须为卫生行政主管部门批准的医疗卫生机构，提供有效的《医疗机构执业许可证》）</w:t>
            </w:r>
          </w:p>
        </w:tc>
        <w:tc>
          <w:tcPr>
            <w:tcW w:type="dxa" w:w="4238"/>
          </w:tcPr>
          <w:p>
            <w:r>
              <w:rPr/>
              <w:t>投标人须为卫生行政主管部门批准的医疗卫生机构，提供有效的《医疗机构执业许可证》。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采购包1（高层次人才体检服务）：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投标综合折扣率是固定、唯一价且在0.00%-100.00%范围内取值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采购包1(高层次人才体检服务):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拟投入本项目的人员资质 (9.0分)</w:t>
            </w:r>
          </w:p>
        </w:tc>
        <w:tc>
          <w:tcPr>
            <w:tcW w:type="dxa" w:w="5076"/>
          </w:tcPr>
          <w:p>
            <w:pPr>
              <w:jc w:val="left"/>
            </w:pPr>
            <w:r>
              <w:rPr/>
              <w:t>拟投入本项目服务团队成员（不包括项目负责人）工作经验为5年以上且具副高级及以上的体检医师及检验技术的人员： （1）提供10名及以上的，得9分； （2）提供5-9名，得5分； （3）提供1-4名，得2分； （4）不具有不得分。 （需提供投入本项目人员的资格证、执业证、职称证（若有）等相关证件复印件材料）</w:t>
            </w:r>
          </w:p>
        </w:tc>
      </w:tr>
      <w:tr>
        <w:tc>
          <w:tcPr>
            <w:tcW w:type="dxa" w:w="922"/>
            <w:gridSpan w:val="2"/>
            <w:vMerge/>
          </w:tcPr>
          <w:p/>
        </w:tc>
        <w:tc>
          <w:tcPr>
            <w:tcW w:type="dxa" w:w="2307"/>
          </w:tcPr>
          <w:p>
            <w:pPr>
              <w:jc w:val="left"/>
            </w:pPr>
            <w:r>
              <w:rPr/>
              <w:t>拟投入本项目负责人资质 (10.0分)</w:t>
            </w:r>
          </w:p>
        </w:tc>
        <w:tc>
          <w:tcPr>
            <w:tcW w:type="dxa" w:w="5076"/>
          </w:tcPr>
          <w:p>
            <w:pPr>
              <w:jc w:val="left"/>
            </w:pPr>
            <w:r>
              <w:rPr/>
              <w:t>（1）具有医学类副高级或以上职称的，得3分；具有中级职称的，得1分；无职称不得分，最高得3分。 （2）以第一作者发表癌症类或传染病类文章（影响因子大于3的），每篇得2分，最高得4分。 （3）曾参与过临床医学或检验的相关指南或共识或规范的制定，每提供1篇得1分，最高得3分。 注：提供相关证书复印件及发表文章、参与资料证明资料。</w:t>
            </w:r>
          </w:p>
        </w:tc>
      </w:tr>
      <w:tr>
        <w:tc>
          <w:tcPr>
            <w:tcW w:type="dxa" w:w="922"/>
            <w:gridSpan w:val="2"/>
            <w:vMerge/>
          </w:tcPr>
          <w:p/>
        </w:tc>
        <w:tc>
          <w:tcPr>
            <w:tcW w:type="dxa" w:w="2307"/>
          </w:tcPr>
          <w:p>
            <w:pPr>
              <w:jc w:val="left"/>
            </w:pPr>
            <w:r>
              <w:rPr/>
              <w:t>拟投入本项目的体检仪器设备 (5.0分)</w:t>
            </w:r>
          </w:p>
        </w:tc>
        <w:tc>
          <w:tcPr>
            <w:tcW w:type="dxa" w:w="5076"/>
          </w:tcPr>
          <w:p>
            <w:pPr>
              <w:jc w:val="left"/>
            </w:pPr>
            <w:r>
              <w:rPr/>
              <w:t>对各投标人拟投入本项目主要的体检仪器设备进行评分，包括但不限于（彩色B超机、DR仪器、CT仪器） （1）同时具备彩色B超机、DR仪器、CT仪器3种设备，且总数在5台及以上的，得5分 （2）同时具备彩色B超机、DR仪器、CT仪器3种设备，且总数为3-4台的，得3分 （3）具备（彩色B超机、DR仪器、CT仪器）其中2种设备的，得2分 （4）具备（彩色B超机、DR仪器、CT仪器）其中1种的，得1分 （5）不具备得0分。 注：所提供的体检设备均在合格使用范围内，出示相关鉴定证书证明投标人须提供自有设备的证明资料（购买合同或设备发票等相关材料），或经授权可使用（租赁）设备的证明资料（授权文件及设备所有方购买合同或设备发票等相关材料）。提供的材料不清晰、不齐全，导致评委无法认定的不得分。</w:t>
            </w:r>
          </w:p>
        </w:tc>
      </w:tr>
      <w:tr>
        <w:tc>
          <w:tcPr>
            <w:tcW w:type="dxa" w:w="922"/>
            <w:gridSpan w:val="2"/>
            <w:vMerge/>
          </w:tcPr>
          <w:p/>
        </w:tc>
        <w:tc>
          <w:tcPr>
            <w:tcW w:type="dxa" w:w="2307"/>
          </w:tcPr>
          <w:p>
            <w:pPr>
              <w:jc w:val="left"/>
            </w:pPr>
            <w:r>
              <w:rPr/>
              <w:t>项目实施方案1 (2.0分)</w:t>
            </w:r>
          </w:p>
        </w:tc>
        <w:tc>
          <w:tcPr>
            <w:tcW w:type="dxa" w:w="5076"/>
          </w:tcPr>
          <w:p>
            <w:pPr>
              <w:jc w:val="left"/>
            </w:pPr>
            <w:r>
              <w:rPr/>
              <w:t>评标委员会根据投标人提供的项目实施方案进行评审，方案应包括（投标文件中方案标题应以下列方案名称命名）： （1）体检服务方案； （2）运作流程管理； （3）体检时间安排； （4）营养早餐多样性。 提供全部内容得2分，每缺1项扣0.5分。</w:t>
            </w:r>
          </w:p>
        </w:tc>
      </w:tr>
      <w:tr>
        <w:tc>
          <w:tcPr>
            <w:tcW w:type="dxa" w:w="922"/>
            <w:gridSpan w:val="2"/>
            <w:vMerge/>
          </w:tcPr>
          <w:p/>
        </w:tc>
        <w:tc>
          <w:tcPr>
            <w:tcW w:type="dxa" w:w="2307"/>
          </w:tcPr>
          <w:p>
            <w:pPr>
              <w:jc w:val="left"/>
            </w:pPr>
            <w:r>
              <w:rPr/>
              <w:t>项目实施方案2 (6.0分)</w:t>
            </w:r>
          </w:p>
        </w:tc>
        <w:tc>
          <w:tcPr>
            <w:tcW w:type="dxa" w:w="5076"/>
          </w:tcPr>
          <w:p>
            <w:pPr>
              <w:jc w:val="left"/>
            </w:pPr>
            <w:r>
              <w:rPr/>
              <w:t>评标委员会根据投标人提供的项目实施方案详细内容进行综合评审： （1）项目实施方案详细完整，有特色，方案细致合理完善，科学可行，有利于本项目实施，得6分； （2）项目实施方案较详细完整，较有特色，方案细致比较合理完善，较科学可行，可较好的为本项目提供服务，得4分； （3）项目实施方案基本完整，具有基本特色，方案细致程度一般，科学可行性一般，基本满足本项目实施，得1分； （4）不提供不得分。</w:t>
            </w:r>
          </w:p>
        </w:tc>
      </w:tr>
      <w:tr>
        <w:tc>
          <w:tcPr>
            <w:tcW w:type="dxa" w:w="922"/>
            <w:gridSpan w:val="2"/>
            <w:vMerge/>
          </w:tcPr>
          <w:p/>
        </w:tc>
        <w:tc>
          <w:tcPr>
            <w:tcW w:type="dxa" w:w="2307"/>
          </w:tcPr>
          <w:p>
            <w:pPr>
              <w:jc w:val="left"/>
            </w:pPr>
            <w:r>
              <w:rPr/>
              <w:t>质量保障方案1 (2.5分)</w:t>
            </w:r>
          </w:p>
        </w:tc>
        <w:tc>
          <w:tcPr>
            <w:tcW w:type="dxa" w:w="5076"/>
          </w:tcPr>
          <w:p>
            <w:pPr>
              <w:jc w:val="left"/>
            </w:pPr>
            <w:r>
              <w:rPr/>
              <w:t>评标委员会根据投标人提供的质量保障方案进行评审，方案应包括（投标文件中方案标题应以下列方案名称命名）： （1）检测实力； （2）检测质量标准； （3）服务质量控制； （4）体检服务各项质量标准的承诺； （5）标本流程。 提供全部内容得2.5分，每缺1项扣0.5分。</w:t>
            </w:r>
          </w:p>
        </w:tc>
      </w:tr>
      <w:tr>
        <w:tc>
          <w:tcPr>
            <w:tcW w:type="dxa" w:w="922"/>
            <w:gridSpan w:val="2"/>
            <w:vMerge/>
          </w:tcPr>
          <w:p/>
        </w:tc>
        <w:tc>
          <w:tcPr>
            <w:tcW w:type="dxa" w:w="2307"/>
          </w:tcPr>
          <w:p>
            <w:pPr>
              <w:jc w:val="left"/>
            </w:pPr>
            <w:r>
              <w:rPr/>
              <w:t>质量保障方案2 (5.5分)</w:t>
            </w:r>
          </w:p>
        </w:tc>
        <w:tc>
          <w:tcPr>
            <w:tcW w:type="dxa" w:w="5076"/>
          </w:tcPr>
          <w:p>
            <w:pPr>
              <w:jc w:val="left"/>
            </w:pPr>
            <w:r>
              <w:rPr/>
              <w:t>评标委员会根据投标人提供的质量保障方案详细内容进行综合评审： （1）质量保障方案详细、具体，质量保障能力强，针对性强，可行性强，具有为本项目参与体检人员提供全面的质量保障能力，得5.5分； （2）质量保障方案较详细、较具体，质量保障能力较强，针对性较强，可行性较强，为本项目参与体检人员提供全面的质量保障能力较强，得3.5分；  （3）质量保障方案基本完整，质量保障能力一般，可行性一般，为本项目参与体检人员提供全面的质量保障能力一般，得1.5分；  （4）不提供不得分。</w:t>
            </w:r>
          </w:p>
        </w:tc>
      </w:tr>
      <w:tr>
        <w:tc>
          <w:tcPr>
            <w:tcW w:type="dxa" w:w="922"/>
            <w:gridSpan w:val="2"/>
            <w:vMerge/>
          </w:tcPr>
          <w:p/>
        </w:tc>
        <w:tc>
          <w:tcPr>
            <w:tcW w:type="dxa" w:w="2307"/>
          </w:tcPr>
          <w:p>
            <w:pPr>
              <w:jc w:val="left"/>
            </w:pPr>
            <w:r>
              <w:rPr/>
              <w:t>特色服务承诺1 (1.0分)</w:t>
            </w:r>
          </w:p>
        </w:tc>
        <w:tc>
          <w:tcPr>
            <w:tcW w:type="dxa" w:w="5076"/>
          </w:tcPr>
          <w:p>
            <w:pPr>
              <w:jc w:val="left"/>
            </w:pPr>
            <w:r>
              <w:rPr/>
              <w:t>评标委员会根据投标人提供的特色服务承诺进行评审，特色服务承诺应包括（投标文件中方案标题应以下列方案名称命名）： （1）为体检结果分析暨健康讲座的开展； （2）重大疾病及时预警。 提供全部内容得1分，每缺1项扣0.5分。</w:t>
            </w:r>
          </w:p>
        </w:tc>
      </w:tr>
      <w:tr>
        <w:tc>
          <w:tcPr>
            <w:tcW w:type="dxa" w:w="922"/>
            <w:gridSpan w:val="2"/>
            <w:vMerge/>
          </w:tcPr>
          <w:p/>
        </w:tc>
        <w:tc>
          <w:tcPr>
            <w:tcW w:type="dxa" w:w="2307"/>
          </w:tcPr>
          <w:p>
            <w:pPr>
              <w:jc w:val="left"/>
            </w:pPr>
            <w:r>
              <w:rPr/>
              <w:t>特色服务承诺2 (4.0分)</w:t>
            </w:r>
          </w:p>
        </w:tc>
        <w:tc>
          <w:tcPr>
            <w:tcW w:type="dxa" w:w="5076"/>
          </w:tcPr>
          <w:p>
            <w:pPr>
              <w:jc w:val="left"/>
            </w:pPr>
            <w:r>
              <w:rPr/>
              <w:t>评标委员会根据投标人提供的特色服务承诺详细内容进行综合评审： （1）优惠服务承诺内容详细具体，可行性高，得4分；  （2）优惠服务承诺内容比较详细具体，比较可行，得2分；   （3）优惠服务承诺内容和形式欠缺，可行性不足，得1分；  （4）不提供不得分。  须提供书面承诺函，否则不得分。</w:t>
            </w:r>
          </w:p>
        </w:tc>
      </w:tr>
      <w:tr>
        <w:tc>
          <w:tcPr>
            <w:tcW w:type="dxa" w:w="922"/>
            <w:gridSpan w:val="2"/>
            <w:vMerge/>
          </w:tcPr>
          <w:p/>
        </w:tc>
        <w:tc>
          <w:tcPr>
            <w:tcW w:type="dxa" w:w="2307"/>
          </w:tcPr>
          <w:p>
            <w:pPr>
              <w:jc w:val="left"/>
            </w:pPr>
            <w:r>
              <w:rPr/>
              <w:t>应急能力方案1 (1.0分)</w:t>
            </w:r>
          </w:p>
        </w:tc>
        <w:tc>
          <w:tcPr>
            <w:tcW w:type="dxa" w:w="5076"/>
          </w:tcPr>
          <w:p>
            <w:pPr>
              <w:jc w:val="left"/>
            </w:pPr>
            <w:r>
              <w:rPr/>
              <w:t>评标委员会根据投标人提供的应急能力方案进行评审，应急能力方案应包括（投标文件中方案标题应以下列方案名称命名）： （1）突发情况及危急值情况处理措施。 提供全部内容得1分，每缺1项扣1分。</w:t>
            </w:r>
          </w:p>
        </w:tc>
      </w:tr>
      <w:tr>
        <w:tc>
          <w:tcPr>
            <w:tcW w:type="dxa" w:w="922"/>
            <w:gridSpan w:val="2"/>
            <w:vMerge/>
          </w:tcPr>
          <w:p/>
        </w:tc>
        <w:tc>
          <w:tcPr>
            <w:tcW w:type="dxa" w:w="2307"/>
          </w:tcPr>
          <w:p>
            <w:pPr>
              <w:jc w:val="left"/>
            </w:pPr>
            <w:r>
              <w:rPr/>
              <w:t>应急能力方案2 (4.0分)</w:t>
            </w:r>
          </w:p>
        </w:tc>
        <w:tc>
          <w:tcPr>
            <w:tcW w:type="dxa" w:w="5076"/>
          </w:tcPr>
          <w:p>
            <w:pPr>
              <w:jc w:val="left"/>
            </w:pPr>
            <w:r>
              <w:rPr/>
              <w:t>评标委员会根据投标人提供的应急能力方案详细内容进行综合评审： （1）如在体检过程中发现有突发情况及危急值结果的情况，投标人处理完善、可行、具有专业的处理措施的，得4分； （2）如在检查过程中发现有突发情况及危急值结果的情况，投标人相应处理措施，措施较专业、较可行、较完善的，得2分； （3）如在检查过程中发现有突发情况及危急值结果的情况，投标人相应处理措施，措施不够专业、不够可行、不够完善的，得1分。 注：不提供或不符合不得分。</w:t>
            </w:r>
          </w:p>
        </w:tc>
      </w:tr>
      <w:tr>
        <w:tc>
          <w:tcPr>
            <w:tcW w:type="dxa" w:w="922"/>
            <w:gridSpan w:val="2"/>
            <w:vMerge/>
          </w:tcPr>
          <w:p/>
        </w:tc>
        <w:tc>
          <w:tcPr>
            <w:tcW w:type="dxa" w:w="2307"/>
          </w:tcPr>
          <w:p>
            <w:pPr>
              <w:jc w:val="left"/>
            </w:pPr>
            <w:r>
              <w:rPr/>
              <w:t>健康档案管理1 (1.5分)</w:t>
            </w:r>
          </w:p>
        </w:tc>
        <w:tc>
          <w:tcPr>
            <w:tcW w:type="dxa" w:w="5076"/>
          </w:tcPr>
          <w:p>
            <w:pPr>
              <w:jc w:val="left"/>
            </w:pPr>
            <w:r>
              <w:rPr/>
              <w:t>评标委员会根据投标人提供的健康档案管理方案进行评审，健康档案管理方案应包括（投标文件中方案标题应以下列方案名称命名）： （1）健康档案管理信息化； （2）检后服务方案； （3）个人独立的健康档案（含纸质和电子版）。 提供全部内容得1分，每缺1项扣0.5分。</w:t>
            </w:r>
          </w:p>
        </w:tc>
      </w:tr>
      <w:tr>
        <w:tc>
          <w:tcPr>
            <w:tcW w:type="dxa" w:w="922"/>
            <w:gridSpan w:val="2"/>
            <w:vMerge/>
          </w:tcPr>
          <w:p/>
        </w:tc>
        <w:tc>
          <w:tcPr>
            <w:tcW w:type="dxa" w:w="2307"/>
          </w:tcPr>
          <w:p>
            <w:pPr>
              <w:jc w:val="left"/>
            </w:pPr>
            <w:r>
              <w:rPr/>
              <w:t>健康档案管理2 (3.5分)</w:t>
            </w:r>
          </w:p>
        </w:tc>
        <w:tc>
          <w:tcPr>
            <w:tcW w:type="dxa" w:w="5076"/>
          </w:tcPr>
          <w:p>
            <w:pPr>
              <w:jc w:val="left"/>
            </w:pPr>
            <w:r>
              <w:rPr/>
              <w:t>评标委员会根据投标人提供的健康档案管理详细内容进行综合评审： （1）健康档案管理能实现信息化，检后服务方案全面、完善，合理性强，有建立个人独立的健康档案（含纸质和电子版），得3.5分； （2）健康档案管理能实现信息化，检后服务方案较全面、较完善，较合理，有建立个人独立的健康档案（含纸质和电子版），得1.5分； （3）健康档案管理能实现信息化，检后服务方案基本完整，具有一定的合理性，有建立个人独立的健康档案，得0.5 分； （4）不提供不得分。</w:t>
            </w:r>
          </w:p>
        </w:tc>
      </w:tr>
      <w:tr>
        <w:tc>
          <w:tcPr>
            <w:tcW w:type="dxa" w:w="922"/>
            <w:gridSpan w:val="2"/>
            <w:vMerge w:val="restart"/>
          </w:tcPr>
          <w:p>
            <w:pPr>
              <w:jc w:val="center"/>
            </w:pPr>
            <w:r>
              <w:rPr/>
              <w:t>商务部分</w:t>
            </w:r>
          </w:p>
        </w:tc>
        <w:tc>
          <w:tcPr>
            <w:tcW w:type="dxa" w:w="2307"/>
          </w:tcPr>
          <w:p>
            <w:pPr>
              <w:jc w:val="left"/>
            </w:pPr>
            <w:r>
              <w:rPr/>
              <w:t>采购需求响应程度 (7.0分)</w:t>
            </w:r>
          </w:p>
        </w:tc>
        <w:tc>
          <w:tcPr>
            <w:tcW w:type="dxa" w:w="5076"/>
          </w:tcPr>
          <w:p>
            <w:pPr>
              <w:jc w:val="left"/>
            </w:pPr>
            <w:r>
              <w:rPr/>
              <w:t>根据投标人对招标文件“第二章具体技术(参数)要求”的响应情况进行评审： （1）完全满足并优于“采购需求”的，得7分； （2）完全满足“采购需求”的，得4分； （3）对“采购需求”有未响应或负偏离的，得1分；</w:t>
            </w:r>
          </w:p>
        </w:tc>
      </w:tr>
      <w:tr>
        <w:tc>
          <w:tcPr>
            <w:tcW w:type="dxa" w:w="922"/>
            <w:gridSpan w:val="2"/>
            <w:vMerge/>
          </w:tcPr>
          <w:p/>
        </w:tc>
        <w:tc>
          <w:tcPr>
            <w:tcW w:type="dxa" w:w="2307"/>
          </w:tcPr>
          <w:p>
            <w:pPr>
              <w:jc w:val="left"/>
            </w:pPr>
            <w:r>
              <w:rPr/>
              <w:t>项目服务经验 (7.0分)</w:t>
            </w:r>
          </w:p>
        </w:tc>
        <w:tc>
          <w:tcPr>
            <w:tcW w:type="dxa" w:w="5076"/>
          </w:tcPr>
          <w:p>
            <w:pPr>
              <w:jc w:val="left"/>
            </w:pPr>
            <w:r>
              <w:rPr/>
              <w:t>2020年1月1日至今完成的同类体检项目业绩（依据合同关键页或体检单位结算清单为证明材料）每提供1个得1分，最高得7分。 注：须提供合同复印件或体检单位结算清单为证明材料，以合同签订日期或体检单位结算清单签署日期为准，同一项目的业绩不重复计分。提供的合同或体检单位结算清单模糊专家无法认定的不得分。合同关键页指（须有用户单位名称、合同项目名称、合同标的主要采购内容、签订合同双方的落款盖章、合同签订日期）。</w:t>
            </w:r>
          </w:p>
        </w:tc>
      </w:tr>
      <w:tr>
        <w:tc>
          <w:tcPr>
            <w:tcW w:type="dxa" w:w="922"/>
            <w:gridSpan w:val="2"/>
            <w:vMerge/>
          </w:tcPr>
          <w:p/>
        </w:tc>
        <w:tc>
          <w:tcPr>
            <w:tcW w:type="dxa" w:w="2307"/>
          </w:tcPr>
          <w:p>
            <w:pPr>
              <w:jc w:val="left"/>
            </w:pPr>
            <w:r>
              <w:rPr/>
              <w:t>实验室检测资质 (10.0分)</w:t>
            </w:r>
          </w:p>
        </w:tc>
        <w:tc>
          <w:tcPr>
            <w:tcW w:type="dxa" w:w="5076"/>
          </w:tcPr>
          <w:p>
            <w:pPr>
              <w:jc w:val="left"/>
            </w:pPr>
            <w:r>
              <w:rPr/>
              <w:t>（1）投标人医学检测实验室通过了质量管理体系认证证书，并同时能提供由国家卫生健康部门颁发的各项体检项目的室间质评证书（如：常规化学（包括但不限于肝功能、血常规、血脂、肾功能）、肿瘤标志物、糖化血红蛋白、脂类等室间质评证书、人乳头瘤病毒基因分型室间质评、心肌标志物、内分泌、红细胞沉降率测定I、血液黏度检测、脑脊液生化检测、尿液定量生化），每提供一项得 1分，最高得 10 分。 （注：1.提供复印件并加盖公章，提供认证证书及附件清单复印件加盖投公章为评审依据，不符合或不提供不得分；2.投标人独立检测或投标人经授权可使用的检测实验室，需提供加盖公章的授权或使用协议证明文件，否则不得分）。</w:t>
            </w:r>
          </w:p>
        </w:tc>
      </w:tr>
      <w:tr>
        <w:tc>
          <w:tcPr>
            <w:tcW w:type="dxa" w:w="922"/>
            <w:gridSpan w:val="2"/>
            <w:vMerge/>
          </w:tcPr>
          <w:p/>
        </w:tc>
        <w:tc>
          <w:tcPr>
            <w:tcW w:type="dxa" w:w="2307"/>
          </w:tcPr>
          <w:p>
            <w:pPr>
              <w:jc w:val="left"/>
            </w:pPr>
            <w:r>
              <w:rPr/>
              <w:t>投标人资质 (6.0分)</w:t>
            </w:r>
          </w:p>
        </w:tc>
        <w:tc>
          <w:tcPr>
            <w:tcW w:type="dxa" w:w="5076"/>
          </w:tcPr>
          <w:p>
            <w:pPr>
              <w:jc w:val="left"/>
            </w:pPr>
            <w:r>
              <w:rPr/>
              <w:t>（1）投标人具有有效的质量管理体系认证证书，得2分； （2）投标人具有有效的环境管理体系认证证书，得2分；  （3）投标人具有有效的职业健康管理体系认证证书，2分； 此项最高得6分。（提供复印件并加盖公章，否则不得分）（需同时提供：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 法行为，评标委员会有权认定其投标无效。）</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left"/>
      </w:pPr>
    </w:p>
    <w:p/>
    <w:p/>
    <w:p>
      <w:r>
        <w:rPr/>
        <w:t xml:space="preserve"> </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合同范本：跨年合同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高层次人才体检服务</w:t>
      </w:r>
      <w:r>
        <w:rPr>
          <w:sz w:val="21"/>
        </w:rPr>
        <w:t>招标文件（项目编号：</w:t>
      </w:r>
      <w:r>
        <w:rPr>
          <w:sz w:val="21"/>
        </w:rPr>
        <w:t>GZGK23D196C0572Z）的要求，经双方协商，本着平等互利和诚实信用的原则，一致同意签订本合同。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440112-2023-03905</w:t>
      </w:r>
    </w:p>
    <w:p>
      <w:pPr>
        <w:jc w:val="center"/>
      </w:pPr>
      <w:r>
        <w:rPr>
          <w:b/>
          <w:sz w:val="24"/>
        </w:rPr>
        <w:t>采购项目编号：</w:t>
      </w:r>
      <w:r>
        <w:rPr>
          <w:b/>
          <w:sz w:val="24"/>
        </w:rPr>
        <w:t>GZGK23D196C0572Z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高层次人才体检服务</w:t>
      </w:r>
      <w:r>
        <w:rPr>
          <w:u w:val="single"/>
        </w:rPr>
        <w:t>”</w:t>
      </w:r>
      <w:r>
        <w:rPr/>
        <w:t>项目的招标[采购项目编号为：</w:t>
      </w:r>
      <w:r>
        <w:rPr>
          <w:u w:val="single"/>
        </w:rPr>
        <w:t>GZGK23D196C0572Z</w:t>
      </w:r>
      <w:r>
        <w:rPr/>
        <w:t>]，我方愿参与投标。</w:t>
      </w:r>
    </w:p>
    <w:p>
      <w:pPr>
        <w:ind w:firstLine="480"/>
      </w:pPr>
      <w:r>
        <w:rPr/>
        <w:t>我方确认收到贵方提供的</w:t>
      </w:r>
      <w:r>
        <w:rPr>
          <w:u w:val="single"/>
        </w:rPr>
        <w:t>“</w:t>
      </w:r>
      <w:r>
        <w:rPr>
          <w:u w:val="single"/>
        </w:rPr>
        <w:t>高层次人才体检服务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高层次人才体检服务</w:t>
      </w:r>
      <w:r>
        <w:rPr/>
        <w:t>”项目采购[采购项目编号为</w:t>
      </w:r>
      <w:r>
        <w:rPr/>
        <w:t>GZGK23D196C0572Z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广州市黄埔区人才交流服务中心、广州开发区人才交流服务中心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高层次人才体检服务</w:t>
      </w:r>
      <w:r>
        <w:rPr/>
        <w:t>招标中获中标（采购项目编号：</w:t>
      </w:r>
      <w:r>
        <w:rPr/>
        <w:t>GZGK23D196C0572Z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