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440101-2023-21948</w:t>
      </w:r>
    </w:p>
    <w:p>
      <w:pPr>
        <w:jc w:val="center"/>
      </w:pPr>
      <w:r>
        <w:rPr>
          <w:b/>
          <w:sz w:val="24"/>
        </w:rPr>
        <w:t>采购项目编号：</w:t>
      </w:r>
      <w:r>
        <w:rPr>
          <w:b/>
          <w:sz w:val="24"/>
        </w:rPr>
        <w:t>GZGK23D232C0692Z</w:t>
      </w:r>
    </w:p>
    <w:p>
      <w:pPr>
        <w:jc w:val="center"/>
      </w:pPr>
      <w:r>
        <w:rPr>
          <w:b/>
          <w:sz w:val="24"/>
        </w:rPr>
        <w:t>项目名称：</w:t>
      </w:r>
      <w:r>
        <w:rPr>
          <w:b/>
          <w:sz w:val="24"/>
        </w:rPr>
        <w:t>“YI线三站七室”党建阵地建设项目</w:t>
      </w:r>
    </w:p>
    <w:p>
      <w:pPr>
        <w:jc w:val="center"/>
      </w:pPr>
      <w:r>
        <w:rPr>
          <w:b/>
          <w:sz w:val="24"/>
        </w:rPr>
        <w:t>采购人：</w:t>
      </w:r>
      <w:r>
        <w:rPr>
          <w:b/>
          <w:sz w:val="24"/>
        </w:rPr>
        <w:t>广州铁路职业技术学院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广州铁路职业技术学院</w:t>
      </w:r>
      <w:r>
        <w:rPr/>
        <w:t>的委托，采用</w:t>
      </w:r>
      <w:r>
        <w:rPr/>
        <w:t>公开招标</w:t>
      </w:r>
      <w:r>
        <w:rPr/>
        <w:t>方式组织采购</w:t>
      </w:r>
      <w:r>
        <w:rPr/>
        <w:t>“YI线三站七室”党建阵地建设项目</w:t>
      </w:r>
      <w:r>
        <w:rPr/>
        <w:t>。欢迎符合资格条件的国内供应商参加投标。</w:t>
      </w:r>
    </w:p>
    <w:p>
      <w:r>
        <w:rPr>
          <w:b/>
          <w:sz w:val="28"/>
        </w:rPr>
        <w:t>一.项目概述</w:t>
      </w:r>
    </w:p>
    <w:p>
      <w:r>
        <w:rPr>
          <w:b/>
          <w:sz w:val="24"/>
        </w:rPr>
        <w:t>1.名称与编号</w:t>
      </w:r>
    </w:p>
    <w:p>
      <w:pPr>
        <w:ind w:firstLine="480"/>
      </w:pPr>
      <w:r>
        <w:rPr/>
        <w:t>项目名称：</w:t>
      </w:r>
      <w:r>
        <w:rPr/>
        <w:t>“YI线三站七室”党建阵地建设项目</w:t>
      </w:r>
    </w:p>
    <w:p>
      <w:pPr>
        <w:ind w:firstLine="480"/>
      </w:pPr>
      <w:r>
        <w:rPr/>
        <w:t>采购计划编号：</w:t>
      </w:r>
      <w:r>
        <w:rPr/>
        <w:t>440101-2023-21948</w:t>
      </w:r>
    </w:p>
    <w:p>
      <w:pPr>
        <w:ind w:firstLine="480"/>
      </w:pPr>
      <w:r>
        <w:rPr/>
        <w:t>采购项目编号：</w:t>
      </w:r>
      <w:r>
        <w:rPr/>
        <w:t>GZGK23D232C0692Z</w:t>
      </w:r>
    </w:p>
    <w:p>
      <w:pPr>
        <w:ind w:firstLine="480"/>
      </w:pPr>
      <w:r>
        <w:rPr/>
        <w:t>采购方式：</w:t>
      </w:r>
      <w:r>
        <w:rPr/>
        <w:t>公开招标</w:t>
      </w:r>
    </w:p>
    <w:p>
      <w:pPr>
        <w:ind w:firstLine="480"/>
      </w:pPr>
      <w:r>
        <w:rPr/>
        <w:t>预算金额：</w:t>
      </w:r>
      <w:r>
        <w:rPr/>
        <w:t>2,485,000.00</w:t>
      </w:r>
      <w:r>
        <w:rPr/>
        <w:t>元</w:t>
      </w:r>
    </w:p>
    <w:p>
      <w:r>
        <w:rPr>
          <w:b/>
          <w:sz w:val="24"/>
        </w:rPr>
        <w:t>2.项目内容及需求情况（采购项目技术规格、参数及要求）</w:t>
      </w:r>
    </w:p>
    <w:p>
      <w:pPr>
        <w:ind w:firstLine="480"/>
      </w:pPr>
    </w:p>
    <w:p/>
    <w:p>
      <w:r>
        <w:rPr/>
        <w:t>采购包1(“YI线三站七室”党建阵地建设项目):</w:t>
      </w:r>
    </w:p>
    <w:p>
      <w:r>
        <w:rPr/>
        <w:t>采购包预算金额：2,485,000.00元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其他展览服务</w:t>
            </w:r>
          </w:p>
        </w:tc>
        <w:tc>
          <w:tcPr>
            <w:tcW w:type="dxa" w:w="2136"/>
          </w:tcPr>
          <w:p>
            <w:r>
              <w:rPr/>
              <w:t>“YI线三站七室”党建阵地建设项目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采购包1（“YI线三站七室”党建阵地建设项目）：</w:t>
      </w:r>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 注：本项目的中小企业划分标准所属行业为：租赁和商务服务业。</w:t>
      </w:r>
    </w:p>
    <w:p/>
    <w:p>
      <w:r>
        <w:rPr>
          <w:b/>
          <w:sz w:val="24"/>
        </w:rPr>
        <w:t>3.本项目特定的资格要求：</w:t>
      </w:r>
    </w:p>
    <w:p>
      <w:pPr>
        <w:ind w:firstLine="480"/>
      </w:pPr>
    </w:p>
    <w:p/>
    <w:p>
      <w:r>
        <w:rPr/>
        <w:t>采购包1（“YI线三站七室”党建阵地建设项目）：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广州铁路职业技术学院</w:t>
      </w:r>
    </w:p>
    <w:p>
      <w:pPr>
        <w:ind w:firstLine="480"/>
      </w:pPr>
      <w:r>
        <w:rPr/>
        <w:t>地址：</w:t>
      </w:r>
      <w:r>
        <w:rPr/>
        <w:t>广州市增城区科德大道198号</w:t>
      </w:r>
    </w:p>
    <w:p>
      <w:pPr>
        <w:ind w:firstLine="480"/>
      </w:pPr>
      <w:r>
        <w:rPr/>
        <w:t>联系方式：</w:t>
      </w:r>
      <w:r>
        <w:rPr/>
        <w:t>020-39709361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020-37814404、020-87684402</w:t>
      </w:r>
    </w:p>
    <w:p>
      <w:r>
        <w:rPr>
          <w:b/>
          <w:sz w:val="24"/>
        </w:rPr>
        <w:t>3.项目联系方式</w:t>
      </w:r>
    </w:p>
    <w:p>
      <w:pPr>
        <w:ind w:firstLine="480"/>
      </w:pPr>
      <w:r>
        <w:rPr/>
        <w:t>项目联系人：</w:t>
      </w:r>
      <w:r>
        <w:rPr/>
        <w:t>吕永珊、吴秋娜</w:t>
      </w:r>
    </w:p>
    <w:p>
      <w:pPr>
        <w:ind w:firstLine="480"/>
      </w:pPr>
      <w:r>
        <w:rPr/>
        <w:t>电话：</w:t>
      </w:r>
      <w:r>
        <w:rPr/>
        <w:t>020-37814404、020-87684402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GZGK23D232C0692Z</w:t>
      </w:r>
    </w:p>
    <w:p>
      <w:pPr>
        <w:jc w:val="both"/>
      </w:pPr>
      <w:r>
        <w:rPr>
          <w:b/>
          <w:sz w:val="21"/>
        </w:rPr>
        <w:t>（二）</w:t>
      </w:r>
      <w:r>
        <w:rPr>
          <w:b/>
          <w:sz w:val="21"/>
        </w:rPr>
        <w:t>项目名称：</w:t>
      </w:r>
      <w:r>
        <w:rPr>
          <w:sz w:val="21"/>
        </w:rPr>
        <w:t>广州铁路职业技术学院</w:t>
      </w:r>
      <w:r>
        <w:rPr>
          <w:sz w:val="21"/>
        </w:rPr>
        <w:t>“</w:t>
      </w:r>
      <w:r>
        <w:rPr>
          <w:sz w:val="21"/>
        </w:rPr>
        <w:t>YI</w:t>
      </w:r>
      <w:r>
        <w:rPr>
          <w:sz w:val="21"/>
        </w:rPr>
        <w:t>线三站七室”党建阵地布展服务采购项目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小型和微型企业、监狱企业和残疾人福利性单位必须按照招标文件第三章内容提供相应的资料。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完成本项目的服务成本、管理费、人员劳务费、供应商的利润、各项税费及合同实施过程中一切可见及不可预见费用。投标人报价中漏报、少报的费用，视为此项费用已隐含在投标报价中，投标人中标后不得再向采购人收取任何费用。</w:t>
      </w:r>
    </w:p>
    <w:p>
      <w:pPr>
        <w:jc w:val="both"/>
      </w:pPr>
      <w:r>
        <w:rPr>
          <w:b/>
          <w:sz w:val="21"/>
        </w:rPr>
        <w:t>（六）</w:t>
      </w:r>
      <w:r>
        <w:rPr>
          <w:b/>
          <w:sz w:val="21"/>
        </w:rPr>
        <w:t>实现的目标</w:t>
      </w:r>
    </w:p>
    <w:p>
      <w:pPr>
        <w:ind w:firstLine="420"/>
        <w:jc w:val="both"/>
      </w:pPr>
      <w:r>
        <w:rPr>
          <w:sz w:val="21"/>
        </w:rPr>
        <w:t>本项目拟通过公开招标的方式，选取一家中标供应商，为</w:t>
      </w:r>
      <w:r>
        <w:rPr>
          <w:sz w:val="21"/>
        </w:rPr>
        <w:t>广州铁路职业技术学院</w:t>
      </w:r>
      <w:r>
        <w:rPr>
          <w:sz w:val="21"/>
        </w:rPr>
        <w:t>“</w:t>
      </w:r>
      <w:r>
        <w:rPr>
          <w:sz w:val="21"/>
        </w:rPr>
        <w:t>YI</w:t>
      </w:r>
      <w:r>
        <w:rPr>
          <w:sz w:val="21"/>
        </w:rPr>
        <w:t>线三站七室”党建阵地提供布展策划及相关服务。实现强化理论武装，深化思想认识，坚持社会主义办学方向，落实立德树人根本任务，全面推进新时代采购人党建工作，不断提升采购人党建工作整体水平的目标。</w:t>
      </w:r>
    </w:p>
    <w:p>
      <w:pPr>
        <w:jc w:val="both"/>
      </w:pPr>
      <w:r>
        <w:rPr>
          <w:b/>
          <w:sz w:val="21"/>
        </w:rPr>
        <w:t>（七）</w:t>
      </w:r>
      <w:r>
        <w:rPr>
          <w:b/>
          <w:sz w:val="21"/>
        </w:rPr>
        <w:t>需执行国家相关标准、行业标准、地方标准或者其他标准、规范</w:t>
      </w:r>
    </w:p>
    <w:p>
      <w:pPr>
        <w:jc w:val="both"/>
      </w:pPr>
      <w:r>
        <w:rPr>
          <w:b/>
          <w:sz w:val="21"/>
        </w:rPr>
        <w:t>（八）</w:t>
      </w:r>
      <w:r>
        <w:rPr>
          <w:b/>
          <w:sz w:val="21"/>
        </w:rPr>
        <w:t>项目概述</w:t>
      </w:r>
    </w:p>
    <w:p>
      <w:pPr>
        <w:ind w:firstLine="420"/>
        <w:jc w:val="both"/>
      </w:pPr>
      <w:r>
        <w:rPr>
          <w:sz w:val="21"/>
        </w:rPr>
        <w:t>1.项目背景</w:t>
      </w:r>
    </w:p>
    <w:p>
      <w:pPr>
        <w:ind w:firstLine="420"/>
        <w:jc w:val="both"/>
      </w:pPr>
      <w:r>
        <w:rPr>
          <w:sz w:val="21"/>
        </w:rPr>
        <w:t>教育事关国家和民族未来，学校承担着培养社会主义建设者和接班人的重要任务。关于办学育人，国家总书记强调要坚持立德树人，把培育和践行社会主义核心价值观融入教书育人全过程，牢牢把握学校意识形态工作领导权，坚持和完善党委领导下的校长负责制。众所周知，学校承担着特殊的使命和责任，因此强化理论武装，深化思想认识，坚持社会主义办学方向，落实立德树人根本任务，全面推进新时代学校党建工作，不断提升学校党建工作整体水平十分重要。</w:t>
      </w:r>
    </w:p>
    <w:p>
      <w:pPr>
        <w:ind w:firstLine="420"/>
        <w:jc w:val="both"/>
      </w:pPr>
      <w:r>
        <w:rPr>
          <w:sz w:val="21"/>
        </w:rPr>
        <w:t>2</w:t>
      </w:r>
      <w:r>
        <w:rPr>
          <w:sz w:val="21"/>
        </w:rPr>
        <w:t>.</w:t>
      </w:r>
      <w:r>
        <w:rPr>
          <w:sz w:val="21"/>
        </w:rPr>
        <w:t>本次招标范围为：广州铁路职业技术学院</w:t>
      </w:r>
      <w:r>
        <w:rPr>
          <w:sz w:val="21"/>
        </w:rPr>
        <w:t>“</w:t>
      </w:r>
      <w:r>
        <w:rPr>
          <w:sz w:val="21"/>
        </w:rPr>
        <w:t>YI</w:t>
      </w:r>
      <w:r>
        <w:rPr>
          <w:sz w:val="21"/>
        </w:rPr>
        <w:t>线三站七室”党建阵地布展策划及相关服务。</w:t>
      </w:r>
    </w:p>
    <w:p>
      <w:pPr>
        <w:ind w:firstLine="420"/>
        <w:jc w:val="both"/>
      </w:pPr>
      <w:r>
        <w:rPr>
          <w:sz w:val="21"/>
        </w:rPr>
        <w:t>3</w:t>
      </w:r>
      <w:r>
        <w:rPr>
          <w:sz w:val="21"/>
        </w:rPr>
        <w:t>.</w:t>
      </w:r>
      <w:r>
        <w:rPr>
          <w:sz w:val="21"/>
        </w:rPr>
        <w:t>项目面积：项目总面积约</w:t>
      </w:r>
      <w:r>
        <w:rPr>
          <w:sz w:val="21"/>
        </w:rPr>
        <w:t>1829.2平方米。</w:t>
      </w:r>
    </w:p>
    <w:p>
      <w:pPr>
        <w:ind w:firstLine="420"/>
        <w:jc w:val="both"/>
      </w:pPr>
      <w:r>
        <w:rPr>
          <w:sz w:val="21"/>
        </w:rPr>
        <w:t>4</w:t>
      </w:r>
      <w:r>
        <w:rPr>
          <w:sz w:val="21"/>
        </w:rPr>
        <w:t>.</w:t>
      </w:r>
      <w:r>
        <w:rPr>
          <w:sz w:val="21"/>
        </w:rPr>
        <w:t>服务内容：</w:t>
      </w:r>
      <w:r>
        <w:rPr>
          <w:sz w:val="21"/>
        </w:rPr>
        <w:t>本项目服务范围主要为广州铁路职业技术学院</w:t>
      </w:r>
      <w:r>
        <w:rPr>
          <w:sz w:val="21"/>
        </w:rPr>
        <w:t>“</w:t>
      </w:r>
      <w:r>
        <w:rPr>
          <w:sz w:val="21"/>
        </w:rPr>
        <w:t>YI</w:t>
      </w:r>
      <w:r>
        <w:rPr>
          <w:sz w:val="21"/>
        </w:rPr>
        <w:t>线三站七室”党建阵地布展策划及相关服务，包括但不限于走访调研、史料收集、内容策划、大纲编写；展示方案设计；基础搭建，陈列布展实施、场景的创作及制作安装；多媒体展项内容定制化、数字内容与互动程序等制作。</w:t>
      </w:r>
    </w:p>
    <w:p/>
    <w:p>
      <w:pPr>
        <w:ind w:firstLine="480"/>
      </w:pPr>
    </w:p>
    <w:p/>
    <w:p>
      <w:r>
        <w:rPr/>
        <w:t>采购包1（“YI线三站七室”党建阵地建设项目）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自合同签订之日起120日内(包括但不限于大纲编写、设计、布展、系统调试、竣工验收等)。</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1期：支付比例100%,本项目分两期付款： 1、采购人与中标供应商合同签订生效且采购人收到中标供应商提供的正式发票后5个工作日内，采购人向中标供应商支付合同金额的80%作为预付款； 2、项目完成并验收合格后，采购人在收到中标供应商提供的正式发票后5个工作日内支付合同金额的20%。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1期：（一）验收时间：中标供应商在项目完成后，认为达到项目要求的，应向采购人提出书面验收申请，采购人无异议的，7个工作日内组织验收，验收应在采购人与中标供应商双方共同参加下进行。 （二）验收内容：本服务项目的采购需求内容已全部完成。 （三）验收按照国家或行业有关的规定、规范进行（若无有关的规定、规范可双方协商验收）。 （四）验收时如发现服务内容不符合项目需求规定之情形，采购人应作出详尽的现场记录，并交由中标供应商签字确认，或由采购人与中标供应商双方签署备忘录。此现场记录或备忘录可用作补充、缺失的有效证据。由此产生的有关费用由中标供应商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其他展览服务</w:t>
            </w:r>
          </w:p>
        </w:tc>
        <w:tc>
          <w:tcPr>
            <w:tcW w:type="dxa" w:w="933"/>
          </w:tcPr>
          <w:p>
            <w:pPr>
              <w:jc w:val="left"/>
            </w:pPr>
            <w:r>
              <w:rPr/>
              <w:t>“YI线三站七室”党建阵地建设项目</w:t>
            </w:r>
          </w:p>
        </w:tc>
        <w:tc>
          <w:tcPr>
            <w:tcW w:type="dxa" w:w="933"/>
          </w:tcPr>
          <w:p>
            <w:pPr>
              <w:jc w:val="left"/>
            </w:pPr>
            <w:r>
              <w:rPr/>
              <w:t>项</w:t>
            </w:r>
          </w:p>
        </w:tc>
        <w:tc>
          <w:tcPr>
            <w:tcW w:type="dxa" w:w="933"/>
          </w:tcPr>
          <w:p>
            <w:pPr>
              <w:jc w:val="right"/>
            </w:pPr>
            <w:r>
              <w:rPr/>
              <w:t>1.00</w:t>
            </w:r>
          </w:p>
        </w:tc>
        <w:tc>
          <w:tcPr>
            <w:tcW w:type="dxa" w:w="933"/>
          </w:tcPr>
          <w:p>
            <w:pPr>
              <w:jc w:val="right"/>
            </w:pPr>
            <w:r>
              <w:rPr/>
              <w:t>2,485,000.00</w:t>
            </w:r>
          </w:p>
        </w:tc>
        <w:tc>
          <w:tcPr>
            <w:tcW w:type="dxa" w:w="933"/>
          </w:tcPr>
          <w:p>
            <w:pPr>
              <w:jc w:val="right"/>
            </w:pPr>
            <w:r>
              <w:rPr/>
              <w:t>2,485,000.00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“YI线三站七室”党建阵地建设项目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w:t>
            </w:r>
            <w:r>
              <w:rPr>
                <w:b/>
                <w:sz w:val="21"/>
              </w:rPr>
              <w:t>指导思想及原则</w:t>
            </w:r>
          </w:p>
          <w:p>
            <w:pPr>
              <w:ind w:firstLine="420"/>
              <w:jc w:val="both"/>
            </w:pPr>
            <w:r>
              <w:rPr>
                <w:sz w:val="21"/>
              </w:rPr>
              <w:t>①</w:t>
            </w:r>
            <w:r>
              <w:rPr>
                <w:sz w:val="21"/>
              </w:rPr>
              <w:t>应注重</w:t>
            </w:r>
            <w:r>
              <w:rPr>
                <w:sz w:val="21"/>
              </w:rPr>
              <w:t>主展区及周边区域</w:t>
            </w:r>
            <w:r>
              <w:rPr>
                <w:sz w:val="21"/>
              </w:rPr>
              <w:t>的一致性，</w:t>
            </w:r>
            <w:r>
              <w:rPr>
                <w:sz w:val="21"/>
              </w:rPr>
              <w:t>形成浓厚校园氛围的</w:t>
            </w:r>
            <w:r>
              <w:rPr>
                <w:sz w:val="21"/>
              </w:rPr>
              <w:t>有机结合；</w:t>
            </w:r>
          </w:p>
          <w:p>
            <w:pPr>
              <w:ind w:firstLine="420"/>
              <w:jc w:val="both"/>
            </w:pPr>
            <w:r>
              <w:rPr>
                <w:sz w:val="21"/>
              </w:rPr>
              <w:t>②</w:t>
            </w:r>
            <w:r>
              <w:rPr>
                <w:sz w:val="21"/>
              </w:rPr>
              <w:t>功能合理性与体验的趣味性结合起来，形成合理性的功能结构空间逻辑与感性的建筑形态、环境气氛有机融汇；</w:t>
            </w:r>
          </w:p>
          <w:p>
            <w:pPr>
              <w:ind w:firstLine="420"/>
              <w:jc w:val="both"/>
            </w:pPr>
            <w:r>
              <w:rPr>
                <w:sz w:val="21"/>
              </w:rPr>
              <w:t>③</w:t>
            </w:r>
            <w:r>
              <w:rPr>
                <w:sz w:val="21"/>
              </w:rPr>
              <w:t>遵循简朴庄重、经济适用的原则，力求节约，讲求效益，</w:t>
            </w:r>
            <w:r>
              <w:rPr>
                <w:sz w:val="21"/>
              </w:rPr>
              <w:t xml:space="preserve"> </w:t>
            </w:r>
            <w:r>
              <w:rPr>
                <w:sz w:val="21"/>
              </w:rPr>
              <w:t>兼顾美观和地方特色；</w:t>
            </w:r>
          </w:p>
          <w:p>
            <w:pPr>
              <w:ind w:firstLine="420"/>
              <w:jc w:val="both"/>
            </w:pPr>
            <w:r>
              <w:rPr>
                <w:sz w:val="21"/>
              </w:rPr>
              <w:t>④</w:t>
            </w:r>
            <w:r>
              <w:rPr>
                <w:sz w:val="21"/>
              </w:rPr>
              <w:t>平面布置需有利于集散、确保安全，符合建筑设计防火规范要求；</w:t>
            </w:r>
          </w:p>
          <w:p>
            <w:pPr>
              <w:ind w:firstLine="420"/>
              <w:jc w:val="both"/>
            </w:pPr>
            <w:r>
              <w:rPr>
                <w:sz w:val="21"/>
              </w:rPr>
              <w:t>⑤</w:t>
            </w:r>
            <w:r>
              <w:rPr>
                <w:sz w:val="21"/>
              </w:rPr>
              <w:t>严格控制布展材料的质量，达到国家材料环保标准；</w:t>
            </w:r>
          </w:p>
          <w:p>
            <w:pPr>
              <w:ind w:firstLine="420"/>
              <w:jc w:val="both"/>
            </w:pPr>
            <w:r>
              <w:rPr>
                <w:sz w:val="21"/>
              </w:rPr>
              <w:t>⑥</w:t>
            </w:r>
            <w:r>
              <w:rPr>
                <w:sz w:val="21"/>
              </w:rPr>
              <w:t>以舒适性、健康性、生态性、安全性和经济性为出发点，</w:t>
            </w:r>
            <w:r>
              <w:rPr>
                <w:sz w:val="21"/>
              </w:rPr>
              <w:t xml:space="preserve"> </w:t>
            </w:r>
            <w:r>
              <w:rPr>
                <w:sz w:val="21"/>
              </w:rPr>
              <w:t>创造出一个布局合理、功能齐备、交通便捷、环境优美、智能化的示范展示区</w:t>
            </w:r>
            <w:r>
              <w:rPr>
                <w:sz w:val="21"/>
              </w:rPr>
              <w:t>。</w:t>
            </w:r>
          </w:p>
          <w:p>
            <w:pPr>
              <w:jc w:val="both"/>
            </w:pPr>
            <w:r>
              <w:rPr>
                <w:b/>
                <w:sz w:val="21"/>
              </w:rPr>
              <w:t>二、项目定位</w:t>
            </w:r>
          </w:p>
          <w:p>
            <w:pPr>
              <w:ind w:firstLine="420"/>
              <w:jc w:val="both"/>
            </w:pPr>
            <w:r>
              <w:rPr>
                <w:sz w:val="21"/>
              </w:rPr>
              <w:t>定位一：</w:t>
            </w:r>
            <w:r>
              <w:rPr>
                <w:sz w:val="21"/>
              </w:rPr>
              <w:t>校园党建文化宣传展示平台</w:t>
            </w:r>
            <w:r>
              <w:rPr>
                <w:sz w:val="21"/>
              </w:rPr>
              <w:t>。</w:t>
            </w:r>
            <w:r>
              <w:rPr>
                <w:sz w:val="21"/>
              </w:rPr>
              <w:t xml:space="preserve"> </w:t>
            </w:r>
          </w:p>
          <w:p>
            <w:pPr>
              <w:ind w:firstLine="420"/>
              <w:jc w:val="both"/>
            </w:pPr>
            <w:r>
              <w:rPr>
                <w:sz w:val="21"/>
              </w:rPr>
              <w:t>定位二：</w:t>
            </w:r>
            <w:r>
              <w:rPr>
                <w:sz w:val="21"/>
              </w:rPr>
              <w:t>党建教育学习阵地（功能性）</w:t>
            </w:r>
            <w:r>
              <w:rPr>
                <w:sz w:val="21"/>
              </w:rPr>
              <w:t>。</w:t>
            </w:r>
          </w:p>
          <w:p>
            <w:pPr>
              <w:jc w:val="both"/>
            </w:pPr>
            <w:r>
              <w:rPr>
                <w:b/>
                <w:sz w:val="21"/>
              </w:rPr>
              <w:t>三、设计理念要求</w:t>
            </w:r>
          </w:p>
          <w:p>
            <w:pPr>
              <w:ind w:firstLine="420"/>
              <w:jc w:val="both"/>
            </w:pPr>
            <w:r>
              <w:rPr>
                <w:sz w:val="21"/>
              </w:rPr>
              <w:t>①</w:t>
            </w:r>
            <w:r>
              <w:rPr>
                <w:sz w:val="21"/>
              </w:rPr>
              <w:t>在</w:t>
            </w:r>
            <w:r>
              <w:rPr>
                <w:sz w:val="21"/>
              </w:rPr>
              <w:t>新时代下</w:t>
            </w:r>
            <w:r>
              <w:rPr>
                <w:sz w:val="21"/>
              </w:rPr>
              <w:t>，</w:t>
            </w:r>
            <w:r>
              <w:rPr>
                <w:sz w:val="21"/>
              </w:rPr>
              <w:t>以加强校园文化建设为目的，打造采购人的党建文化宣传展示平台，多功能的党建教育学习阵地。</w:t>
            </w:r>
          </w:p>
          <w:p>
            <w:pPr>
              <w:jc w:val="both"/>
            </w:pPr>
            <w:r>
              <w:rPr>
                <w:b/>
                <w:sz w:val="21"/>
              </w:rPr>
              <w:t>四、大纲编写要求</w:t>
            </w:r>
          </w:p>
          <w:p>
            <w:pPr>
              <w:ind w:firstLine="420"/>
              <w:jc w:val="both"/>
            </w:pPr>
            <w:r>
              <w:rPr>
                <w:sz w:val="21"/>
              </w:rPr>
              <w:t>①</w:t>
            </w:r>
            <w:r>
              <w:rPr>
                <w:sz w:val="21"/>
              </w:rPr>
              <w:t>对</w:t>
            </w:r>
            <w:r>
              <w:rPr>
                <w:sz w:val="21"/>
              </w:rPr>
              <w:t>项目</w:t>
            </w:r>
            <w:r>
              <w:rPr>
                <w:sz w:val="21"/>
              </w:rPr>
              <w:t>的定位</w:t>
            </w:r>
            <w:r>
              <w:rPr>
                <w:sz w:val="21"/>
              </w:rPr>
              <w:t>把握准确，有高度的政治觉悟，充分了解校史馆的功能及意义，并对采购人的发展及相关</w:t>
            </w:r>
            <w:r>
              <w:rPr>
                <w:sz w:val="21"/>
              </w:rPr>
              <w:t>具体内容进行充分调研与资料收集</w:t>
            </w:r>
            <w:r>
              <w:rPr>
                <w:sz w:val="21"/>
              </w:rPr>
              <w:t>；</w:t>
            </w:r>
          </w:p>
          <w:p>
            <w:pPr>
              <w:ind w:firstLine="420"/>
              <w:jc w:val="both"/>
            </w:pPr>
            <w:r>
              <w:rPr>
                <w:sz w:val="21"/>
              </w:rPr>
              <w:t>②</w:t>
            </w:r>
            <w:r>
              <w:rPr>
                <w:sz w:val="21"/>
              </w:rPr>
              <w:t>围绕展览主题，收集相关实物、照片、文件、音视频等各种素材</w:t>
            </w:r>
            <w:r>
              <w:rPr>
                <w:sz w:val="21"/>
              </w:rPr>
              <w:t>，</w:t>
            </w:r>
            <w:r>
              <w:rPr>
                <w:sz w:val="21"/>
              </w:rPr>
              <w:t>开展研究</w:t>
            </w:r>
            <w:r>
              <w:rPr>
                <w:sz w:val="21"/>
              </w:rPr>
              <w:t>；</w:t>
            </w:r>
            <w:r>
              <w:rPr>
                <w:sz w:val="21"/>
              </w:rPr>
              <w:t xml:space="preserve"> </w:t>
            </w:r>
          </w:p>
          <w:p>
            <w:pPr>
              <w:ind w:firstLine="420"/>
              <w:jc w:val="both"/>
            </w:pPr>
            <w:r>
              <w:rPr>
                <w:sz w:val="21"/>
              </w:rPr>
              <w:t>③协助采购人征集展品</w:t>
            </w:r>
            <w:r>
              <w:rPr>
                <w:sz w:val="21"/>
              </w:rPr>
              <w:t>，并</w:t>
            </w:r>
            <w:r>
              <w:rPr>
                <w:sz w:val="21"/>
              </w:rPr>
              <w:t>遴选出适合的展品</w:t>
            </w:r>
            <w:r>
              <w:rPr>
                <w:sz w:val="21"/>
              </w:rPr>
              <w:t>；</w:t>
            </w:r>
            <w:r>
              <w:rPr>
                <w:sz w:val="21"/>
              </w:rPr>
              <w:t>根据展览需求就新的展品征集进行策划、组织征集实物布展工作</w:t>
            </w:r>
            <w:r>
              <w:rPr>
                <w:sz w:val="21"/>
              </w:rPr>
              <w:t>；</w:t>
            </w:r>
            <w:r>
              <w:rPr>
                <w:sz w:val="21"/>
              </w:rPr>
              <w:t xml:space="preserve"> </w:t>
            </w:r>
          </w:p>
          <w:p>
            <w:pPr>
              <w:ind w:firstLine="420"/>
              <w:jc w:val="both"/>
            </w:pPr>
            <w:r>
              <w:rPr>
                <w:sz w:val="21"/>
              </w:rPr>
              <w:t>④</w:t>
            </w:r>
            <w:r>
              <w:rPr>
                <w:sz w:val="21"/>
              </w:rPr>
              <w:t>编制展览脚本</w:t>
            </w:r>
            <w:r>
              <w:rPr>
                <w:sz w:val="21"/>
              </w:rPr>
              <w:t>,包含但不限于展览标题</w:t>
            </w:r>
            <w:r>
              <w:rPr>
                <w:sz w:val="21"/>
              </w:rPr>
              <w:t>；</w:t>
            </w:r>
            <w:r>
              <w:rPr>
                <w:sz w:val="21"/>
              </w:rPr>
              <w:t>前言</w:t>
            </w:r>
            <w:r>
              <w:rPr>
                <w:sz w:val="21"/>
              </w:rPr>
              <w:t>；</w:t>
            </w:r>
            <w:r>
              <w:rPr>
                <w:sz w:val="21"/>
              </w:rPr>
              <w:t>部分、单元、展品组及其说明</w:t>
            </w:r>
            <w:r>
              <w:rPr>
                <w:sz w:val="21"/>
              </w:rPr>
              <w:t>；</w:t>
            </w:r>
            <w:r>
              <w:rPr>
                <w:sz w:val="21"/>
              </w:rPr>
              <w:t>展品说明牌、展项的相关概括说明、结束语等</w:t>
            </w:r>
            <w:r>
              <w:rPr>
                <w:sz w:val="21"/>
              </w:rPr>
              <w:t>；</w:t>
            </w:r>
          </w:p>
          <w:p>
            <w:pPr>
              <w:ind w:firstLine="420"/>
              <w:jc w:val="both"/>
            </w:pPr>
            <w:r>
              <w:rPr>
                <w:sz w:val="21"/>
              </w:rPr>
              <w:t>⑤</w:t>
            </w:r>
            <w:r>
              <w:rPr>
                <w:sz w:val="21"/>
              </w:rPr>
              <w:t>编写符合展览内容和风格的展览讲解词</w:t>
            </w:r>
            <w:r>
              <w:rPr>
                <w:sz w:val="21"/>
              </w:rPr>
              <w:t>,并对讲解员进行内容培训。</w:t>
            </w:r>
          </w:p>
          <w:p>
            <w:pPr>
              <w:jc w:val="both"/>
            </w:pPr>
            <w:r>
              <w:rPr>
                <w:b/>
                <w:sz w:val="21"/>
              </w:rPr>
              <w:t>五、项目设计方案、艺术及多媒体数字内容创作、布展实施要求</w:t>
            </w:r>
          </w:p>
          <w:p>
            <w:pPr>
              <w:ind w:firstLine="420"/>
              <w:jc w:val="left"/>
            </w:pPr>
            <w:r>
              <w:rPr>
                <w:sz w:val="21"/>
              </w:rPr>
              <w:t>①</w:t>
            </w:r>
            <w:r>
              <w:rPr>
                <w:sz w:val="21"/>
              </w:rPr>
              <w:t>在项目实施过程中，必须服从采购人及相关部门的监督、管理和指挥。</w:t>
            </w:r>
          </w:p>
          <w:p>
            <w:pPr>
              <w:ind w:firstLine="420"/>
              <w:jc w:val="left"/>
            </w:pPr>
            <w:r>
              <w:rPr>
                <w:sz w:val="21"/>
              </w:rPr>
              <w:t>②</w:t>
            </w:r>
            <w:r>
              <w:rPr>
                <w:sz w:val="21"/>
              </w:rPr>
              <w:t>必须认真做好安全工作，确保展馆布置实施的安全。</w:t>
            </w:r>
          </w:p>
          <w:p>
            <w:pPr>
              <w:ind w:firstLine="420"/>
              <w:jc w:val="left"/>
            </w:pPr>
            <w:r>
              <w:rPr>
                <w:sz w:val="21"/>
              </w:rPr>
              <w:t>③</w:t>
            </w:r>
            <w:r>
              <w:rPr>
                <w:sz w:val="21"/>
              </w:rPr>
              <w:t>知识产权的归属</w:t>
            </w:r>
            <w:r>
              <w:rPr>
                <w:sz w:val="21"/>
              </w:rPr>
              <w:t>: 本服务项目所有工作成果的知识产权归</w:t>
            </w:r>
            <w:r>
              <w:rPr>
                <w:sz w:val="21"/>
              </w:rPr>
              <w:t>采购人</w:t>
            </w:r>
            <w:r>
              <w:rPr>
                <w:sz w:val="21"/>
              </w:rPr>
              <w:t>所有（署名权除外），</w:t>
            </w:r>
            <w:r>
              <w:rPr>
                <w:sz w:val="21"/>
              </w:rPr>
              <w:t>中标供应商</w:t>
            </w:r>
            <w:r>
              <w:rPr>
                <w:sz w:val="21"/>
              </w:rPr>
              <w:t>享有工作成果的署名权，采购人享有本项目所有工作成果的永久无偿使用权。</w:t>
            </w:r>
          </w:p>
          <w:p>
            <w:pPr>
              <w:ind w:firstLine="420"/>
              <w:jc w:val="left"/>
            </w:pPr>
            <w:r>
              <w:rPr>
                <w:sz w:val="21"/>
              </w:rPr>
              <w:t>④</w:t>
            </w:r>
            <w:r>
              <w:rPr>
                <w:sz w:val="21"/>
              </w:rPr>
              <w:t>设计成果须经</w:t>
            </w:r>
            <w:r>
              <w:rPr>
                <w:sz w:val="21"/>
              </w:rPr>
              <w:t>采购人</w:t>
            </w:r>
            <w:r>
              <w:rPr>
                <w:sz w:val="21"/>
              </w:rPr>
              <w:t>审核确认后方可实施，为避免重复布展，现场实施开展之前须经</w:t>
            </w:r>
            <w:r>
              <w:rPr>
                <w:sz w:val="21"/>
              </w:rPr>
              <w:t>采购人</w:t>
            </w:r>
            <w:r>
              <w:rPr>
                <w:sz w:val="21"/>
              </w:rPr>
              <w:t>确认同意后方可进行。</w:t>
            </w:r>
          </w:p>
          <w:p>
            <w:pPr>
              <w:ind w:firstLine="420"/>
              <w:jc w:val="left"/>
            </w:pPr>
          </w:p>
          <w:p>
            <w:pPr>
              <w:jc w:val="both"/>
            </w:pPr>
            <w:r>
              <w:rPr>
                <w:b/>
                <w:sz w:val="21"/>
              </w:rPr>
              <w:t>六、项目的可用布展区域</w:t>
            </w:r>
          </w:p>
          <w:tbl>
            <w:tblPr>
              <w:tblBorders>
                <w:top w:val="none" w:color="000000" w:sz="4"/>
                <w:left w:val="none" w:color="000000" w:sz="4"/>
                <w:bottom w:val="none" w:color="000000" w:sz="4"/>
                <w:right w:val="none" w:color="000000" w:sz="4"/>
                <w:insideH w:val="none"/>
                <w:insideV w:val="none"/>
              </w:tblBorders>
            </w:tblPr>
            <w:tblGrid>
              <w:gridCol w:w="717"/>
              <w:gridCol w:w="3436"/>
              <w:gridCol w:w="1445"/>
            </w:tblGrid>
            <w:tr>
              <w:tc>
                <w:tcPr>
                  <w:tcW w:type="dxa" w:w="71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3436"/>
                  <w:tcBorders>
                    <w:top w:val="single" w:color="000000" w:sz="4"/>
                    <w:left w:val="none" w:color="000000" w:sz="4"/>
                    <w:bottom w:val="single" w:color="000000" w:sz="4"/>
                    <w:right w:val="single" w:color="000000" w:sz="4"/>
                  </w:tcBorders>
                  <w:vAlign w:val="top"/>
                </w:tcPr>
                <w:p>
                  <w:pPr>
                    <w:jc w:val="center"/>
                  </w:pPr>
                  <w:r>
                    <w:rPr>
                      <w:b/>
                      <w:color w:val="000000"/>
                      <w:sz w:val="21"/>
                    </w:rPr>
                    <w:t>布展区域点</w:t>
                  </w:r>
                </w:p>
              </w:tc>
              <w:tc>
                <w:tcPr>
                  <w:tcW w:type="dxa" w:w="1445"/>
                  <w:tcBorders>
                    <w:top w:val="single" w:color="000000" w:sz="4"/>
                    <w:left w:val="none" w:color="000000" w:sz="4"/>
                    <w:bottom w:val="single" w:color="000000" w:sz="4"/>
                    <w:right w:val="single" w:color="000000" w:sz="4"/>
                  </w:tcBorders>
                  <w:vAlign w:val="top"/>
                </w:tcPr>
                <w:p>
                  <w:pPr>
                    <w:jc w:val="center"/>
                  </w:pPr>
                  <w:r>
                    <w:rPr>
                      <w:b/>
                      <w:color w:val="000000"/>
                      <w:sz w:val="21"/>
                    </w:rPr>
                    <w:t>使用面积</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A3行政楼党建大堂</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250㎡</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A3行政楼7楼学研驿站，走廊展示墙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98.5㎡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5楼（电气工程学院502室），走廊展示墙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162.5㎡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3楼（信息工程学院316室），走廊展示墙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185㎡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2楼（运输物流学院216室），走廊展示墙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162.5㎡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文理楼</w:t>
                  </w:r>
                  <w:r>
                    <w:rPr>
                      <w:color w:val="000000"/>
                      <w:sz w:val="21"/>
                    </w:rPr>
                    <w:t>4楼（外商学院414室），走廊展示墙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162.5㎡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交通楼</w:t>
                  </w:r>
                  <w:r>
                    <w:rPr>
                      <w:color w:val="000000"/>
                      <w:sz w:val="21"/>
                    </w:rPr>
                    <w:t>3楼（机车车辆学院305室），走廊展示墙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137.5㎡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436"/>
                  <w:tcBorders>
                    <w:top w:val="none" w:color="000000" w:sz="4"/>
                    <w:left w:val="none" w:color="000000" w:sz="4"/>
                    <w:bottom w:val="single" w:color="000000" w:sz="4"/>
                    <w:right w:val="single" w:color="000000" w:sz="4"/>
                  </w:tcBorders>
                  <w:vAlign w:val="top"/>
                </w:tcPr>
                <w:p>
                  <w:pPr>
                    <w:jc w:val="left"/>
                  </w:pPr>
                  <w:r>
                    <w:rPr>
                      <w:color w:val="000000"/>
                      <w:sz w:val="21"/>
                    </w:rPr>
                    <w:t>交通楼</w:t>
                  </w:r>
                  <w:r>
                    <w:rPr>
                      <w:color w:val="000000"/>
                      <w:sz w:val="21"/>
                    </w:rPr>
                    <w:t>2楼（铁道工程学院207室），走廊展示墙</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79.5㎡</w:t>
                  </w:r>
                </w:p>
              </w:tc>
            </w:tr>
            <w:tr>
              <w:tc>
                <w:tcPr>
                  <w:tcW w:type="dxa" w:w="71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436"/>
                  <w:tcBorders>
                    <w:top w:val="none" w:color="000000" w:sz="4"/>
                    <w:left w:val="none" w:color="000000" w:sz="4"/>
                    <w:bottom w:val="single" w:color="000000" w:sz="4"/>
                    <w:right w:val="single" w:color="000000" w:sz="4"/>
                  </w:tcBorders>
                  <w:vAlign w:val="top"/>
                </w:tcPr>
                <w:p>
                  <w:pPr>
                    <w:jc w:val="left"/>
                  </w:pPr>
                  <w:r>
                    <w:rPr>
                      <w:sz w:val="21"/>
                    </w:rPr>
                    <w:t>机电楼</w:t>
                  </w:r>
                  <w:r>
                    <w:rPr>
                      <w:sz w:val="21"/>
                    </w:rPr>
                    <w:t>2楼（机电工程学院213室），走廊展示墙</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83㎡</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436"/>
                  <w:tcBorders>
                    <w:top w:val="none" w:color="000000" w:sz="4"/>
                    <w:left w:val="none" w:color="000000" w:sz="4"/>
                    <w:bottom w:val="single" w:color="000000" w:sz="4"/>
                    <w:right w:val="single" w:color="000000" w:sz="4"/>
                  </w:tcBorders>
                  <w:vAlign w:val="top"/>
                </w:tcPr>
                <w:p>
                  <w:pPr>
                    <w:jc w:val="left"/>
                  </w:pPr>
                  <w:r>
                    <w:rPr>
                      <w:sz w:val="21"/>
                    </w:rPr>
                    <w:t>共建驿站（党建列车）</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178.2㎡</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436"/>
                  <w:tcBorders>
                    <w:top w:val="none" w:color="000000" w:sz="4"/>
                    <w:left w:val="none" w:color="000000" w:sz="4"/>
                    <w:bottom w:val="single" w:color="000000" w:sz="4"/>
                    <w:right w:val="single" w:color="000000" w:sz="4"/>
                  </w:tcBorders>
                  <w:vAlign w:val="top"/>
                </w:tcPr>
                <w:p>
                  <w:pPr>
                    <w:jc w:val="left"/>
                  </w:pPr>
                  <w:r>
                    <w:rPr>
                      <w:sz w:val="21"/>
                    </w:rPr>
                    <w:t>“创先争优”展示（主体）</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185㎡</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436"/>
                  <w:tcBorders>
                    <w:top w:val="none" w:color="000000" w:sz="4"/>
                    <w:left w:val="none" w:color="000000" w:sz="4"/>
                    <w:bottom w:val="single" w:color="000000" w:sz="4"/>
                    <w:right w:val="single" w:color="000000" w:sz="4"/>
                  </w:tcBorders>
                  <w:vAlign w:val="top"/>
                </w:tcPr>
                <w:p>
                  <w:pPr>
                    <w:jc w:val="left"/>
                  </w:pPr>
                  <w:r>
                    <w:rPr>
                      <w:sz w:val="21"/>
                    </w:rPr>
                    <w:t>“创先争优”展示（标杆院系）</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74㎡</w:t>
                  </w:r>
                </w:p>
              </w:tc>
            </w:tr>
            <w:tr>
              <w:tc>
                <w:tcPr>
                  <w:tcW w:type="dxa" w:w="71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436"/>
                  <w:tcBorders>
                    <w:top w:val="none" w:color="000000" w:sz="4"/>
                    <w:left w:val="none" w:color="000000" w:sz="4"/>
                    <w:bottom w:val="single" w:color="000000" w:sz="4"/>
                    <w:right w:val="single" w:color="000000" w:sz="4"/>
                  </w:tcBorders>
                  <w:vAlign w:val="top"/>
                </w:tcPr>
                <w:p>
                  <w:pPr>
                    <w:jc w:val="left"/>
                  </w:pPr>
                  <w:r>
                    <w:rPr>
                      <w:sz w:val="21"/>
                    </w:rPr>
                    <w:t>“创先争优”展示（样板支部）</w:t>
                  </w:r>
                </w:p>
              </w:tc>
              <w:tc>
                <w:tcPr>
                  <w:tcW w:type="dxa" w:w="1445"/>
                  <w:tcBorders>
                    <w:top w:val="none" w:color="000000" w:sz="4"/>
                    <w:left w:val="none" w:color="000000" w:sz="4"/>
                    <w:bottom w:val="single" w:color="000000" w:sz="4"/>
                    <w:right w:val="single" w:color="000000" w:sz="4"/>
                  </w:tcBorders>
                  <w:vAlign w:val="top"/>
                </w:tcPr>
                <w:p>
                  <w:pPr>
                    <w:jc w:val="left"/>
                  </w:pPr>
                  <w:r>
                    <w:rPr>
                      <w:sz w:val="21"/>
                    </w:rPr>
                    <w:t>约</w:t>
                  </w:r>
                  <w:r>
                    <w:rPr>
                      <w:sz w:val="21"/>
                    </w:rPr>
                    <w:t>71㎡</w:t>
                  </w:r>
                </w:p>
              </w:tc>
            </w:tr>
            <w:tr>
              <w:tc>
                <w:tcPr>
                  <w:tcW w:type="dxa" w:w="4153"/>
                  <w:gridSpan w:val="2"/>
                  <w:tcBorders>
                    <w:top w:val="none" w:color="000000" w:sz="4"/>
                    <w:left w:val="single" w:color="000000" w:sz="4"/>
                    <w:bottom w:val="single" w:color="000000" w:sz="4"/>
                    <w:right w:val="single" w:color="000000" w:sz="4"/>
                  </w:tcBorders>
                  <w:vAlign w:val="top"/>
                </w:tcPr>
                <w:p>
                  <w:pPr>
                    <w:jc w:val="center"/>
                  </w:pPr>
                  <w:r>
                    <w:rPr>
                      <w:color w:val="000000"/>
                      <w:sz w:val="21"/>
                    </w:rPr>
                    <w:t>总面积</w:t>
                  </w:r>
                </w:p>
              </w:tc>
              <w:tc>
                <w:tcPr>
                  <w:tcW w:type="dxa" w:w="1445"/>
                  <w:tcBorders>
                    <w:top w:val="none" w:color="000000" w:sz="4"/>
                    <w:left w:val="none" w:color="000000" w:sz="4"/>
                    <w:bottom w:val="single" w:color="000000" w:sz="4"/>
                    <w:right w:val="single" w:color="000000" w:sz="4"/>
                  </w:tcBorders>
                  <w:vAlign w:val="top"/>
                </w:tcPr>
                <w:p>
                  <w:pPr>
                    <w:jc w:val="left"/>
                  </w:pPr>
                  <w:r>
                    <w:rPr>
                      <w:color w:val="000000"/>
                      <w:sz w:val="21"/>
                    </w:rPr>
                    <w:t>约1829.2㎡</w:t>
                  </w:r>
                </w:p>
              </w:tc>
            </w:tr>
          </w:tbl>
          <w:p>
            <w:r>
              <w:rPr/>
              <w:t xml:space="preserve"> </w:t>
            </w:r>
            <w:r>
              <w:rPr>
                <w:sz w:val="21"/>
              </w:rPr>
              <w:t>相关区域平面图：</w:t>
            </w:r>
          </w:p>
          <w:p>
            <w:r>
              <w:drawing>
                <wp:inline distT="0" distR="0" distB="0" distL="0">
                  <wp:extent cx="3554729" cy="-104311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043112"/>
                          </a:xfrm>
                          <a:prstGeom prst="rect">
                            <a:avLst/>
                          </a:prstGeom>
                        </pic:spPr>
                      </pic:pic>
                    </a:graphicData>
                  </a:graphic>
                </wp:inline>
              </w:drawing>
            </w:r>
          </w:p>
          <w:p>
            <w:r>
              <w:drawing>
                <wp:inline distT="0" distR="0" distB="0" distL="0">
                  <wp:extent cx="3554729" cy="-105743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1057437"/>
                          </a:xfrm>
                          <a:prstGeom prst="rect">
                            <a:avLst/>
                          </a:prstGeom>
                        </pic:spPr>
                      </pic:pic>
                    </a:graphicData>
                  </a:graphic>
                </wp:inline>
              </w:drawing>
            </w:r>
          </w:p>
          <w:p>
            <w:r>
              <w:drawing>
                <wp:inline distT="0" distR="0" distB="0" distL="0">
                  <wp:extent cx="3554729" cy="-10327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1032725"/>
                          </a:xfrm>
                          <a:prstGeom prst="rect">
                            <a:avLst/>
                          </a:prstGeom>
                        </pic:spPr>
                      </pic:pic>
                    </a:graphicData>
                  </a:graphic>
                </wp:inline>
              </w:drawing>
            </w:r>
          </w:p>
          <w:p>
            <w:r>
              <w:drawing>
                <wp:inline distT="0" distR="0" distB="0" distL="0">
                  <wp:extent cx="3554729" cy="-2455936"/>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2455936"/>
                          </a:xfrm>
                          <a:prstGeom prst="rect">
                            <a:avLst/>
                          </a:prstGeom>
                        </pic:spPr>
                      </pic:pic>
                    </a:graphicData>
                  </a:graphic>
                </wp:inline>
              </w:drawing>
            </w:r>
            <w:r>
              <w:drawing>
                <wp:inline distT="0" distR="0" distB="0" distL="0">
                  <wp:extent cx="3554729" cy="-1020933"/>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1020933"/>
                          </a:xfrm>
                          <a:prstGeom prst="rect">
                            <a:avLst/>
                          </a:prstGeom>
                        </pic:spPr>
                      </pic:pic>
                    </a:graphicData>
                  </a:graphic>
                </wp:inline>
              </w:drawing>
            </w:r>
          </w:p>
          <w:p>
            <w:r>
              <w:drawing>
                <wp:inline distT="0" distR="0" distB="0" distL="0">
                  <wp:extent cx="3554729" cy="-1024253"/>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3554729" cy="-1024253"/>
                          </a:xfrm>
                          <a:prstGeom prst="rect">
                            <a:avLst/>
                          </a:prstGeom>
                        </pic:spPr>
                      </pic:pic>
                    </a:graphicData>
                  </a:graphic>
                </wp:inline>
              </w:drawing>
            </w:r>
            <w:r>
              <w:drawing>
                <wp:inline distT="0" distR="0" distB="0" distL="0">
                  <wp:extent cx="3554729" cy="-1015504"/>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3554729" cy="-1015504"/>
                          </a:xfrm>
                          <a:prstGeom prst="rect">
                            <a:avLst/>
                          </a:prstGeom>
                        </pic:spPr>
                      </pic:pic>
                    </a:graphicData>
                  </a:graphic>
                </wp:inline>
              </w:drawing>
            </w:r>
          </w:p>
          <w:p>
            <w:r>
              <w:drawing>
                <wp:inline distT="0" distR="0" distB="0" distL="0">
                  <wp:extent cx="3554729" cy="-1034327"/>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3554729" cy="-1034327"/>
                          </a:xfrm>
                          <a:prstGeom prst="rect">
                            <a:avLst/>
                          </a:prstGeom>
                        </pic:spPr>
                      </pic:pic>
                    </a:graphicData>
                  </a:graphic>
                </wp:inline>
              </w:drawing>
            </w:r>
            <w:r>
              <w:drawing>
                <wp:inline distT="0" distR="0" distB="0" distL="0">
                  <wp:extent cx="3554729" cy="-2475649"/>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3554729" cy="-2475649"/>
                          </a:xfrm>
                          <a:prstGeom prst="rect">
                            <a:avLst/>
                          </a:prstGeom>
                        </pic:spPr>
                      </pic:pic>
                    </a:graphicData>
                  </a:graphic>
                </wp:inline>
              </w:drawing>
            </w:r>
          </w:p>
          <w:p>
            <w:r>
              <w:drawing>
                <wp:inline distT="0" distR="0" distB="0" distL="0">
                  <wp:extent cx="3554729" cy="-1115342"/>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3554729" cy="-1115342"/>
                          </a:xfrm>
                          <a:prstGeom prst="rect">
                            <a:avLst/>
                          </a:prstGeom>
                        </pic:spPr>
                      </pic:pic>
                    </a:graphicData>
                  </a:graphic>
                </wp:inline>
              </w:drawing>
            </w:r>
          </w:p>
          <w:p>
            <w:r>
              <w:drawing>
                <wp:inline distT="0" distR="0" distB="0" distL="0">
                  <wp:extent cx="3554729" cy="-1019257"/>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3554729" cy="-1019257"/>
                          </a:xfrm>
                          <a:prstGeom prst="rect">
                            <a:avLst/>
                          </a:prstGeom>
                        </pic:spPr>
                      </pic:pic>
                    </a:graphicData>
                  </a:graphic>
                </wp:inline>
              </w:drawing>
            </w:r>
          </w:p>
          <w:p>
            <w:r>
              <w:drawing>
                <wp:inline distT="0" distR="0" distB="0" distL="0">
                  <wp:extent cx="3554729" cy="-1030931"/>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3554729" cy="-1030931"/>
                          </a:xfrm>
                          <a:prstGeom prst="rect">
                            <a:avLst/>
                          </a:prstGeom>
                        </pic:spPr>
                      </pic:pic>
                    </a:graphicData>
                  </a:graphic>
                </wp:inline>
              </w:drawing>
            </w:r>
            <w:r>
              <w:drawing>
                <wp:inline distT="0" distR="0" distB="0" distL="0">
                  <wp:extent cx="3554729" cy="-1020499"/>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3554729" cy="-1020499"/>
                          </a:xfrm>
                          <a:prstGeom prst="rect">
                            <a:avLst/>
                          </a:prstGeom>
                        </pic:spPr>
                      </pic:pic>
                    </a:graphicData>
                  </a:graphic>
                </wp:inline>
              </w:drawing>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p/>
          <w:p>
            <w:r>
              <w:rPr/>
              <w:t>踏勘时间：2023-10-27 09:30</w:t>
            </w:r>
          </w:p>
          <w:p>
            <w:r>
              <w:rPr/>
              <w:t>踏勘地点：广州市增城区朱村街科德大道198号（科教城校区），请各投标人服从采购人工作人员管理要求，提前一天与勘察现场联系人预约时间后方可踏勘。</w:t>
            </w:r>
          </w:p>
          <w:p>
            <w:r>
              <w:rPr/>
              <w:t>联系人姓名：钟老师</w:t>
            </w:r>
          </w:p>
          <w:p>
            <w:r>
              <w:rPr/>
              <w:t>联系人电话：13826479437</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￥26,880.00元（大写：人民币贰万陆仟捌佰捌拾元整）。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吕永珊、吴秋娜</w:t>
      </w:r>
    </w:p>
    <w:p>
      <w:pPr>
        <w:ind w:firstLine="480"/>
      </w:pPr>
      <w:r>
        <w:rPr/>
        <w:t>电话：</w:t>
      </w:r>
      <w:r>
        <w:rPr/>
        <w:t>020-37814404、020-87684402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YI线三站七室”党建阵地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采购包1（“YI线三站七室”党建阵地建设项目）：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采购包1（“YI线三站七室”党建阵地建设项目）：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 注：本项目的中小企业划分标准所属行业为：租赁和商务服务业。</w:t>
            </w:r>
          </w:p>
        </w:tc>
      </w:tr>
    </w:tbl>
    <w:p/>
    <w:p>
      <w:pPr>
        <w:ind w:firstLine="480"/>
      </w:pPr>
      <w:r>
        <w:rPr/>
        <w:t>表二符合性审查表：</w:t>
      </w:r>
    </w:p>
    <w:p>
      <w:pPr>
        <w:ind w:firstLine="480"/>
      </w:pPr>
    </w:p>
    <w:p/>
    <w:p>
      <w:r>
        <w:rPr/>
        <w:t>采购包1（“YI线三站七室”党建阵地建设项目）：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采购包1(“YI线三站七室”党建阵地建设项目):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服务条款响应程度 (5.0分)</w:t>
            </w:r>
          </w:p>
        </w:tc>
        <w:tc>
          <w:tcPr>
            <w:tcW w:type="dxa" w:w="5076"/>
          </w:tcPr>
          <w:p>
            <w:pPr>
              <w:jc w:val="left"/>
            </w:pPr>
            <w:r>
              <w:rPr/>
              <w:t>根据投标人对“采购需求”服务条款响应程度进行评审：1.完全满足，得5分；  2.有1条负偏离或不响应，得4分；  3.有2条负偏离或不响应，得3分；  4.有3条负偏离或不响应，得2分；  5.有4条负偏离或不响应，得1分；  6.有5条或以上负偏离或不响应，得0分。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jc w:val="left"/>
            </w:pPr>
            <w:r>
              <w:rPr/>
              <w:t>布展策划理念（一） (5.0分)</w:t>
            </w:r>
          </w:p>
        </w:tc>
        <w:tc>
          <w:tcPr>
            <w:tcW w:type="dxa" w:w="5076"/>
          </w:tcPr>
          <w:p>
            <w:pPr>
              <w:jc w:val="left"/>
            </w:pPr>
            <w:r>
              <w:rPr/>
              <w:t>评标委员会根据投标人提供的售后服务方案进行评价，内容应包括（投标文件中的标题应以下列内容命名）： （1）方案的策划设计； （2）展项（展品）的制作； （3）布展设计风格和方式； （4）布展施工； （5）多媒体制作情况。 提供全部内容得5分，每缺1项扣1分。</w:t>
            </w:r>
          </w:p>
        </w:tc>
      </w:tr>
      <w:tr>
        <w:tc>
          <w:tcPr>
            <w:tcW w:type="dxa" w:w="922"/>
            <w:gridSpan w:val="2"/>
            <w:vMerge/>
          </w:tcPr>
          <w:p/>
        </w:tc>
        <w:tc>
          <w:tcPr>
            <w:tcW w:type="dxa" w:w="2307"/>
          </w:tcPr>
          <w:p>
            <w:pPr>
              <w:jc w:val="left"/>
            </w:pPr>
            <w:r>
              <w:rPr/>
              <w:t>布展策划理念（二） (7.0分)</w:t>
            </w:r>
          </w:p>
        </w:tc>
        <w:tc>
          <w:tcPr>
            <w:tcW w:type="dxa" w:w="5076"/>
          </w:tcPr>
          <w:p>
            <w:pPr>
              <w:jc w:val="left"/>
            </w:pPr>
            <w:r>
              <w:rPr/>
              <w:t>根据投标人根据本项目需求要求编写的布展策划理念（包括但不限于方案的策划设计、展项（展品）的制作、布展设计风格和方式、布展施工、多媒体制作）情况进行综合评审： 1.布展策划理念内容响应详细具体，设计理念及创意构想完全达到本项目理念要求的，得7分； 2.布展策划理念内容响应较详细具体，设计理念及创意构想，基本达到本项目理念要求的，得4分； 3.布展策划理念内容响应基本完整，设计理念及创意构想与本项目理念要求有偏差的，得1分； 4.其他或无提供不得分。</w:t>
            </w:r>
          </w:p>
        </w:tc>
      </w:tr>
      <w:tr>
        <w:tc>
          <w:tcPr>
            <w:tcW w:type="dxa" w:w="922"/>
            <w:gridSpan w:val="2"/>
            <w:vMerge/>
          </w:tcPr>
          <w:p/>
        </w:tc>
        <w:tc>
          <w:tcPr>
            <w:tcW w:type="dxa" w:w="2307"/>
          </w:tcPr>
          <w:p>
            <w:pPr>
              <w:jc w:val="left"/>
            </w:pPr>
            <w:r>
              <w:rPr/>
              <w:t>展项设计方案（一） (5.0分)</w:t>
            </w:r>
          </w:p>
        </w:tc>
        <w:tc>
          <w:tcPr>
            <w:tcW w:type="dxa" w:w="5076"/>
          </w:tcPr>
          <w:p>
            <w:pPr>
              <w:jc w:val="left"/>
            </w:pPr>
            <w:r>
              <w:rPr/>
              <w:t>评标委员会根据投标人提供的展项设计方案进行评价，内容应包括（投标文件中的标题应以下列内容命名）： （1）项目定位； （2）空间设计； （3）展项技术； （4）交互方式； （5）内容制作效果。 提供全部内容得5分，每缺1项扣1分。</w:t>
            </w:r>
          </w:p>
        </w:tc>
      </w:tr>
      <w:tr>
        <w:tc>
          <w:tcPr>
            <w:tcW w:type="dxa" w:w="922"/>
            <w:gridSpan w:val="2"/>
            <w:vMerge/>
          </w:tcPr>
          <w:p/>
        </w:tc>
        <w:tc>
          <w:tcPr>
            <w:tcW w:type="dxa" w:w="2307"/>
          </w:tcPr>
          <w:p>
            <w:pPr>
              <w:jc w:val="left"/>
            </w:pPr>
            <w:r>
              <w:rPr/>
              <w:t>展项设计方案（二） (7.0分)</w:t>
            </w:r>
          </w:p>
        </w:tc>
        <w:tc>
          <w:tcPr>
            <w:tcW w:type="dxa" w:w="5076"/>
          </w:tcPr>
          <w:p>
            <w:pPr>
              <w:jc w:val="left"/>
            </w:pPr>
            <w:r>
              <w:rPr/>
              <w:t>根据投标人提供的展项设计方案进行综合评审： 1.展项设计方案完整，项目定位准确、空间设计效果极佳、展项技术新颖、交互方式友好、内容制作效果有突出亮点的，完全满足项目需求的得7分； 2.展项设计方案较完整，项目定位较准确、空间设计效果较好、展项技术较新颖、交互方式较友好、内容制作效果有较突出亮点的，基本满足项目需求的得4分； 3.展项设计方案基本完整，项目定位基本准确、空间设计效果一般、展项技术一般、交互方式友好性一般、内容制作效果亮点一般，不完全满足项目需求的得1分； 4.其他或无提供不得分。</w:t>
            </w:r>
          </w:p>
        </w:tc>
      </w:tr>
      <w:tr>
        <w:tc>
          <w:tcPr>
            <w:tcW w:type="dxa" w:w="922"/>
            <w:gridSpan w:val="2"/>
            <w:vMerge/>
          </w:tcPr>
          <w:p/>
        </w:tc>
        <w:tc>
          <w:tcPr>
            <w:tcW w:type="dxa" w:w="2307"/>
          </w:tcPr>
          <w:p>
            <w:pPr>
              <w:jc w:val="left"/>
            </w:pPr>
            <w:r>
              <w:rPr/>
              <w:t>项目实施方案（一） (3.0分)</w:t>
            </w:r>
          </w:p>
        </w:tc>
        <w:tc>
          <w:tcPr>
            <w:tcW w:type="dxa" w:w="5076"/>
          </w:tcPr>
          <w:p>
            <w:pPr>
              <w:jc w:val="left"/>
            </w:pPr>
            <w:r>
              <w:rPr/>
              <w:t>评标委员会根据投标人提供的项目实施方案进行评价，内容应包括（投标文件中的标题应以下列内容命名）： （1）工作标准与流程； （2）项目重点、难点分析及应对方案； （3）实施能力方案。 提供全部内容得3分，每缺1项扣1分。</w:t>
            </w:r>
          </w:p>
        </w:tc>
      </w:tr>
      <w:tr>
        <w:tc>
          <w:tcPr>
            <w:tcW w:type="dxa" w:w="922"/>
            <w:gridSpan w:val="2"/>
            <w:vMerge/>
          </w:tcPr>
          <w:p/>
        </w:tc>
        <w:tc>
          <w:tcPr>
            <w:tcW w:type="dxa" w:w="2307"/>
          </w:tcPr>
          <w:p>
            <w:pPr>
              <w:jc w:val="left"/>
            </w:pPr>
            <w:r>
              <w:rPr/>
              <w:t>项目实施方案（二） (5.0分)</w:t>
            </w:r>
          </w:p>
        </w:tc>
        <w:tc>
          <w:tcPr>
            <w:tcW w:type="dxa" w:w="5076"/>
          </w:tcPr>
          <w:p>
            <w:pPr>
              <w:jc w:val="left"/>
            </w:pPr>
            <w:r>
              <w:rPr/>
              <w:t>根据投标人提供的项目实施方案进行综合评审： 1.项目实施方案详细具体，对本项目具有针对性，具备有效可行的实施能力，完全满足项目需求的得5分； 2.项目实施方案较详细具体，对本项目较具有针对性，具备较有效可行的实施能力，基本满足项目需求的得3分； 3.项目实施方案基本完整，对本项目基本具有针对性，具备基本有效可行的实施能力，不完全满足项目需求的得1分； 4.其他或无提供不得分。</w:t>
            </w:r>
          </w:p>
        </w:tc>
      </w:tr>
      <w:tr>
        <w:tc>
          <w:tcPr>
            <w:tcW w:type="dxa" w:w="922"/>
            <w:gridSpan w:val="2"/>
            <w:vMerge/>
          </w:tcPr>
          <w:p/>
        </w:tc>
        <w:tc>
          <w:tcPr>
            <w:tcW w:type="dxa" w:w="2307"/>
          </w:tcPr>
          <w:p>
            <w:pPr>
              <w:jc w:val="left"/>
            </w:pPr>
            <w:r>
              <w:rPr/>
              <w:t>进度计划及保障措施（一） (3.0分)</w:t>
            </w:r>
          </w:p>
        </w:tc>
        <w:tc>
          <w:tcPr>
            <w:tcW w:type="dxa" w:w="5076"/>
          </w:tcPr>
          <w:p>
            <w:pPr>
              <w:jc w:val="left"/>
            </w:pPr>
            <w:r>
              <w:rPr/>
              <w:t>评标委员会根据投标人提供的进度计划及保障措施进行评价，内容应包括（投标文件中的标题应以下列内容命名）： （1）进度计划编制依据； （2）关键节点的控制措施； （2）预计分析与解决方案。 提供全部内容得3分，每缺1项扣1分。</w:t>
            </w:r>
          </w:p>
        </w:tc>
      </w:tr>
      <w:tr>
        <w:tc>
          <w:tcPr>
            <w:tcW w:type="dxa" w:w="922"/>
            <w:gridSpan w:val="2"/>
            <w:vMerge/>
          </w:tcPr>
          <w:p/>
        </w:tc>
        <w:tc>
          <w:tcPr>
            <w:tcW w:type="dxa" w:w="2307"/>
          </w:tcPr>
          <w:p>
            <w:pPr>
              <w:jc w:val="left"/>
            </w:pPr>
            <w:r>
              <w:rPr/>
              <w:t>进度计划及保障措施（二） (5.0分)</w:t>
            </w:r>
          </w:p>
        </w:tc>
        <w:tc>
          <w:tcPr>
            <w:tcW w:type="dxa" w:w="5076"/>
          </w:tcPr>
          <w:p>
            <w:pPr>
              <w:jc w:val="left"/>
            </w:pPr>
            <w:r>
              <w:rPr/>
              <w:t>根据投标人提供的进度计划及保障措施进行综合评审： 1.进度计划编制依据充分，关键线路清晰、准确、完整，计划编制合理、可行；关键节点的控制措施有力、合理、可行，对项目中可能出现的影响进度计划实现的各方面因素作出充分的预计分析并制订切实可行的解决方案及保障措施，完全满足项目需求的得5分； 2.进度计划编制依据较充分，关键线路较清晰、较准确、较完整，计划编制较合理、较可行；关键节点的控制措施较有力、较合理、较可行，对项目中可能出现的影响进度计划实现的各方面因素作出较充分的预计分析并制订较切实可行的解决方案及保障措施，基本满足项目需求的得3分； 3.进度计划编制依据不够充分，关键线路不够清晰、不够准确、不够完整，计划编制不够合理、不可行；关键节点的控制措施不够有力、不够合理、不可行，没有对项目中可能出现的影响进度计划实现的各方面因素，作出预计分析并制订解决方案及保障措施，不完全满足项目需求的得1分； 4.其他或无提供不得分。</w:t>
            </w:r>
          </w:p>
        </w:tc>
      </w:tr>
      <w:tr>
        <w:tc>
          <w:tcPr>
            <w:tcW w:type="dxa" w:w="922"/>
            <w:gridSpan w:val="2"/>
            <w:vMerge/>
          </w:tcPr>
          <w:p/>
        </w:tc>
        <w:tc>
          <w:tcPr>
            <w:tcW w:type="dxa" w:w="2307"/>
          </w:tcPr>
          <w:p>
            <w:pPr>
              <w:jc w:val="left"/>
            </w:pPr>
            <w:r>
              <w:rPr/>
              <w:t>质量保障方案（一） (3.0分)</w:t>
            </w:r>
          </w:p>
        </w:tc>
        <w:tc>
          <w:tcPr>
            <w:tcW w:type="dxa" w:w="5076"/>
          </w:tcPr>
          <w:p>
            <w:pPr>
              <w:jc w:val="left"/>
            </w:pPr>
            <w:r>
              <w:rPr/>
              <w:t>评标委员会根据投标人提供的质量保障方案进行评价，内容应包括（投标文件中的标题应以下列内容命名）： （1）质量保证体系； （2）验收环节的流程及控制； （3）质量事故预防与处理。 提供全部内容得3分，每缺1项扣1分。</w:t>
            </w:r>
          </w:p>
        </w:tc>
      </w:tr>
      <w:tr>
        <w:tc>
          <w:tcPr>
            <w:tcW w:type="dxa" w:w="922"/>
            <w:gridSpan w:val="2"/>
            <w:vMerge/>
          </w:tcPr>
          <w:p/>
        </w:tc>
        <w:tc>
          <w:tcPr>
            <w:tcW w:type="dxa" w:w="2307"/>
          </w:tcPr>
          <w:p>
            <w:pPr>
              <w:jc w:val="left"/>
            </w:pPr>
            <w:r>
              <w:rPr/>
              <w:t>质量保障方案（二） (7.0分)</w:t>
            </w:r>
          </w:p>
        </w:tc>
        <w:tc>
          <w:tcPr>
            <w:tcW w:type="dxa" w:w="5076"/>
          </w:tcPr>
          <w:p>
            <w:pPr>
              <w:jc w:val="left"/>
            </w:pPr>
            <w:r>
              <w:rPr/>
              <w:t>根据投标人提供的质量保障方案进行评审： 1.质量保障方案详细具体，针对性、可操作性强，完全满足项目需求的得7分； 2.质量保障方案较详细具体，针对性、可操作性较强，基本满足项目需求的得4分； 3.质量保障方案基本完整，针对性、可操作性一般，不完全满足项目需求的得1分； 4.其他或无提供不得分。</w:t>
            </w:r>
          </w:p>
        </w:tc>
      </w:tr>
      <w:tr>
        <w:tc>
          <w:tcPr>
            <w:tcW w:type="dxa" w:w="922"/>
            <w:gridSpan w:val="2"/>
            <w:vMerge w:val="restart"/>
          </w:tcPr>
          <w:p>
            <w:pPr>
              <w:jc w:val="center"/>
            </w:pPr>
            <w:r>
              <w:rPr/>
              <w:t>商务部分</w:t>
            </w:r>
          </w:p>
        </w:tc>
        <w:tc>
          <w:tcPr>
            <w:tcW w:type="dxa" w:w="2307"/>
          </w:tcPr>
          <w:p>
            <w:pPr>
              <w:jc w:val="left"/>
            </w:pPr>
            <w:r>
              <w:rPr/>
              <w:t>商务响应程度 (2.0分)</w:t>
            </w:r>
          </w:p>
        </w:tc>
        <w:tc>
          <w:tcPr>
            <w:tcW w:type="dxa" w:w="5076"/>
          </w:tcPr>
          <w:p>
            <w:pPr>
              <w:jc w:val="left"/>
            </w:pPr>
            <w:r>
              <w:rPr/>
              <w:t>根据投标人对“采购需求”中商务条款进行响应： 1.完全满足，得2分； 2.有1条负偏离或不响应，得1.5分； 3.有2条负偏离或不响应，得1分； 4.有3条负偏离或不响应，得0.5分 5.有4条或以上负偏离或不响应，得0分。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投标人具有质量管理体系认证证书、环境管理体系认证证书、职业健康安全管理体系认证证书，每提供一项得2分，最高得6分。 【注：提供证书扫描件作为评审依据，已暂停、已失效或撤销的不得分】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投标人自2020年1月1日至本项目投标截止之日止（以合同签订时间为准）承担过展陈类项目或临展类项目等相关项目业绩，每提供一个得1分，本项最高得5分。 【注：须提供中标（成交）通知书或合同复印件（含签订合同双方的单位名称、合同项目名称、签订合同双方的落款盖章、签订日期的关键页）作为同类业绩证明资料。不提供或资料不全不得分】</w:t>
            </w:r>
          </w:p>
        </w:tc>
      </w:tr>
      <w:tr>
        <w:tc>
          <w:tcPr>
            <w:tcW w:type="dxa" w:w="922"/>
            <w:gridSpan w:val="2"/>
            <w:vMerge/>
          </w:tcPr>
          <w:p/>
        </w:tc>
        <w:tc>
          <w:tcPr>
            <w:tcW w:type="dxa" w:w="2307"/>
          </w:tcPr>
          <w:p>
            <w:pPr>
              <w:jc w:val="left"/>
            </w:pPr>
            <w:r>
              <w:rPr/>
              <w:t>团队人员情况 (5.0分)</w:t>
            </w:r>
          </w:p>
        </w:tc>
        <w:tc>
          <w:tcPr>
            <w:tcW w:type="dxa" w:w="5076"/>
          </w:tcPr>
          <w:p>
            <w:pPr>
              <w:jc w:val="left"/>
            </w:pPr>
            <w:r>
              <w:rPr/>
              <w:t>1.拟投入本项目负责人具有统筹执行大型活动、主题会展项目经验，每统筹执行1个得1分，本项最高得2分； 2.拟投入本项目团队（不含项目负责人）构成需包括6类人员：方向把控人员、内容制作人员、审核人员、效果设计人员、现场跟进人员、服务支持人员，全部齐备得3分，少一类扣0.5分，扣完为止。 【注：须提供项目负责人相关经验证明材料、人员安排表和投标人单位与拟投入团队人员签订的劳动合同复印件或拟投入团队人员在本项目投标截止日之前6个月内任意1个月的社保缴纳或单位代缴个税税单证明材料复印件等相关在职证明材料，需加盖投标人公章，不提供不得分】</w:t>
            </w:r>
          </w:p>
        </w:tc>
      </w:tr>
      <w:tr>
        <w:tc>
          <w:tcPr>
            <w:tcW w:type="dxa" w:w="922"/>
            <w:gridSpan w:val="2"/>
            <w:vMerge/>
          </w:tcPr>
          <w:p/>
        </w:tc>
        <w:tc>
          <w:tcPr>
            <w:tcW w:type="dxa" w:w="2307"/>
          </w:tcPr>
          <w:p>
            <w:pPr>
              <w:jc w:val="left"/>
            </w:pPr>
            <w:r>
              <w:rPr/>
              <w:t>项目履约能力（一） (2.0分)</w:t>
            </w:r>
          </w:p>
        </w:tc>
        <w:tc>
          <w:tcPr>
            <w:tcW w:type="dxa" w:w="5076"/>
          </w:tcPr>
          <w:p>
            <w:pPr>
              <w:jc w:val="left"/>
            </w:pPr>
            <w:r>
              <w:rPr/>
              <w:t>评标委员会根据投标人提供的售后服务方案进行评价，内容应包括（投标文件中的方案标题应以下列内容命名）： （1）对党建内容、基层党建的理解和认知； （2）院校教育相关史料素材的挖掘能力。 提供全部内容得2分，每缺1项扣1分。</w:t>
            </w:r>
          </w:p>
        </w:tc>
      </w:tr>
      <w:tr>
        <w:tc>
          <w:tcPr>
            <w:tcW w:type="dxa" w:w="922"/>
            <w:gridSpan w:val="2"/>
            <w:vMerge/>
          </w:tcPr>
          <w:p/>
        </w:tc>
        <w:tc>
          <w:tcPr>
            <w:tcW w:type="dxa" w:w="2307"/>
          </w:tcPr>
          <w:p>
            <w:pPr>
              <w:jc w:val="left"/>
            </w:pPr>
            <w:r>
              <w:rPr/>
              <w:t>项目履约能力（二） (4.0分)</w:t>
            </w:r>
          </w:p>
        </w:tc>
        <w:tc>
          <w:tcPr>
            <w:tcW w:type="dxa" w:w="5076"/>
          </w:tcPr>
          <w:p>
            <w:pPr>
              <w:jc w:val="left"/>
            </w:pPr>
            <w:r>
              <w:rPr/>
              <w:t>根据投标人提供的项目履约能力进行评审： 1.执行团队政治站位高，熟悉了解党政机关，并对党建内容、基层党建有充分理解和认知的，具备与采购人院校教育相关史料的素材挖掘能力和内容生产能力，得4分。 2.执行团队较了解党政机关，并对党建内容、基层党建有较深入理解和认知的，有院校教育相关史料的素材挖掘能力和内容生产能力的，得2分； 3.执行团队不了解党政机关，并对党建内容、基层党建只有较浅的理解和认知，不具备院校教育相关史料的素材挖掘能力和内容生产能力的，得1分； 4.其他或无提供不得分。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评标委员会根据投标人提供的售后服务方案进行评价，内容应包括（投标文件中的方案标题应以下列内容命名）： （1）响应时间； （2）售后承诺。 提供全部内容得2分，每缺1项扣1分。</w:t>
            </w:r>
          </w:p>
        </w:tc>
      </w:tr>
      <w:tr>
        <w:tc>
          <w:tcPr>
            <w:tcW w:type="dxa" w:w="922"/>
            <w:gridSpan w:val="2"/>
            <w:vMerge/>
          </w:tcPr>
          <w:p/>
        </w:tc>
        <w:tc>
          <w:tcPr>
            <w:tcW w:type="dxa" w:w="2307"/>
          </w:tcPr>
          <w:p>
            <w:pPr>
              <w:jc w:val="left"/>
            </w:pPr>
            <w:r>
              <w:rPr/>
              <w:t>售后服务方案（二） (4.0分)</w:t>
            </w:r>
          </w:p>
        </w:tc>
        <w:tc>
          <w:tcPr>
            <w:tcW w:type="dxa" w:w="5076"/>
          </w:tcPr>
          <w:p>
            <w:pPr>
              <w:jc w:val="left"/>
            </w:pPr>
            <w:r>
              <w:rPr/>
              <w:t>根据投标人提供的售后服务方案（响应时间、售后承诺等）进行综合评审： 1.响应快捷、售后承诺具体全面，有利于迅速开展售后服务工作的，得4分； 2.响应较快捷、售后承诺较具体全面，较有利于迅速开展售后服务工作的，得2分； 3.响应迟缓、售后承诺不具体全面，不利于迅速开展售后服务工作的，得1分； 4.其他或无提供不得分。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广州铁路职业技术学院</w:t>
      </w:r>
      <w:r>
        <w:rPr>
          <w:sz w:val="21"/>
          <w:u w:val="single"/>
        </w:rPr>
        <w:t>“YI线三站七室”党建阵地布展服务采购项目</w:t>
      </w:r>
      <w:r>
        <w:rPr>
          <w:sz w:val="21"/>
        </w:rPr>
        <w:t>招标文件（项目编号：</w:t>
      </w:r>
      <w:r>
        <w:rPr>
          <w:sz w:val="21"/>
        </w:rPr>
        <w:t>GZGK23D232C0692Z）的要求，经双方协商，本着平等互利和诚实信用的原则，一致同意签订本合同。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440101-2023-21948</w:t>
      </w:r>
    </w:p>
    <w:p>
      <w:pPr>
        <w:jc w:val="center"/>
      </w:pPr>
      <w:r>
        <w:rPr>
          <w:b/>
          <w:sz w:val="24"/>
        </w:rPr>
        <w:t>采购项目编号：</w:t>
      </w:r>
      <w:r>
        <w:rPr>
          <w:b/>
          <w:sz w:val="24"/>
        </w:rPr>
        <w:t>GZGK23D232C0692Z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“YI线三站七室”党建阵地建设项目</w:t>
      </w:r>
      <w:r>
        <w:rPr>
          <w:u w:val="single"/>
        </w:rPr>
        <w:t>”</w:t>
      </w:r>
      <w:r>
        <w:rPr/>
        <w:t>项目的招标[采购项目编号为：</w:t>
      </w:r>
      <w:r>
        <w:rPr>
          <w:u w:val="single"/>
        </w:rPr>
        <w:t>GZGK23D232C0692Z</w:t>
      </w:r>
      <w:r>
        <w:rPr/>
        <w:t>]，我方愿参与投标。</w:t>
      </w:r>
    </w:p>
    <w:p>
      <w:pPr>
        <w:ind w:firstLine="480"/>
      </w:pPr>
      <w:r>
        <w:rPr/>
        <w:t>我方确认收到贵方提供的</w:t>
      </w:r>
      <w:r>
        <w:rPr>
          <w:u w:val="single"/>
        </w:rPr>
        <w:t>“</w:t>
      </w:r>
      <w:r>
        <w:rPr>
          <w:u w:val="single"/>
        </w:rPr>
        <w:t>“YI线三站七室”党建阵地建设项目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“YI线三站七室”党建阵地建设项目</w:t>
      </w:r>
      <w:r>
        <w:rPr/>
        <w:t>”项目采购[采购项目编号为</w:t>
      </w:r>
      <w:r>
        <w:rPr/>
        <w:t>GZGK23D232C0692Z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广州铁路职业技术学院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“YI线三站七室”党建阵地建设项目</w:t>
      </w:r>
      <w:r>
        <w:rPr/>
        <w:t>招标中获中标（采购项目编号：</w:t>
      </w:r>
      <w:r>
        <w:rPr/>
        <w:t>GZGK23D232C0692Z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