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default" w:ascii="宋体" w:hAnsi="宋体" w:eastAsia="宋体" w:cs="宋体"/>
          <w:i w:val="0"/>
          <w:iCs w:val="0"/>
          <w:caps w:val="0"/>
          <w:color w:val="auto"/>
          <w:spacing w:val="0"/>
          <w:kern w:val="0"/>
          <w:sz w:val="21"/>
          <w:szCs w:val="21"/>
          <w:shd w:val="clear" w:fill="FFFFFF"/>
          <w:lang w:val="en-US" w:eastAsia="zh-CN" w:bidi="ar"/>
        </w:rPr>
      </w:pPr>
      <w:r>
        <w:rPr>
          <w:rFonts w:hint="eastAsia" w:cs="宋体"/>
          <w:b/>
          <w:bCs/>
          <w:i w:val="0"/>
          <w:iCs w:val="0"/>
          <w:caps w:val="0"/>
          <w:color w:val="auto"/>
          <w:spacing w:val="0"/>
          <w:sz w:val="21"/>
          <w:szCs w:val="21"/>
          <w:shd w:val="clear" w:fill="FFFFFF"/>
          <w:lang w:eastAsia="zh-CN"/>
        </w:rPr>
        <w:t>广东轻工职业技术学院琶洲校区校园围墙、教学楼墙壁、宿舍有关区域等思政文化建设项目</w:t>
      </w:r>
      <w:r>
        <w:rPr>
          <w:rFonts w:hint="eastAsia" w:cs="宋体"/>
          <w:b/>
          <w:bCs/>
          <w:i w:val="0"/>
          <w:iCs w:val="0"/>
          <w:caps w:val="0"/>
          <w:color w:val="auto"/>
          <w:spacing w:val="0"/>
          <w:sz w:val="21"/>
          <w:szCs w:val="21"/>
          <w:shd w:val="clear" w:fill="FFFFFF"/>
          <w:lang w:val="en-US" w:eastAsia="zh-CN"/>
        </w:rPr>
        <w:t>更正内容</w:t>
      </w:r>
    </w:p>
    <w:p>
      <w:pPr>
        <w:tabs>
          <w:tab w:val="left" w:pos="709"/>
        </w:tabs>
        <w:spacing w:line="360" w:lineRule="auto"/>
        <w:ind w:left="315" w:leftChars="150" w:firstLine="420" w:firstLineChars="200"/>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1、原竞争性磋商文件中：第二章 采购需求“四、商务要求”中4、付款方式，现更正为：</w:t>
      </w:r>
    </w:p>
    <w:p>
      <w:pPr>
        <w:tabs>
          <w:tab w:val="left" w:pos="709"/>
        </w:tabs>
        <w:spacing w:line="360" w:lineRule="auto"/>
        <w:ind w:left="315" w:leftChars="150" w:firstLine="420" w:firstLineChars="200"/>
        <w:rPr>
          <w:rFonts w:hint="eastAsia" w:ascii="宋体" w:hAnsi="宋体" w:cs="宋体"/>
        </w:rPr>
      </w:pPr>
      <w:r>
        <w:rPr>
          <w:rFonts w:hint="eastAsia" w:ascii="宋体" w:hAnsi="宋体" w:cs="宋体"/>
        </w:rPr>
        <w:t>4.1合同款包含项目实施过程的所有含税费用。</w:t>
      </w:r>
    </w:p>
    <w:p>
      <w:pPr>
        <w:tabs>
          <w:tab w:val="left" w:pos="709"/>
        </w:tabs>
        <w:spacing w:line="360" w:lineRule="auto"/>
        <w:ind w:left="315" w:leftChars="150" w:firstLine="420" w:firstLineChars="200"/>
        <w:rPr>
          <w:rFonts w:hint="eastAsia" w:ascii="宋体" w:hAnsi="宋体" w:cs="宋体"/>
        </w:rPr>
      </w:pPr>
      <w:r>
        <w:rPr>
          <w:rFonts w:hint="eastAsia" w:ascii="宋体" w:hAnsi="宋体" w:cs="宋体"/>
        </w:rPr>
        <w:t>4.2履约保证金：中标结果经公告期满，确认无异议后10天内，</w:t>
      </w:r>
      <w:r>
        <w:rPr>
          <w:rFonts w:hint="eastAsia" w:ascii="宋体" w:hAnsi="宋体" w:cs="宋体"/>
          <w:lang w:val="en-US" w:eastAsia="zh-CN"/>
        </w:rPr>
        <w:t>成交供应商</w:t>
      </w:r>
      <w:r>
        <w:rPr>
          <w:rFonts w:hint="eastAsia" w:ascii="宋体" w:hAnsi="宋体" w:cs="宋体"/>
        </w:rPr>
        <w:t>须向采购人交纳中标金额的5%作为履约保证金。履约保证金在项目验收合格，交付使用后，10天内无息返还。</w:t>
      </w:r>
    </w:p>
    <w:p>
      <w:pPr>
        <w:tabs>
          <w:tab w:val="left" w:pos="709"/>
        </w:tabs>
        <w:spacing w:line="360" w:lineRule="auto"/>
        <w:ind w:left="315" w:leftChars="150" w:firstLine="420" w:firstLineChars="200"/>
        <w:rPr>
          <w:rFonts w:hint="eastAsia" w:ascii="宋体" w:hAnsi="宋体" w:cs="宋体"/>
        </w:rPr>
      </w:pPr>
      <w:r>
        <w:rPr>
          <w:rFonts w:hint="eastAsia" w:ascii="宋体" w:hAnsi="宋体" w:cs="宋体"/>
        </w:rPr>
        <w:t>4.3项目建设完毕并通过终验收合格后，</w:t>
      </w:r>
      <w:r>
        <w:rPr>
          <w:rFonts w:hint="eastAsia" w:ascii="宋体" w:hAnsi="宋体" w:cs="宋体"/>
          <w:lang w:val="en-US" w:eastAsia="zh-CN"/>
        </w:rPr>
        <w:t>成交供应商</w:t>
      </w:r>
      <w:r>
        <w:rPr>
          <w:rFonts w:hint="eastAsia" w:ascii="宋体" w:hAnsi="宋体" w:cs="宋体"/>
        </w:rPr>
        <w:t>向采购人提供等额的正式增值税专用发票，采购人在10个工作日内一次性付清100%合同总价。</w:t>
      </w:r>
    </w:p>
    <w:p>
      <w:pPr>
        <w:tabs>
          <w:tab w:val="left" w:pos="709"/>
        </w:tabs>
        <w:spacing w:line="360" w:lineRule="auto"/>
        <w:ind w:left="315" w:leftChars="150" w:firstLine="420" w:firstLineChars="200"/>
        <w:rPr>
          <w:rFonts w:hint="eastAsia" w:ascii="宋体" w:hAnsi="宋体" w:cs="宋体"/>
        </w:rPr>
      </w:pPr>
      <w:r>
        <w:rPr>
          <w:rFonts w:hint="eastAsia" w:ascii="宋体" w:hAnsi="宋体" w:cs="宋体"/>
        </w:rPr>
        <w:t>4.4付款时间为采购人向国库提交支付申请的时间（不含政府财政支付部门审查时间）。</w:t>
      </w:r>
    </w:p>
    <w:p>
      <w:pPr>
        <w:tabs>
          <w:tab w:val="left" w:pos="709"/>
        </w:tabs>
        <w:spacing w:line="360" w:lineRule="auto"/>
        <w:ind w:left="315" w:leftChars="150" w:firstLine="420" w:firstLineChars="200"/>
        <w:rPr>
          <w:rFonts w:hint="eastAsia" w:ascii="宋体" w:hAnsi="宋体"/>
        </w:rPr>
      </w:pPr>
      <w:r>
        <w:rPr>
          <w:rFonts w:hint="eastAsia" w:ascii="宋体" w:hAnsi="宋体" w:cs="宋体"/>
        </w:rPr>
        <w:t>4.5银行账户：广东轻工职业技术学院，账号：673057755029,中国银行广州鹭江支行。（转帐时请注明费用名称及项目名全称）。</w:t>
      </w:r>
    </w:p>
    <w:p>
      <w:pPr>
        <w:tabs>
          <w:tab w:val="left" w:pos="709"/>
        </w:tabs>
        <w:spacing w:line="360" w:lineRule="auto"/>
        <w:ind w:left="315" w:leftChars="150" w:firstLine="420" w:firstLineChars="200"/>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2、原竞争性磋商文件中：第三章 磋商须知 “六、磋商流程”中（4）商务、技术评审，现更正为：</w:t>
      </w:r>
    </w:p>
    <w:p>
      <w:pPr>
        <w:snapToGrid w:val="0"/>
        <w:spacing w:line="360" w:lineRule="auto"/>
        <w:jc w:val="center"/>
        <w:rPr>
          <w:rFonts w:hint="eastAsia" w:ascii="宋体" w:hAnsi="宋体" w:cs="宋体"/>
          <w:b/>
          <w:szCs w:val="21"/>
        </w:rPr>
      </w:pPr>
      <w:r>
        <w:rPr>
          <w:rFonts w:hint="eastAsia" w:ascii="宋体" w:hAnsi="宋体" w:cs="宋体"/>
          <w:b/>
          <w:szCs w:val="21"/>
        </w:rPr>
        <w:t>商务评审细则</w:t>
      </w:r>
    </w:p>
    <w:tbl>
      <w:tblPr>
        <w:tblStyle w:val="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1"/>
        <w:gridCol w:w="1378"/>
        <w:gridCol w:w="734"/>
        <w:gridCol w:w="56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423" w:type="pct"/>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序号</w:t>
            </w:r>
          </w:p>
        </w:tc>
        <w:tc>
          <w:tcPr>
            <w:tcW w:w="809" w:type="pct"/>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评审项目</w:t>
            </w:r>
          </w:p>
        </w:tc>
        <w:tc>
          <w:tcPr>
            <w:tcW w:w="431" w:type="pct"/>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分值</w:t>
            </w:r>
          </w:p>
        </w:tc>
        <w:tc>
          <w:tcPr>
            <w:tcW w:w="3335" w:type="pct"/>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423" w:type="pct"/>
            <w:noWrap w:val="0"/>
            <w:vAlign w:val="center"/>
          </w:tcPr>
          <w:p>
            <w:pPr>
              <w:numPr>
                <w:ilvl w:val="0"/>
                <w:numId w:val="1"/>
              </w:numPr>
              <w:spacing w:line="400" w:lineRule="exact"/>
              <w:jc w:val="center"/>
              <w:rPr>
                <w:rFonts w:hint="eastAsia" w:ascii="宋体" w:hAnsi="宋体" w:cs="宋体"/>
                <w:bCs/>
                <w:szCs w:val="21"/>
              </w:rPr>
            </w:pPr>
          </w:p>
        </w:tc>
        <w:tc>
          <w:tcPr>
            <w:tcW w:w="809"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管理体系认证</w:t>
            </w:r>
          </w:p>
        </w:tc>
        <w:tc>
          <w:tcPr>
            <w:tcW w:w="431"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6</w:t>
            </w:r>
          </w:p>
        </w:tc>
        <w:tc>
          <w:tcPr>
            <w:tcW w:w="3335" w:type="pct"/>
            <w:noWrap w:val="0"/>
            <w:vAlign w:val="center"/>
          </w:tcPr>
          <w:p>
            <w:pPr>
              <w:spacing w:line="360" w:lineRule="auto"/>
              <w:rPr>
                <w:rFonts w:ascii="宋体" w:hAnsi="宋体" w:cs="宋体"/>
                <w:bCs/>
                <w:szCs w:val="20"/>
              </w:rPr>
            </w:pPr>
            <w:r>
              <w:rPr>
                <w:rFonts w:ascii="宋体" w:hAnsi="宋体" w:cs="宋体"/>
                <w:bCs/>
                <w:szCs w:val="20"/>
              </w:rPr>
              <w:t>投标人具有质量管理体系认证、</w:t>
            </w:r>
            <w:r>
              <w:rPr>
                <w:rFonts w:hint="eastAsia" w:ascii="宋体" w:hAnsi="宋体" w:cs="宋体"/>
                <w:bCs/>
                <w:szCs w:val="20"/>
              </w:rPr>
              <w:t>知识产权管理体系认证</w:t>
            </w:r>
            <w:r>
              <w:rPr>
                <w:rFonts w:ascii="宋体" w:hAnsi="宋体" w:cs="宋体"/>
                <w:bCs/>
                <w:szCs w:val="20"/>
              </w:rPr>
              <w:t>、</w:t>
            </w:r>
            <w:r>
              <w:rPr>
                <w:rFonts w:hint="eastAsia" w:ascii="宋体" w:hAnsi="宋体" w:cs="宋体"/>
                <w:bCs/>
                <w:szCs w:val="20"/>
              </w:rPr>
              <w:t>企业诚信管理体系认证</w:t>
            </w:r>
            <w:r>
              <w:rPr>
                <w:rFonts w:ascii="宋体" w:hAnsi="宋体" w:cs="宋体"/>
                <w:bCs/>
                <w:szCs w:val="20"/>
              </w:rPr>
              <w:t>，且都在有效期内，每提供1个得</w:t>
            </w:r>
            <w:r>
              <w:rPr>
                <w:rFonts w:hint="eastAsia" w:ascii="宋体" w:hAnsi="宋体" w:cs="宋体"/>
                <w:bCs/>
                <w:szCs w:val="20"/>
              </w:rPr>
              <w:t>2</w:t>
            </w:r>
            <w:r>
              <w:rPr>
                <w:rFonts w:ascii="宋体" w:hAnsi="宋体" w:cs="宋体"/>
                <w:bCs/>
                <w:szCs w:val="20"/>
              </w:rPr>
              <w:t>分，最高得</w:t>
            </w:r>
            <w:r>
              <w:rPr>
                <w:rFonts w:hint="eastAsia" w:ascii="宋体" w:hAnsi="宋体" w:cs="宋体"/>
                <w:bCs/>
                <w:szCs w:val="20"/>
              </w:rPr>
              <w:t>6</w:t>
            </w:r>
            <w:r>
              <w:rPr>
                <w:rFonts w:ascii="宋体" w:hAnsi="宋体" w:cs="宋体"/>
                <w:bCs/>
                <w:szCs w:val="20"/>
              </w:rPr>
              <w:t>分；</w:t>
            </w:r>
          </w:p>
          <w:p>
            <w:pPr>
              <w:spacing w:line="360" w:lineRule="auto"/>
              <w:rPr>
                <w:rFonts w:hint="eastAsia" w:ascii="宋体" w:hAnsi="宋体" w:cs="宋体"/>
                <w:bCs/>
                <w:szCs w:val="20"/>
              </w:rPr>
            </w:pPr>
            <w:r>
              <w:rPr>
                <w:rFonts w:hint="eastAsia" w:ascii="宋体" w:hAnsi="宋体" w:cs="宋体"/>
                <w:bCs/>
                <w:szCs w:val="20"/>
              </w:rPr>
              <w:t>注：提供证书复印件并加盖</w:t>
            </w:r>
            <w:r>
              <w:rPr>
                <w:rFonts w:ascii="宋体" w:hAnsi="宋体" w:cs="宋体"/>
                <w:bCs/>
                <w:szCs w:val="20"/>
              </w:rPr>
              <w:t>投标人</w:t>
            </w:r>
            <w:r>
              <w:rPr>
                <w:rFonts w:hint="eastAsia" w:ascii="宋体" w:hAnsi="宋体" w:cs="宋体"/>
                <w:bCs/>
                <w:szCs w:val="20"/>
              </w:rPr>
              <w:t>公章,否则不得分。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23" w:type="pct"/>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1</w:t>
            </w:r>
          </w:p>
        </w:tc>
        <w:tc>
          <w:tcPr>
            <w:tcW w:w="809" w:type="pct"/>
            <w:noWrap w:val="0"/>
            <w:vAlign w:val="center"/>
          </w:tcPr>
          <w:p>
            <w:pPr>
              <w:spacing w:line="360" w:lineRule="auto"/>
              <w:rPr>
                <w:rFonts w:hint="eastAsia" w:ascii="宋体" w:hAnsi="宋体" w:cs="宋体"/>
                <w:szCs w:val="21"/>
                <w:lang w:bidi="ar"/>
              </w:rPr>
            </w:pPr>
            <w:r>
              <w:rPr>
                <w:rFonts w:hint="eastAsia" w:ascii="宋体" w:hAnsi="宋体" w:cs="宋体"/>
                <w:szCs w:val="21"/>
                <w:lang w:bidi="ar"/>
              </w:rPr>
              <w:t>响应供应商拟投入本项目的项目经理情况</w:t>
            </w:r>
          </w:p>
        </w:tc>
        <w:tc>
          <w:tcPr>
            <w:tcW w:w="431"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3</w:t>
            </w:r>
          </w:p>
        </w:tc>
        <w:tc>
          <w:tcPr>
            <w:tcW w:w="3335" w:type="pct"/>
            <w:noWrap w:val="0"/>
            <w:vAlign w:val="center"/>
          </w:tcPr>
          <w:p>
            <w:pPr>
              <w:numPr>
                <w:ilvl w:val="0"/>
                <w:numId w:val="2"/>
              </w:numPr>
              <w:spacing w:line="360" w:lineRule="auto"/>
              <w:rPr>
                <w:rFonts w:hint="eastAsia" w:ascii="宋体" w:hAnsi="宋体" w:cs="宋体"/>
                <w:szCs w:val="21"/>
                <w:lang w:bidi="ar"/>
              </w:rPr>
            </w:pPr>
            <w:r>
              <w:rPr>
                <w:rFonts w:hint="eastAsia" w:ascii="宋体" w:hAnsi="宋体" w:cs="宋体"/>
                <w:szCs w:val="21"/>
                <w:lang w:bidi="ar"/>
              </w:rPr>
              <w:t>具有中级或以上职称，得1分；</w:t>
            </w:r>
          </w:p>
          <w:p>
            <w:pPr>
              <w:numPr>
                <w:ilvl w:val="0"/>
                <w:numId w:val="2"/>
              </w:numPr>
              <w:spacing w:line="360" w:lineRule="auto"/>
              <w:rPr>
                <w:rFonts w:hint="eastAsia" w:ascii="宋体" w:hAnsi="宋体" w:cs="宋体"/>
                <w:szCs w:val="21"/>
                <w:lang w:bidi="ar"/>
              </w:rPr>
            </w:pPr>
            <w:r>
              <w:rPr>
                <w:rFonts w:hint="eastAsia" w:ascii="宋体" w:hAnsi="宋体" w:cs="宋体"/>
                <w:szCs w:val="21"/>
                <w:lang w:bidi="ar"/>
              </w:rPr>
              <w:t>本科或以上学历证书，得1分；</w:t>
            </w:r>
          </w:p>
          <w:p>
            <w:pPr>
              <w:spacing w:line="360" w:lineRule="auto"/>
              <w:rPr>
                <w:rFonts w:hint="eastAsia" w:ascii="宋体" w:hAnsi="宋体" w:cs="宋体"/>
                <w:szCs w:val="21"/>
                <w:lang w:bidi="ar"/>
              </w:rPr>
            </w:pPr>
            <w:r>
              <w:rPr>
                <w:rFonts w:hint="eastAsia" w:ascii="宋体" w:hAnsi="宋体" w:cs="宋体"/>
                <w:szCs w:val="21"/>
                <w:lang w:bidi="ar"/>
              </w:rPr>
              <w:t>（3）具有文化类创意设计大赛获奖证书，每提供一个得0.5分，最高得1分。</w:t>
            </w:r>
          </w:p>
          <w:p>
            <w:pPr>
              <w:spacing w:line="360" w:lineRule="auto"/>
              <w:rPr>
                <w:rFonts w:hint="eastAsia" w:ascii="宋体" w:hAnsi="宋体" w:cs="宋体"/>
                <w:szCs w:val="21"/>
                <w:lang w:bidi="ar"/>
              </w:rPr>
            </w:pPr>
            <w:r>
              <w:rPr>
                <w:rFonts w:hint="eastAsia" w:ascii="宋体" w:hAnsi="宋体" w:cs="宋体"/>
                <w:szCs w:val="21"/>
                <w:lang w:bidi="ar"/>
              </w:rPr>
              <w:t>注：须同时提供身份证、响应截止时间前6个月中任意一个月在响应供应商本单位购买的社保证明（如加盖所在地区政府有关部门印章的打印日期在本项目响应截止日之前6个月中任意一个月的《投保单》或《社会保险参保人员证明》等）、获奖证书（如有）、学历证书（如有），未提供完整证明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23" w:type="pct"/>
            <w:noWrap w:val="0"/>
            <w:vAlign w:val="center"/>
          </w:tcPr>
          <w:p>
            <w:pPr>
              <w:numPr>
                <w:ilvl w:val="0"/>
                <w:numId w:val="1"/>
              </w:numPr>
              <w:spacing w:line="400" w:lineRule="exact"/>
              <w:jc w:val="center"/>
              <w:rPr>
                <w:rFonts w:hint="eastAsia" w:ascii="宋体" w:hAnsi="宋体" w:cs="宋体"/>
                <w:bCs/>
                <w:szCs w:val="21"/>
              </w:rPr>
            </w:pPr>
          </w:p>
        </w:tc>
        <w:tc>
          <w:tcPr>
            <w:tcW w:w="809"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业绩情况</w:t>
            </w:r>
          </w:p>
        </w:tc>
        <w:tc>
          <w:tcPr>
            <w:tcW w:w="431"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8</w:t>
            </w:r>
          </w:p>
        </w:tc>
        <w:tc>
          <w:tcPr>
            <w:tcW w:w="3335" w:type="pct"/>
            <w:noWrap w:val="0"/>
            <w:vAlign w:val="center"/>
          </w:tcPr>
          <w:p>
            <w:pPr>
              <w:spacing w:line="360" w:lineRule="auto"/>
              <w:rPr>
                <w:rFonts w:hint="eastAsia" w:ascii="宋体" w:hAnsi="宋体" w:cs="宋体"/>
                <w:szCs w:val="21"/>
                <w:lang w:bidi="ar"/>
              </w:rPr>
            </w:pPr>
            <w:r>
              <w:rPr>
                <w:rFonts w:hint="eastAsia" w:ascii="宋体" w:hAnsi="宋体" w:cs="宋体"/>
                <w:szCs w:val="21"/>
                <w:lang w:bidi="ar"/>
              </w:rPr>
              <w:t>提供2018年1月1日以来具有校园文化类项目或制作安装相关项目经验的每提供1项得2分，满分8分。</w:t>
            </w:r>
          </w:p>
          <w:p>
            <w:pPr>
              <w:spacing w:line="360" w:lineRule="auto"/>
              <w:rPr>
                <w:rFonts w:hint="eastAsia" w:ascii="宋体" w:hAnsi="宋体" w:cs="宋体"/>
                <w:szCs w:val="21"/>
                <w:lang w:bidi="ar"/>
              </w:rPr>
            </w:pPr>
            <w:r>
              <w:rPr>
                <w:rFonts w:hint="eastAsia" w:ascii="宋体" w:hAnsi="宋体"/>
                <w:szCs w:val="21"/>
              </w:rPr>
              <w:t>注：同时提供中标/成交通知书、验收报告、合同复印件并加盖投标人公章，业绩时间以合同签订时间为准，不提供或提供不齐全不得分。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23" w:type="pct"/>
            <w:noWrap w:val="0"/>
            <w:vAlign w:val="center"/>
          </w:tcPr>
          <w:p>
            <w:pPr>
              <w:numPr>
                <w:ilvl w:val="0"/>
                <w:numId w:val="1"/>
              </w:numPr>
              <w:spacing w:line="400" w:lineRule="exact"/>
              <w:jc w:val="center"/>
              <w:rPr>
                <w:rFonts w:hint="eastAsia" w:ascii="宋体" w:hAnsi="宋体" w:cs="宋体"/>
                <w:bCs/>
                <w:szCs w:val="21"/>
              </w:rPr>
            </w:pPr>
          </w:p>
        </w:tc>
        <w:tc>
          <w:tcPr>
            <w:tcW w:w="809"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服务评价</w:t>
            </w:r>
          </w:p>
        </w:tc>
        <w:tc>
          <w:tcPr>
            <w:tcW w:w="431"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2</w:t>
            </w:r>
          </w:p>
        </w:tc>
        <w:tc>
          <w:tcPr>
            <w:tcW w:w="3335" w:type="pct"/>
            <w:noWrap w:val="0"/>
            <w:vAlign w:val="center"/>
          </w:tcPr>
          <w:p>
            <w:pPr>
              <w:spacing w:line="360" w:lineRule="auto"/>
              <w:rPr>
                <w:rFonts w:hint="eastAsia" w:ascii="宋体" w:hAnsi="宋体" w:cs="宋体"/>
                <w:szCs w:val="21"/>
                <w:lang w:bidi="ar"/>
              </w:rPr>
            </w:pPr>
            <w:r>
              <w:rPr>
                <w:rFonts w:hint="eastAsia" w:ascii="宋体" w:hAnsi="宋体" w:cs="宋体"/>
                <w:bCs/>
                <w:szCs w:val="20"/>
              </w:rPr>
              <w:t>响应供应商</w:t>
            </w:r>
            <w:r>
              <w:rPr>
                <w:rFonts w:hint="eastAsia" w:ascii="宋体" w:hAnsi="宋体" w:cs="宋体"/>
                <w:szCs w:val="21"/>
                <w:lang w:bidi="ar"/>
              </w:rPr>
              <w:t>承接相关校园文化建设设计或制作安装相关项目，得到客户“满意”或“非常满意”或相当于类似评价的，每提供一个服务评价得0.5分，本项最高得2分，不提供不得分。</w:t>
            </w:r>
          </w:p>
          <w:p>
            <w:pPr>
              <w:spacing w:line="360" w:lineRule="auto"/>
              <w:rPr>
                <w:rFonts w:hint="eastAsia" w:ascii="宋体" w:hAnsi="宋体" w:cs="宋体"/>
                <w:szCs w:val="21"/>
                <w:lang w:bidi="ar"/>
              </w:rPr>
            </w:pPr>
            <w:r>
              <w:rPr>
                <w:rFonts w:hint="eastAsia" w:ascii="宋体" w:hAnsi="宋体" w:cs="宋体"/>
                <w:b/>
                <w:bCs/>
                <w:szCs w:val="21"/>
                <w:lang w:bidi="ar"/>
              </w:rPr>
              <w:t>注：须提供用户单位评价证明加盖用户单位公章，非上述“业绩情况”对应的评价不得分。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23" w:type="pct"/>
            <w:noWrap w:val="0"/>
            <w:vAlign w:val="center"/>
          </w:tcPr>
          <w:p>
            <w:pPr>
              <w:numPr>
                <w:ilvl w:val="0"/>
                <w:numId w:val="1"/>
              </w:numPr>
              <w:spacing w:line="400" w:lineRule="exact"/>
              <w:jc w:val="center"/>
              <w:rPr>
                <w:rFonts w:hint="eastAsia" w:ascii="宋体" w:hAnsi="宋体" w:cs="宋体"/>
                <w:bCs/>
                <w:szCs w:val="21"/>
              </w:rPr>
            </w:pPr>
          </w:p>
        </w:tc>
        <w:tc>
          <w:tcPr>
            <w:tcW w:w="809" w:type="pct"/>
            <w:noWrap w:val="0"/>
            <w:vAlign w:val="center"/>
          </w:tcPr>
          <w:p>
            <w:pPr>
              <w:spacing w:line="360" w:lineRule="auto"/>
              <w:jc w:val="center"/>
              <w:rPr>
                <w:rFonts w:hint="eastAsia" w:ascii="宋体" w:hAnsi="宋体" w:cs="宋体"/>
                <w:bCs/>
                <w:szCs w:val="21"/>
              </w:rPr>
            </w:pPr>
            <w:r>
              <w:rPr>
                <w:rFonts w:hint="eastAsia" w:ascii="宋体" w:hAnsi="宋体" w:cs="宋体"/>
                <w:szCs w:val="21"/>
                <w:lang w:bidi="ar"/>
              </w:rPr>
              <w:t>获奖情况</w:t>
            </w:r>
          </w:p>
        </w:tc>
        <w:tc>
          <w:tcPr>
            <w:tcW w:w="431" w:type="pct"/>
            <w:noWrap w:val="0"/>
            <w:vAlign w:val="center"/>
          </w:tcPr>
          <w:p>
            <w:pPr>
              <w:spacing w:line="360" w:lineRule="auto"/>
              <w:jc w:val="center"/>
              <w:rPr>
                <w:rFonts w:hint="eastAsia" w:ascii="宋体" w:hAnsi="宋体" w:cs="宋体"/>
                <w:szCs w:val="21"/>
              </w:rPr>
            </w:pPr>
            <w:r>
              <w:rPr>
                <w:rFonts w:hint="eastAsia" w:ascii="宋体" w:hAnsi="宋体" w:cs="宋体"/>
                <w:szCs w:val="21"/>
                <w:lang w:bidi="ar"/>
              </w:rPr>
              <w:t>3</w:t>
            </w:r>
          </w:p>
        </w:tc>
        <w:tc>
          <w:tcPr>
            <w:tcW w:w="3335" w:type="pct"/>
            <w:noWrap w:val="0"/>
            <w:vAlign w:val="center"/>
          </w:tcPr>
          <w:p>
            <w:pPr>
              <w:spacing w:line="360" w:lineRule="auto"/>
              <w:rPr>
                <w:rFonts w:hint="eastAsia" w:ascii="宋体" w:hAnsi="宋体" w:cs="宋体"/>
                <w:bCs/>
                <w:szCs w:val="20"/>
              </w:rPr>
            </w:pPr>
            <w:r>
              <w:rPr>
                <w:rFonts w:hint="eastAsia" w:ascii="宋体" w:hAnsi="宋体" w:cs="宋体"/>
                <w:bCs/>
                <w:szCs w:val="20"/>
              </w:rPr>
              <w:t xml:space="preserve">1、供应商获得政府部门颁发的荣誉证书或奖项，每项得0.5分，最高1.5分； </w:t>
            </w:r>
          </w:p>
          <w:p>
            <w:pPr>
              <w:spacing w:line="360" w:lineRule="auto"/>
              <w:rPr>
                <w:rFonts w:hint="eastAsia" w:ascii="宋体" w:hAnsi="宋体" w:cs="宋体"/>
                <w:bCs/>
                <w:szCs w:val="20"/>
              </w:rPr>
            </w:pPr>
            <w:r>
              <w:rPr>
                <w:rFonts w:hint="eastAsia" w:ascii="宋体" w:hAnsi="宋体" w:cs="宋体"/>
                <w:bCs/>
                <w:szCs w:val="20"/>
              </w:rPr>
              <w:t>2、供应商获得相关领域协会颁发的荣誉证书或奖项，每项得0.5分，最高1.5分。</w:t>
            </w:r>
          </w:p>
          <w:p>
            <w:pPr>
              <w:spacing w:line="360" w:lineRule="auto"/>
              <w:rPr>
                <w:rStyle w:val="6"/>
                <w:rFonts w:hint="default"/>
              </w:rPr>
            </w:pPr>
            <w:r>
              <w:rPr>
                <w:rFonts w:hint="eastAsia" w:ascii="宋体" w:hAnsi="宋体" w:cs="宋体"/>
                <w:bCs/>
                <w:szCs w:val="20"/>
              </w:rPr>
              <w:t>注：须提供获奖证书复印件或有效期内证明文件复印件加盖公章，不提供不得分。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23" w:type="pct"/>
            <w:noWrap w:val="0"/>
            <w:vAlign w:val="center"/>
          </w:tcPr>
          <w:p>
            <w:pPr>
              <w:numPr>
                <w:ilvl w:val="0"/>
                <w:numId w:val="1"/>
              </w:numPr>
              <w:spacing w:line="400" w:lineRule="exact"/>
              <w:jc w:val="center"/>
              <w:rPr>
                <w:rFonts w:hint="eastAsia" w:ascii="宋体" w:hAnsi="宋体" w:cs="宋体"/>
                <w:bCs/>
                <w:szCs w:val="21"/>
              </w:rPr>
            </w:pPr>
          </w:p>
        </w:tc>
        <w:tc>
          <w:tcPr>
            <w:tcW w:w="809" w:type="pct"/>
            <w:noWrap w:val="0"/>
            <w:vAlign w:val="center"/>
          </w:tcPr>
          <w:p>
            <w:pPr>
              <w:spacing w:line="360" w:lineRule="auto"/>
              <w:jc w:val="center"/>
              <w:rPr>
                <w:rFonts w:hint="eastAsia" w:ascii="宋体" w:hAnsi="宋体" w:cs="宋体"/>
                <w:szCs w:val="21"/>
                <w:lang w:bidi="ar"/>
              </w:rPr>
            </w:pPr>
            <w:r>
              <w:rPr>
                <w:rFonts w:hint="eastAsia" w:ascii="宋体" w:hAnsi="宋体" w:cs="宋体"/>
                <w:bCs/>
                <w:szCs w:val="21"/>
              </w:rPr>
              <w:t>服务响应能力</w:t>
            </w:r>
          </w:p>
        </w:tc>
        <w:tc>
          <w:tcPr>
            <w:tcW w:w="431"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rPr>
              <w:t>3</w:t>
            </w:r>
          </w:p>
        </w:tc>
        <w:tc>
          <w:tcPr>
            <w:tcW w:w="3335" w:type="pct"/>
            <w:noWrap w:val="0"/>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Style w:val="6"/>
                <w:rFonts w:hint="default"/>
              </w:rPr>
            </w:pPr>
            <w:r>
              <w:rPr>
                <w:rFonts w:hint="eastAsia" w:ascii="宋体" w:hAnsi="宋体" w:cs="宋体"/>
                <w:szCs w:val="21"/>
              </w:rPr>
              <w:t>响应供应商对</w:t>
            </w:r>
            <w:r>
              <w:rPr>
                <w:rStyle w:val="6"/>
                <w:rFonts w:hint="default"/>
              </w:rPr>
              <w:t>本采购项目后续服务响应时间：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Style w:val="6"/>
                <w:rFonts w:hint="default"/>
              </w:rPr>
            </w:pPr>
            <w:r>
              <w:rPr>
                <w:rStyle w:val="6"/>
                <w:rFonts w:hint="default"/>
              </w:rPr>
              <w:t>1、自接到通知在1小时(含)内到达指定地点的，得3分；</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Style w:val="6"/>
                <w:rFonts w:hint="default"/>
              </w:rPr>
            </w:pPr>
            <w:r>
              <w:rPr>
                <w:rStyle w:val="6"/>
                <w:rFonts w:hint="default"/>
              </w:rPr>
              <w:t>2、自接到通知超过1小时、但在2小时(含)内到达指定地点的，得2分；</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Style w:val="6"/>
                <w:rFonts w:hint="default"/>
              </w:rPr>
            </w:pPr>
            <w:r>
              <w:rPr>
                <w:rStyle w:val="6"/>
                <w:rFonts w:hint="default"/>
              </w:rPr>
              <w:t>3、自接到通知超过2小时、但在3小时(含)内到达指定地点的，得1分；</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Style w:val="6"/>
                <w:rFonts w:hint="default"/>
              </w:rPr>
            </w:pPr>
            <w:r>
              <w:rPr>
                <w:rStyle w:val="6"/>
                <w:rFonts w:hint="default"/>
              </w:rPr>
              <w:t>4、自接到通知在其他时间（超过3小时）到达指定地点的，不得分。</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hint="eastAsia" w:ascii="宋体" w:hAnsi="宋体" w:cs="宋体"/>
                <w:b/>
                <w:bCs/>
                <w:szCs w:val="21"/>
                <w:lang w:bidi="ar"/>
              </w:rPr>
            </w:pPr>
            <w:r>
              <w:rPr>
                <w:rStyle w:val="6"/>
                <w:rFonts w:hint="default"/>
              </w:rPr>
              <w:t>注：需提供书面承诺函加盖供应商公章（格式自拟），否则不得分。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5000" w:type="pct"/>
            <w:gridSpan w:val="4"/>
            <w:noWrap w:val="0"/>
            <w:vAlign w:val="center"/>
          </w:tcPr>
          <w:p>
            <w:pPr>
              <w:spacing w:line="400" w:lineRule="exact"/>
              <w:jc w:val="center"/>
              <w:rPr>
                <w:rFonts w:hint="eastAsia" w:ascii="宋体" w:hAnsi="宋体" w:cs="宋体"/>
                <w:bCs/>
                <w:szCs w:val="21"/>
              </w:rPr>
            </w:pPr>
            <w:r>
              <w:rPr>
                <w:rFonts w:hint="eastAsia" w:ascii="宋体" w:hAnsi="宋体" w:cs="宋体"/>
                <w:bCs/>
                <w:szCs w:val="21"/>
              </w:rPr>
              <w:t>合计：25分</w:t>
            </w:r>
          </w:p>
        </w:tc>
      </w:tr>
    </w:tbl>
    <w:p>
      <w:pPr>
        <w:snapToGrid w:val="0"/>
        <w:spacing w:line="360" w:lineRule="auto"/>
        <w:ind w:firstLine="103" w:firstLineChars="49"/>
        <w:jc w:val="center"/>
        <w:rPr>
          <w:rFonts w:hint="eastAsia" w:ascii="宋体" w:hAnsi="宋体" w:cs="宋体"/>
          <w:b/>
          <w:szCs w:val="21"/>
        </w:rPr>
      </w:pPr>
    </w:p>
    <w:p>
      <w:pPr>
        <w:snapToGrid w:val="0"/>
        <w:spacing w:line="360" w:lineRule="auto"/>
        <w:ind w:firstLine="103" w:firstLineChars="49"/>
        <w:jc w:val="center"/>
        <w:rPr>
          <w:rFonts w:hint="eastAsia" w:ascii="宋体" w:hAnsi="宋体" w:cs="宋体"/>
          <w:b/>
          <w:szCs w:val="21"/>
        </w:rPr>
      </w:pPr>
      <w:r>
        <w:rPr>
          <w:rFonts w:hint="eastAsia" w:ascii="宋体" w:hAnsi="宋体" w:cs="宋体"/>
          <w:b/>
          <w:szCs w:val="21"/>
        </w:rPr>
        <w:t>技术评审细则</w:t>
      </w:r>
    </w:p>
    <w:tbl>
      <w:tblPr>
        <w:tblStyle w:val="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1394"/>
        <w:gridCol w:w="728"/>
        <w:gridCol w:w="56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413" w:type="pct"/>
            <w:tcBorders>
              <w:top w:val="single" w:color="auto" w:sz="12" w:space="0"/>
              <w:bottom w:val="single" w:color="auto" w:sz="6" w:space="0"/>
            </w:tcBorders>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序号</w:t>
            </w:r>
          </w:p>
        </w:tc>
        <w:tc>
          <w:tcPr>
            <w:tcW w:w="818" w:type="pct"/>
            <w:tcBorders>
              <w:top w:val="single" w:color="auto" w:sz="12" w:space="0"/>
              <w:bottom w:val="single" w:color="auto" w:sz="6" w:space="0"/>
            </w:tcBorders>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评审项目</w:t>
            </w:r>
          </w:p>
        </w:tc>
        <w:tc>
          <w:tcPr>
            <w:tcW w:w="427" w:type="pct"/>
            <w:tcBorders>
              <w:top w:val="single" w:color="auto" w:sz="12" w:space="0"/>
              <w:bottom w:val="single" w:color="auto" w:sz="6" w:space="0"/>
            </w:tcBorders>
            <w:noWrap w:val="0"/>
            <w:vAlign w:val="top"/>
          </w:tcPr>
          <w:p>
            <w:pPr>
              <w:spacing w:line="400" w:lineRule="exact"/>
              <w:jc w:val="center"/>
              <w:rPr>
                <w:rFonts w:hint="eastAsia" w:ascii="宋体" w:hAnsi="宋体" w:cs="宋体"/>
                <w:b/>
                <w:bCs/>
                <w:szCs w:val="21"/>
              </w:rPr>
            </w:pPr>
            <w:r>
              <w:rPr>
                <w:rFonts w:hint="eastAsia" w:ascii="宋体" w:hAnsi="宋体" w:cs="宋体"/>
                <w:b/>
                <w:bCs/>
                <w:szCs w:val="21"/>
              </w:rPr>
              <w:t>分值</w:t>
            </w:r>
          </w:p>
        </w:tc>
        <w:tc>
          <w:tcPr>
            <w:tcW w:w="3340" w:type="pct"/>
            <w:tcBorders>
              <w:top w:val="single" w:color="auto" w:sz="12" w:space="0"/>
              <w:bottom w:val="single" w:color="auto" w:sz="6" w:space="0"/>
            </w:tcBorders>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413" w:type="pct"/>
            <w:tcBorders>
              <w:top w:val="single" w:color="auto" w:sz="6" w:space="0"/>
            </w:tcBorders>
            <w:noWrap w:val="0"/>
            <w:vAlign w:val="center"/>
          </w:tcPr>
          <w:p>
            <w:pPr>
              <w:numPr>
                <w:ilvl w:val="0"/>
                <w:numId w:val="3"/>
              </w:numPr>
              <w:spacing w:line="400" w:lineRule="exact"/>
              <w:jc w:val="center"/>
              <w:rPr>
                <w:rFonts w:hint="eastAsia" w:ascii="宋体" w:hAnsi="宋体" w:cs="宋体"/>
                <w:bCs/>
                <w:szCs w:val="21"/>
              </w:rPr>
            </w:pPr>
          </w:p>
        </w:tc>
        <w:tc>
          <w:tcPr>
            <w:tcW w:w="818" w:type="pct"/>
            <w:tcBorders>
              <w:top w:val="single" w:color="auto" w:sz="6" w:space="0"/>
            </w:tcBorders>
            <w:noWrap w:val="0"/>
            <w:vAlign w:val="center"/>
          </w:tcPr>
          <w:p>
            <w:pPr>
              <w:spacing w:line="360" w:lineRule="auto"/>
              <w:jc w:val="center"/>
              <w:rPr>
                <w:rFonts w:ascii="宋体" w:hAnsi="宋体" w:cs="宋体"/>
                <w:szCs w:val="21"/>
                <w:lang w:bidi="ar"/>
              </w:rPr>
            </w:pPr>
            <w:r>
              <w:rPr>
                <w:rFonts w:hint="eastAsia" w:ascii="宋体" w:hAnsi="宋体"/>
                <w:szCs w:val="21"/>
              </w:rPr>
              <w:t>一般技术要求响应情况</w:t>
            </w:r>
          </w:p>
        </w:tc>
        <w:tc>
          <w:tcPr>
            <w:tcW w:w="427" w:type="pct"/>
            <w:tcBorders>
              <w:top w:val="single" w:color="auto" w:sz="6" w:space="0"/>
            </w:tcBorders>
            <w:noWrap w:val="0"/>
            <w:vAlign w:val="center"/>
          </w:tcPr>
          <w:p>
            <w:pPr>
              <w:spacing w:line="360" w:lineRule="auto"/>
              <w:jc w:val="center"/>
              <w:rPr>
                <w:rFonts w:hint="eastAsia" w:ascii="宋体" w:hAnsi="宋体" w:cs="宋体"/>
                <w:szCs w:val="21"/>
                <w:lang w:bidi="ar"/>
              </w:rPr>
            </w:pPr>
            <w:r>
              <w:rPr>
                <w:rFonts w:hint="eastAsia" w:ascii="宋体" w:hAnsi="宋体"/>
                <w:szCs w:val="21"/>
              </w:rPr>
              <w:t>10</w:t>
            </w:r>
          </w:p>
        </w:tc>
        <w:tc>
          <w:tcPr>
            <w:tcW w:w="3340" w:type="pct"/>
            <w:tcBorders>
              <w:top w:val="single" w:color="auto" w:sz="6" w:space="0"/>
            </w:tcBorders>
            <w:noWrap w:val="0"/>
            <w:vAlign w:val="center"/>
          </w:tcPr>
          <w:p>
            <w:pPr>
              <w:spacing w:line="360" w:lineRule="auto"/>
              <w:rPr>
                <w:rFonts w:ascii="宋体" w:hAnsi="宋体"/>
                <w:szCs w:val="21"/>
              </w:rPr>
            </w:pPr>
            <w:r>
              <w:rPr>
                <w:rFonts w:hint="eastAsia" w:ascii="宋体" w:hAnsi="宋体" w:cs="宋体"/>
                <w:bCs/>
                <w:szCs w:val="21"/>
              </w:rPr>
              <w:t>根据各供应商对参数文件“采购需求”中技术要求的</w:t>
            </w:r>
            <w:r>
              <w:rPr>
                <w:rFonts w:hint="eastAsia" w:ascii="宋体" w:hAnsi="宋体" w:cs="宋体"/>
                <w:kern w:val="0"/>
                <w:szCs w:val="21"/>
              </w:rPr>
              <w:t>一般技术参数条款（除“</w:t>
            </w:r>
            <w:r>
              <w:rPr>
                <w:rFonts w:hint="eastAsia" w:ascii="宋体" w:hAnsi="宋体" w:cs="宋体"/>
                <w:kern w:val="28"/>
              </w:rPr>
              <w:t>★</w:t>
            </w:r>
            <w:r>
              <w:rPr>
                <w:rFonts w:hint="eastAsia" w:ascii="宋体" w:hAnsi="宋体" w:cs="宋体"/>
                <w:kern w:val="0"/>
                <w:szCs w:val="21"/>
              </w:rPr>
              <w:t>”和“</w:t>
            </w:r>
            <w:r>
              <w:rPr>
                <w:rFonts w:hint="eastAsia" w:ascii="宋体" w:hAnsi="宋体" w:cs="宋体"/>
                <w:kern w:val="28"/>
              </w:rPr>
              <w:t>▲</w:t>
            </w:r>
            <w:r>
              <w:rPr>
                <w:rFonts w:hint="eastAsia" w:ascii="宋体" w:hAnsi="宋体" w:cs="宋体"/>
                <w:kern w:val="0"/>
                <w:szCs w:val="21"/>
              </w:rPr>
              <w:t>”外）的</w:t>
            </w:r>
            <w:r>
              <w:rPr>
                <w:rFonts w:hint="eastAsia" w:ascii="宋体" w:hAnsi="宋体" w:cs="宋体"/>
                <w:bCs/>
                <w:szCs w:val="21"/>
              </w:rPr>
              <w:t>响应情况进行评审</w:t>
            </w:r>
            <w:r>
              <w:rPr>
                <w:rFonts w:hint="eastAsia" w:ascii="宋体" w:hAnsi="宋体"/>
                <w:szCs w:val="21"/>
              </w:rPr>
              <w:t>：</w:t>
            </w:r>
          </w:p>
          <w:p>
            <w:pPr>
              <w:spacing w:line="360" w:lineRule="auto"/>
              <w:rPr>
                <w:rFonts w:ascii="宋体" w:hAnsi="宋体"/>
                <w:szCs w:val="21"/>
              </w:rPr>
            </w:pPr>
            <w:r>
              <w:rPr>
                <w:rFonts w:hint="eastAsia" w:ascii="宋体" w:hAnsi="宋体"/>
                <w:szCs w:val="21"/>
              </w:rPr>
              <w:t>①完全满足</w:t>
            </w:r>
            <w:r>
              <w:rPr>
                <w:rFonts w:hint="eastAsia" w:ascii="宋体" w:hAnsi="宋体" w:cs="宋体"/>
                <w:kern w:val="0"/>
                <w:szCs w:val="21"/>
              </w:rPr>
              <w:t>一般技术参数条款</w:t>
            </w:r>
            <w:r>
              <w:rPr>
                <w:rFonts w:hint="eastAsia" w:ascii="宋体" w:hAnsi="宋体"/>
                <w:szCs w:val="21"/>
              </w:rPr>
              <w:t>的，得10分；</w:t>
            </w:r>
          </w:p>
          <w:p>
            <w:pPr>
              <w:spacing w:line="36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 = 2 \* GB3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有1</w:t>
            </w:r>
            <w:r>
              <w:rPr>
                <w:rFonts w:ascii="宋体" w:hAnsi="宋体"/>
                <w:szCs w:val="21"/>
              </w:rPr>
              <w:t>-</w:t>
            </w:r>
            <w:r>
              <w:rPr>
                <w:rFonts w:hint="eastAsia" w:ascii="宋体" w:hAnsi="宋体"/>
                <w:szCs w:val="21"/>
              </w:rPr>
              <w:t>3项</w:t>
            </w:r>
            <w:r>
              <w:rPr>
                <w:rFonts w:hint="eastAsia" w:ascii="宋体" w:hAnsi="宋体" w:cs="宋体"/>
                <w:kern w:val="0"/>
                <w:szCs w:val="21"/>
              </w:rPr>
              <w:t>一般技术参数条款</w:t>
            </w:r>
            <w:r>
              <w:rPr>
                <w:rFonts w:hint="eastAsia" w:ascii="宋体" w:hAnsi="宋体"/>
                <w:szCs w:val="21"/>
              </w:rPr>
              <w:t>不满足（负偏离）的，得7分；</w:t>
            </w:r>
          </w:p>
          <w:p>
            <w:pPr>
              <w:spacing w:line="360" w:lineRule="auto"/>
              <w:rPr>
                <w:rFonts w:hint="eastAsia"/>
              </w:rPr>
            </w:pPr>
            <w:r>
              <w:rPr>
                <w:rFonts w:hint="eastAsia" w:ascii="宋体" w:hAnsi="宋体"/>
                <w:szCs w:val="21"/>
              </w:rPr>
              <w:t>③有4-6项</w:t>
            </w:r>
            <w:r>
              <w:rPr>
                <w:rFonts w:hint="eastAsia" w:ascii="宋体" w:hAnsi="宋体" w:cs="宋体"/>
                <w:kern w:val="0"/>
                <w:szCs w:val="21"/>
              </w:rPr>
              <w:t>一般技术参数条款</w:t>
            </w:r>
            <w:r>
              <w:rPr>
                <w:rFonts w:hint="eastAsia" w:ascii="宋体" w:hAnsi="宋体"/>
                <w:szCs w:val="21"/>
              </w:rPr>
              <w:t>不满足（负偏离）的，得4分；</w:t>
            </w:r>
          </w:p>
          <w:p>
            <w:pPr>
              <w:spacing w:line="360" w:lineRule="auto"/>
              <w:rPr>
                <w:rFonts w:hint="eastAsia" w:ascii="宋体" w:hAnsi="宋体"/>
                <w:szCs w:val="21"/>
              </w:rPr>
            </w:pPr>
            <w:r>
              <w:rPr>
                <w:rFonts w:hint="eastAsia" w:ascii="宋体" w:hAnsi="宋体"/>
                <w:szCs w:val="21"/>
              </w:rPr>
              <w:t>④有7-9项</w:t>
            </w:r>
            <w:r>
              <w:rPr>
                <w:rFonts w:hint="eastAsia" w:ascii="宋体" w:hAnsi="宋体" w:cs="宋体"/>
                <w:kern w:val="0"/>
                <w:szCs w:val="21"/>
              </w:rPr>
              <w:t>一般技术参数条款</w:t>
            </w:r>
            <w:r>
              <w:rPr>
                <w:rFonts w:hint="eastAsia" w:ascii="宋体" w:hAnsi="宋体"/>
                <w:szCs w:val="21"/>
              </w:rPr>
              <w:t>不满足（负偏离）的，得1分；</w:t>
            </w:r>
          </w:p>
          <w:p>
            <w:pPr>
              <w:spacing w:line="360" w:lineRule="auto"/>
              <w:rPr>
                <w:rFonts w:ascii="宋体" w:hAnsi="宋体"/>
                <w:szCs w:val="21"/>
              </w:rPr>
            </w:pPr>
            <w:r>
              <w:rPr>
                <w:rFonts w:hint="eastAsia" w:ascii="宋体" w:hAnsi="宋体"/>
                <w:szCs w:val="21"/>
              </w:rPr>
              <w:t>⑤有10项或以上</w:t>
            </w:r>
            <w:r>
              <w:rPr>
                <w:rFonts w:hint="eastAsia" w:ascii="宋体" w:hAnsi="宋体" w:cs="宋体"/>
                <w:kern w:val="0"/>
                <w:szCs w:val="21"/>
              </w:rPr>
              <w:t>一般技术参数条款</w:t>
            </w:r>
            <w:r>
              <w:rPr>
                <w:rFonts w:hint="eastAsia" w:ascii="宋体" w:hAnsi="宋体"/>
                <w:szCs w:val="21"/>
              </w:rPr>
              <w:t>不满足（负偏离）的，得0分。</w:t>
            </w:r>
          </w:p>
          <w:p>
            <w:pPr>
              <w:spacing w:line="360" w:lineRule="auto"/>
              <w:rPr>
                <w:rFonts w:hint="eastAsia" w:ascii="宋体" w:hAnsi="宋体" w:cs="宋体"/>
                <w:szCs w:val="21"/>
                <w:lang w:bidi="ar"/>
              </w:rPr>
            </w:pPr>
            <w:r>
              <w:rPr>
                <w:rFonts w:hint="eastAsia" w:ascii="宋体" w:hAnsi="宋体"/>
                <w:szCs w:val="21"/>
              </w:rPr>
              <w:t>注:</w:t>
            </w:r>
            <w:r>
              <w:rPr>
                <w:rFonts w:hint="eastAsia" w:ascii="宋体" w:hAnsi="宋体" w:cs="宋体"/>
                <w:bCs/>
                <w:szCs w:val="21"/>
              </w:rPr>
              <w:t xml:space="preserve"> 按以下原则计算条款：有多级序号的，细化到最末级序号。无多级序号的，则一个序号为一项条款。</w:t>
            </w:r>
            <w:r>
              <w:rPr>
                <w:rFonts w:hint="eastAsia" w:ascii="宋体" w:hAnsi="宋体"/>
                <w:szCs w:val="21"/>
              </w:rPr>
              <w:t>技术要求中需要提供相关证明材料的，</w:t>
            </w:r>
            <w:r>
              <w:rPr>
                <w:rFonts w:hint="eastAsia" w:ascii="宋体" w:hAnsi="宋体" w:cs="宋体"/>
              </w:rPr>
              <w:t>投标人</w:t>
            </w:r>
            <w:r>
              <w:rPr>
                <w:rFonts w:hint="eastAsia" w:ascii="宋体" w:hAnsi="宋体"/>
                <w:szCs w:val="21"/>
              </w:rPr>
              <w:t>需提供有效证明材料，不能提供的视为不满足。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413" w:type="pct"/>
            <w:tcBorders>
              <w:top w:val="single" w:color="auto" w:sz="6" w:space="0"/>
            </w:tcBorders>
            <w:noWrap w:val="0"/>
            <w:vAlign w:val="center"/>
          </w:tcPr>
          <w:p>
            <w:pPr>
              <w:numPr>
                <w:ilvl w:val="0"/>
                <w:numId w:val="3"/>
              </w:numPr>
              <w:spacing w:line="400" w:lineRule="exact"/>
              <w:jc w:val="center"/>
              <w:rPr>
                <w:rFonts w:hint="eastAsia" w:ascii="宋体" w:hAnsi="宋体" w:cs="宋体"/>
                <w:bCs/>
                <w:szCs w:val="21"/>
              </w:rPr>
            </w:pPr>
          </w:p>
        </w:tc>
        <w:tc>
          <w:tcPr>
            <w:tcW w:w="818" w:type="pct"/>
            <w:tcBorders>
              <w:top w:val="single" w:color="auto" w:sz="6" w:space="0"/>
            </w:tcBorders>
            <w:noWrap w:val="0"/>
            <w:vAlign w:val="center"/>
          </w:tcPr>
          <w:p>
            <w:pPr>
              <w:spacing w:line="360" w:lineRule="auto"/>
              <w:jc w:val="center"/>
              <w:rPr>
                <w:rFonts w:hint="eastAsia" w:ascii="宋体" w:hAnsi="宋体" w:cs="宋体"/>
                <w:szCs w:val="21"/>
                <w:lang w:bidi="ar"/>
              </w:rPr>
            </w:pPr>
            <w:r>
              <w:rPr>
                <w:rFonts w:hint="eastAsia" w:ascii="宋体" w:hAnsi="宋体" w:cs="宋体"/>
                <w:szCs w:val="21"/>
              </w:rPr>
              <w:t>货物</w:t>
            </w:r>
            <w:r>
              <w:rPr>
                <w:rFonts w:ascii="宋体" w:hAnsi="宋体" w:cs="宋体"/>
                <w:szCs w:val="21"/>
              </w:rPr>
              <w:t>材质及材料的质量、可靠性 、安全性</w:t>
            </w:r>
          </w:p>
        </w:tc>
        <w:tc>
          <w:tcPr>
            <w:tcW w:w="427" w:type="pct"/>
            <w:tcBorders>
              <w:top w:val="single" w:color="auto" w:sz="6" w:space="0"/>
            </w:tcBorders>
            <w:noWrap w:val="0"/>
            <w:vAlign w:val="center"/>
          </w:tcPr>
          <w:p>
            <w:pPr>
              <w:spacing w:line="360" w:lineRule="auto"/>
              <w:jc w:val="center"/>
              <w:rPr>
                <w:rFonts w:ascii="宋体" w:hAnsi="宋体" w:cs="宋体"/>
                <w:szCs w:val="21"/>
                <w:lang w:bidi="ar"/>
              </w:rPr>
            </w:pPr>
            <w:r>
              <w:rPr>
                <w:rFonts w:hint="eastAsia" w:ascii="宋体" w:hAnsi="宋体" w:cs="宋体"/>
                <w:szCs w:val="21"/>
                <w:lang w:bidi="ar"/>
              </w:rPr>
              <w:t>10</w:t>
            </w:r>
          </w:p>
        </w:tc>
        <w:tc>
          <w:tcPr>
            <w:tcW w:w="3340" w:type="pct"/>
            <w:tcBorders>
              <w:top w:val="single" w:color="auto" w:sz="6" w:space="0"/>
            </w:tcBorders>
            <w:noWrap w:val="0"/>
            <w:vAlign w:val="center"/>
          </w:tcPr>
          <w:p>
            <w:pPr>
              <w:spacing w:line="360" w:lineRule="auto"/>
              <w:rPr>
                <w:rFonts w:hint="eastAsia" w:ascii="宋体" w:hAnsi="宋体"/>
                <w:szCs w:val="21"/>
              </w:rPr>
            </w:pPr>
            <w:r>
              <w:rPr>
                <w:rFonts w:hint="eastAsia" w:ascii="宋体" w:hAnsi="宋体"/>
                <w:szCs w:val="21"/>
              </w:rPr>
              <w:t>1、提供的货物材质及材料达到行业高质量，可靠性、安全性高，得10分；</w:t>
            </w:r>
          </w:p>
          <w:p>
            <w:pPr>
              <w:spacing w:line="360" w:lineRule="auto"/>
              <w:rPr>
                <w:rFonts w:hint="eastAsia" w:ascii="宋体" w:hAnsi="宋体"/>
                <w:szCs w:val="21"/>
              </w:rPr>
            </w:pPr>
            <w:r>
              <w:rPr>
                <w:rFonts w:hint="eastAsia" w:ascii="宋体" w:hAnsi="宋体"/>
                <w:szCs w:val="21"/>
              </w:rPr>
              <w:t>2、提供的货物材质及材料达到行业较高质量，可靠性、安全性较高，得7分；</w:t>
            </w:r>
          </w:p>
          <w:p>
            <w:pPr>
              <w:spacing w:line="360" w:lineRule="auto"/>
              <w:rPr>
                <w:rFonts w:hint="eastAsia" w:ascii="宋体" w:hAnsi="宋体"/>
                <w:szCs w:val="21"/>
              </w:rPr>
            </w:pPr>
            <w:r>
              <w:rPr>
                <w:rFonts w:hint="eastAsia" w:ascii="宋体" w:hAnsi="宋体"/>
                <w:szCs w:val="21"/>
              </w:rPr>
              <w:t>3、提供的货物材质及材料质量一般，可靠性、安全性一般，得4分；</w:t>
            </w:r>
          </w:p>
          <w:p>
            <w:pPr>
              <w:spacing w:line="360" w:lineRule="auto"/>
              <w:rPr>
                <w:rFonts w:hint="eastAsia" w:ascii="宋体" w:hAnsi="宋体"/>
                <w:szCs w:val="21"/>
              </w:rPr>
            </w:pPr>
            <w:r>
              <w:rPr>
                <w:rFonts w:hint="eastAsia" w:ascii="宋体" w:hAnsi="宋体"/>
                <w:szCs w:val="21"/>
              </w:rPr>
              <w:t>4、提供的货物材质及材料质量差，不安全、不可靠，得1分。</w:t>
            </w:r>
          </w:p>
          <w:p>
            <w:pPr>
              <w:spacing w:line="360" w:lineRule="auto"/>
              <w:rPr>
                <w:rFonts w:hint="eastAsia" w:ascii="宋体" w:hAnsi="宋体" w:cs="宋体"/>
                <w:szCs w:val="21"/>
                <w:lang w:bidi="ar"/>
              </w:rPr>
            </w:pPr>
            <w:r>
              <w:rPr>
                <w:rFonts w:hint="eastAsia" w:ascii="宋体" w:hAnsi="宋体"/>
                <w:szCs w:val="21"/>
              </w:rPr>
              <w:t>5、不提供不得分。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413" w:type="pct"/>
            <w:noWrap w:val="0"/>
            <w:vAlign w:val="center"/>
          </w:tcPr>
          <w:p>
            <w:pPr>
              <w:numPr>
                <w:ilvl w:val="0"/>
                <w:numId w:val="3"/>
              </w:numPr>
              <w:spacing w:line="400" w:lineRule="exact"/>
              <w:jc w:val="center"/>
              <w:rPr>
                <w:rFonts w:hint="eastAsia" w:ascii="宋体" w:hAnsi="宋体" w:cs="宋体"/>
                <w:bCs/>
                <w:szCs w:val="21"/>
              </w:rPr>
            </w:pPr>
          </w:p>
        </w:tc>
        <w:tc>
          <w:tcPr>
            <w:tcW w:w="818" w:type="pct"/>
            <w:noWrap w:val="0"/>
            <w:vAlign w:val="center"/>
          </w:tcPr>
          <w:p>
            <w:pPr>
              <w:spacing w:line="360" w:lineRule="auto"/>
              <w:jc w:val="center"/>
              <w:rPr>
                <w:rFonts w:ascii="宋体" w:hAnsi="宋体" w:cs="宋体"/>
                <w:szCs w:val="21"/>
                <w:lang w:bidi="ar"/>
              </w:rPr>
            </w:pPr>
            <w:r>
              <w:rPr>
                <w:rFonts w:hint="eastAsia" w:ascii="宋体" w:hAnsi="宋体" w:cs="宋体"/>
                <w:szCs w:val="21"/>
                <w:lang w:bidi="ar"/>
              </w:rPr>
              <w:t>项目实施总进度计划</w:t>
            </w:r>
          </w:p>
        </w:tc>
        <w:tc>
          <w:tcPr>
            <w:tcW w:w="427"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15</w:t>
            </w:r>
          </w:p>
        </w:tc>
        <w:tc>
          <w:tcPr>
            <w:tcW w:w="3340" w:type="pct"/>
            <w:noWrap w:val="0"/>
            <w:vAlign w:val="top"/>
          </w:tcPr>
          <w:p>
            <w:pPr>
              <w:numPr>
                <w:ilvl w:val="0"/>
                <w:numId w:val="4"/>
              </w:numPr>
              <w:spacing w:line="360" w:lineRule="auto"/>
              <w:jc w:val="left"/>
              <w:rPr>
                <w:rFonts w:hint="eastAsia" w:ascii="宋体" w:hAnsi="宋体" w:cs="宋体"/>
                <w:szCs w:val="21"/>
                <w:lang w:bidi="ar"/>
              </w:rPr>
            </w:pPr>
            <w:r>
              <w:rPr>
                <w:rFonts w:hint="eastAsia" w:ascii="宋体" w:hAnsi="宋体" w:cs="宋体"/>
                <w:szCs w:val="21"/>
                <w:lang w:bidi="ar"/>
              </w:rPr>
              <w:t>项目实施总进度计划完整详细、逻辑性强、可行、合理，保证措施可行性强 ，得15分；</w:t>
            </w:r>
          </w:p>
          <w:p>
            <w:pPr>
              <w:spacing w:line="360" w:lineRule="auto"/>
              <w:jc w:val="left"/>
              <w:rPr>
                <w:rFonts w:hint="eastAsia" w:ascii="宋体" w:hAnsi="宋体" w:cs="宋体"/>
                <w:szCs w:val="21"/>
                <w:lang w:bidi="ar"/>
              </w:rPr>
            </w:pPr>
            <w:r>
              <w:rPr>
                <w:rFonts w:hint="eastAsia" w:ascii="宋体" w:hAnsi="宋体" w:cs="宋体"/>
                <w:szCs w:val="21"/>
                <w:lang w:bidi="ar"/>
              </w:rPr>
              <w:t>2、项目实施总进度计划完整详细、逻辑性较强、可行、较合理，保 证措施可行性较强，得10分；</w:t>
            </w:r>
          </w:p>
          <w:p>
            <w:pPr>
              <w:spacing w:line="360" w:lineRule="auto"/>
              <w:jc w:val="left"/>
              <w:rPr>
                <w:rFonts w:hint="eastAsia" w:ascii="宋体" w:hAnsi="宋体" w:cs="宋体"/>
                <w:szCs w:val="21"/>
                <w:lang w:bidi="ar"/>
              </w:rPr>
            </w:pPr>
            <w:r>
              <w:rPr>
                <w:rFonts w:hint="eastAsia" w:ascii="宋体" w:hAnsi="宋体" w:cs="宋体"/>
                <w:szCs w:val="21"/>
                <w:lang w:bidi="ar"/>
              </w:rPr>
              <w:t>3、项目实施总进度计划较完整、逻辑性一般、较 可行、较合理，保证措施一般，得5分；</w:t>
            </w:r>
          </w:p>
          <w:p>
            <w:pPr>
              <w:spacing w:line="360" w:lineRule="auto"/>
              <w:jc w:val="left"/>
              <w:rPr>
                <w:rFonts w:hint="eastAsia" w:ascii="宋体" w:hAnsi="宋体" w:cs="宋体"/>
                <w:szCs w:val="21"/>
                <w:lang w:bidi="ar"/>
              </w:rPr>
            </w:pPr>
            <w:r>
              <w:rPr>
                <w:rFonts w:hint="eastAsia" w:ascii="宋体" w:hAnsi="宋体" w:cs="宋体"/>
                <w:szCs w:val="21"/>
                <w:lang w:bidi="ar"/>
              </w:rPr>
              <w:t>4、项目实施总进度计划较不完整、逻 辑性差、不可行、不合理，保证措施不太可行，得1分。</w:t>
            </w:r>
          </w:p>
          <w:p>
            <w:pPr>
              <w:spacing w:line="360" w:lineRule="auto"/>
              <w:jc w:val="left"/>
              <w:rPr>
                <w:rFonts w:hint="eastAsia" w:ascii="宋体" w:hAnsi="宋体" w:cs="宋体"/>
                <w:szCs w:val="21"/>
                <w:lang w:bidi="ar"/>
              </w:rPr>
            </w:pPr>
            <w:r>
              <w:rPr>
                <w:rFonts w:hint="eastAsia" w:ascii="宋体" w:hAnsi="宋体" w:cs="宋体"/>
                <w:szCs w:val="21"/>
                <w:lang w:bidi="ar"/>
              </w:rPr>
              <w:t>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413" w:type="pct"/>
            <w:noWrap w:val="0"/>
            <w:vAlign w:val="center"/>
          </w:tcPr>
          <w:p>
            <w:pPr>
              <w:numPr>
                <w:ilvl w:val="0"/>
                <w:numId w:val="3"/>
              </w:numPr>
              <w:spacing w:line="400" w:lineRule="exact"/>
              <w:jc w:val="center"/>
              <w:rPr>
                <w:rFonts w:hint="eastAsia" w:ascii="宋体" w:hAnsi="宋体" w:cs="宋体"/>
                <w:bCs/>
                <w:szCs w:val="21"/>
              </w:rPr>
            </w:pPr>
          </w:p>
        </w:tc>
        <w:tc>
          <w:tcPr>
            <w:tcW w:w="818"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质量保证措施</w:t>
            </w:r>
          </w:p>
        </w:tc>
        <w:tc>
          <w:tcPr>
            <w:tcW w:w="427"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5</w:t>
            </w:r>
          </w:p>
        </w:tc>
        <w:tc>
          <w:tcPr>
            <w:tcW w:w="3340" w:type="pct"/>
            <w:noWrap w:val="0"/>
            <w:vAlign w:val="top"/>
          </w:tcPr>
          <w:p>
            <w:pPr>
              <w:spacing w:line="360" w:lineRule="auto"/>
              <w:jc w:val="left"/>
              <w:rPr>
                <w:rFonts w:hint="eastAsia" w:ascii="宋体" w:hAnsi="宋体" w:cs="宋体"/>
                <w:szCs w:val="21"/>
                <w:lang w:bidi="ar"/>
              </w:rPr>
            </w:pPr>
            <w:r>
              <w:rPr>
                <w:rFonts w:hint="eastAsia" w:ascii="宋体" w:hAnsi="宋体" w:cs="宋体"/>
                <w:szCs w:val="21"/>
                <w:lang w:bidi="ar"/>
              </w:rPr>
              <w:t>质量保证措施包括但不限于施工关键技术、质量责任制度、应急预案、质量保修措施等方面：</w:t>
            </w:r>
          </w:p>
          <w:p>
            <w:pPr>
              <w:spacing w:line="360" w:lineRule="auto"/>
              <w:jc w:val="left"/>
              <w:rPr>
                <w:rFonts w:hint="eastAsia" w:ascii="宋体" w:hAnsi="宋体" w:cs="宋体"/>
                <w:szCs w:val="21"/>
                <w:lang w:bidi="ar"/>
              </w:rPr>
            </w:pPr>
            <w:r>
              <w:rPr>
                <w:rFonts w:hint="eastAsia" w:ascii="宋体" w:hAnsi="宋体" w:cs="宋体"/>
                <w:szCs w:val="21"/>
                <w:lang w:bidi="ar"/>
              </w:rPr>
              <w:t>方案合理，可行性强的得5分；</w:t>
            </w:r>
          </w:p>
          <w:p>
            <w:pPr>
              <w:spacing w:line="360" w:lineRule="auto"/>
              <w:jc w:val="left"/>
              <w:rPr>
                <w:rFonts w:hint="eastAsia" w:ascii="宋体" w:hAnsi="宋体" w:cs="宋体"/>
                <w:szCs w:val="21"/>
                <w:lang w:bidi="ar"/>
              </w:rPr>
            </w:pPr>
            <w:r>
              <w:rPr>
                <w:rFonts w:hint="eastAsia" w:ascii="宋体" w:hAnsi="宋体" w:cs="宋体"/>
                <w:szCs w:val="21"/>
                <w:lang w:bidi="ar"/>
              </w:rPr>
              <w:t>方案较合理，可行性较强的得3分；</w:t>
            </w:r>
          </w:p>
          <w:p>
            <w:pPr>
              <w:spacing w:line="360" w:lineRule="auto"/>
              <w:jc w:val="left"/>
              <w:rPr>
                <w:rFonts w:hint="eastAsia" w:ascii="宋体" w:hAnsi="宋体" w:cs="宋体"/>
                <w:szCs w:val="21"/>
                <w:lang w:bidi="ar"/>
              </w:rPr>
            </w:pPr>
            <w:r>
              <w:rPr>
                <w:rFonts w:hint="eastAsia" w:ascii="宋体" w:hAnsi="宋体" w:cs="宋体"/>
                <w:szCs w:val="21"/>
                <w:lang w:bidi="ar"/>
              </w:rPr>
              <w:t>方案一般、可行性一般得2分；</w:t>
            </w:r>
          </w:p>
          <w:p>
            <w:pPr>
              <w:spacing w:line="360" w:lineRule="auto"/>
              <w:jc w:val="left"/>
              <w:rPr>
                <w:rFonts w:hint="eastAsia" w:ascii="宋体" w:hAnsi="宋体" w:cs="宋体"/>
                <w:szCs w:val="21"/>
                <w:lang w:bidi="ar"/>
              </w:rPr>
            </w:pPr>
            <w:r>
              <w:rPr>
                <w:rFonts w:hint="eastAsia" w:ascii="宋体" w:hAnsi="宋体" w:cs="宋体"/>
                <w:szCs w:val="21"/>
                <w:lang w:bidi="ar"/>
              </w:rPr>
              <w:t>方案不完整，可行性差得1分；</w:t>
            </w:r>
          </w:p>
          <w:p>
            <w:pPr>
              <w:spacing w:line="360" w:lineRule="auto"/>
              <w:jc w:val="left"/>
              <w:rPr>
                <w:rFonts w:hint="eastAsia" w:ascii="宋体" w:hAnsi="宋体" w:cs="宋体"/>
                <w:szCs w:val="21"/>
                <w:lang w:bidi="ar"/>
              </w:rPr>
            </w:pPr>
            <w:r>
              <w:rPr>
                <w:rFonts w:hint="eastAsia" w:ascii="宋体" w:hAnsi="宋体" w:cs="宋体"/>
                <w:szCs w:val="21"/>
                <w:lang w:bidi="ar"/>
              </w:rPr>
              <w:t>方案不合理、可行性差或无响应得0分。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413" w:type="pct"/>
            <w:noWrap w:val="0"/>
            <w:vAlign w:val="center"/>
          </w:tcPr>
          <w:p>
            <w:pPr>
              <w:numPr>
                <w:ilvl w:val="0"/>
                <w:numId w:val="3"/>
              </w:numPr>
              <w:spacing w:line="400" w:lineRule="exact"/>
              <w:jc w:val="center"/>
              <w:rPr>
                <w:rFonts w:hint="eastAsia" w:ascii="宋体" w:hAnsi="宋体" w:cs="宋体"/>
                <w:bCs/>
                <w:szCs w:val="21"/>
              </w:rPr>
            </w:pPr>
          </w:p>
        </w:tc>
        <w:tc>
          <w:tcPr>
            <w:tcW w:w="818"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技术实力（拟投入的项目团队成员）</w:t>
            </w:r>
          </w:p>
        </w:tc>
        <w:tc>
          <w:tcPr>
            <w:tcW w:w="427" w:type="pct"/>
            <w:noWrap w:val="0"/>
            <w:vAlign w:val="center"/>
          </w:tcPr>
          <w:p>
            <w:pPr>
              <w:spacing w:line="360" w:lineRule="auto"/>
              <w:jc w:val="center"/>
              <w:rPr>
                <w:rFonts w:hint="eastAsia" w:ascii="宋体" w:hAnsi="宋体" w:cs="宋体"/>
                <w:szCs w:val="21"/>
                <w:lang w:bidi="ar"/>
              </w:rPr>
            </w:pPr>
            <w:r>
              <w:rPr>
                <w:rFonts w:hint="eastAsia" w:ascii="宋体" w:hAnsi="宋体" w:cs="宋体"/>
                <w:szCs w:val="21"/>
                <w:lang w:bidi="ar"/>
              </w:rPr>
              <w:t>5</w:t>
            </w:r>
          </w:p>
        </w:tc>
        <w:tc>
          <w:tcPr>
            <w:tcW w:w="3340" w:type="pct"/>
            <w:noWrap w:val="0"/>
            <w:vAlign w:val="top"/>
          </w:tcPr>
          <w:p>
            <w:pPr>
              <w:numPr>
                <w:ilvl w:val="0"/>
                <w:numId w:val="5"/>
              </w:numPr>
              <w:spacing w:line="360" w:lineRule="auto"/>
              <w:jc w:val="left"/>
              <w:rPr>
                <w:rFonts w:hint="eastAsia" w:ascii="宋体" w:hAnsi="宋体" w:cs="宋体"/>
                <w:szCs w:val="21"/>
                <w:lang w:bidi="ar"/>
              </w:rPr>
            </w:pPr>
            <w:r>
              <w:rPr>
                <w:rFonts w:hint="eastAsia" w:ascii="宋体" w:hAnsi="宋体" w:cs="宋体"/>
                <w:szCs w:val="21"/>
                <w:lang w:bidi="ar"/>
              </w:rPr>
              <w:t>投入项目团队成员中，具有设计专业专科</w:t>
            </w:r>
            <w:r>
              <w:rPr>
                <w:rFonts w:hint="eastAsia"/>
              </w:rPr>
              <w:t>或以上</w:t>
            </w:r>
            <w:r>
              <w:rPr>
                <w:rFonts w:hint="eastAsia" w:ascii="宋体" w:hAnsi="宋体" w:cs="宋体"/>
                <w:szCs w:val="21"/>
                <w:lang w:bidi="ar"/>
              </w:rPr>
              <w:t>毕业的5人或以上，得5分；</w:t>
            </w:r>
          </w:p>
          <w:p>
            <w:pPr>
              <w:numPr>
                <w:ilvl w:val="0"/>
                <w:numId w:val="5"/>
              </w:numPr>
              <w:spacing w:line="360" w:lineRule="auto"/>
              <w:jc w:val="left"/>
              <w:rPr>
                <w:rFonts w:hint="eastAsia" w:ascii="宋体" w:hAnsi="宋体" w:cs="宋体"/>
                <w:szCs w:val="21"/>
                <w:lang w:bidi="ar"/>
              </w:rPr>
            </w:pPr>
            <w:r>
              <w:rPr>
                <w:rFonts w:hint="eastAsia" w:ascii="宋体" w:hAnsi="宋体" w:cs="宋体"/>
                <w:szCs w:val="21"/>
                <w:lang w:bidi="ar"/>
              </w:rPr>
              <w:t>投入项目团队成员中，具有设计专业专科或以上毕业的5人以下3人或以上的，得3分；</w:t>
            </w:r>
          </w:p>
          <w:p>
            <w:pPr>
              <w:numPr>
                <w:ilvl w:val="0"/>
                <w:numId w:val="5"/>
              </w:numPr>
              <w:spacing w:line="360" w:lineRule="auto"/>
              <w:jc w:val="left"/>
              <w:rPr>
                <w:rFonts w:hint="eastAsia" w:ascii="宋体" w:hAnsi="宋体" w:cs="宋体"/>
                <w:szCs w:val="21"/>
                <w:lang w:bidi="ar"/>
              </w:rPr>
            </w:pPr>
            <w:r>
              <w:rPr>
                <w:rFonts w:hint="eastAsia" w:ascii="宋体" w:hAnsi="宋体" w:cs="宋体"/>
                <w:szCs w:val="21"/>
                <w:lang w:bidi="ar"/>
              </w:rPr>
              <w:t>投入项目团队成员中，具有设计专业专科或以上毕业3人以下的，得1分；</w:t>
            </w:r>
          </w:p>
          <w:p>
            <w:pPr>
              <w:spacing w:line="360" w:lineRule="auto"/>
              <w:jc w:val="left"/>
              <w:rPr>
                <w:rFonts w:hint="eastAsia" w:ascii="宋体" w:hAnsi="宋体" w:cs="宋体"/>
                <w:szCs w:val="21"/>
                <w:lang w:bidi="ar"/>
              </w:rPr>
            </w:pPr>
            <w:r>
              <w:rPr>
                <w:rFonts w:hint="eastAsia" w:ascii="宋体" w:hAnsi="宋体" w:cs="宋体"/>
                <w:szCs w:val="21"/>
                <w:lang w:bidi="ar"/>
              </w:rPr>
              <w:t>（需提供毕业证书、劳动合同或响应截止日之前6个月中任意一个月缴纳社保证明等证明材料复印件，不提供不得分）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5000" w:type="pct"/>
            <w:gridSpan w:val="4"/>
            <w:noWrap w:val="0"/>
            <w:vAlign w:val="center"/>
          </w:tcPr>
          <w:p>
            <w:pPr>
              <w:spacing w:line="400" w:lineRule="exact"/>
              <w:jc w:val="center"/>
              <w:rPr>
                <w:rFonts w:hint="eastAsia" w:ascii="宋体" w:hAnsi="宋体" w:cs="宋体"/>
                <w:bCs/>
                <w:szCs w:val="21"/>
              </w:rPr>
            </w:pPr>
            <w:r>
              <w:rPr>
                <w:rFonts w:hint="eastAsia" w:ascii="宋体" w:hAnsi="宋体" w:cs="宋体"/>
                <w:bCs/>
                <w:szCs w:val="21"/>
              </w:rPr>
              <w:t>合计：45分</w:t>
            </w:r>
          </w:p>
        </w:tc>
      </w:tr>
    </w:tbl>
    <w:p>
      <w:pPr>
        <w:tabs>
          <w:tab w:val="left" w:pos="709"/>
        </w:tabs>
        <w:spacing w:line="360" w:lineRule="auto"/>
        <w:ind w:left="315" w:leftChars="150" w:firstLine="420" w:firstLineChars="200"/>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3、原竞争性磋商文件中：第四章 合同书格式 “四、付款方式”，现更正为：</w:t>
      </w:r>
    </w:p>
    <w:p>
      <w:pPr>
        <w:tabs>
          <w:tab w:val="left" w:pos="709"/>
        </w:tabs>
        <w:spacing w:line="360" w:lineRule="auto"/>
        <w:ind w:left="315" w:leftChars="150" w:firstLine="420" w:firstLineChars="200"/>
        <w:rPr>
          <w:rFonts w:hint="eastAsia" w:ascii="宋体" w:hAnsi="宋体" w:cs="宋体"/>
        </w:rPr>
      </w:pPr>
      <w:r>
        <w:rPr>
          <w:rFonts w:hint="eastAsia" w:ascii="宋体" w:hAnsi="宋体" w:cs="宋体"/>
        </w:rPr>
        <w:t>4.1合同款包含项目实施过程的所有含税费用。</w:t>
      </w:r>
    </w:p>
    <w:p>
      <w:pPr>
        <w:tabs>
          <w:tab w:val="left" w:pos="709"/>
        </w:tabs>
        <w:spacing w:line="360" w:lineRule="auto"/>
        <w:ind w:left="315" w:leftChars="150" w:firstLine="420" w:firstLineChars="200"/>
        <w:rPr>
          <w:rFonts w:hint="eastAsia" w:ascii="宋体" w:hAnsi="宋体" w:cs="宋体"/>
        </w:rPr>
      </w:pPr>
      <w:r>
        <w:rPr>
          <w:rFonts w:hint="eastAsia" w:ascii="宋体" w:hAnsi="宋体" w:cs="宋体"/>
        </w:rPr>
        <w:t>4.2履约保证金：中标结果经公告期满，确认无异议后10天内，乙方须向甲方交纳中标金额的5%作为履约保证金。履约保证金在项目验收合格，交付使用后，10天内无息返还。</w:t>
      </w:r>
    </w:p>
    <w:p>
      <w:pPr>
        <w:tabs>
          <w:tab w:val="left" w:pos="709"/>
        </w:tabs>
        <w:spacing w:line="360" w:lineRule="auto"/>
        <w:ind w:left="315" w:leftChars="150" w:firstLine="420" w:firstLineChars="200"/>
        <w:rPr>
          <w:rFonts w:hint="eastAsia" w:ascii="宋体" w:hAnsi="宋体" w:cs="宋体"/>
        </w:rPr>
      </w:pPr>
      <w:r>
        <w:rPr>
          <w:rFonts w:hint="eastAsia" w:ascii="宋体" w:hAnsi="宋体" w:cs="宋体"/>
        </w:rPr>
        <w:t>4.3项目建设完毕并通过终验收合格后，甲方在10个工作日内一次性付清100%合同总价。</w:t>
      </w:r>
    </w:p>
    <w:p>
      <w:pPr>
        <w:tabs>
          <w:tab w:val="left" w:pos="709"/>
        </w:tabs>
        <w:spacing w:line="360" w:lineRule="auto"/>
        <w:ind w:left="315" w:leftChars="150" w:firstLine="420" w:firstLineChars="200"/>
        <w:rPr>
          <w:rFonts w:hint="eastAsia" w:ascii="宋体" w:hAnsi="宋体" w:cs="宋体"/>
        </w:rPr>
      </w:pPr>
      <w:r>
        <w:rPr>
          <w:rFonts w:hint="eastAsia" w:ascii="宋体" w:hAnsi="宋体" w:cs="宋体"/>
        </w:rPr>
        <w:t>4.4付款时间为甲方向国库提交支付申请的时间（不含政府财政支付部门审查时间）。</w:t>
      </w:r>
    </w:p>
    <w:p>
      <w:pPr>
        <w:tabs>
          <w:tab w:val="left" w:pos="709"/>
        </w:tabs>
        <w:spacing w:line="360" w:lineRule="auto"/>
        <w:ind w:left="315" w:leftChars="150" w:firstLine="420" w:firstLineChars="200"/>
        <w:rPr>
          <w:rFonts w:hint="eastAsia" w:ascii="宋体" w:hAnsi="宋体"/>
        </w:rPr>
      </w:pPr>
      <w:r>
        <w:rPr>
          <w:rFonts w:hint="eastAsia" w:ascii="宋体" w:hAnsi="宋体" w:cs="宋体"/>
        </w:rPr>
        <w:t>4.5银行账户：广东轻工职业技术学院，账</w:t>
      </w:r>
      <w:bookmarkStart w:id="0" w:name="_GoBack"/>
      <w:bookmarkEnd w:id="0"/>
      <w:r>
        <w:rPr>
          <w:rFonts w:hint="eastAsia" w:ascii="宋体" w:hAnsi="宋体" w:cs="宋体"/>
        </w:rPr>
        <w:t>号：673057755029,中国银行广州鹭江支行。（转帐时请注明费用名称及项目名全称）。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E2957"/>
    <w:multiLevelType w:val="singleLevel"/>
    <w:tmpl w:val="EA2E2957"/>
    <w:lvl w:ilvl="0" w:tentative="0">
      <w:start w:val="1"/>
      <w:numFmt w:val="decimal"/>
      <w:suff w:val="nothing"/>
      <w:lvlText w:val="%1、"/>
      <w:lvlJc w:val="left"/>
    </w:lvl>
  </w:abstractNum>
  <w:abstractNum w:abstractNumId="1">
    <w:nsid w:val="EED809B0"/>
    <w:multiLevelType w:val="singleLevel"/>
    <w:tmpl w:val="EED809B0"/>
    <w:lvl w:ilvl="0" w:tentative="0">
      <w:start w:val="1"/>
      <w:numFmt w:val="decimal"/>
      <w:suff w:val="nothing"/>
      <w:lvlText w:val="（%1）"/>
      <w:lvlJc w:val="left"/>
    </w:lvl>
  </w:abstractNum>
  <w:abstractNum w:abstractNumId="2">
    <w:nsid w:val="18E585C0"/>
    <w:multiLevelType w:val="singleLevel"/>
    <w:tmpl w:val="18E585C0"/>
    <w:lvl w:ilvl="0" w:tentative="0">
      <w:start w:val="1"/>
      <w:numFmt w:val="decimal"/>
      <w:suff w:val="nothing"/>
      <w:lvlText w:val="%1、"/>
      <w:lvlJc w:val="left"/>
    </w:lvl>
  </w:abstractNum>
  <w:abstractNum w:abstractNumId="3">
    <w:nsid w:val="642A7B61"/>
    <w:multiLevelType w:val="multilevel"/>
    <w:tmpl w:val="642A7B61"/>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BB7884"/>
    <w:multiLevelType w:val="multilevel"/>
    <w:tmpl w:val="69BB7884"/>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2496336C"/>
    <w:rsid w:val="04FE7A2D"/>
    <w:rsid w:val="2496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宋体" w:hAnsi="宋体"/>
      <w:sz w:val="28"/>
      <w:szCs w:val="20"/>
    </w:rPr>
  </w:style>
  <w:style w:type="paragraph" w:styleId="3">
    <w:name w:val="Body Text First Indent 2"/>
    <w:basedOn w:val="2"/>
    <w:qFormat/>
    <w:uiPriority w:val="99"/>
    <w:pPr>
      <w:ind w:firstLine="420" w:firstLineChars="200"/>
    </w:pPr>
  </w:style>
  <w:style w:type="character" w:customStyle="1" w:styleId="6">
    <w:name w:val="ca-0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2023-06-06T11:10:00Z</dcterms:created>
  <dc:creator>国科GJX</dc:creator>
  <cp:lastModifiedBy>国科GJX</cp:lastModifiedBy>
  <dcterms:modified xsi:type="dcterms:W3CDTF">2023-06-06T11:16:27Z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5419199A50CF4D6E8E9CA618BC1DB302_11</vt:lpwstr>
  </property>
</Properties>
</file>