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709"/>
        </w:tabs>
        <w:ind w:firstLine="0" w:firstLineChars="0"/>
        <w:jc w:val="center"/>
        <w:rPr>
          <w:rFonts w:ascii="宋体" w:hAnsi="宋体"/>
          <w:b/>
          <w:sz w:val="32"/>
          <w:szCs w:val="32"/>
        </w:rPr>
      </w:pPr>
      <w:bookmarkStart w:id="0" w:name="_GoBack"/>
      <w:bookmarkEnd w:id="0"/>
      <w:r>
        <w:rPr>
          <w:rFonts w:hint="eastAsia" w:ascii="宋体" w:hAnsi="宋体"/>
          <w:b/>
          <w:sz w:val="32"/>
          <w:szCs w:val="32"/>
        </w:rPr>
        <w:t>用户需求书—番禺中心医院医疗集团利器盒</w:t>
      </w:r>
    </w:p>
    <w:p>
      <w:pPr>
        <w:pStyle w:val="11"/>
        <w:tabs>
          <w:tab w:val="left" w:pos="709"/>
        </w:tabs>
        <w:ind w:firstLine="0" w:firstLineChars="0"/>
        <w:jc w:val="center"/>
        <w:rPr>
          <w:rFonts w:ascii="宋体" w:hAnsi="宋体"/>
          <w:b/>
          <w:sz w:val="32"/>
          <w:szCs w:val="32"/>
        </w:rPr>
      </w:pPr>
      <w:r>
        <w:rPr>
          <w:rFonts w:hint="eastAsia" w:ascii="宋体" w:hAnsi="宋体"/>
          <w:b/>
          <w:sz w:val="32"/>
          <w:szCs w:val="32"/>
        </w:rPr>
        <w:t>采购项目</w:t>
      </w:r>
    </w:p>
    <w:p>
      <w:pPr>
        <w:pStyle w:val="11"/>
        <w:tabs>
          <w:tab w:val="left" w:pos="709"/>
        </w:tabs>
        <w:ind w:firstLine="0" w:firstLineChars="0"/>
        <w:jc w:val="center"/>
        <w:rPr>
          <w:rFonts w:ascii="宋体" w:hAnsi="宋体"/>
          <w:b/>
          <w:sz w:val="32"/>
          <w:szCs w:val="32"/>
        </w:rPr>
      </w:pPr>
    </w:p>
    <w:p>
      <w:pPr>
        <w:pStyle w:val="11"/>
        <w:numPr>
          <w:ilvl w:val="0"/>
          <w:numId w:val="1"/>
        </w:numPr>
        <w:tabs>
          <w:tab w:val="left" w:pos="709"/>
        </w:tabs>
        <w:ind w:left="0" w:firstLine="0" w:firstLineChars="0"/>
        <w:rPr>
          <w:rFonts w:ascii="宋体" w:hAnsi="宋体"/>
          <w:sz w:val="24"/>
        </w:rPr>
      </w:pPr>
      <w:r>
        <w:rPr>
          <w:rFonts w:hint="eastAsia" w:ascii="宋体" w:hAnsi="宋体"/>
          <w:sz w:val="24"/>
        </w:rPr>
        <w:t>项目</w:t>
      </w:r>
      <w:r>
        <w:rPr>
          <w:rFonts w:ascii="宋体" w:hAnsi="宋体"/>
          <w:sz w:val="24"/>
        </w:rPr>
        <w:t>概况</w:t>
      </w:r>
    </w:p>
    <w:tbl>
      <w:tblPr>
        <w:tblStyle w:val="6"/>
        <w:tblpPr w:leftFromText="180" w:rightFromText="180" w:vertAnchor="text" w:horzAnchor="margin" w:tblpXSpec="center" w:tblpY="71"/>
        <w:tblW w:w="7725" w:type="dxa"/>
        <w:tblInd w:w="0" w:type="dxa"/>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417"/>
        <w:gridCol w:w="1276"/>
        <w:gridCol w:w="992"/>
        <w:gridCol w:w="1276"/>
        <w:gridCol w:w="1238"/>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34" w:type="dxa"/>
            <w:vAlign w:val="center"/>
          </w:tcPr>
          <w:p>
            <w:pPr>
              <w:widowControl/>
              <w:jc w:val="center"/>
              <w:rPr>
                <w:rFonts w:ascii="宋体" w:hAnsi="宋体" w:cs="宋体"/>
                <w:b/>
                <w:color w:val="000000"/>
                <w:sz w:val="24"/>
              </w:rPr>
            </w:pPr>
            <w:r>
              <w:rPr>
                <w:rFonts w:hint="eastAsia" w:ascii="宋体" w:hAnsi="宋体" w:cs="宋体"/>
                <w:b/>
                <w:color w:val="000000"/>
                <w:sz w:val="24"/>
              </w:rPr>
              <w:t>序号</w:t>
            </w:r>
          </w:p>
        </w:tc>
        <w:tc>
          <w:tcPr>
            <w:tcW w:w="992" w:type="dxa"/>
            <w:vAlign w:val="center"/>
          </w:tcPr>
          <w:p>
            <w:pPr>
              <w:widowControl/>
              <w:jc w:val="center"/>
              <w:rPr>
                <w:rFonts w:ascii="宋体" w:hAnsi="宋体" w:cs="宋体"/>
                <w:b/>
                <w:color w:val="000000"/>
                <w:sz w:val="24"/>
              </w:rPr>
            </w:pPr>
            <w:r>
              <w:rPr>
                <w:rFonts w:hint="eastAsia" w:ascii="宋体" w:hAnsi="宋体" w:cs="宋体"/>
                <w:b/>
                <w:color w:val="000000"/>
                <w:sz w:val="24"/>
              </w:rPr>
              <w:t>使用科室</w:t>
            </w:r>
          </w:p>
        </w:tc>
        <w:tc>
          <w:tcPr>
            <w:tcW w:w="1417" w:type="dxa"/>
            <w:vAlign w:val="center"/>
          </w:tcPr>
          <w:p>
            <w:pPr>
              <w:widowControl/>
              <w:jc w:val="center"/>
              <w:rPr>
                <w:rFonts w:ascii="宋体" w:hAnsi="宋体" w:cs="宋体"/>
                <w:b/>
                <w:color w:val="000000"/>
                <w:sz w:val="24"/>
              </w:rPr>
            </w:pPr>
            <w:r>
              <w:rPr>
                <w:rFonts w:hint="eastAsia" w:ascii="宋体" w:hAnsi="宋体" w:cs="宋体"/>
                <w:b/>
                <w:color w:val="000000"/>
                <w:sz w:val="24"/>
              </w:rPr>
              <w:t>货物名称</w:t>
            </w:r>
          </w:p>
        </w:tc>
        <w:tc>
          <w:tcPr>
            <w:tcW w:w="1276" w:type="dxa"/>
            <w:vAlign w:val="center"/>
          </w:tcPr>
          <w:p>
            <w:pPr>
              <w:widowControl/>
              <w:jc w:val="center"/>
              <w:rPr>
                <w:rFonts w:ascii="宋体" w:hAnsi="宋体" w:cs="宋体"/>
                <w:b/>
                <w:bCs/>
                <w:color w:val="000000"/>
                <w:sz w:val="24"/>
              </w:rPr>
            </w:pPr>
            <w:r>
              <w:rPr>
                <w:rFonts w:hint="eastAsia" w:ascii="宋体" w:hAnsi="宋体" w:cs="宋体"/>
                <w:b/>
                <w:bCs/>
                <w:color w:val="000000"/>
                <w:sz w:val="24"/>
              </w:rPr>
              <w:t>预算单价</w:t>
            </w:r>
            <w:r>
              <w:rPr>
                <w:rFonts w:hint="eastAsia" w:ascii="宋体" w:hAnsi="宋体" w:cs="宋体"/>
                <w:b/>
                <w:color w:val="000000"/>
                <w:sz w:val="24"/>
              </w:rPr>
              <w:t>（元）</w:t>
            </w:r>
          </w:p>
        </w:tc>
        <w:tc>
          <w:tcPr>
            <w:tcW w:w="992" w:type="dxa"/>
            <w:vAlign w:val="center"/>
          </w:tcPr>
          <w:p>
            <w:pPr>
              <w:widowControl/>
              <w:jc w:val="center"/>
              <w:rPr>
                <w:rFonts w:ascii="宋体" w:hAnsi="宋体" w:cs="宋体"/>
                <w:b/>
                <w:bCs/>
                <w:color w:val="000000"/>
                <w:sz w:val="24"/>
              </w:rPr>
            </w:pPr>
            <w:r>
              <w:rPr>
                <w:rFonts w:hint="eastAsia" w:ascii="宋体" w:hAnsi="宋体" w:cs="宋体"/>
                <w:b/>
                <w:bCs/>
                <w:color w:val="000000"/>
                <w:sz w:val="24"/>
              </w:rPr>
              <w:t>参考数量</w:t>
            </w:r>
          </w:p>
        </w:tc>
        <w:tc>
          <w:tcPr>
            <w:tcW w:w="1276" w:type="dxa"/>
            <w:vAlign w:val="center"/>
          </w:tcPr>
          <w:p>
            <w:pPr>
              <w:widowControl/>
              <w:jc w:val="center"/>
              <w:rPr>
                <w:rFonts w:ascii="宋体" w:hAnsi="宋体" w:cs="宋体"/>
                <w:b/>
                <w:bCs/>
                <w:color w:val="000000"/>
                <w:sz w:val="24"/>
              </w:rPr>
            </w:pPr>
            <w:r>
              <w:rPr>
                <w:rFonts w:hint="eastAsia" w:ascii="宋体" w:hAnsi="宋体" w:cs="宋体"/>
                <w:b/>
                <w:bCs/>
                <w:color w:val="000000"/>
                <w:sz w:val="24"/>
              </w:rPr>
              <w:t>预算金额（元）</w:t>
            </w:r>
          </w:p>
        </w:tc>
        <w:tc>
          <w:tcPr>
            <w:tcW w:w="1238" w:type="dxa"/>
            <w:vAlign w:val="center"/>
          </w:tcPr>
          <w:p>
            <w:pPr>
              <w:widowControl/>
              <w:jc w:val="center"/>
              <w:rPr>
                <w:rFonts w:ascii="宋体" w:hAnsi="宋体" w:cs="宋体"/>
                <w:b/>
                <w:bCs/>
                <w:color w:val="000000"/>
                <w:sz w:val="24"/>
              </w:rPr>
            </w:pPr>
            <w:r>
              <w:rPr>
                <w:rFonts w:hint="eastAsia" w:ascii="宋体" w:hAnsi="宋体" w:cs="宋体"/>
                <w:b/>
                <w:bCs/>
                <w:color w:val="000000"/>
                <w:sz w:val="24"/>
              </w:rPr>
              <w:t>备注</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34" w:type="dxa"/>
            <w:vAlign w:val="center"/>
          </w:tcPr>
          <w:p>
            <w:pPr>
              <w:widowControl/>
              <w:jc w:val="center"/>
              <w:rPr>
                <w:rFonts w:ascii="宋体" w:hAnsi="宋体" w:cs="宋体"/>
                <w:bCs/>
                <w:sz w:val="24"/>
              </w:rPr>
            </w:pPr>
            <w:r>
              <w:rPr>
                <w:rFonts w:hint="eastAsia" w:ascii="宋体" w:hAnsi="宋体" w:cs="宋体"/>
                <w:bCs/>
                <w:sz w:val="24"/>
              </w:rPr>
              <w:t>1</w:t>
            </w:r>
          </w:p>
        </w:tc>
        <w:tc>
          <w:tcPr>
            <w:tcW w:w="992" w:type="dxa"/>
            <w:vAlign w:val="center"/>
          </w:tcPr>
          <w:p>
            <w:pPr>
              <w:widowControl/>
              <w:jc w:val="center"/>
              <w:rPr>
                <w:rFonts w:ascii="宋体" w:hAnsi="宋体" w:cs="宋体"/>
                <w:bCs/>
                <w:sz w:val="24"/>
              </w:rPr>
            </w:pPr>
            <w:r>
              <w:rPr>
                <w:rFonts w:hint="eastAsia" w:ascii="宋体" w:hAnsi="宋体" w:cs="宋体"/>
                <w:bCs/>
                <w:sz w:val="24"/>
              </w:rPr>
              <w:t>全院</w:t>
            </w:r>
          </w:p>
        </w:tc>
        <w:tc>
          <w:tcPr>
            <w:tcW w:w="1417" w:type="dxa"/>
            <w:vAlign w:val="center"/>
          </w:tcPr>
          <w:p>
            <w:pPr>
              <w:widowControl/>
              <w:jc w:val="center"/>
              <w:textAlignment w:val="center"/>
              <w:rPr>
                <w:rFonts w:ascii="宋体" w:hAnsi="宋体" w:cs="宋体"/>
                <w:kern w:val="0"/>
                <w:sz w:val="24"/>
                <w:lang w:bidi="ar"/>
              </w:rPr>
            </w:pPr>
            <w:r>
              <w:rPr>
                <w:rFonts w:hint="eastAsia" w:asciiTheme="minorEastAsia" w:hAnsiTheme="minorEastAsia" w:eastAsiaTheme="minorEastAsia"/>
                <w:sz w:val="24"/>
              </w:rPr>
              <w:t>利器盒</w:t>
            </w:r>
          </w:p>
        </w:tc>
        <w:tc>
          <w:tcPr>
            <w:tcW w:w="1276"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380000</w:t>
            </w:r>
          </w:p>
        </w:tc>
        <w:tc>
          <w:tcPr>
            <w:tcW w:w="99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2年</w:t>
            </w:r>
          </w:p>
        </w:tc>
        <w:tc>
          <w:tcPr>
            <w:tcW w:w="1276"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760000</w:t>
            </w:r>
          </w:p>
        </w:tc>
        <w:tc>
          <w:tcPr>
            <w:tcW w:w="1238" w:type="dxa"/>
            <w:tcBorders>
              <w:right w:val="single" w:color="auto" w:sz="4" w:space="0"/>
            </w:tcBorders>
            <w:vAlign w:val="center"/>
          </w:tcPr>
          <w:p>
            <w:pPr>
              <w:jc w:val="center"/>
              <w:rPr>
                <w:rFonts w:ascii="宋体" w:hAnsi="宋体" w:cs="宋体"/>
                <w:bCs/>
                <w:sz w:val="24"/>
              </w:rPr>
            </w:pPr>
            <w:r>
              <w:rPr>
                <w:rFonts w:ascii="宋体" w:hAnsi="宋体" w:cs="宋体"/>
                <w:bCs/>
                <w:sz w:val="24"/>
              </w:rPr>
              <w:t>其中东院区</w:t>
            </w:r>
            <w:r>
              <w:rPr>
                <w:rFonts w:hint="eastAsia" w:ascii="宋体" w:hAnsi="宋体" w:cs="宋体"/>
                <w:bCs/>
                <w:sz w:val="24"/>
              </w:rPr>
              <w:t>6</w:t>
            </w:r>
            <w:r>
              <w:rPr>
                <w:rFonts w:ascii="宋体" w:hAnsi="宋体" w:cs="宋体"/>
                <w:bCs/>
                <w:sz w:val="24"/>
              </w:rPr>
              <w:t>万元</w:t>
            </w:r>
          </w:p>
        </w:tc>
      </w:tr>
    </w:tbl>
    <w:p>
      <w:pPr>
        <w:pStyle w:val="11"/>
        <w:tabs>
          <w:tab w:val="left" w:pos="709"/>
        </w:tabs>
        <w:ind w:firstLine="480"/>
        <w:rPr>
          <w:rFonts w:ascii="宋体" w:hAnsi="宋体"/>
          <w:sz w:val="24"/>
        </w:rPr>
      </w:pPr>
    </w:p>
    <w:p>
      <w:pPr>
        <w:pStyle w:val="11"/>
        <w:numPr>
          <w:ilvl w:val="0"/>
          <w:numId w:val="1"/>
        </w:numPr>
        <w:tabs>
          <w:tab w:val="left" w:pos="709"/>
        </w:tabs>
        <w:spacing w:line="360" w:lineRule="auto"/>
        <w:ind w:left="0" w:firstLine="0" w:firstLineChars="0"/>
        <w:rPr>
          <w:rFonts w:ascii="宋体" w:hAnsi="宋体"/>
          <w:sz w:val="24"/>
        </w:rPr>
      </w:pPr>
      <w:r>
        <w:rPr>
          <w:rFonts w:hint="eastAsia" w:ascii="宋体" w:hAnsi="宋体"/>
          <w:sz w:val="24"/>
        </w:rPr>
        <w:t>报价范围的定义</w:t>
      </w:r>
    </w:p>
    <w:p>
      <w:pPr>
        <w:pStyle w:val="11"/>
        <w:tabs>
          <w:tab w:val="left" w:pos="709"/>
        </w:tabs>
        <w:spacing w:line="360" w:lineRule="auto"/>
        <w:ind w:firstLine="480"/>
        <w:rPr>
          <w:rFonts w:ascii="宋体" w:hAnsi="宋体"/>
          <w:sz w:val="24"/>
        </w:rPr>
      </w:pPr>
      <w:r>
        <w:rPr>
          <w:rFonts w:hint="eastAsia" w:ascii="宋体" w:hAnsi="宋体"/>
          <w:sz w:val="24"/>
        </w:rPr>
        <w:t>本项目报价包括货物设计、制造、</w:t>
      </w:r>
      <w:r>
        <w:rPr>
          <w:rFonts w:ascii="宋体" w:hAnsi="宋体"/>
          <w:sz w:val="24"/>
        </w:rPr>
        <w:t>包装、运输、检测及验收合格之前及质保期内服务及备品备件发生的所有含税费用</w:t>
      </w:r>
      <w:r>
        <w:rPr>
          <w:rFonts w:hint="eastAsia" w:ascii="宋体" w:hAnsi="宋体"/>
          <w:sz w:val="24"/>
        </w:rPr>
        <w:t>。</w:t>
      </w:r>
    </w:p>
    <w:p>
      <w:pPr>
        <w:pStyle w:val="11"/>
        <w:tabs>
          <w:tab w:val="left" w:pos="709"/>
        </w:tabs>
        <w:spacing w:line="360" w:lineRule="auto"/>
        <w:ind w:firstLine="480"/>
        <w:rPr>
          <w:rFonts w:ascii="宋体" w:hAnsi="宋体"/>
          <w:sz w:val="24"/>
        </w:rPr>
      </w:pPr>
      <w:r>
        <w:rPr>
          <w:rFonts w:hint="eastAsia" w:ascii="宋体" w:hAnsi="宋体"/>
          <w:sz w:val="24"/>
        </w:rPr>
        <w:t>本次项目市场报价形式：在参考价基础上：上浮   %/下浮   %。</w:t>
      </w:r>
    </w:p>
    <w:p>
      <w:pPr>
        <w:pStyle w:val="11"/>
        <w:numPr>
          <w:ilvl w:val="0"/>
          <w:numId w:val="1"/>
        </w:numPr>
        <w:tabs>
          <w:tab w:val="left" w:pos="709"/>
        </w:tabs>
        <w:spacing w:line="360" w:lineRule="auto"/>
        <w:ind w:left="0" w:firstLine="0" w:firstLineChars="0"/>
        <w:rPr>
          <w:rFonts w:ascii="宋体" w:hAnsi="宋体"/>
          <w:sz w:val="24"/>
        </w:rPr>
      </w:pPr>
      <w:r>
        <w:rPr>
          <w:rFonts w:ascii="宋体" w:hAnsi="宋体"/>
          <w:sz w:val="24"/>
        </w:rPr>
        <w:t>资格要求</w:t>
      </w:r>
      <w:r>
        <w:rPr>
          <w:rFonts w:hint="eastAsia" w:ascii="宋体" w:hAnsi="宋体"/>
          <w:sz w:val="24"/>
        </w:rPr>
        <w:t>：无</w:t>
      </w:r>
    </w:p>
    <w:p>
      <w:pPr>
        <w:pStyle w:val="11"/>
        <w:numPr>
          <w:ilvl w:val="0"/>
          <w:numId w:val="1"/>
        </w:numPr>
        <w:tabs>
          <w:tab w:val="left" w:pos="709"/>
        </w:tabs>
        <w:spacing w:line="360" w:lineRule="auto"/>
        <w:ind w:left="0" w:firstLine="0" w:firstLineChars="0"/>
        <w:rPr>
          <w:rFonts w:ascii="宋体" w:hAnsi="宋体"/>
          <w:sz w:val="24"/>
        </w:rPr>
      </w:pPr>
      <w:r>
        <w:rPr>
          <w:rFonts w:ascii="宋体" w:hAnsi="宋体"/>
          <w:sz w:val="24"/>
        </w:rPr>
        <w:t>面向中小企业</w:t>
      </w:r>
      <w:r>
        <w:rPr>
          <w:rFonts w:hint="eastAsia" w:ascii="宋体" w:hAnsi="宋体"/>
          <w:sz w:val="24"/>
        </w:rPr>
        <w:t xml:space="preserve"> </w:t>
      </w:r>
    </w:p>
    <w:p>
      <w:pPr>
        <w:pStyle w:val="11"/>
        <w:numPr>
          <w:ilvl w:val="0"/>
          <w:numId w:val="1"/>
        </w:numPr>
        <w:tabs>
          <w:tab w:val="left" w:pos="709"/>
        </w:tabs>
        <w:spacing w:line="360" w:lineRule="auto"/>
        <w:ind w:left="0" w:firstLine="0" w:firstLineChars="0"/>
        <w:rPr>
          <w:rFonts w:cs="Courier New" w:asciiTheme="minorEastAsia" w:hAnsiTheme="minorEastAsia" w:eastAsiaTheme="minorEastAsia"/>
          <w:sz w:val="24"/>
        </w:rPr>
      </w:pPr>
      <w:r>
        <w:rPr>
          <w:rFonts w:hint="eastAsia" w:ascii="宋体" w:hAnsi="宋体"/>
          <w:sz w:val="24"/>
        </w:rPr>
        <w:t>不</w:t>
      </w:r>
      <w:r>
        <w:rPr>
          <w:rFonts w:ascii="宋体" w:hAnsi="宋体"/>
          <w:sz w:val="24"/>
        </w:rPr>
        <w:t>接受</w:t>
      </w:r>
      <w:r>
        <w:rPr>
          <w:rFonts w:hint="eastAsia" w:ascii="宋体" w:hAnsi="宋体"/>
          <w:sz w:val="24"/>
        </w:rPr>
        <w:t>联合体</w:t>
      </w:r>
      <w:r>
        <w:rPr>
          <w:rFonts w:ascii="宋体" w:hAnsi="宋体"/>
          <w:sz w:val="24"/>
        </w:rPr>
        <w:t>投标</w:t>
      </w:r>
      <w:r>
        <w:rPr>
          <w:rFonts w:hint="eastAsia" w:hAnsi="宋体"/>
        </w:rPr>
        <w:t xml:space="preserve"> </w:t>
      </w:r>
    </w:p>
    <w:p>
      <w:pPr>
        <w:pStyle w:val="11"/>
        <w:numPr>
          <w:ilvl w:val="0"/>
          <w:numId w:val="1"/>
        </w:numPr>
        <w:tabs>
          <w:tab w:val="left" w:pos="709"/>
        </w:tabs>
        <w:spacing w:line="360" w:lineRule="auto"/>
        <w:ind w:left="0" w:firstLine="0" w:firstLineChars="0"/>
        <w:rPr>
          <w:rFonts w:cs="Courier New" w:asciiTheme="minorEastAsia" w:hAnsiTheme="minorEastAsia" w:eastAsiaTheme="minorEastAsia"/>
          <w:sz w:val="24"/>
        </w:rPr>
      </w:pPr>
      <w:r>
        <w:rPr>
          <w:rFonts w:hint="eastAsia" w:asciiTheme="minorEastAsia" w:hAnsiTheme="minorEastAsia" w:eastAsiaTheme="minorEastAsia"/>
          <w:sz w:val="24"/>
        </w:rPr>
        <w:t>技术要求</w:t>
      </w:r>
    </w:p>
    <w:tbl>
      <w:tblPr>
        <w:tblStyle w:val="6"/>
        <w:tblW w:w="10050" w:type="dxa"/>
        <w:tblInd w:w="-336" w:type="dxa"/>
        <w:tblLayout w:type="autofit"/>
        <w:tblCellMar>
          <w:top w:w="0" w:type="dxa"/>
          <w:left w:w="108" w:type="dxa"/>
          <w:bottom w:w="0" w:type="dxa"/>
          <w:right w:w="108" w:type="dxa"/>
        </w:tblCellMar>
      </w:tblPr>
      <w:tblGrid>
        <w:gridCol w:w="720"/>
        <w:gridCol w:w="2175"/>
        <w:gridCol w:w="750"/>
        <w:gridCol w:w="2070"/>
        <w:gridCol w:w="930"/>
        <w:gridCol w:w="1080"/>
        <w:gridCol w:w="1245"/>
        <w:gridCol w:w="1080"/>
      </w:tblGrid>
      <w:tr>
        <w:tblPrEx>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Style w:val="15"/>
                <w:rFonts w:hint="default"/>
                <w:lang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Style w:val="15"/>
                <w:rFonts w:hint="default"/>
                <w:lang w:bidi="ar"/>
              </w:rPr>
              <w:t>分项名称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Style w:val="15"/>
                <w:rFonts w:hint="default"/>
                <w:lang w:bidi="ar"/>
              </w:rPr>
              <w:t>厚度</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w:t>
            </w:r>
            <w:r>
              <w:rPr>
                <w:rStyle w:val="15"/>
                <w:rFonts w:hint="default"/>
                <w:lang w:bidi="ar"/>
              </w:rPr>
              <w:t>规格（CM）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Style w:val="15"/>
                <w:rFonts w:hint="default"/>
                <w:lang w:bidi="ar"/>
              </w:rPr>
              <w:t>容量（L）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Style w:val="15"/>
                <w:rFonts w:hint="default"/>
                <w:lang w:bidi="ar"/>
              </w:rPr>
              <w:t>参考价（元）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参考数量（个）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Style w:val="15"/>
                <w:rFonts w:hint="default"/>
                <w:lang w:bidi="ar"/>
              </w:rPr>
              <w:t>备注</w:t>
            </w: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塑料利器盒（圆形）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直径11.8*高13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塑料利器盒（圆形）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直径14*高15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塑料利器盒（圆形）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直径17*高19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塑料利器盒（圆形）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直径18*高20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塑料利器盒（圆形）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直径19*高20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3.45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塑料利器盒（圆形）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直径21.5*高23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塑料利器盒（圆形）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直径22.5*高24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塑料利器盒（圆形）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直径26.5*高27.5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塑料利器盒（方形）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20*16*13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3.43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塑料利器盒（方形）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24*20*16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塑料利器盒（方形）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25*20*27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12</w:t>
            </w:r>
            <w:r>
              <w:rPr>
                <w:rStyle w:val="17"/>
                <w:rFonts w:hint="default"/>
                <w:lang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塑料利器盒（方形）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30*20.5*29.5(底座23*15)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8.93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13</w:t>
            </w:r>
            <w:r>
              <w:rPr>
                <w:rStyle w:val="17"/>
                <w:rFonts w:hint="default"/>
                <w:lang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塑料利器盒（方形）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31*22*31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10.65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26800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塑料利器盒（方形）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35*25*42.5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6360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塑料利器盒（方形）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2MM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38*28*43.5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29.6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医疗废物垃圾桶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3MM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25*20*33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17</w:t>
            </w:r>
            <w:r>
              <w:rPr>
                <w:rStyle w:val="17"/>
                <w:rFonts w:hint="default"/>
                <w:lang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医疗废物垃圾桶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3MM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31*31*43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医疗废物垃圾桶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3MM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45*38*68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87.57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医疗废物垃圾桶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3MM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55*55*89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164.37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医疗废物垃圾桶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3MM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73*58*105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医疗废物垃圾桶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3MM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122*77*122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788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医疗废物垃圾桶桶盖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Style w:val="16"/>
                <w:rFonts w:hint="default"/>
                <w:lang w:bidi="ar"/>
              </w:rPr>
              <w:t>3MM</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Style w:val="16"/>
                <w:rFonts w:hint="default"/>
                <w:lang w:bidi="ar"/>
              </w:rPr>
              <w:t>10L（摇盖）</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6.43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bl>
    <w:p>
      <w:pPr>
        <w:spacing w:line="360" w:lineRule="auto"/>
        <w:outlineLvl w:val="2"/>
        <w:rPr>
          <w:rFonts w:ascii="宋体" w:hAnsi="宋体"/>
          <w:b/>
        </w:rPr>
      </w:pPr>
    </w:p>
    <w:p>
      <w:pPr>
        <w:spacing w:line="360" w:lineRule="auto"/>
        <w:outlineLvl w:val="2"/>
        <w:rPr>
          <w:rFonts w:ascii="宋体" w:hAnsi="宋体"/>
          <w:b/>
        </w:rPr>
      </w:pPr>
      <w:r>
        <w:rPr>
          <w:rFonts w:ascii="宋体" w:hAnsi="宋体"/>
          <w:b/>
        </w:rPr>
        <w:t>以上规格允差0.5cm，</w:t>
      </w:r>
      <w:r>
        <w:rPr>
          <w:rFonts w:hint="eastAsia" w:ascii="宋体" w:hAnsi="宋体"/>
          <w:b/>
        </w:rPr>
        <w:t>以上参考数量只作参考，以实际采购数量结算。</w:t>
      </w:r>
    </w:p>
    <w:p>
      <w:pPr>
        <w:spacing w:line="360" w:lineRule="auto"/>
        <w:outlineLvl w:val="2"/>
        <w:rPr>
          <w:rFonts w:ascii="宋体" w:hAnsi="宋体"/>
          <w:b/>
        </w:rPr>
      </w:pPr>
    </w:p>
    <w:p>
      <w:pPr>
        <w:numPr>
          <w:ilvl w:val="0"/>
          <w:numId w:val="2"/>
        </w:numPr>
        <w:spacing w:line="360" w:lineRule="auto"/>
        <w:outlineLvl w:val="2"/>
        <w:rPr>
          <w:rFonts w:ascii="宋体" w:hAnsi="宋体"/>
          <w:b/>
        </w:rPr>
      </w:pPr>
      <w:r>
        <w:rPr>
          <w:rFonts w:hint="eastAsia" w:ascii="宋体" w:hAnsi="宋体"/>
          <w:b/>
        </w:rPr>
        <w:t>货物质量及供货要求</w:t>
      </w:r>
    </w:p>
    <w:p>
      <w:pPr>
        <w:spacing w:line="360" w:lineRule="auto"/>
        <w:ind w:firstLine="424" w:firstLineChars="202"/>
        <w:rPr>
          <w:rFonts w:ascii="宋体" w:hAnsi="宋体"/>
        </w:rPr>
      </w:pPr>
      <w:r>
        <w:rPr>
          <w:rFonts w:hint="eastAsia" w:ascii="宋体" w:hAnsi="宋体"/>
        </w:rPr>
        <w:t>1、供应商保证所供货物为通过合法渠道所获得的，符合国家使用标准的正规合格品。</w:t>
      </w:r>
    </w:p>
    <w:p>
      <w:pPr>
        <w:spacing w:line="360" w:lineRule="auto"/>
        <w:ind w:firstLine="424" w:firstLineChars="202"/>
        <w:rPr>
          <w:rFonts w:ascii="宋体" w:hAnsi="宋体"/>
        </w:rPr>
      </w:pPr>
      <w:r>
        <w:rPr>
          <w:rFonts w:hint="eastAsia" w:ascii="宋体" w:hAnsi="宋体"/>
        </w:rPr>
        <w:t>2、货物的包装必须是制造商原厂包装，包装须防潮、防雨、防腐及防碰撞，凡由于包装不良造成的损失及由此产生的损耗费用均由供应商承担。</w:t>
      </w:r>
    </w:p>
    <w:p>
      <w:pPr>
        <w:spacing w:line="360" w:lineRule="auto"/>
        <w:ind w:firstLine="424" w:firstLineChars="202"/>
        <w:rPr>
          <w:rFonts w:ascii="宋体" w:hAnsi="宋体"/>
        </w:rPr>
      </w:pPr>
      <w:r>
        <w:rPr>
          <w:rFonts w:hint="eastAsia" w:ascii="宋体" w:hAnsi="宋体"/>
        </w:rPr>
        <w:t>3、利器盒要求：</w:t>
      </w:r>
    </w:p>
    <w:p>
      <w:pPr>
        <w:spacing w:line="360" w:lineRule="auto"/>
        <w:ind w:firstLine="424" w:firstLineChars="202"/>
        <w:rPr>
          <w:rFonts w:ascii="宋体" w:hAnsi="宋体"/>
        </w:rPr>
      </w:pPr>
      <w:r>
        <w:rPr>
          <w:rFonts w:hint="eastAsia" w:ascii="宋体" w:hAnsi="宋体"/>
        </w:rPr>
        <w:t>（1）利器盒整体为硬质材料制成，封闭且防刺穿，以保证在正常情况下，利器盒内盛装物不撒漏，并且利器盒一旦被封口，在不破坏的情况下无法被再次打开。</w:t>
      </w:r>
    </w:p>
    <w:p>
      <w:pPr>
        <w:spacing w:line="360" w:lineRule="auto"/>
        <w:ind w:firstLine="424" w:firstLineChars="202"/>
        <w:rPr>
          <w:rFonts w:ascii="宋体" w:hAnsi="宋体"/>
        </w:rPr>
      </w:pPr>
      <w:r>
        <w:rPr>
          <w:rFonts w:hint="eastAsia" w:ascii="宋体" w:hAnsi="宋体"/>
        </w:rPr>
        <w:t>（2）采用高温热处置技术处置损伤性废物时，利器盒不应使用聚氯乙烯材料。</w:t>
      </w:r>
    </w:p>
    <w:p>
      <w:pPr>
        <w:spacing w:line="360" w:lineRule="auto"/>
        <w:ind w:firstLine="424" w:firstLineChars="202"/>
        <w:rPr>
          <w:rFonts w:ascii="宋体" w:hAnsi="宋体"/>
        </w:rPr>
      </w:pPr>
      <w:r>
        <w:rPr>
          <w:rFonts w:hint="eastAsia" w:ascii="宋体" w:hAnsi="宋体"/>
        </w:rPr>
        <w:t>（3）利器盒整体颜色为淡黄，颜色应符合GB/T 3181 中Y06 的要求。利器盒侧面明显处应印制警示标志，警告语为“警告！损伤性废物”。</w:t>
      </w:r>
    </w:p>
    <w:p>
      <w:pPr>
        <w:spacing w:line="360" w:lineRule="auto"/>
        <w:ind w:firstLine="424" w:firstLineChars="202"/>
        <w:rPr>
          <w:rFonts w:ascii="宋体" w:hAnsi="宋体"/>
        </w:rPr>
      </w:pPr>
      <w:r>
        <w:rPr>
          <w:rFonts w:hint="eastAsia" w:ascii="宋体" w:hAnsi="宋体"/>
        </w:rPr>
        <w:t>（4）满盛装量的利器盒从1.2m 高处自由跌落至水泥地面，连续3 次，不会出现破裂、被刺穿等情况。</w:t>
      </w:r>
    </w:p>
    <w:p>
      <w:pPr>
        <w:spacing w:line="360" w:lineRule="auto"/>
        <w:ind w:firstLine="424" w:firstLineChars="202"/>
        <w:rPr>
          <w:rFonts w:ascii="宋体" w:hAnsi="宋体"/>
        </w:rPr>
      </w:pPr>
      <w:r>
        <w:rPr>
          <w:rFonts w:hint="eastAsia" w:ascii="宋体" w:hAnsi="宋体"/>
        </w:rPr>
        <w:t>（5）利器盒的规格尺寸根据采购清单确定。</w:t>
      </w:r>
    </w:p>
    <w:p>
      <w:pPr>
        <w:spacing w:line="360" w:lineRule="auto"/>
        <w:ind w:firstLine="424" w:firstLineChars="202"/>
        <w:rPr>
          <w:rFonts w:ascii="宋体" w:hAnsi="宋体"/>
        </w:rPr>
      </w:pPr>
      <w:r>
        <w:rPr>
          <w:rFonts w:hint="eastAsia" w:ascii="宋体" w:hAnsi="宋体"/>
        </w:rPr>
        <w:t>4、医疗废物垃圾桶要求</w:t>
      </w:r>
    </w:p>
    <w:p>
      <w:pPr>
        <w:spacing w:line="360" w:lineRule="auto"/>
        <w:ind w:firstLine="424" w:firstLineChars="202"/>
        <w:rPr>
          <w:rFonts w:ascii="宋体" w:hAnsi="宋体"/>
        </w:rPr>
      </w:pPr>
      <w:r>
        <w:rPr>
          <w:rFonts w:hint="eastAsia" w:ascii="宋体" w:hAnsi="宋体"/>
        </w:rPr>
        <w:t>（1）医疗废物垃圾桶整体应防液体渗漏，应便于清洗和消毒。</w:t>
      </w:r>
    </w:p>
    <w:p>
      <w:pPr>
        <w:spacing w:line="360" w:lineRule="auto"/>
        <w:ind w:firstLine="424" w:firstLineChars="202"/>
        <w:rPr>
          <w:rFonts w:ascii="宋体" w:hAnsi="宋体"/>
        </w:rPr>
      </w:pPr>
      <w:r>
        <w:rPr>
          <w:rFonts w:hint="eastAsia" w:ascii="宋体" w:hAnsi="宋体"/>
        </w:rPr>
        <w:t>（2）医疗废物垃圾桶整体为淡黄，颜色应符合GB/T 3181 中Y06 的要求。桶体侧面或桶身明显处应印（喷）制警示标志和警告语。</w:t>
      </w:r>
    </w:p>
    <w:p>
      <w:pPr>
        <w:spacing w:line="360" w:lineRule="auto"/>
        <w:ind w:firstLine="424" w:firstLineChars="202"/>
        <w:rPr>
          <w:rFonts w:ascii="宋体" w:hAnsi="宋体"/>
        </w:rPr>
      </w:pPr>
      <w:r>
        <w:rPr>
          <w:rFonts w:hint="eastAsia" w:ascii="宋体" w:hAnsi="宋体"/>
        </w:rPr>
        <w:t>（3）医疗废物垃圾桶外观要求</w:t>
      </w:r>
    </w:p>
    <w:p>
      <w:pPr>
        <w:spacing w:line="360" w:lineRule="auto"/>
        <w:ind w:firstLine="424" w:firstLineChars="202"/>
        <w:rPr>
          <w:rFonts w:ascii="宋体" w:hAnsi="宋体"/>
        </w:rPr>
      </w:pPr>
      <w:r>
        <w:rPr>
          <w:rFonts w:hint="eastAsia" w:ascii="宋体" w:hAnsi="宋体"/>
        </w:rPr>
        <w:t>①医疗废物垃圾桶整体装配密闭，桶体与桶盖能牢固扣紧，扣紧后不分离。</w:t>
      </w:r>
    </w:p>
    <w:p>
      <w:pPr>
        <w:spacing w:line="360" w:lineRule="auto"/>
        <w:ind w:firstLine="424" w:firstLineChars="202"/>
        <w:rPr>
          <w:rFonts w:ascii="宋体" w:hAnsi="宋体"/>
        </w:rPr>
      </w:pPr>
      <w:r>
        <w:rPr>
          <w:rFonts w:hint="eastAsia" w:ascii="宋体" w:hAnsi="宋体"/>
        </w:rPr>
        <w:t>②表面光滑平整，完整无裂损，没有明显凹陷，边缘及提手无毛刺。</w:t>
      </w:r>
    </w:p>
    <w:p>
      <w:pPr>
        <w:spacing w:line="360" w:lineRule="auto"/>
        <w:ind w:firstLine="424" w:firstLineChars="202"/>
        <w:rPr>
          <w:rFonts w:ascii="宋体" w:hAnsi="宋体"/>
        </w:rPr>
      </w:pPr>
      <w:r>
        <w:rPr>
          <w:rFonts w:hint="eastAsia" w:ascii="宋体" w:hAnsi="宋体"/>
        </w:rPr>
        <w:t>③医疗废物垃圾桶的桶底和顶部有配合牙槽，具有防滑功能。</w:t>
      </w:r>
    </w:p>
    <w:p>
      <w:pPr>
        <w:spacing w:line="360" w:lineRule="auto"/>
        <w:ind w:firstLine="424" w:firstLineChars="202"/>
        <w:rPr>
          <w:rFonts w:ascii="宋体" w:hAnsi="宋体"/>
        </w:rPr>
      </w:pPr>
      <w:r>
        <w:rPr>
          <w:rFonts w:hint="eastAsia" w:ascii="宋体" w:hAnsi="宋体"/>
        </w:rPr>
        <w:t>（4）医疗废物垃圾桶规格尺寸根据采购清单确定。</w:t>
      </w:r>
    </w:p>
    <w:p>
      <w:pPr>
        <w:spacing w:line="360" w:lineRule="auto"/>
        <w:ind w:firstLine="424" w:firstLineChars="202"/>
        <w:rPr>
          <w:rFonts w:ascii="宋体" w:hAnsi="宋体"/>
        </w:rPr>
      </w:pPr>
      <w:r>
        <w:rPr>
          <w:rFonts w:hint="eastAsia" w:ascii="宋体" w:hAnsi="宋体"/>
        </w:rPr>
        <w:t>5、利器盒、医疗废物垃圾桶均应符合HJ421-2008《医疗废物专用包装袋、容器和警示标志标准》或相应最新文件要求，否则视作不合格商品，一切责任由供应商承担。</w:t>
      </w:r>
    </w:p>
    <w:p>
      <w:pPr>
        <w:spacing w:line="360" w:lineRule="auto"/>
        <w:ind w:firstLine="424" w:firstLineChars="202"/>
        <w:rPr>
          <w:rFonts w:ascii="宋体" w:hAnsi="宋体"/>
        </w:rPr>
      </w:pPr>
      <w:r>
        <w:rPr>
          <w:rFonts w:hint="eastAsia" w:ascii="宋体" w:hAnsi="宋体"/>
        </w:rPr>
        <w:t>6、若采购人在验收货物时发现供应商供应的货物存在假冒伪劣或次品情况，出现假冒伪劣或次品，供应商除立刻更换货物外，并接受“假一罚三”的处罚。</w:t>
      </w:r>
    </w:p>
    <w:p>
      <w:pPr>
        <w:spacing w:line="360" w:lineRule="auto"/>
        <w:ind w:firstLine="424" w:firstLineChars="202"/>
        <w:rPr>
          <w:rFonts w:ascii="宋体" w:hAnsi="宋体"/>
        </w:rPr>
      </w:pPr>
      <w:r>
        <w:rPr>
          <w:rFonts w:hint="eastAsia" w:ascii="宋体" w:hAnsi="宋体"/>
        </w:rPr>
        <w:t>7、若连续三个月验收货物时发现有假冒伪劣或次品情况，不论数量多少，采购人有权终止合同。</w:t>
      </w:r>
    </w:p>
    <w:p>
      <w:pPr>
        <w:spacing w:line="360" w:lineRule="auto"/>
        <w:ind w:firstLine="424" w:firstLineChars="202"/>
        <w:rPr>
          <w:rFonts w:ascii="宋体" w:hAnsi="宋体"/>
        </w:rPr>
      </w:pPr>
      <w:r>
        <w:rPr>
          <w:rFonts w:hint="eastAsia" w:ascii="宋体" w:hAnsi="宋体"/>
        </w:rPr>
        <w:t>8、若供应商提供的商品不适用，在采购人不损坏商品及其包装的情况下，采购人有权要求供应商6小时内更换商品。</w:t>
      </w:r>
    </w:p>
    <w:p>
      <w:pPr>
        <w:spacing w:line="360" w:lineRule="auto"/>
        <w:ind w:firstLine="424" w:firstLineChars="202"/>
        <w:rPr>
          <w:rFonts w:ascii="宋体" w:hAnsi="宋体"/>
        </w:rPr>
      </w:pPr>
      <w:r>
        <w:rPr>
          <w:rFonts w:hint="eastAsia" w:ascii="宋体" w:hAnsi="宋体"/>
        </w:rPr>
        <w:t>9、供应商需采用厂家标准包装，且必须满足运输安全要求和规范规定，由于包装和运输过程中造成锐器盒损坏，一切责任由供应商承担。供应商有义务保证货物包装的完好无损，采购人有权拒收供应商交付的已损坏的包装物以及其中的货物，供应商负责6小时内更换商品。</w:t>
      </w:r>
    </w:p>
    <w:p>
      <w:pPr>
        <w:spacing w:line="360" w:lineRule="auto"/>
        <w:ind w:firstLine="424" w:firstLineChars="202"/>
        <w:rPr>
          <w:rFonts w:ascii="宋体" w:hAnsi="宋体"/>
        </w:rPr>
      </w:pPr>
      <w:r>
        <w:rPr>
          <w:rFonts w:hint="eastAsia" w:ascii="宋体" w:hAnsi="宋体"/>
        </w:rPr>
        <w:t>10、货物的包装：以品种及规格为单位进行装箱，在每个包装箱上注明名称。</w:t>
      </w:r>
    </w:p>
    <w:p>
      <w:pPr>
        <w:spacing w:line="360" w:lineRule="auto"/>
        <w:ind w:firstLine="424" w:firstLineChars="202"/>
        <w:rPr>
          <w:rFonts w:ascii="宋体" w:hAnsi="宋体"/>
        </w:rPr>
      </w:pPr>
    </w:p>
    <w:p>
      <w:pPr>
        <w:numPr>
          <w:ilvl w:val="0"/>
          <w:numId w:val="2"/>
        </w:numPr>
        <w:spacing w:line="360" w:lineRule="auto"/>
        <w:outlineLvl w:val="2"/>
        <w:rPr>
          <w:rFonts w:ascii="宋体" w:hAnsi="宋体"/>
          <w:b/>
        </w:rPr>
      </w:pPr>
      <w:r>
        <w:rPr>
          <w:rFonts w:hint="eastAsia" w:ascii="宋体" w:hAnsi="宋体"/>
          <w:b/>
        </w:rPr>
        <w:t>样品</w:t>
      </w:r>
    </w:p>
    <w:p>
      <w:pPr>
        <w:spacing w:line="360" w:lineRule="auto"/>
        <w:ind w:firstLine="424" w:firstLineChars="202"/>
        <w:rPr>
          <w:rFonts w:ascii="宋体" w:hAnsi="宋体"/>
        </w:rPr>
      </w:pPr>
      <w:r>
        <w:rPr>
          <w:rFonts w:hint="eastAsia" w:ascii="宋体" w:hAnsi="宋体"/>
        </w:rPr>
        <w:t>1、</w:t>
      </w:r>
      <w:r>
        <w:rPr>
          <w:rFonts w:hint="eastAsia" w:ascii="宋体" w:hAnsi="宋体"/>
        </w:rPr>
        <w:tab/>
      </w:r>
      <w:r>
        <w:rPr>
          <w:rFonts w:hint="eastAsia" w:ascii="宋体" w:hAnsi="宋体"/>
        </w:rPr>
        <w:t>响应供应商响应时应提供采购货物清单中带“●”的品种为样品，分别为序号</w:t>
      </w:r>
      <w:r>
        <w:rPr>
          <w:rFonts w:hint="eastAsia" w:ascii="宋体" w:hAnsi="宋体" w:cs="宋体"/>
          <w:kern w:val="0"/>
          <w:sz w:val="22"/>
          <w:szCs w:val="22"/>
        </w:rPr>
        <w:t>12</w:t>
      </w:r>
      <w:r>
        <w:rPr>
          <w:rFonts w:hint="eastAsia" w:ascii="宋体" w:hAnsi="宋体" w:cs="宋体"/>
          <w:color w:val="000000"/>
          <w:kern w:val="0"/>
          <w:szCs w:val="21"/>
        </w:rPr>
        <w:t>塑料利器盒（方形）13L</w:t>
      </w:r>
      <w:r>
        <w:rPr>
          <w:rFonts w:hint="eastAsia" w:ascii="宋体" w:hAnsi="宋体" w:cs="宋体"/>
          <w:kern w:val="0"/>
          <w:sz w:val="22"/>
          <w:szCs w:val="22"/>
        </w:rPr>
        <w:t xml:space="preserve">  </w:t>
      </w:r>
      <w:r>
        <w:rPr>
          <w:rFonts w:hint="eastAsia" w:ascii="宋体" w:hAnsi="宋体"/>
        </w:rPr>
        <w:t>1个、序号13</w:t>
      </w:r>
      <w:r>
        <w:rPr>
          <w:rFonts w:hint="eastAsia" w:ascii="宋体" w:hAnsi="宋体" w:cs="宋体"/>
          <w:kern w:val="0"/>
          <w:sz w:val="22"/>
          <w:szCs w:val="22"/>
        </w:rPr>
        <w:t xml:space="preserve">塑料利器盒（方形）15L  </w:t>
      </w:r>
      <w:r>
        <w:rPr>
          <w:rFonts w:hint="eastAsia" w:ascii="宋体" w:hAnsi="宋体"/>
        </w:rPr>
        <w:t>1个，序号17</w:t>
      </w:r>
      <w:r>
        <w:rPr>
          <w:rFonts w:hint="eastAsia" w:ascii="宋体" w:hAnsi="宋体"/>
          <w:color w:val="000000"/>
          <w:kern w:val="0"/>
          <w:szCs w:val="21"/>
        </w:rPr>
        <w:t>医疗废物垃圾桶（方形）20L 1个</w:t>
      </w:r>
      <w:r>
        <w:rPr>
          <w:rFonts w:hint="eastAsia" w:ascii="宋体" w:hAnsi="宋体"/>
        </w:rPr>
        <w:t>。不提交或少提交 样品不视为无效响应，但会影响评分分值。 样品与响应文件同时递交。样品上须标注响应供应商名称、货物名称等，由法定代表人或其合法授权人签名并加盖公章。</w:t>
      </w:r>
    </w:p>
    <w:p>
      <w:pPr>
        <w:spacing w:line="360" w:lineRule="auto"/>
        <w:ind w:firstLine="424" w:firstLineChars="202"/>
        <w:rPr>
          <w:rFonts w:ascii="宋体" w:hAnsi="宋体"/>
          <w:color w:val="FF0000"/>
        </w:rPr>
      </w:pPr>
    </w:p>
    <w:p>
      <w:pPr>
        <w:pStyle w:val="11"/>
        <w:numPr>
          <w:ilvl w:val="0"/>
          <w:numId w:val="1"/>
        </w:numPr>
        <w:tabs>
          <w:tab w:val="left" w:pos="709"/>
        </w:tabs>
        <w:spacing w:line="360" w:lineRule="auto"/>
        <w:ind w:left="0" w:firstLine="0" w:firstLineChars="0"/>
        <w:rPr>
          <w:rFonts w:ascii="宋体" w:hAnsi="宋体" w:cs="宋体"/>
          <w:b/>
          <w:szCs w:val="21"/>
          <w:lang w:val="zh-CN"/>
        </w:rPr>
      </w:pPr>
      <w:r>
        <w:rPr>
          <w:rFonts w:hint="eastAsia" w:ascii="宋体" w:hAnsi="宋体" w:cs="宋体"/>
          <w:b/>
          <w:szCs w:val="21"/>
          <w:lang w:val="zh-CN"/>
        </w:rPr>
        <w:t>商务要求</w:t>
      </w:r>
    </w:p>
    <w:p>
      <w:pPr>
        <w:numPr>
          <w:ilvl w:val="0"/>
          <w:numId w:val="3"/>
        </w:numPr>
        <w:spacing w:line="360" w:lineRule="auto"/>
        <w:outlineLvl w:val="2"/>
        <w:rPr>
          <w:rFonts w:ascii="宋体" w:hAnsi="宋体"/>
          <w:b/>
        </w:rPr>
      </w:pPr>
      <w:r>
        <w:rPr>
          <w:rFonts w:hint="eastAsia" w:ascii="宋体" w:hAnsi="宋体"/>
          <w:b/>
        </w:rPr>
        <w:t>供货要求</w:t>
      </w:r>
    </w:p>
    <w:p>
      <w:pPr>
        <w:numPr>
          <w:ilvl w:val="0"/>
          <w:numId w:val="4"/>
        </w:numPr>
        <w:spacing w:line="360" w:lineRule="auto"/>
        <w:rPr>
          <w:rFonts w:ascii="宋体" w:hAnsi="宋体"/>
        </w:rPr>
      </w:pPr>
      <w:r>
        <w:rPr>
          <w:rFonts w:hint="eastAsia" w:ascii="宋体" w:hAnsi="宋体"/>
        </w:rPr>
        <w:t>交货地点：采购人指定地点</w:t>
      </w:r>
      <w:r>
        <w:rPr>
          <w:rFonts w:hint="eastAsia" w:ascii="宋体" w:hAnsi="宋体"/>
          <w:color w:val="000000"/>
        </w:rPr>
        <w:t>（包括广州市番禺区中心医院和广州市番禺区第七人民医院）</w:t>
      </w:r>
    </w:p>
    <w:p>
      <w:pPr>
        <w:numPr>
          <w:ilvl w:val="0"/>
          <w:numId w:val="4"/>
        </w:numPr>
        <w:spacing w:line="360" w:lineRule="auto"/>
        <w:rPr>
          <w:rFonts w:ascii="宋体" w:hAnsi="宋体"/>
        </w:rPr>
      </w:pPr>
      <w:r>
        <w:rPr>
          <w:rFonts w:hint="eastAsia"/>
          <w:color w:val="000000"/>
        </w:rPr>
        <w:t>供货要求</w:t>
      </w:r>
      <w:r>
        <w:rPr>
          <w:rFonts w:hint="eastAsia" w:ascii="宋体" w:hAnsi="宋体"/>
          <w:color w:val="000000"/>
        </w:rPr>
        <w:t>：</w:t>
      </w:r>
      <w:r>
        <w:rPr>
          <w:rFonts w:hint="eastAsia" w:ascii="宋体" w:hAnsi="宋体"/>
          <w:color w:val="000000"/>
          <w:szCs w:val="21"/>
        </w:rPr>
        <w:t>合同生效后，成交供应商按采购人要求分批供货，成交供应商须避免在节假日或非上班时间发货。采购人根据实际要求每周2次向成交供应商发出采购清单及数量后，成交供应商须在</w:t>
      </w:r>
      <w:r>
        <w:rPr>
          <w:rFonts w:hint="eastAsia" w:ascii="宋体" w:cs="宋体"/>
          <w:color w:val="000000"/>
          <w:kern w:val="0"/>
          <w:szCs w:val="21"/>
          <w:u w:val="single"/>
        </w:rPr>
        <w:t xml:space="preserve"> 2</w:t>
      </w:r>
      <w:r>
        <w:rPr>
          <w:rFonts w:hint="eastAsia" w:ascii="宋体" w:cs="宋体"/>
          <w:color w:val="000000"/>
          <w:kern w:val="0"/>
          <w:szCs w:val="21"/>
        </w:rPr>
        <w:t>日内送到采购人指定地点。</w:t>
      </w:r>
    </w:p>
    <w:p>
      <w:pPr>
        <w:numPr>
          <w:ilvl w:val="0"/>
          <w:numId w:val="4"/>
        </w:numPr>
        <w:spacing w:line="360" w:lineRule="auto"/>
        <w:rPr>
          <w:rFonts w:ascii="宋体" w:hAnsi="宋体"/>
        </w:rPr>
      </w:pPr>
      <w:r>
        <w:rPr>
          <w:rFonts w:hint="eastAsia" w:ascii="宋体" w:hAnsi="宋体"/>
          <w:bCs/>
          <w:szCs w:val="21"/>
        </w:rPr>
        <w:t>服务期：自合同签订之日起两年。预算服务期内的费用在76万元以内。若在服务期限内，采购金额达到预算金额，合同期结束；若服务期限到期，采购金额未达到预算金额，也视作合同结束。</w:t>
      </w:r>
    </w:p>
    <w:p>
      <w:pPr>
        <w:numPr>
          <w:ilvl w:val="0"/>
          <w:numId w:val="3"/>
        </w:numPr>
        <w:spacing w:line="360" w:lineRule="auto"/>
        <w:outlineLvl w:val="2"/>
        <w:rPr>
          <w:rFonts w:ascii="宋体" w:hAnsi="宋体"/>
          <w:b/>
        </w:rPr>
      </w:pPr>
      <w:r>
        <w:rPr>
          <w:rFonts w:hint="eastAsia" w:ascii="宋体" w:hAnsi="宋体"/>
          <w:b/>
          <w:color w:val="000000"/>
        </w:rPr>
        <w:t>包装、运输、保险</w:t>
      </w:r>
    </w:p>
    <w:p>
      <w:pPr>
        <w:numPr>
          <w:ilvl w:val="0"/>
          <w:numId w:val="5"/>
        </w:numPr>
        <w:spacing w:line="360" w:lineRule="auto"/>
        <w:rPr>
          <w:rFonts w:ascii="宋体" w:hAnsi="宋体"/>
        </w:rPr>
      </w:pPr>
      <w:r>
        <w:rPr>
          <w:rFonts w:hint="eastAsia" w:ascii="宋体" w:hAnsi="宋体"/>
        </w:rPr>
        <w:t>响应供应商提供的全部产品均应按标准保护措施进行包装，以防止产品在运转中损坏，确保产品安全无损运抵指定地点，对包装另有规定除外。</w:t>
      </w:r>
    </w:p>
    <w:p>
      <w:pPr>
        <w:numPr>
          <w:ilvl w:val="0"/>
          <w:numId w:val="5"/>
        </w:numPr>
        <w:spacing w:line="360" w:lineRule="auto"/>
        <w:rPr>
          <w:rFonts w:ascii="宋体" w:hAnsi="宋体"/>
        </w:rPr>
      </w:pPr>
      <w:r>
        <w:rPr>
          <w:rFonts w:hint="eastAsia" w:ascii="宋体" w:hAnsi="宋体"/>
        </w:rPr>
        <w:t>每一个包装箱内应附有一份详细装箱单和质量检验报告书、产品合格证、包装、标记和包装箱内外的单据应符合要求，包括采购人后来提出的特殊要求。</w:t>
      </w:r>
    </w:p>
    <w:p>
      <w:pPr>
        <w:numPr>
          <w:ilvl w:val="0"/>
          <w:numId w:val="5"/>
        </w:numPr>
        <w:spacing w:line="360" w:lineRule="auto"/>
        <w:rPr>
          <w:rFonts w:ascii="宋体" w:hAnsi="宋体"/>
        </w:rPr>
      </w:pPr>
      <w:r>
        <w:rPr>
          <w:rFonts w:hint="eastAsia" w:ascii="宋体" w:hAnsi="宋体"/>
        </w:rPr>
        <w:t>产品包装要求：必须按照国家相关规定附有名称、批号、产地、注册证号、规格、型号、日期、有效期等中文标识（包括大包装、小包装等）。</w:t>
      </w:r>
    </w:p>
    <w:p>
      <w:pPr>
        <w:numPr>
          <w:ilvl w:val="0"/>
          <w:numId w:val="5"/>
        </w:numPr>
        <w:spacing w:line="360" w:lineRule="auto"/>
        <w:rPr>
          <w:rFonts w:ascii="宋体" w:hAnsi="宋体"/>
        </w:rPr>
      </w:pPr>
      <w:r>
        <w:rPr>
          <w:rFonts w:hint="eastAsia" w:ascii="宋体" w:hAnsi="宋体"/>
        </w:rPr>
        <w:t>所有提供的产品剩余保存期不得少于原有保质期的三分之二。</w:t>
      </w:r>
    </w:p>
    <w:p>
      <w:pPr>
        <w:numPr>
          <w:ilvl w:val="0"/>
          <w:numId w:val="5"/>
        </w:numPr>
        <w:spacing w:line="360" w:lineRule="auto"/>
        <w:rPr>
          <w:rFonts w:ascii="宋体" w:hAnsi="宋体"/>
        </w:rPr>
      </w:pPr>
      <w:r>
        <w:rPr>
          <w:rFonts w:hint="eastAsia" w:ascii="宋体" w:hAnsi="宋体"/>
        </w:rPr>
        <w:t>包装应足以承受整个过程中的运输、转运、贮存等，并考虑广州地区的气候特点。</w:t>
      </w:r>
    </w:p>
    <w:p>
      <w:pPr>
        <w:numPr>
          <w:ilvl w:val="0"/>
          <w:numId w:val="5"/>
        </w:numPr>
        <w:spacing w:line="360" w:lineRule="auto"/>
        <w:rPr>
          <w:rFonts w:ascii="宋体" w:hAnsi="宋体"/>
        </w:rPr>
      </w:pPr>
      <w:r>
        <w:rPr>
          <w:rFonts w:hint="eastAsia" w:ascii="宋体" w:hAnsi="宋体"/>
        </w:rPr>
        <w:t>货物在验收合格前的保险由成交供应商负责，成交供应商负责其派出的现场服务人员人身意外保险。</w:t>
      </w:r>
    </w:p>
    <w:p>
      <w:pPr>
        <w:numPr>
          <w:ilvl w:val="0"/>
          <w:numId w:val="3"/>
        </w:numPr>
        <w:spacing w:line="360" w:lineRule="auto"/>
        <w:outlineLvl w:val="2"/>
        <w:rPr>
          <w:rFonts w:ascii="宋体" w:hAnsi="宋体"/>
          <w:b/>
        </w:rPr>
      </w:pPr>
      <w:r>
        <w:rPr>
          <w:rFonts w:hint="eastAsia" w:ascii="宋体" w:hAnsi="宋体"/>
          <w:b/>
        </w:rPr>
        <w:t>验收</w:t>
      </w:r>
    </w:p>
    <w:p>
      <w:pPr>
        <w:numPr>
          <w:ilvl w:val="0"/>
          <w:numId w:val="6"/>
        </w:numPr>
        <w:spacing w:line="360" w:lineRule="auto"/>
        <w:rPr>
          <w:rFonts w:ascii="宋体" w:hAnsi="宋体"/>
          <w:szCs w:val="21"/>
        </w:rPr>
      </w:pPr>
      <w:r>
        <w:rPr>
          <w:rFonts w:hint="eastAsia" w:ascii="宋体" w:hAnsi="宋体"/>
          <w:szCs w:val="21"/>
        </w:rPr>
        <w:t>成交供应商提供的货物必须符合采购人的要求，不得以假乱真、以次充好，不得破损，不得错乱，包括：（1）规格、数量；（2）质量、外观；（3）款式、制作工艺、色彩（按样品验收）。</w:t>
      </w:r>
    </w:p>
    <w:p>
      <w:pPr>
        <w:numPr>
          <w:ilvl w:val="0"/>
          <w:numId w:val="6"/>
        </w:numPr>
        <w:spacing w:line="360" w:lineRule="auto"/>
        <w:rPr>
          <w:rFonts w:ascii="宋体" w:hAnsi="宋体"/>
          <w:szCs w:val="21"/>
        </w:rPr>
      </w:pPr>
      <w:r>
        <w:rPr>
          <w:rFonts w:hint="eastAsia" w:ascii="宋体" w:hAnsi="宋体"/>
          <w:szCs w:val="21"/>
        </w:rPr>
        <w:t>成交供应商提供的货物应完全按照用户需求书的产品材质要求及标准执行。</w:t>
      </w:r>
    </w:p>
    <w:p>
      <w:pPr>
        <w:numPr>
          <w:ilvl w:val="0"/>
          <w:numId w:val="6"/>
        </w:numPr>
        <w:spacing w:line="360" w:lineRule="auto"/>
        <w:rPr>
          <w:rFonts w:ascii="宋体" w:hAnsi="宋体"/>
          <w:szCs w:val="21"/>
        </w:rPr>
      </w:pPr>
      <w:r>
        <w:rPr>
          <w:rFonts w:hint="eastAsia" w:ascii="宋体" w:hAnsi="宋体"/>
          <w:szCs w:val="21"/>
        </w:rPr>
        <w:t>货物送达采购人指定的地点后，由双方工作人员按送货单进行初步的检货验收和签名确认。初检仅代表采购人收到成交供应商送达货物的数量，并不代表采购人已经认可成交供应商货物的质量。</w:t>
      </w:r>
    </w:p>
    <w:p>
      <w:pPr>
        <w:numPr>
          <w:ilvl w:val="0"/>
          <w:numId w:val="6"/>
        </w:numPr>
        <w:spacing w:line="360" w:lineRule="auto"/>
        <w:rPr>
          <w:rFonts w:ascii="宋体" w:hAnsi="宋体"/>
        </w:rPr>
      </w:pPr>
      <w:r>
        <w:rPr>
          <w:rFonts w:hint="eastAsia" w:ascii="宋体" w:hAnsi="宋体"/>
          <w:szCs w:val="21"/>
        </w:rPr>
        <w:t>本项目在验收中如发现货物不符合合同的约定，采购人有权拒绝接受货物，产品验收不合格的或事后发现以假乱真、以次充好的，采购人有权无条件退货，成交供应商应在5天内提供符合合同约定的产品，否则，视为成交供应商逾期交货，并按照合同条款进行处罚。</w:t>
      </w:r>
    </w:p>
    <w:p>
      <w:pPr>
        <w:numPr>
          <w:ilvl w:val="0"/>
          <w:numId w:val="3"/>
        </w:numPr>
        <w:spacing w:line="360" w:lineRule="auto"/>
        <w:outlineLvl w:val="2"/>
        <w:rPr>
          <w:rFonts w:ascii="宋体" w:hAnsi="宋体"/>
          <w:b/>
        </w:rPr>
      </w:pPr>
      <w:r>
        <w:rPr>
          <w:rFonts w:hint="eastAsia" w:ascii="宋体" w:hAnsi="宋体"/>
          <w:b/>
        </w:rPr>
        <w:t>质量保证及售后服务</w:t>
      </w:r>
    </w:p>
    <w:p>
      <w:pPr>
        <w:numPr>
          <w:ilvl w:val="0"/>
          <w:numId w:val="7"/>
        </w:numPr>
        <w:spacing w:line="360" w:lineRule="auto"/>
        <w:rPr>
          <w:rFonts w:ascii="宋体" w:hAnsi="宋体"/>
        </w:rPr>
      </w:pPr>
      <w:r>
        <w:rPr>
          <w:rFonts w:hint="eastAsia" w:ascii="宋体" w:hAnsi="宋体"/>
        </w:rPr>
        <w:t>产品的保质期：1年以上，特殊产品按产品要求执行。</w:t>
      </w:r>
    </w:p>
    <w:p>
      <w:pPr>
        <w:numPr>
          <w:ilvl w:val="0"/>
          <w:numId w:val="7"/>
        </w:numPr>
        <w:spacing w:line="360" w:lineRule="auto"/>
        <w:rPr>
          <w:rFonts w:ascii="宋体" w:hAnsi="宋体"/>
        </w:rPr>
      </w:pPr>
      <w:r>
        <w:rPr>
          <w:rFonts w:hint="eastAsia" w:ascii="宋体" w:hAnsi="宋体"/>
        </w:rPr>
        <w:t>必须提供目前市场上技术较先进，成熟的原装、全新产品，并符合国家有关标准。</w:t>
      </w:r>
    </w:p>
    <w:p>
      <w:pPr>
        <w:numPr>
          <w:ilvl w:val="0"/>
          <w:numId w:val="7"/>
        </w:numPr>
        <w:spacing w:line="360" w:lineRule="auto"/>
        <w:rPr>
          <w:rFonts w:ascii="宋体" w:hAnsi="宋体"/>
        </w:rPr>
      </w:pPr>
      <w:r>
        <w:rPr>
          <w:rFonts w:hint="eastAsia" w:ascii="宋体" w:hAnsi="宋体"/>
        </w:rPr>
        <w:t>必须对项目中涉及的产品提供质量保证书。</w:t>
      </w:r>
    </w:p>
    <w:p>
      <w:pPr>
        <w:numPr>
          <w:ilvl w:val="0"/>
          <w:numId w:val="7"/>
        </w:numPr>
        <w:spacing w:line="360" w:lineRule="auto"/>
        <w:rPr>
          <w:rFonts w:ascii="宋体" w:hAnsi="宋体"/>
        </w:rPr>
      </w:pPr>
      <w:r>
        <w:rPr>
          <w:rFonts w:hint="eastAsia" w:ascii="宋体" w:hAnsi="宋体"/>
        </w:rPr>
        <w:t>必须保证所有货物为正货，需提供产品合格证、质量检验证书。响应供应商可通过电话或书面方式解答产品使用方面的疑问，必要时派驻技术人员专门服务。白天4小时到达现场，夜间12小时内到达现场，若不能解决问题，须24小时内提供相同规格的产品作为替代品。</w:t>
      </w:r>
    </w:p>
    <w:p>
      <w:pPr>
        <w:numPr>
          <w:ilvl w:val="0"/>
          <w:numId w:val="7"/>
        </w:numPr>
        <w:spacing w:line="360" w:lineRule="auto"/>
        <w:ind w:right="-227" w:rightChars="-108"/>
        <w:rPr>
          <w:rFonts w:ascii="宋体" w:hAnsi="宋体"/>
          <w:szCs w:val="21"/>
        </w:rPr>
      </w:pPr>
      <w:r>
        <w:rPr>
          <w:rFonts w:hint="eastAsia" w:ascii="宋体" w:hAnsi="宋体"/>
        </w:rPr>
        <w:t>产品如有质量问题（如破损、变质、过期等非预期情况），须无条件（在24小时内）给予退换。</w:t>
      </w:r>
    </w:p>
    <w:p>
      <w:pPr>
        <w:numPr>
          <w:ilvl w:val="0"/>
          <w:numId w:val="3"/>
        </w:numPr>
        <w:spacing w:line="360" w:lineRule="auto"/>
        <w:outlineLvl w:val="2"/>
        <w:rPr>
          <w:rFonts w:ascii="宋体" w:hAnsi="宋体"/>
        </w:rPr>
      </w:pPr>
      <w:r>
        <w:rPr>
          <w:rFonts w:hint="eastAsia" w:ascii="宋体" w:hAnsi="宋体"/>
          <w:b/>
        </w:rPr>
        <w:t>付款方式</w:t>
      </w:r>
    </w:p>
    <w:p>
      <w:pPr>
        <w:numPr>
          <w:ilvl w:val="0"/>
          <w:numId w:val="8"/>
        </w:numPr>
        <w:spacing w:line="360" w:lineRule="auto"/>
        <w:ind w:right="-227" w:rightChars="-108"/>
        <w:rPr>
          <w:rFonts w:ascii="宋体" w:hAnsi="宋体"/>
        </w:rPr>
      </w:pPr>
      <w:r>
        <w:rPr>
          <w:rFonts w:hint="eastAsia" w:ascii="宋体" w:hAnsi="宋体"/>
        </w:rPr>
        <w:t>本项目所需货物根据采购人的需求分期分批供应，以每笔订单的实际采购数量为准。</w:t>
      </w:r>
    </w:p>
    <w:p>
      <w:pPr>
        <w:tabs>
          <w:tab w:val="left" w:pos="720"/>
        </w:tabs>
        <w:spacing w:line="360" w:lineRule="auto"/>
        <w:ind w:left="848" w:leftChars="337" w:hanging="140" w:hangingChars="67"/>
        <w:rPr>
          <w:rFonts w:ascii="宋体" w:hAnsi="宋体"/>
        </w:rPr>
      </w:pPr>
      <w:r>
        <w:rPr>
          <w:rFonts w:hint="eastAsia" w:ascii="宋体" w:hAnsi="宋体"/>
        </w:rPr>
        <w:t>对应品种货物成交单价=对应品种货物单价限价×成交综合折扣率；</w:t>
      </w:r>
    </w:p>
    <w:p>
      <w:pPr>
        <w:tabs>
          <w:tab w:val="left" w:pos="720"/>
        </w:tabs>
        <w:spacing w:line="360" w:lineRule="auto"/>
        <w:ind w:left="848" w:leftChars="337" w:hanging="140" w:hangingChars="67"/>
        <w:rPr>
          <w:rFonts w:ascii="宋体" w:hAnsi="宋体"/>
        </w:rPr>
      </w:pPr>
      <w:r>
        <w:rPr>
          <w:rFonts w:hint="eastAsia" w:ascii="宋体" w:hAnsi="宋体"/>
        </w:rPr>
        <w:t>结算金额=∑（对应品种货物成交单价×每月的实际采购数量）。</w:t>
      </w:r>
    </w:p>
    <w:p>
      <w:pPr>
        <w:tabs>
          <w:tab w:val="left" w:pos="720"/>
        </w:tabs>
        <w:spacing w:line="360" w:lineRule="auto"/>
        <w:ind w:left="850" w:leftChars="118" w:hanging="602" w:hangingChars="287"/>
        <w:rPr>
          <w:rFonts w:ascii="宋体" w:hAnsi="宋体"/>
        </w:rPr>
      </w:pPr>
    </w:p>
    <w:p>
      <w:pPr>
        <w:numPr>
          <w:ilvl w:val="0"/>
          <w:numId w:val="8"/>
        </w:numPr>
        <w:spacing w:line="360" w:lineRule="auto"/>
        <w:ind w:right="-227" w:rightChars="-108"/>
        <w:rPr>
          <w:rFonts w:asciiTheme="minorEastAsia" w:hAnsiTheme="minorEastAsia" w:eastAsiaTheme="minorEastAsia"/>
          <w:sz w:val="24"/>
        </w:rPr>
      </w:pPr>
      <w:r>
        <w:rPr>
          <w:rFonts w:hint="eastAsia" w:ascii="宋体" w:hAnsi="宋体"/>
        </w:rPr>
        <w:t>成交供应商每月按实际供货给采购人指定科室已签收的送货单、发票给采购人，采购人收到成交供应商提交的签收凭证、发票，核对无误后，于5个工作日内办理该月的货款支付手续。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D6CFF"/>
    <w:multiLevelType w:val="multilevel"/>
    <w:tmpl w:val="01BD6CFF"/>
    <w:lvl w:ilvl="0" w:tentative="0">
      <w:start w:val="1"/>
      <w:numFmt w:val="decimal"/>
      <w:lvlText w:val="%1、"/>
      <w:lvlJc w:val="left"/>
      <w:pPr>
        <w:tabs>
          <w:tab w:val="left" w:pos="-681"/>
        </w:tabs>
        <w:ind w:left="737" w:hanging="45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B060A98"/>
    <w:multiLevelType w:val="multilevel"/>
    <w:tmpl w:val="0B060A98"/>
    <w:lvl w:ilvl="0" w:tentative="0">
      <w:start w:val="1"/>
      <w:numFmt w:val="decimal"/>
      <w:lvlText w:val="%1、"/>
      <w:lvlJc w:val="left"/>
      <w:pPr>
        <w:tabs>
          <w:tab w:val="left" w:pos="-681"/>
        </w:tabs>
        <w:ind w:left="737" w:hanging="45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9C87A1F"/>
    <w:multiLevelType w:val="multilevel"/>
    <w:tmpl w:val="39C87A1F"/>
    <w:lvl w:ilvl="0" w:tentative="0">
      <w:start w:val="1"/>
      <w:numFmt w:val="chineseCountingThousand"/>
      <w:lvlText w:val="(%1)"/>
      <w:lvlJc w:val="left"/>
      <w:pPr>
        <w:tabs>
          <w:tab w:val="left" w:pos="0"/>
        </w:tabs>
        <w:ind w:left="437" w:hanging="437"/>
      </w:pPr>
      <w:rPr>
        <w:rFonts w:hint="eastAsia" w:ascii="宋体" w:hAnsi="宋体" w:eastAsia="宋体"/>
        <w:b/>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216958"/>
    <w:multiLevelType w:val="multilevel"/>
    <w:tmpl w:val="3D216958"/>
    <w:lvl w:ilvl="0" w:tentative="0">
      <w:start w:val="1"/>
      <w:numFmt w:val="decimal"/>
      <w:lvlText w:val="%1、"/>
      <w:lvlJc w:val="left"/>
      <w:pPr>
        <w:tabs>
          <w:tab w:val="left" w:pos="-681"/>
        </w:tabs>
        <w:ind w:left="737" w:hanging="45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1474696"/>
    <w:multiLevelType w:val="multilevel"/>
    <w:tmpl w:val="51474696"/>
    <w:lvl w:ilvl="0" w:tentative="0">
      <w:start w:val="1"/>
      <w:numFmt w:val="decimal"/>
      <w:lvlText w:val="%1、"/>
      <w:lvlJc w:val="left"/>
      <w:pPr>
        <w:tabs>
          <w:tab w:val="left" w:pos="-681"/>
        </w:tabs>
        <w:ind w:left="737" w:hanging="45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208384F"/>
    <w:multiLevelType w:val="multilevel"/>
    <w:tmpl w:val="5208384F"/>
    <w:lvl w:ilvl="0" w:tentative="0">
      <w:start w:val="1"/>
      <w:numFmt w:val="japaneseCounting"/>
      <w:lvlText w:val="%1、"/>
      <w:lvlJc w:val="left"/>
      <w:pPr>
        <w:ind w:left="862"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02067A"/>
    <w:multiLevelType w:val="multilevel"/>
    <w:tmpl w:val="6002067A"/>
    <w:lvl w:ilvl="0" w:tentative="0">
      <w:start w:val="1"/>
      <w:numFmt w:val="chineseCountingThousand"/>
      <w:lvlText w:val="(%1)"/>
      <w:lvlJc w:val="left"/>
      <w:pPr>
        <w:tabs>
          <w:tab w:val="left" w:pos="0"/>
        </w:tabs>
        <w:ind w:left="437" w:hanging="437"/>
      </w:pPr>
      <w:rPr>
        <w:rFonts w:hint="eastAsia" w:ascii="宋体" w:hAnsi="宋体" w:eastAsia="宋体"/>
        <w:b/>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2F21860"/>
    <w:multiLevelType w:val="multilevel"/>
    <w:tmpl w:val="62F21860"/>
    <w:lvl w:ilvl="0" w:tentative="0">
      <w:start w:val="1"/>
      <w:numFmt w:val="decimal"/>
      <w:lvlText w:val="%1、"/>
      <w:lvlJc w:val="left"/>
      <w:pPr>
        <w:tabs>
          <w:tab w:val="left" w:pos="-681"/>
        </w:tabs>
        <w:ind w:left="737" w:hanging="45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2"/>
  </w:num>
  <w:num w:numId="3">
    <w:abstractNumId w:val="6"/>
  </w:num>
  <w:num w:numId="4">
    <w:abstractNumId w:val="3"/>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Y2I1ZjgwODg0ODM0ZjU4MzgxODg3Mzg4NDY5MTAifQ=="/>
    <w:docVar w:name="KGWebUrl" w:val="http://10.2.240.65:8888/seeyon/officeservlet"/>
  </w:docVars>
  <w:rsids>
    <w:rsidRoot w:val="00A712C6"/>
    <w:rsid w:val="000C4716"/>
    <w:rsid w:val="00144FF5"/>
    <w:rsid w:val="00225F2B"/>
    <w:rsid w:val="002563B5"/>
    <w:rsid w:val="00280764"/>
    <w:rsid w:val="002E043A"/>
    <w:rsid w:val="002F448C"/>
    <w:rsid w:val="003A7834"/>
    <w:rsid w:val="00403922"/>
    <w:rsid w:val="00443DC0"/>
    <w:rsid w:val="004D78E9"/>
    <w:rsid w:val="005D3FA7"/>
    <w:rsid w:val="00683473"/>
    <w:rsid w:val="006B090E"/>
    <w:rsid w:val="006E16BB"/>
    <w:rsid w:val="00754793"/>
    <w:rsid w:val="00817525"/>
    <w:rsid w:val="00825698"/>
    <w:rsid w:val="00845352"/>
    <w:rsid w:val="008808E2"/>
    <w:rsid w:val="008A20AC"/>
    <w:rsid w:val="009449F4"/>
    <w:rsid w:val="00A50B88"/>
    <w:rsid w:val="00A712C6"/>
    <w:rsid w:val="00AE0915"/>
    <w:rsid w:val="00B0255B"/>
    <w:rsid w:val="00B03723"/>
    <w:rsid w:val="00B158D3"/>
    <w:rsid w:val="00B2353A"/>
    <w:rsid w:val="00B57DB8"/>
    <w:rsid w:val="00B73D1E"/>
    <w:rsid w:val="00BA15C0"/>
    <w:rsid w:val="00CA3C8B"/>
    <w:rsid w:val="00D477D5"/>
    <w:rsid w:val="00EA105A"/>
    <w:rsid w:val="00EB33CB"/>
    <w:rsid w:val="00F27EF5"/>
    <w:rsid w:val="00FC66FA"/>
    <w:rsid w:val="03E82999"/>
    <w:rsid w:val="10332810"/>
    <w:rsid w:val="139D094C"/>
    <w:rsid w:val="1AD35551"/>
    <w:rsid w:val="210F2AFB"/>
    <w:rsid w:val="277C72FF"/>
    <w:rsid w:val="29FB0F1E"/>
    <w:rsid w:val="327D3DC9"/>
    <w:rsid w:val="433526E2"/>
    <w:rsid w:val="4CFFE5C3"/>
    <w:rsid w:val="5598222B"/>
    <w:rsid w:val="5B386883"/>
    <w:rsid w:val="5E79F5CD"/>
    <w:rsid w:val="5E9716F7"/>
    <w:rsid w:val="5FE50595"/>
    <w:rsid w:val="663F0F59"/>
    <w:rsid w:val="686F5844"/>
    <w:rsid w:val="6AF35DAD"/>
    <w:rsid w:val="6E1A2C6F"/>
    <w:rsid w:val="6FDE9DF3"/>
    <w:rsid w:val="743F2C54"/>
    <w:rsid w:val="75F774C3"/>
    <w:rsid w:val="7E5F22E5"/>
    <w:rsid w:val="7FFF1B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Plain Text"/>
    <w:basedOn w:val="1"/>
    <w:link w:val="9"/>
    <w:qFormat/>
    <w:uiPriority w:val="0"/>
    <w:rPr>
      <w:rFonts w:ascii="宋体" w:hAnsi="Courier New" w:cs="Courier New"/>
      <w:szCs w:val="21"/>
    </w:rPr>
  </w:style>
  <w:style w:type="paragraph" w:styleId="4">
    <w:name w:val="Balloon Text"/>
    <w:basedOn w:val="1"/>
    <w:link w:val="12"/>
    <w:semiHidden/>
    <w:unhideWhenUsed/>
    <w:qFormat/>
    <w:uiPriority w:val="99"/>
    <w:rPr>
      <w:sz w:val="18"/>
      <w:szCs w:val="18"/>
    </w:rPr>
  </w:style>
  <w:style w:type="paragraph" w:styleId="5">
    <w:name w:val="annotation subject"/>
    <w:basedOn w:val="2"/>
    <w:next w:val="2"/>
    <w:link w:val="14"/>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纯文本 字符"/>
    <w:link w:val="3"/>
    <w:qFormat/>
    <w:uiPriority w:val="0"/>
    <w:rPr>
      <w:rFonts w:ascii="宋体" w:hAnsi="Courier New" w:eastAsia="宋体" w:cs="Courier New"/>
      <w:szCs w:val="21"/>
    </w:rPr>
  </w:style>
  <w:style w:type="character" w:customStyle="1" w:styleId="10">
    <w:name w:val="纯文本 Char1"/>
    <w:basedOn w:val="7"/>
    <w:semiHidden/>
    <w:qFormat/>
    <w:uiPriority w:val="99"/>
    <w:rPr>
      <w:rFonts w:ascii="宋体" w:hAnsi="Courier New" w:eastAsia="宋体" w:cs="Courier New"/>
      <w:szCs w:val="21"/>
    </w:rPr>
  </w:style>
  <w:style w:type="paragraph" w:styleId="11">
    <w:name w:val="List Paragraph"/>
    <w:basedOn w:val="1"/>
    <w:qFormat/>
    <w:uiPriority w:val="34"/>
    <w:pPr>
      <w:ind w:firstLine="420" w:firstLineChars="200"/>
    </w:pPr>
  </w:style>
  <w:style w:type="character" w:customStyle="1" w:styleId="12">
    <w:name w:val="批注框文本 字符"/>
    <w:basedOn w:val="7"/>
    <w:link w:val="4"/>
    <w:semiHidden/>
    <w:qFormat/>
    <w:uiPriority w:val="99"/>
    <w:rPr>
      <w:rFonts w:ascii="Times New Roman" w:hAnsi="Times New Roman" w:eastAsia="宋体" w:cs="Times New Roman"/>
      <w:sz w:val="18"/>
      <w:szCs w:val="18"/>
    </w:rPr>
  </w:style>
  <w:style w:type="character" w:customStyle="1" w:styleId="13">
    <w:name w:val="批注文字 字符"/>
    <w:basedOn w:val="7"/>
    <w:link w:val="2"/>
    <w:semiHidden/>
    <w:qFormat/>
    <w:uiPriority w:val="99"/>
    <w:rPr>
      <w:rFonts w:ascii="Times New Roman" w:hAnsi="Times New Roman" w:eastAsia="宋体" w:cs="Times New Roman"/>
      <w:kern w:val="2"/>
      <w:sz w:val="21"/>
      <w:szCs w:val="24"/>
    </w:rPr>
  </w:style>
  <w:style w:type="character" w:customStyle="1" w:styleId="14">
    <w:name w:val="批注主题 字符"/>
    <w:basedOn w:val="13"/>
    <w:link w:val="5"/>
    <w:semiHidden/>
    <w:qFormat/>
    <w:uiPriority w:val="99"/>
    <w:rPr>
      <w:rFonts w:ascii="Times New Roman" w:hAnsi="Times New Roman" w:eastAsia="宋体" w:cs="Times New Roman"/>
      <w:b/>
      <w:bCs/>
      <w:kern w:val="2"/>
      <w:sz w:val="21"/>
      <w:szCs w:val="24"/>
    </w:rPr>
  </w:style>
  <w:style w:type="character" w:customStyle="1" w:styleId="15">
    <w:name w:val="font21"/>
    <w:basedOn w:val="7"/>
    <w:uiPriority w:val="0"/>
    <w:rPr>
      <w:rFonts w:hint="eastAsia" w:ascii="宋体" w:hAnsi="宋体" w:eastAsia="宋体" w:cs="宋体"/>
      <w:b/>
      <w:bCs/>
      <w:color w:val="000000"/>
      <w:sz w:val="21"/>
      <w:szCs w:val="21"/>
      <w:u w:val="none"/>
    </w:rPr>
  </w:style>
  <w:style w:type="character" w:customStyle="1" w:styleId="16">
    <w:name w:val="font31"/>
    <w:basedOn w:val="7"/>
    <w:uiPriority w:val="0"/>
    <w:rPr>
      <w:rFonts w:hint="eastAsia" w:ascii="宋体" w:hAnsi="宋体" w:eastAsia="宋体" w:cs="宋体"/>
      <w:color w:val="000000"/>
      <w:sz w:val="21"/>
      <w:szCs w:val="21"/>
      <w:u w:val="none"/>
    </w:rPr>
  </w:style>
  <w:style w:type="character" w:customStyle="1" w:styleId="17">
    <w:name w:val="font01"/>
    <w:basedOn w:val="7"/>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554</Words>
  <Characters>3162</Characters>
  <Lines>26</Lines>
  <Paragraphs>7</Paragraphs>
  <TotalTime>0</TotalTime>
  <ScaleCrop>false</ScaleCrop>
  <LinksUpToDate>false</LinksUpToDate>
  <CharactersWithSpaces>3709</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2023-08-21T10:05:00Z</dcterms:created>
  <dc:creator>黄碧莹（后勤保障科）</dc:creator>
  <cp:lastModifiedBy>李映晖</cp:lastModifiedBy>
  <dcterms:modified xsi:type="dcterms:W3CDTF">2023-08-23T10:42:28Z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AFAB3B5F47F3462FBA449C59B66ADA63</vt:lpwstr>
  </property>
</Properties>
</file>