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ascii="仿宋_GB2312" w:hAnsi="仿宋_GB2312"/>
          <w:b/>
          <w:bCs/>
          <w:color w:val="auto"/>
          <w:sz w:val="28"/>
          <w:szCs w:val="32"/>
        </w:rPr>
        <w:t>采购方式：</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ind w:left="1405" w:hanging="1405" w:hangingChars="500"/>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 xml:space="preserve">： </w:t>
      </w:r>
      <w:r>
        <w:rPr>
          <w:rFonts w:hint="eastAsia" w:ascii="仿宋_GB2312" w:hAnsi="仿宋_GB2312"/>
          <w:b/>
          <w:bCs/>
          <w:color w:val="auto"/>
          <w:sz w:val="28"/>
          <w:szCs w:val="32"/>
          <w:lang w:eastAsia="zh-CN"/>
        </w:rPr>
        <w:t>广东省监狱中心医院放射诊疗设备性能、机房防护检测（含辐射环境监测）项目</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GZGK23P236C0784J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2023年</w:t>
      </w:r>
      <w:r>
        <w:rPr>
          <w:rFonts w:hint="eastAsia"/>
          <w:color w:val="auto"/>
          <w:sz w:val="32"/>
          <w:szCs w:val="32"/>
          <w:lang w:val="en-US" w:eastAsia="zh-CN"/>
        </w:rPr>
        <w:t>12</w:t>
      </w:r>
      <w:r>
        <w:rPr>
          <w:rFonts w:hint="eastAsia"/>
          <w:color w:val="auto"/>
          <w:sz w:val="32"/>
          <w:szCs w:val="32"/>
        </w:rPr>
        <w:t>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 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 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 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10</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 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 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2"/>
        <w:jc w:val="center"/>
        <w:rPr>
          <w:color w:val="auto"/>
        </w:rPr>
      </w:pPr>
      <w:bookmarkStart w:id="1" w:name="_Toc220"/>
      <w:r>
        <w:rPr>
          <w:rFonts w:hint="eastAsia"/>
          <w:color w:val="auto"/>
        </w:rPr>
        <w:t>第一章 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r>
        <w:rPr>
          <w:rFonts w:hint="eastAsia" w:ascii="黑体" w:hAnsi="黑体" w:eastAsia="黑体"/>
          <w:color w:val="auto"/>
          <w:sz w:val="36"/>
          <w:szCs w:val="36"/>
        </w:rPr>
        <w:t>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放射诊疗设备性能、机房防护检测（含辐射环境监测）项目（项目编号：GZGK23P236C0784J）进行线上竞价采购。</w:t>
      </w:r>
    </w:p>
    <w:tbl>
      <w:tblPr>
        <w:tblStyle w:val="23"/>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45"/>
        <w:gridCol w:w="893"/>
        <w:gridCol w:w="1297"/>
        <w:gridCol w:w="966"/>
        <w:gridCol w:w="1490"/>
        <w:gridCol w:w="3801"/>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广东省监狱中心医院放射诊疗设备性能、机房防护检测（含辐射环境监测）项目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GZGK23P236C0784J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2023年12月</w:t>
            </w:r>
            <w:r>
              <w:rPr>
                <w:rFonts w:hint="eastAsia"/>
                <w:bCs/>
                <w:szCs w:val="21"/>
                <w:lang w:val="en-US" w:eastAsia="zh-CN"/>
              </w:rPr>
              <w:t>8</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日14:00-14:30</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放射诊疗设备性能、机房防护检测（含辐射环境监测）</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cs="Tahoma"/>
                <w:szCs w:val="21"/>
              </w:rPr>
              <w:t>人民币</w:t>
            </w:r>
            <w:r>
              <w:rPr>
                <w:rFonts w:hint="eastAsia" w:cs="Tahoma"/>
                <w:szCs w:val="21"/>
                <w:u w:val="single"/>
              </w:rPr>
              <w:t>20000</w:t>
            </w:r>
            <w:r>
              <w:rPr>
                <w:rFonts w:hint="eastAsia" w:cs="Tahoma"/>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（4）供应商须具备合法有效的乙级或以上</w:t>
            </w:r>
            <w:r>
              <w:rPr>
                <w:rFonts w:hint="eastAsia" w:ascii="宋体" w:hAnsi="宋体" w:cs="宋体"/>
                <w:color w:val="000000"/>
                <w:szCs w:val="21"/>
                <w:shd w:val="clear" w:color="auto" w:fill="FFFFFF"/>
              </w:rPr>
              <w:t>《放射卫生技术服务机构资质证书》（其技术服务范围包含“放射卫生防护检测”</w:t>
            </w:r>
            <w:r>
              <w:rPr>
                <w:rFonts w:hint="eastAsia"/>
                <w:szCs w:val="21"/>
              </w:rPr>
              <w:t>，外省机构需取得广东省卫健委备案批准；（提供相应证明）。</w:t>
            </w:r>
          </w:p>
          <w:p>
            <w:pPr>
              <w:autoSpaceDE w:val="0"/>
              <w:autoSpaceDN w:val="0"/>
              <w:adjustRightInd w:val="0"/>
              <w:spacing w:line="440" w:lineRule="exact"/>
              <w:outlineLvl w:val="2"/>
              <w:rPr>
                <w:szCs w:val="21"/>
              </w:rPr>
            </w:pPr>
            <w:r>
              <w:rPr>
                <w:rFonts w:hint="eastAsia"/>
                <w:szCs w:val="21"/>
              </w:rPr>
              <w:t>（5）供应商具备合法有效的检验检测机构资质认定证书（CMA）或具备国家法定计量检定机构计量授权资质证书；（提供相应证明）</w:t>
            </w:r>
          </w:p>
          <w:p>
            <w:pPr>
              <w:autoSpaceDE w:val="0"/>
              <w:autoSpaceDN w:val="0"/>
              <w:adjustRightInd w:val="0"/>
              <w:spacing w:line="440" w:lineRule="exact"/>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（4）符合《中华人民共和国政府采购法实施条例》第十七条的规定（承诺函）；；</w:t>
            </w:r>
          </w:p>
          <w:p>
            <w:pPr>
              <w:autoSpaceDE w:val="0"/>
              <w:autoSpaceDN w:val="0"/>
              <w:adjustRightInd w:val="0"/>
              <w:spacing w:line="440" w:lineRule="exact"/>
              <w:ind w:firstLine="420" w:firstLineChars="200"/>
              <w:outlineLvl w:val="2"/>
              <w:rPr>
                <w:szCs w:val="21"/>
              </w:rPr>
            </w:pPr>
            <w:r>
              <w:rPr>
                <w:rFonts w:hint="eastAsia"/>
                <w:szCs w:val="21"/>
              </w:rPr>
              <w:t>（5）《放射卫生技术服务机构资质证书》（其技术服务范围包含“放射卫生防护检测”），外省机构需取得广东省卫健委备案批准；</w:t>
            </w:r>
          </w:p>
          <w:p>
            <w:pPr>
              <w:autoSpaceDE w:val="0"/>
              <w:autoSpaceDN w:val="0"/>
              <w:adjustRightInd w:val="0"/>
              <w:spacing w:line="440" w:lineRule="exact"/>
              <w:ind w:firstLine="420" w:firstLineChars="200"/>
              <w:outlineLvl w:val="2"/>
              <w:rPr>
                <w:szCs w:val="21"/>
              </w:rPr>
            </w:pPr>
            <w:r>
              <w:rPr>
                <w:rFonts w:hint="eastAsia"/>
                <w:szCs w:val="21"/>
              </w:rPr>
              <w:t>（6）检验检测机构资质认定证书（CMA）或具备国家法定计量检定机构计量授权资质证书；</w:t>
            </w:r>
          </w:p>
          <w:p>
            <w:pPr>
              <w:autoSpaceDE w:val="0"/>
              <w:autoSpaceDN w:val="0"/>
              <w:adjustRightInd w:val="0"/>
              <w:spacing w:line="440" w:lineRule="exact"/>
              <w:ind w:firstLine="420" w:firstLineChars="200"/>
              <w:outlineLvl w:val="2"/>
              <w:rPr>
                <w:szCs w:val="21"/>
              </w:rPr>
            </w:pPr>
            <w:r>
              <w:rPr>
                <w:rFonts w:hint="eastAsia"/>
                <w:szCs w:val="21"/>
              </w:rPr>
              <w:t>（7）如非法定代表人或企业负责人参加，则须同时提交法定代表人或企业负责人的授权委托书及其被授权人身份证（正反面）（详细见报价文件格式）；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（8）采购需求响应相关材料，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符合要求的供应商在2023年12月</w:t>
            </w:r>
            <w:r>
              <w:rPr>
                <w:rFonts w:hint="eastAsia"/>
                <w:szCs w:val="21"/>
                <w:lang w:val="en-US" w:eastAsia="zh-CN"/>
              </w:rPr>
              <w:t>11</w:t>
            </w:r>
            <w:r>
              <w:rPr>
                <w:rFonts w:hint="eastAsia"/>
                <w:szCs w:val="21"/>
              </w:rPr>
              <w:t>日14:30前将以下报价文件材料加盖供应商单位公章后扫描上传至本项目智采平台系统。超时智采平台系统将自动关闭上传窗口。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联系人：符先生</w:t>
            </w:r>
          </w:p>
          <w:p>
            <w:pPr>
              <w:autoSpaceDE w:val="0"/>
              <w:autoSpaceDN w:val="0"/>
              <w:adjustRightInd w:val="0"/>
              <w:spacing w:line="440" w:lineRule="exact"/>
              <w:outlineLvl w:val="2"/>
              <w:rPr>
                <w:szCs w:val="21"/>
              </w:rPr>
            </w:pPr>
            <w:r>
              <w:rPr>
                <w:rFonts w:hint="eastAsia"/>
                <w:szCs w:val="21"/>
              </w:rPr>
              <w:t>联系方式：</w:t>
            </w:r>
            <w:r>
              <w:rPr>
                <w:rFonts w:hint="eastAsia" w:ascii="宋体" w:hAnsi="宋体" w:cs="宋体"/>
                <w:color w:val="000000"/>
                <w:szCs w:val="21"/>
                <w:shd w:val="clear" w:color="auto" w:fill="FFFFFF"/>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63"/>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6"/>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6"/>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shd w:val="clear" w:color="auto" w:fill="FFFFFF"/>
        <w:wordWrap w:val="0"/>
        <w:spacing w:line="420" w:lineRule="atLeast"/>
        <w:jc w:val="right"/>
        <w:rPr>
          <w:szCs w:val="21"/>
        </w:rPr>
      </w:pPr>
      <w:r>
        <w:rPr>
          <w:rFonts w:hint="eastAsia"/>
          <w:szCs w:val="21"/>
        </w:rPr>
        <w:t>2023年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pPr>
        <w:shd w:val="clear" w:color="auto" w:fill="FFFFFF"/>
        <w:wordWrap w:val="0"/>
        <w:spacing w:line="420" w:lineRule="atLeast"/>
        <w:jc w:val="right"/>
        <w:rPr>
          <w:szCs w:val="21"/>
        </w:rPr>
      </w:pPr>
      <w:bookmarkStart w:id="22" w:name="_GoBack"/>
      <w:bookmarkEnd w:id="22"/>
    </w:p>
    <w:p>
      <w:pPr>
        <w:rPr>
          <w:rFonts w:hint="eastAsia"/>
          <w:color w:val="auto"/>
          <w:szCs w:val="21"/>
          <w:lang w:eastAsia="zh-CN"/>
        </w:rPr>
      </w:pPr>
      <w:r>
        <w:rPr>
          <w:rFonts w:hint="eastAsia"/>
          <w:color w:val="auto"/>
          <w:szCs w:val="21"/>
          <w:lang w:eastAsia="zh-CN"/>
        </w:rPr>
        <w:br w:type="page"/>
      </w:r>
    </w:p>
    <w:p>
      <w:pPr>
        <w:pStyle w:val="8"/>
        <w:rPr>
          <w:rFonts w:hint="eastAsia"/>
          <w:lang w:eastAsia="zh-CN"/>
        </w:rPr>
      </w:pPr>
    </w:p>
    <w:p>
      <w:pPr>
        <w:autoSpaceDE w:val="0"/>
        <w:autoSpaceDN w:val="0"/>
        <w:adjustRightInd w:val="0"/>
        <w:jc w:val="center"/>
        <w:rPr>
          <w:rFonts w:ascii="Cambria" w:hAnsi="Cambria"/>
          <w:b/>
          <w:bCs/>
          <w:color w:val="auto"/>
          <w:sz w:val="48"/>
          <w:szCs w:val="48"/>
        </w:rPr>
      </w:pPr>
    </w:p>
    <w:p>
      <w:pPr>
        <w:pStyle w:val="8"/>
        <w:rPr>
          <w:rFonts w:ascii="Cambria" w:hAnsi="Cambria"/>
          <w:b/>
          <w:bCs/>
          <w:color w:val="auto"/>
          <w:sz w:val="48"/>
          <w:szCs w:val="48"/>
        </w:rPr>
      </w:pPr>
    </w:p>
    <w:p>
      <w:pPr>
        <w:pStyle w:val="9"/>
        <w:rPr>
          <w:rFonts w:ascii="Cambria" w:hAnsi="Cambria"/>
          <w:b/>
          <w:bCs/>
          <w:color w:val="auto"/>
          <w:sz w:val="48"/>
          <w:szCs w:val="48"/>
        </w:rPr>
      </w:pPr>
    </w:p>
    <w:p>
      <w:pPr>
        <w:pStyle w:val="6"/>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2"/>
        <w:jc w:val="center"/>
        <w:rPr>
          <w:color w:val="auto"/>
        </w:rPr>
      </w:pPr>
      <w:bookmarkStart w:id="2" w:name="_Toc27889"/>
      <w:r>
        <w:rPr>
          <w:rFonts w:hint="eastAsia"/>
          <w:color w:val="auto"/>
        </w:rPr>
        <w:t>第二章 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rPr>
        <w:t xml:space="preserve"> 采购需求</w:t>
      </w:r>
    </w:p>
    <w:p>
      <w:pPr>
        <w:autoSpaceDE w:val="0"/>
        <w:autoSpaceDN w:val="0"/>
        <w:adjustRightInd w:val="0"/>
        <w:snapToGrid w:val="0"/>
        <w:spacing w:line="360" w:lineRule="auto"/>
        <w:jc w:val="left"/>
        <w:rPr>
          <w:rFonts w:ascii="宋体" w:hAnsi="宋体" w:cs="宋体"/>
          <w:color w:val="auto"/>
          <w:szCs w:val="21"/>
        </w:rPr>
      </w:pP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0"/>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响应供应商应对采购需求中的技术（服务）指标在响应详细内容中列出具体数值或明确承诺。如果供应商只注明“正偏离”或“无偏离”，将可能被视为“负偏离”</w:t>
      </w:r>
      <w:r>
        <w:rPr>
          <w:rFonts w:hint="eastAsia" w:ascii="宋体" w:hAnsi="宋体" w:cs="宋体"/>
          <w:color w:val="auto"/>
          <w:szCs w:val="21"/>
          <w:lang w:eastAsia="zh-CN"/>
        </w:rPr>
        <w:t>。</w:t>
      </w:r>
    </w:p>
    <w:p>
      <w:pPr>
        <w:numPr>
          <w:ilvl w:val="0"/>
          <w:numId w:val="3"/>
        </w:numPr>
        <w:spacing w:line="360" w:lineRule="auto"/>
        <w:ind w:left="424" w:hanging="424" w:hangingChars="202"/>
        <w:rPr>
          <w:rFonts w:ascii="宋体" w:hAnsi="宋体" w:cs="宋体"/>
          <w:color w:val="auto"/>
          <w:szCs w:val="21"/>
        </w:rPr>
      </w:pPr>
      <w:r>
        <w:rPr>
          <w:rFonts w:hint="eastAsia" w:ascii="宋体" w:hAnsi="宋体" w:cs="宋体"/>
          <w:szCs w:val="21"/>
          <w:lang w:val="en-US" w:eastAsia="zh-CN"/>
        </w:rPr>
        <w:t>供应商</w:t>
      </w:r>
      <w:r>
        <w:rPr>
          <w:rFonts w:hint="eastAsia" w:ascii="宋体" w:hAnsi="宋体" w:cs="宋体"/>
          <w:szCs w:val="21"/>
        </w:rPr>
        <w:t>没有在</w:t>
      </w:r>
      <w:r>
        <w:rPr>
          <w:rFonts w:hint="eastAsia" w:ascii="宋体" w:hAnsi="宋体" w:cs="宋体"/>
          <w:szCs w:val="21"/>
          <w:lang w:val="en-US" w:eastAsia="zh-CN"/>
        </w:rPr>
        <w:t>响应</w:t>
      </w:r>
      <w:r>
        <w:rPr>
          <w:rFonts w:hint="eastAsia" w:ascii="宋体" w:hAnsi="宋体" w:cs="宋体"/>
          <w:szCs w:val="21"/>
        </w:rPr>
        <w:t>文件中注明偏离（文字说明或在响应表注明）的参数、配置、条款视为被</w:t>
      </w:r>
      <w:r>
        <w:rPr>
          <w:rFonts w:hint="eastAsia" w:ascii="宋体" w:hAnsi="宋体" w:cs="宋体"/>
          <w:szCs w:val="21"/>
          <w:lang w:val="en-US" w:eastAsia="zh-CN"/>
        </w:rPr>
        <w:t>供应商</w:t>
      </w:r>
      <w:r>
        <w:rPr>
          <w:rFonts w:hint="eastAsia" w:ascii="宋体" w:hAnsi="宋体" w:cs="宋体"/>
          <w:szCs w:val="21"/>
        </w:rPr>
        <w:t>完全接受</w:t>
      </w:r>
      <w:r>
        <w:rPr>
          <w:rFonts w:hint="eastAsia" w:ascii="宋体" w:hAnsi="宋体" w:cs="宋体"/>
          <w:color w:val="auto"/>
          <w:szCs w:val="21"/>
        </w:rPr>
        <w:t>。</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cs="宋体"/>
          <w:b/>
          <w:bCs/>
          <w:color w:val="auto"/>
          <w:szCs w:val="21"/>
        </w:rPr>
        <w:t>竞价报价说明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本项目竞价报价为</w:t>
      </w:r>
      <w:r>
        <w:rPr>
          <w:rFonts w:hint="eastAsia" w:ascii="宋体" w:hAnsi="宋体" w:cs="宋体"/>
          <w:color w:val="auto"/>
          <w:szCs w:val="21"/>
          <w:lang w:val="zh-CN"/>
        </w:rPr>
        <w:t>总价包干价，包括投入人员的劳务费、</w:t>
      </w:r>
      <w:r>
        <w:rPr>
          <w:rFonts w:hint="eastAsia" w:ascii="宋体" w:hAnsi="宋体" w:cs="宋体"/>
          <w:color w:val="auto"/>
          <w:szCs w:val="21"/>
          <w:lang w:val="en-US" w:eastAsia="zh-CN"/>
        </w:rPr>
        <w:t>检测</w:t>
      </w:r>
      <w:r>
        <w:rPr>
          <w:rFonts w:hint="eastAsia" w:ascii="宋体" w:hAnsi="宋体" w:cs="宋体"/>
          <w:color w:val="auto"/>
          <w:szCs w:val="21"/>
          <w:lang w:val="zh-CN"/>
        </w:rPr>
        <w:t>耗材等用品、业务技能培训费、税费、差旅费、伙食费以及在项目实施过程中所发生的其他一切费用。</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b/>
          <w:bCs/>
          <w:color w:val="auto"/>
          <w:szCs w:val="21"/>
        </w:rPr>
        <w:t>检测项目及内容</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66"/>
        <w:gridCol w:w="2118"/>
        <w:gridCol w:w="1536"/>
        <w:gridCol w:w="935"/>
        <w:gridCol w:w="95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9"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2266"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设备名称</w:t>
            </w:r>
          </w:p>
        </w:tc>
        <w:tc>
          <w:tcPr>
            <w:tcW w:w="2118"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型号</w:t>
            </w:r>
          </w:p>
        </w:tc>
        <w:tc>
          <w:tcPr>
            <w:tcW w:w="1536" w:type="dxa"/>
            <w:vMerge w:val="restart"/>
            <w:vAlign w:val="center"/>
          </w:tcPr>
          <w:p>
            <w:pPr>
              <w:spacing w:line="360" w:lineRule="auto"/>
              <w:jc w:val="center"/>
              <w:outlineLvl w:val="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品牌</w:t>
            </w:r>
          </w:p>
        </w:tc>
        <w:tc>
          <w:tcPr>
            <w:tcW w:w="1890" w:type="dxa"/>
            <w:gridSpan w:val="2"/>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性能防护检测</w:t>
            </w:r>
          </w:p>
        </w:tc>
        <w:tc>
          <w:tcPr>
            <w:tcW w:w="1317" w:type="dxa"/>
            <w:vMerge w:val="restart"/>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辐射环境监测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9" w:type="dxa"/>
            <w:vMerge w:val="continue"/>
            <w:vAlign w:val="top"/>
          </w:tcPr>
          <w:p>
            <w:pPr>
              <w:spacing w:line="360" w:lineRule="auto"/>
              <w:outlineLvl w:val="0"/>
              <w:rPr>
                <w:rFonts w:hint="eastAsia" w:ascii="宋体" w:hAnsi="宋体" w:eastAsia="宋体" w:cs="宋体"/>
                <w:bCs/>
                <w:color w:val="000000"/>
                <w:sz w:val="21"/>
                <w:szCs w:val="21"/>
              </w:rPr>
            </w:pPr>
          </w:p>
        </w:tc>
        <w:tc>
          <w:tcPr>
            <w:tcW w:w="2266"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2118"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1536"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935" w:type="dxa"/>
            <w:vAlign w:val="top"/>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性能</w:t>
            </w:r>
          </w:p>
        </w:tc>
        <w:tc>
          <w:tcPr>
            <w:tcW w:w="955" w:type="dxa"/>
            <w:vAlign w:val="top"/>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防护</w:t>
            </w:r>
          </w:p>
        </w:tc>
        <w:tc>
          <w:tcPr>
            <w:tcW w:w="1317" w:type="dxa"/>
            <w:vMerge w:val="continue"/>
            <w:vAlign w:val="top"/>
          </w:tcPr>
          <w:p>
            <w:pPr>
              <w:spacing w:line="360" w:lineRule="auto"/>
              <w:outlineLvl w:val="0"/>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26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双排螺旋CT机</w:t>
            </w:r>
          </w:p>
        </w:tc>
        <w:tc>
          <w:tcPr>
            <w:tcW w:w="2118"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MX4000</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226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DR-X线诊断机</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Digital Diagnost</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2266"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移动式数字X线射线系统1</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GX-MD32型</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北京万东</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2266"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移动式数字X线射线系统2</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uDR 370i</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上海联影</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w:t>
            </w:r>
          </w:p>
        </w:tc>
        <w:tc>
          <w:tcPr>
            <w:tcW w:w="226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DR-X线诊断机</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Digital Diagnost</w:t>
            </w:r>
            <w:r>
              <w:rPr>
                <w:rFonts w:hint="eastAsia" w:ascii="宋体" w:hAnsi="宋体" w:eastAsia="宋体" w:cs="宋体"/>
                <w:bCs/>
                <w:color w:val="000000"/>
                <w:sz w:val="21"/>
                <w:szCs w:val="21"/>
                <w:lang w:val="en-US" w:eastAsia="zh-CN"/>
              </w:rPr>
              <w:t>C50</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w:t>
            </w:r>
          </w:p>
        </w:tc>
        <w:tc>
          <w:tcPr>
            <w:tcW w:w="226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16排CT</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Optima CT520</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通用</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7</w:t>
            </w:r>
          </w:p>
        </w:tc>
        <w:tc>
          <w:tcPr>
            <w:tcW w:w="2266"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数字医用诊断X射线透视摄影系统</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Uni-Vision</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岛津</w:t>
            </w:r>
          </w:p>
        </w:tc>
        <w:tc>
          <w:tcPr>
            <w:tcW w:w="935"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bl>
    <w:p>
      <w:pPr>
        <w:pStyle w:val="6"/>
        <w:spacing w:line="420" w:lineRule="exact"/>
        <w:rPr>
          <w:b/>
          <w:bCs/>
          <w:color w:val="auto"/>
          <w:szCs w:val="21"/>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cs="宋体"/>
          <w:b/>
          <w:bCs/>
          <w:color w:val="auto"/>
          <w:szCs w:val="21"/>
          <w:lang w:val="en-US" w:eastAsia="zh-CN"/>
        </w:rPr>
        <w:t>服务</w:t>
      </w:r>
      <w:r>
        <w:rPr>
          <w:rFonts w:hint="eastAsia" w:ascii="宋体" w:hAnsi="宋体" w:cs="宋体"/>
          <w:b/>
          <w:bCs/>
          <w:color w:val="auto"/>
          <w:szCs w:val="21"/>
        </w:rPr>
        <w:t>要求</w:t>
      </w:r>
    </w:p>
    <w:p>
      <w:pPr>
        <w:pStyle w:val="65"/>
        <w:spacing w:line="360" w:lineRule="auto"/>
        <w:ind w:firstLine="420" w:firstLineChars="200"/>
        <w:rPr>
          <w:rFonts w:hint="eastAsia"/>
          <w:color w:val="auto"/>
        </w:rPr>
      </w:pPr>
      <w:r>
        <w:rPr>
          <w:rFonts w:hint="eastAsia"/>
          <w:color w:val="auto"/>
        </w:rPr>
        <w:t>1.签订合同后接医院通知10个工作日内完成现场检测工作。</w:t>
      </w:r>
    </w:p>
    <w:p>
      <w:pPr>
        <w:pStyle w:val="65"/>
        <w:spacing w:line="360" w:lineRule="auto"/>
        <w:ind w:firstLine="420" w:firstLineChars="200"/>
        <w:rPr>
          <w:rFonts w:hint="eastAsia"/>
          <w:color w:val="auto"/>
        </w:rPr>
      </w:pPr>
      <w:r>
        <w:rPr>
          <w:rFonts w:hint="eastAsia"/>
          <w:color w:val="auto"/>
        </w:rPr>
        <w:t>2.检测完成后20个工作日内出具符合卫生行政部门要求的防护及性能检测报告。</w:t>
      </w:r>
    </w:p>
    <w:p>
      <w:pPr>
        <w:pStyle w:val="65"/>
        <w:spacing w:line="360" w:lineRule="auto"/>
        <w:ind w:firstLine="420" w:firstLineChars="200"/>
        <w:rPr>
          <w:rFonts w:hint="eastAsia"/>
          <w:color w:val="auto"/>
        </w:rPr>
      </w:pPr>
      <w:r>
        <w:rPr>
          <w:rFonts w:hint="eastAsia"/>
          <w:color w:val="auto"/>
        </w:rPr>
        <w:t>3.检测完成后20个工作日内出具符合环保部门要求的辐射工作场所辐射环境监测报告。</w:t>
      </w:r>
    </w:p>
    <w:p>
      <w:pPr>
        <w:pStyle w:val="65"/>
        <w:spacing w:line="360" w:lineRule="auto"/>
        <w:ind w:firstLine="442" w:firstLineChars="200"/>
        <w:rPr>
          <w:rFonts w:hint="eastAsia" w:eastAsia="宋体"/>
          <w:color w:val="auto"/>
          <w:sz w:val="22"/>
          <w:szCs w:val="24"/>
          <w:lang w:eastAsia="zh-CN"/>
        </w:rPr>
      </w:pPr>
      <w:r>
        <w:rPr>
          <w:rFonts w:hint="eastAsia"/>
          <w:b/>
          <w:bCs/>
          <w:color w:val="auto"/>
          <w:sz w:val="22"/>
          <w:szCs w:val="24"/>
          <w:lang w:val="en-US" w:eastAsia="zh-CN"/>
        </w:rPr>
        <w:t>注：以上内容供应商须</w:t>
      </w:r>
      <w:r>
        <w:rPr>
          <w:rFonts w:hint="eastAsia"/>
          <w:b/>
          <w:bCs/>
          <w:color w:val="auto"/>
          <w:sz w:val="22"/>
          <w:szCs w:val="24"/>
        </w:rPr>
        <w:t>提供承诺函，</w:t>
      </w:r>
      <w:r>
        <w:rPr>
          <w:rFonts w:hint="eastAsia" w:ascii="宋体" w:hAnsi="宋体" w:cs="宋体"/>
          <w:b/>
          <w:bCs/>
          <w:color w:val="auto"/>
          <w:sz w:val="22"/>
          <w:szCs w:val="22"/>
        </w:rPr>
        <w:t>承诺函格式自拟</w:t>
      </w:r>
      <w:r>
        <w:rPr>
          <w:rFonts w:hint="eastAsia"/>
          <w:sz w:val="22"/>
          <w:szCs w:val="24"/>
          <w:lang w:eastAsia="zh-CN"/>
        </w:rPr>
        <w:t>。</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lang w:val="zh-CN"/>
        </w:rPr>
        <w:t>商务</w:t>
      </w:r>
      <w:r>
        <w:rPr>
          <w:rFonts w:hint="eastAsia" w:ascii="宋体" w:hAnsi="宋体" w:cs="宋体"/>
          <w:b/>
          <w:bCs/>
          <w:color w:val="auto"/>
          <w:szCs w:val="21"/>
        </w:rPr>
        <w:t>要求</w:t>
      </w:r>
    </w:p>
    <w:p>
      <w:pPr>
        <w:numPr>
          <w:ilvl w:val="0"/>
          <w:numId w:val="4"/>
        </w:numPr>
        <w:spacing w:line="360" w:lineRule="auto"/>
        <w:rPr>
          <w:rFonts w:ascii="宋体" w:hAnsi="宋体" w:cs="宋体"/>
          <w:b/>
          <w:color w:val="auto"/>
        </w:rPr>
      </w:pPr>
      <w:r>
        <w:rPr>
          <w:rFonts w:hint="eastAsia" w:ascii="宋体" w:hAnsi="宋体" w:cs="宋体"/>
          <w:b/>
          <w:color w:val="auto"/>
          <w:lang w:val="en-US" w:eastAsia="zh-CN"/>
        </w:rPr>
        <w:t>服务</w:t>
      </w:r>
      <w:r>
        <w:rPr>
          <w:rFonts w:hint="eastAsia" w:ascii="宋体" w:hAnsi="宋体" w:cs="宋体"/>
          <w:b/>
          <w:color w:val="auto"/>
        </w:rPr>
        <w:t>期和</w:t>
      </w:r>
      <w:r>
        <w:rPr>
          <w:rFonts w:hint="eastAsia" w:ascii="宋体" w:hAnsi="宋体" w:cs="宋体"/>
          <w:b/>
          <w:color w:val="auto"/>
          <w:lang w:val="en-US" w:eastAsia="zh-CN"/>
        </w:rPr>
        <w:t>服务</w:t>
      </w:r>
      <w:r>
        <w:rPr>
          <w:rFonts w:hint="eastAsia" w:ascii="宋体" w:hAnsi="宋体" w:cs="宋体"/>
          <w:b/>
          <w:color w:val="auto"/>
        </w:rPr>
        <w:t>地点</w:t>
      </w:r>
    </w:p>
    <w:p>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lang w:val="en-US" w:eastAsia="zh-CN"/>
        </w:rPr>
        <w:t>服务</w:t>
      </w:r>
      <w:r>
        <w:rPr>
          <w:rFonts w:hint="eastAsia" w:ascii="宋体" w:hAnsi="宋体" w:cs="宋体"/>
          <w:color w:val="auto"/>
          <w:szCs w:val="21"/>
        </w:rPr>
        <w:t>期：自签订合同之日起</w:t>
      </w:r>
      <w:r>
        <w:rPr>
          <w:rFonts w:hint="eastAsia" w:ascii="宋体" w:hAnsi="宋体" w:cs="宋体"/>
          <w:color w:val="auto"/>
          <w:szCs w:val="21"/>
          <w:lang w:val="en-US" w:eastAsia="zh-CN"/>
        </w:rPr>
        <w:t>至项目完成</w:t>
      </w:r>
      <w:r>
        <w:rPr>
          <w:rFonts w:hint="eastAsia" w:ascii="宋体" w:hAnsi="宋体" w:cs="宋体"/>
          <w:color w:val="auto"/>
          <w:szCs w:val="21"/>
        </w:rPr>
        <w:t>。</w:t>
      </w:r>
    </w:p>
    <w:p>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lang w:val="en-US" w:eastAsia="zh-CN"/>
        </w:rPr>
        <w:t>服务</w:t>
      </w:r>
      <w:r>
        <w:rPr>
          <w:rFonts w:hint="eastAsia" w:ascii="宋体" w:hAnsi="宋体" w:cs="宋体"/>
          <w:color w:val="auto"/>
          <w:szCs w:val="21"/>
        </w:rPr>
        <w:t>地点：采购人指定地点。</w:t>
      </w:r>
    </w:p>
    <w:p>
      <w:pPr>
        <w:numPr>
          <w:ilvl w:val="0"/>
          <w:numId w:val="4"/>
        </w:numPr>
        <w:spacing w:line="360" w:lineRule="auto"/>
        <w:rPr>
          <w:rFonts w:hint="eastAsia" w:ascii="宋体" w:hAnsi="宋体" w:cs="宋体"/>
          <w:b/>
          <w:color w:val="auto"/>
          <w:lang w:val="en-US" w:eastAsia="zh-CN"/>
        </w:rPr>
      </w:pPr>
      <w:r>
        <w:rPr>
          <w:rFonts w:hint="eastAsia" w:ascii="宋体" w:hAnsi="宋体" w:cs="宋体"/>
          <w:b/>
          <w:color w:val="auto"/>
          <w:lang w:val="en-US" w:eastAsia="zh-CN"/>
        </w:rPr>
        <w:t>验收要求</w:t>
      </w:r>
    </w:p>
    <w:p>
      <w:pPr>
        <w:pStyle w:val="6"/>
        <w:spacing w:line="420" w:lineRule="exact"/>
        <w:rPr>
          <w:rFonts w:hint="eastAsia" w:eastAsia="宋体"/>
          <w:color w:val="auto"/>
          <w:szCs w:val="21"/>
          <w:lang w:val="en-US" w:eastAsia="zh-CN"/>
        </w:rPr>
      </w:pPr>
      <w:r>
        <w:rPr>
          <w:rFonts w:hint="eastAsia"/>
          <w:color w:val="auto"/>
          <w:szCs w:val="21"/>
          <w:lang w:val="en-US" w:eastAsia="zh-CN"/>
        </w:rPr>
        <w:t>成交</w:t>
      </w:r>
      <w:r>
        <w:rPr>
          <w:rFonts w:hint="eastAsia"/>
          <w:color w:val="auto"/>
          <w:szCs w:val="21"/>
        </w:rPr>
        <w:t>供应商</w:t>
      </w:r>
      <w:r>
        <w:rPr>
          <w:rFonts w:hint="eastAsia"/>
          <w:color w:val="auto"/>
          <w:szCs w:val="21"/>
          <w:lang w:val="en-US" w:eastAsia="zh-CN"/>
        </w:rPr>
        <w:t>采用国家现行放射防护、医用X射线诊断设备质量控制有效标准进行评价，并提供具有法律效力的检测报告。</w:t>
      </w:r>
      <w:r>
        <w:rPr>
          <w:rFonts w:hint="eastAsia"/>
          <w:color w:val="auto"/>
          <w:szCs w:val="21"/>
        </w:rPr>
        <w:t>开展的相关工作及提交的</w:t>
      </w:r>
      <w:r>
        <w:rPr>
          <w:rFonts w:hint="eastAsia"/>
          <w:color w:val="auto"/>
          <w:szCs w:val="21"/>
          <w:lang w:val="en-US" w:eastAsia="zh-CN"/>
        </w:rPr>
        <w:t>成果材料</w:t>
      </w:r>
      <w:r>
        <w:rPr>
          <w:rFonts w:hint="eastAsia"/>
          <w:color w:val="auto"/>
          <w:szCs w:val="21"/>
        </w:rPr>
        <w:t>内容应得到采购人认同、验收后方为完成合同内容；对验收不合格的部分，</w:t>
      </w:r>
      <w:r>
        <w:rPr>
          <w:rFonts w:hint="eastAsia"/>
          <w:color w:val="auto"/>
          <w:szCs w:val="21"/>
          <w:lang w:val="en-US" w:eastAsia="zh-CN"/>
        </w:rPr>
        <w:t>成交</w:t>
      </w:r>
      <w:r>
        <w:rPr>
          <w:rFonts w:hint="eastAsia"/>
          <w:color w:val="auto"/>
          <w:szCs w:val="21"/>
        </w:rPr>
        <w:t>供应商应在采购人规定时间内及时整改完善直至合格。因整改完善所增加的时间不计入项目服务期，</w:t>
      </w:r>
      <w:r>
        <w:rPr>
          <w:rFonts w:hint="eastAsia"/>
          <w:color w:val="auto"/>
          <w:szCs w:val="21"/>
          <w:lang w:val="en-US" w:eastAsia="zh-CN"/>
        </w:rPr>
        <w:t>成交</w:t>
      </w:r>
      <w:r>
        <w:rPr>
          <w:rFonts w:hint="eastAsia"/>
          <w:color w:val="auto"/>
          <w:szCs w:val="21"/>
        </w:rPr>
        <w:t>供应商不得以此要求增加任何费用</w:t>
      </w:r>
      <w:r>
        <w:rPr>
          <w:rFonts w:hint="eastAsia"/>
          <w:color w:val="auto"/>
          <w:szCs w:val="21"/>
          <w:lang w:eastAsia="zh-CN"/>
        </w:rPr>
        <w:t>。</w:t>
      </w:r>
    </w:p>
    <w:p>
      <w:pPr>
        <w:numPr>
          <w:ilvl w:val="0"/>
          <w:numId w:val="4"/>
        </w:numPr>
        <w:spacing w:line="360" w:lineRule="auto"/>
        <w:rPr>
          <w:rFonts w:ascii="宋体" w:hAnsi="宋体" w:cs="宋体"/>
          <w:b/>
          <w:color w:val="auto"/>
        </w:rPr>
      </w:pPr>
      <w:r>
        <w:rPr>
          <w:rFonts w:hint="eastAsia" w:ascii="宋体" w:hAnsi="宋体" w:cs="宋体"/>
          <w:b/>
          <w:color w:val="auto"/>
        </w:rPr>
        <w:t>付款方式</w:t>
      </w:r>
    </w:p>
    <w:p>
      <w:pPr>
        <w:pStyle w:val="6"/>
        <w:spacing w:line="420" w:lineRule="exact"/>
        <w:rPr>
          <w:rFonts w:ascii="Cambria" w:hAnsi="Cambria"/>
          <w:b/>
          <w:bCs/>
          <w:color w:val="auto"/>
          <w:sz w:val="48"/>
          <w:szCs w:val="48"/>
        </w:rPr>
      </w:pPr>
      <w:r>
        <w:rPr>
          <w:rFonts w:hint="eastAsia"/>
          <w:color w:val="auto"/>
          <w:szCs w:val="21"/>
        </w:rPr>
        <w:t>采取银行转账方式。在本项目验收合格后30日历日内</w:t>
      </w:r>
      <w:r>
        <w:rPr>
          <w:rFonts w:hint="eastAsia"/>
          <w:color w:val="auto"/>
          <w:szCs w:val="21"/>
          <w:lang w:eastAsia="zh-CN"/>
        </w:rPr>
        <w:t>，</w:t>
      </w:r>
      <w:r>
        <w:rPr>
          <w:rFonts w:hint="eastAsia"/>
          <w:color w:val="auto"/>
          <w:szCs w:val="21"/>
          <w:lang w:val="en-US" w:eastAsia="zh-CN"/>
        </w:rPr>
        <w:t>采购方一次性支付合同金额全额费用</w:t>
      </w:r>
      <w:r>
        <w:rPr>
          <w:rFonts w:hint="eastAsia"/>
          <w:color w:val="auto"/>
          <w:szCs w:val="21"/>
        </w:rPr>
        <w:t>，由成交供应商开具正式发票，采购人在收到正式发票之日起15日内支付完成。</w:t>
      </w:r>
    </w:p>
    <w:p>
      <w:pPr>
        <w:widowControl/>
        <w:jc w:val="left"/>
        <w:rPr>
          <w:rFonts w:ascii="Cambria" w:hAnsi="Cambria"/>
          <w:b/>
          <w:bCs/>
          <w:color w:val="auto"/>
          <w:sz w:val="48"/>
          <w:szCs w:val="48"/>
        </w:rPr>
      </w:pP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2"/>
        <w:jc w:val="center"/>
        <w:rPr>
          <w:color w:val="auto"/>
        </w:rPr>
      </w:pPr>
      <w:bookmarkStart w:id="3" w:name="_Toc9145"/>
      <w:r>
        <w:rPr>
          <w:rFonts w:hint="eastAsia"/>
          <w:color w:val="auto"/>
        </w:rPr>
        <w:t>第三章 竞价须知</w:t>
      </w:r>
      <w:bookmarkEnd w:id="3"/>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1"/>
        <w:wordWrap w:val="0"/>
        <w:spacing w:before="0" w:beforeAutospacing="0" w:after="0" w:afterAutospacing="0" w:line="360" w:lineRule="auto"/>
        <w:ind w:firstLine="420" w:firstLineChars="200"/>
        <w:jc w:val="both"/>
        <w:outlineLvl w:val="1"/>
        <w:rPr>
          <w:color w:val="auto"/>
          <w:sz w:val="21"/>
          <w:szCs w:val="21"/>
        </w:rPr>
      </w:pPr>
      <w:bookmarkStart w:id="4" w:name="_Hlk21526609"/>
      <w:bookmarkStart w:id="5" w:name="_Hlk21526798"/>
      <w:bookmarkStart w:id="6" w:name="_Hlk21526831"/>
      <w:r>
        <w:rPr>
          <w:rFonts w:hint="eastAsia"/>
          <w:color w:val="auto"/>
          <w:sz w:val="21"/>
          <w:szCs w:val="21"/>
        </w:rPr>
        <w:t>一</w:t>
      </w:r>
      <w:bookmarkEnd w:id="4"/>
      <w:bookmarkEnd w:id="5"/>
      <w:r>
        <w:rPr>
          <w:rFonts w:hint="eastAsia"/>
          <w:color w:val="auto"/>
          <w:sz w:val="21"/>
          <w:szCs w:val="21"/>
        </w:rPr>
        <w:t>、本项目通过中招智采平台（www.365bidding.com）进行竞价，参与竞价的供应商必须登录平台进行注册，注册成功后方可参与项目竞价。</w:t>
      </w:r>
    </w:p>
    <w:p>
      <w:pPr>
        <w:pStyle w:val="61"/>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1"/>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1"/>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6"/>
          <w:rFonts w:hint="eastAsia"/>
          <w:color w:val="auto"/>
          <w:sz w:val="21"/>
          <w:szCs w:val="21"/>
        </w:rPr>
        <w:t>竞价说明</w:t>
      </w:r>
    </w:p>
    <w:p>
      <w:pPr>
        <w:pStyle w:val="61"/>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中招智采平台均无义务和责任承担这些费用</w:t>
      </w:r>
      <w:r>
        <w:rPr>
          <w:rFonts w:hint="eastAsia"/>
          <w:color w:val="auto"/>
          <w:sz w:val="21"/>
          <w:szCs w:val="21"/>
        </w:rPr>
        <w:t>。</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不推荐为成交候选人</w:t>
      </w:r>
      <w:r>
        <w:rPr>
          <w:rFonts w:hint="eastAsia"/>
          <w:color w:val="auto"/>
          <w:sz w:val="21"/>
          <w:szCs w:val="21"/>
          <w:lang w:val="zh-CN"/>
        </w:rPr>
        <w:t>。</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4.若成交人自身原因无法完成本项目，则采购人有权利保留追究责任。</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5.成交人因自身原因被取消成交资格，采购人可重新启动采购或按竞价公告规定顺延推选符合要求的供应商作为成交人。</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6.若本项目竞价采购失败，采购人将重新采购，届时采购人有权根据项目具体情况，决定重新采购项目的采购方式。</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7.成交人若无正当理由恶意放弃成交资格，采购人有权将拒绝其参加本项目重新组织的竞价采购活动。</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11.采购人有权拒绝接受任何不合格的货物或服务，由此产生的费用及相关后果均由成交人自行承担。</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12.供应商认为竞价结果损害其权益的，应按照中招智采平台相关指引在规定的时间内向采购人或平台方提交书面质疑，不提交的视为无异议，逾期提交将不予受理。</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1.采购人可以对已发出的竞价文件进行必要的澄清或者修改。澄清或者修改的内容将在中招智采平台上发布澄清（更正/变更）公告。</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val="en-US" w:eastAsia="zh-CN"/>
        </w:rPr>
        <w:t>竞价</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val="en-US" w:eastAsia="zh-CN"/>
        </w:rPr>
        <w:t>竞价</w:t>
      </w:r>
      <w:r>
        <w:rPr>
          <w:rFonts w:hint="eastAsia"/>
          <w:b/>
          <w:color w:val="auto"/>
          <w:sz w:val="21"/>
          <w:szCs w:val="21"/>
          <w:lang w:eastAsia="zh-TW"/>
        </w:rPr>
        <w:t>保证金将不予退还</w:t>
      </w:r>
      <w:r>
        <w:rPr>
          <w:rFonts w:hint="eastAsia"/>
          <w:b/>
          <w:color w:val="auto"/>
          <w:sz w:val="21"/>
          <w:szCs w:val="21"/>
        </w:rPr>
        <w:t>：</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rPr>
        <w:t>成交人拒绝与采购人</w:t>
      </w:r>
      <w:r>
        <w:rPr>
          <w:rFonts w:hint="eastAsia"/>
          <w:color w:val="auto"/>
          <w:sz w:val="21"/>
          <w:szCs w:val="21"/>
          <w:lang w:eastAsia="zh-TW"/>
        </w:rPr>
        <w:t>签订合同</w:t>
      </w:r>
      <w:r>
        <w:rPr>
          <w:rFonts w:hint="eastAsia"/>
          <w:color w:val="auto"/>
          <w:sz w:val="21"/>
          <w:szCs w:val="21"/>
        </w:rPr>
        <w:t>的；</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其他因成交人的原因被认定取消成交资格的。</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报价文件</w:t>
      </w:r>
      <w:r>
        <w:rPr>
          <w:rFonts w:hint="eastAsia"/>
          <w:b/>
          <w:color w:val="auto"/>
          <w:sz w:val="21"/>
          <w:szCs w:val="21"/>
        </w:rPr>
        <w:t>要求（参与竞价的供应商报</w:t>
      </w:r>
      <w:r>
        <w:rPr>
          <w:rFonts w:hint="eastAsia"/>
          <w:b/>
          <w:color w:val="auto"/>
          <w:sz w:val="21"/>
          <w:szCs w:val="21"/>
          <w:lang w:val="en-US" w:eastAsia="zh-CN"/>
        </w:rPr>
        <w:t>价</w:t>
      </w:r>
      <w:r>
        <w:rPr>
          <w:rFonts w:hint="eastAsia"/>
          <w:b/>
          <w:color w:val="auto"/>
          <w:sz w:val="21"/>
          <w:szCs w:val="21"/>
        </w:rPr>
        <w:t>时需要提供以下盖章资料，并对上传的报</w:t>
      </w:r>
      <w:r>
        <w:rPr>
          <w:rFonts w:hint="eastAsia"/>
          <w:b/>
          <w:color w:val="auto"/>
          <w:sz w:val="21"/>
          <w:szCs w:val="21"/>
          <w:lang w:val="en-US" w:eastAsia="zh-CN"/>
        </w:rPr>
        <w:t>价</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szCs w:val="21"/>
        </w:rPr>
        <w:t>（4）符合《中华人民共和国政府采购法实施条例》第十七条的规定（承诺函）；</w:t>
      </w:r>
      <w:r>
        <w:rPr>
          <w:rFonts w:hint="eastAsia"/>
          <w:color w:val="auto"/>
          <w:szCs w:val="21"/>
        </w:rPr>
        <w:t>；</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5</w:t>
      </w:r>
      <w:r>
        <w:rPr>
          <w:rFonts w:hint="eastAsia"/>
          <w:color w:val="auto"/>
          <w:szCs w:val="21"/>
        </w:rPr>
        <w:t>）《放射卫生技术服务机构资质证书》（其技术服务范围包含“放射卫生防护检测”），外省机构需取得广东省卫健委备案批准；</w:t>
      </w:r>
    </w:p>
    <w:p>
      <w:pPr>
        <w:autoSpaceDE w:val="0"/>
        <w:autoSpaceDN w:val="0"/>
        <w:adjustRightInd w:val="0"/>
        <w:spacing w:line="440" w:lineRule="exact"/>
        <w:ind w:firstLine="420" w:firstLineChars="200"/>
        <w:outlineLvl w:val="2"/>
        <w:rPr>
          <w:rFonts w:hint="eastAsia" w:eastAsia="宋体"/>
          <w:color w:val="auto"/>
          <w:szCs w:val="21"/>
          <w:lang w:eastAsia="zh-CN"/>
        </w:rPr>
      </w:pPr>
      <w:r>
        <w:rPr>
          <w:rFonts w:hint="eastAsia"/>
          <w:color w:val="auto"/>
          <w:szCs w:val="21"/>
        </w:rPr>
        <w:t>（</w:t>
      </w:r>
      <w:r>
        <w:rPr>
          <w:rFonts w:hint="eastAsia"/>
          <w:color w:val="auto"/>
          <w:szCs w:val="21"/>
          <w:lang w:val="en-US" w:eastAsia="zh-CN"/>
        </w:rPr>
        <w:t>6</w:t>
      </w:r>
      <w:r>
        <w:rPr>
          <w:rFonts w:hint="eastAsia"/>
          <w:color w:val="auto"/>
          <w:szCs w:val="21"/>
        </w:rPr>
        <w:t>）</w:t>
      </w:r>
      <w:r>
        <w:rPr>
          <w:rFonts w:hint="eastAsia"/>
          <w:color w:val="auto"/>
          <w:szCs w:val="21"/>
          <w:lang w:eastAsia="zh-CN"/>
        </w:rPr>
        <w:t>检验检测机构资质认定证书（CMA）或具备国家法定计量检定机构计量授权资质证书；</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7</w:t>
      </w:r>
      <w:r>
        <w:rPr>
          <w:rFonts w:hint="eastAsia"/>
          <w:color w:val="auto"/>
          <w:szCs w:val="21"/>
        </w:rPr>
        <w:t>）如非法定代表人或企业负责人参加，则须同时提交法定代表人或企业负责人的授权委托书及其被授权人身份证（正反面）（详细见报价文件格式）；</w:t>
      </w:r>
    </w:p>
    <w:p>
      <w:pPr>
        <w:pStyle w:val="61"/>
        <w:wordWrap w:val="0"/>
        <w:spacing w:before="0" w:beforeAutospacing="0" w:after="0" w:afterAutospacing="0" w:line="360" w:lineRule="auto"/>
        <w:ind w:firstLine="482" w:firstLineChars="200"/>
        <w:jc w:val="both"/>
        <w:outlineLvl w:val="2"/>
        <w:rPr>
          <w:rFonts w:hint="eastAsia"/>
          <w:b/>
          <w:bCs/>
          <w:color w:val="auto"/>
          <w:szCs w:val="21"/>
        </w:rPr>
      </w:pPr>
      <w:r>
        <w:rPr>
          <w:rFonts w:hint="eastAsia"/>
          <w:b/>
          <w:bCs/>
          <w:color w:val="auto"/>
          <w:szCs w:val="21"/>
        </w:rPr>
        <w:t>（</w:t>
      </w:r>
      <w:r>
        <w:rPr>
          <w:rFonts w:hint="eastAsia"/>
          <w:b/>
          <w:bCs/>
          <w:color w:val="auto"/>
          <w:szCs w:val="21"/>
          <w:lang w:val="en-US" w:eastAsia="zh-CN"/>
        </w:rPr>
        <w:t>8</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1.通过报名供应商应根据本公告要求，在规定的竞价时间内对采购项目进行报价，同时按本公告要求完整</w:t>
      </w:r>
      <w:r>
        <w:rPr>
          <w:rFonts w:hint="eastAsia" w:ascii="宋体" w:hAnsi="宋体" w:cs="宋体"/>
          <w:color w:val="auto"/>
          <w:szCs w:val="21"/>
          <w:lang w:eastAsia="zh-TW"/>
        </w:rPr>
        <w:t>、真实、准确地</w:t>
      </w:r>
      <w:r>
        <w:rPr>
          <w:rFonts w:hint="eastAsia" w:ascii="宋体" w:hAnsi="宋体" w:cs="宋体"/>
          <w:color w:val="auto"/>
          <w:szCs w:val="21"/>
        </w:rPr>
        <w:t>填写并上传相应报价附件（</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2.供应商认为有必要提交的材料。</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(六)确定成交候选人</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供应商须提供本项目要求的资质文件，如果不按公告规定或竞价文件要求等相关规定提供符合要求的资质文件，将被视为无效报价。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1"/>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1"/>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1.成交人须向广州市国科招标代理有限公司缴纳招标代理服务费，金额为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000</w:t>
      </w:r>
      <w:r>
        <w:rPr>
          <w:rFonts w:hint="eastAsia" w:ascii="宋体" w:hAnsi="宋体" w:cs="宋体"/>
          <w:color w:val="auto"/>
          <w:kern w:val="0"/>
          <w:szCs w:val="21"/>
          <w:u w:val="single"/>
        </w:rPr>
        <w:t>.00元（大写：人民币</w:t>
      </w:r>
      <w:r>
        <w:rPr>
          <w:rFonts w:hint="eastAsia" w:ascii="宋体" w:hAnsi="宋体" w:cs="宋体"/>
          <w:color w:val="auto"/>
          <w:kern w:val="0"/>
          <w:szCs w:val="21"/>
          <w:u w:val="single"/>
          <w:lang w:val="en-US" w:eastAsia="zh-CN"/>
        </w:rPr>
        <w:t>壹仟</w:t>
      </w:r>
      <w:r>
        <w:rPr>
          <w:rFonts w:hint="eastAsia" w:ascii="宋体" w:hAnsi="宋体" w:cs="宋体"/>
          <w:color w:val="auto"/>
          <w:kern w:val="0"/>
          <w:szCs w:val="21"/>
          <w:u w:val="single"/>
        </w:rPr>
        <w:t>元整）</w:t>
      </w:r>
      <w:r>
        <w:rPr>
          <w:rFonts w:hint="eastAsia" w:ascii="宋体" w:hAnsi="宋体" w:cs="宋体"/>
          <w:color w:val="auto"/>
          <w:kern w:val="0"/>
          <w:szCs w:val="21"/>
        </w:rPr>
        <w:t xml:space="preserve">。 </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pPr>
        <w:widowControl/>
        <w:tabs>
          <w:tab w:val="left" w:pos="120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开户银行：中国银行广州先烈中路支行</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5.成交人成交后需向平台支付平台服务费，收费标准为：成交金额的千分之三，不足300元按照300元收取。</w:t>
      </w:r>
      <w:r>
        <w:rPr>
          <w:rFonts w:hint="eastAsia" w:ascii="宋体" w:hAnsi="宋体" w:cs="宋体"/>
          <w:color w:val="auto"/>
          <w:kern w:val="0"/>
          <w:szCs w:val="21"/>
        </w:rPr>
        <w:br w:type="page"/>
      </w:r>
    </w:p>
    <w:p>
      <w:pPr>
        <w:pStyle w:val="6"/>
      </w:pPr>
    </w:p>
    <w:bookmarkEnd w:id="7"/>
    <w:p>
      <w:pPr>
        <w:keepNext/>
        <w:keepLines/>
        <w:spacing w:line="360" w:lineRule="auto"/>
        <w:jc w:val="center"/>
        <w:rPr>
          <w:color w:val="auto"/>
          <w:szCs w:val="21"/>
        </w:rPr>
      </w:pPr>
      <w:r>
        <w:rPr>
          <w:rFonts w:hint="eastAsia"/>
          <w:color w:val="auto"/>
          <w:szCs w:val="21"/>
        </w:rPr>
        <w:t xml:space="preserve">    </w:t>
      </w: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2"/>
        <w:spacing w:before="0" w:after="0" w:line="360" w:lineRule="auto"/>
        <w:jc w:val="center"/>
        <w:rPr>
          <w:rFonts w:ascii="宋体" w:hAnsi="宋体"/>
          <w:color w:val="auto"/>
          <w:kern w:val="0"/>
        </w:rPr>
      </w:pPr>
      <w:r>
        <w:rPr>
          <w:rFonts w:hint="eastAsia"/>
          <w:color w:val="auto"/>
          <w:szCs w:val="21"/>
        </w:rPr>
        <w:t xml:space="preserve"> </w:t>
      </w:r>
      <w:bookmarkStart w:id="8" w:name="_Toc386099825"/>
      <w:bookmarkStart w:id="9" w:name="_Toc20538"/>
      <w:bookmarkStart w:id="10" w:name="_Toc414745347"/>
      <w:bookmarkStart w:id="11" w:name="_Toc384824326"/>
      <w:r>
        <w:rPr>
          <w:rFonts w:hint="eastAsia" w:ascii="宋体" w:hAnsi="宋体"/>
          <w:color w:val="auto"/>
          <w:kern w:val="0"/>
        </w:rPr>
        <w:t>第四章  合同条款</w:t>
      </w:r>
      <w:bookmarkEnd w:id="8"/>
      <w:bookmarkEnd w:id="9"/>
      <w:bookmarkEnd w:id="10"/>
      <w:bookmarkEnd w:id="11"/>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color w:val="auto"/>
          <w:szCs w:val="21"/>
        </w:rPr>
      </w:pPr>
      <w:r>
        <w:rPr>
          <w:rFonts w:hint="eastAsia"/>
          <w:color w:val="auto"/>
          <w:szCs w:val="21"/>
        </w:rPr>
        <w:t xml:space="preserve">             </w:t>
      </w:r>
    </w:p>
    <w:p>
      <w:pPr>
        <w:rPr>
          <w:color w:val="auto"/>
          <w:szCs w:val="21"/>
        </w:rPr>
      </w:pPr>
      <w:r>
        <w:rPr>
          <w:rFonts w:hint="eastAsia"/>
          <w:color w:val="auto"/>
          <w:szCs w:val="21"/>
        </w:rPr>
        <w:br w:type="page"/>
      </w:r>
    </w:p>
    <w:p>
      <w:pPr>
        <w:tabs>
          <w:tab w:val="left" w:pos="720"/>
        </w:tabs>
        <w:spacing w:line="360" w:lineRule="auto"/>
        <w:jc w:val="center"/>
        <w:rPr>
          <w:rFonts w:hint="eastAsia" w:ascii="宋体"/>
          <w:b/>
          <w:color w:val="auto"/>
          <w:sz w:val="52"/>
          <w:szCs w:val="52"/>
          <w:u w:val="single"/>
        </w:rPr>
      </w:pPr>
    </w:p>
    <w:p>
      <w:pPr>
        <w:tabs>
          <w:tab w:val="left" w:pos="720"/>
        </w:tabs>
        <w:spacing w:line="360" w:lineRule="auto"/>
        <w:jc w:val="center"/>
        <w:rPr>
          <w:rFonts w:hint="eastAsia" w:ascii="宋体"/>
          <w:b/>
          <w:color w:val="auto"/>
          <w:sz w:val="52"/>
          <w:szCs w:val="52"/>
          <w:u w:val="single"/>
        </w:rPr>
      </w:pPr>
    </w:p>
    <w:p>
      <w:pPr>
        <w:tabs>
          <w:tab w:val="left" w:pos="720"/>
        </w:tabs>
        <w:spacing w:line="360" w:lineRule="auto"/>
        <w:jc w:val="center"/>
        <w:rPr>
          <w:rFonts w:ascii="宋体" w:hAnsi="宋体"/>
          <w:b/>
          <w:color w:val="auto"/>
          <w:sz w:val="72"/>
          <w:szCs w:val="72"/>
        </w:rPr>
      </w:pPr>
      <w:r>
        <w:rPr>
          <w:rFonts w:hint="eastAsia" w:ascii="宋体"/>
          <w:b/>
          <w:color w:val="auto"/>
          <w:sz w:val="52"/>
          <w:szCs w:val="52"/>
          <w:u w:val="single"/>
        </w:rPr>
        <w:t xml:space="preserve">广东省监狱中心医院     </w:t>
      </w:r>
      <w:r>
        <w:rPr>
          <w:rFonts w:hint="eastAsia" w:ascii="华文新魏" w:hAnsi="宋体" w:eastAsia="华文新魏"/>
          <w:bCs/>
          <w:color w:val="auto"/>
          <w:spacing w:val="26"/>
          <w:sz w:val="72"/>
          <w:szCs w:val="72"/>
        </w:rPr>
        <w:t>采购</w:t>
      </w:r>
    </w:p>
    <w:p>
      <w:pPr>
        <w:tabs>
          <w:tab w:val="left" w:pos="720"/>
        </w:tabs>
        <w:spacing w:line="360" w:lineRule="auto"/>
        <w:rPr>
          <w:rFonts w:ascii="宋体" w:hAnsi="宋体"/>
          <w:b/>
          <w:color w:val="auto"/>
          <w:szCs w:val="21"/>
        </w:rPr>
      </w:pPr>
    </w:p>
    <w:p>
      <w:pPr>
        <w:tabs>
          <w:tab w:val="left" w:pos="720"/>
        </w:tabs>
        <w:spacing w:line="360" w:lineRule="auto"/>
        <w:jc w:val="center"/>
        <w:rPr>
          <w:rFonts w:ascii="宋体" w:hAnsi="宋体"/>
          <w:b/>
          <w:color w:val="auto"/>
          <w:sz w:val="72"/>
          <w:szCs w:val="72"/>
        </w:rPr>
      </w:pPr>
      <w:r>
        <w:rPr>
          <w:rFonts w:hint="eastAsia" w:ascii="宋体" w:hAnsi="宋体"/>
          <w:b/>
          <w:color w:val="auto"/>
          <w:sz w:val="72"/>
          <w:szCs w:val="72"/>
        </w:rPr>
        <w:t xml:space="preserve">合 </w:t>
      </w:r>
    </w:p>
    <w:p>
      <w:pPr>
        <w:tabs>
          <w:tab w:val="left" w:pos="720"/>
        </w:tabs>
        <w:spacing w:line="360" w:lineRule="auto"/>
        <w:jc w:val="center"/>
        <w:rPr>
          <w:rFonts w:ascii="宋体" w:hAnsi="宋体"/>
          <w:b/>
          <w:color w:val="auto"/>
          <w:sz w:val="72"/>
          <w:szCs w:val="72"/>
        </w:rPr>
      </w:pPr>
    </w:p>
    <w:p>
      <w:pPr>
        <w:tabs>
          <w:tab w:val="left" w:pos="720"/>
        </w:tabs>
        <w:spacing w:line="360" w:lineRule="auto"/>
        <w:jc w:val="center"/>
        <w:rPr>
          <w:rFonts w:ascii="宋体" w:hAnsi="宋体"/>
          <w:b/>
          <w:color w:val="auto"/>
          <w:sz w:val="72"/>
          <w:szCs w:val="72"/>
        </w:rPr>
      </w:pPr>
      <w:r>
        <w:rPr>
          <w:rFonts w:hint="eastAsia" w:ascii="宋体" w:hAnsi="宋体"/>
          <w:b/>
          <w:color w:val="auto"/>
          <w:sz w:val="72"/>
          <w:szCs w:val="72"/>
        </w:rPr>
        <w:t xml:space="preserve">同 </w:t>
      </w:r>
    </w:p>
    <w:p>
      <w:pPr>
        <w:tabs>
          <w:tab w:val="left" w:pos="720"/>
        </w:tabs>
        <w:spacing w:line="360" w:lineRule="auto"/>
        <w:jc w:val="center"/>
        <w:rPr>
          <w:rFonts w:ascii="宋体" w:hAnsi="宋体"/>
          <w:b/>
          <w:color w:val="auto"/>
          <w:sz w:val="72"/>
          <w:szCs w:val="72"/>
        </w:rPr>
      </w:pPr>
    </w:p>
    <w:p>
      <w:pPr>
        <w:tabs>
          <w:tab w:val="left" w:pos="720"/>
        </w:tabs>
        <w:spacing w:line="360" w:lineRule="auto"/>
        <w:jc w:val="center"/>
        <w:rPr>
          <w:rFonts w:ascii="宋体" w:hAnsi="宋体"/>
          <w:b/>
          <w:color w:val="auto"/>
          <w:szCs w:val="21"/>
        </w:rPr>
      </w:pPr>
      <w:r>
        <w:rPr>
          <w:rFonts w:hint="eastAsia" w:ascii="宋体" w:hAnsi="宋体"/>
          <w:b/>
          <w:color w:val="auto"/>
          <w:sz w:val="72"/>
          <w:szCs w:val="72"/>
        </w:rPr>
        <w:t>书</w:t>
      </w:r>
    </w:p>
    <w:p>
      <w:pPr>
        <w:adjustRightInd w:val="0"/>
        <w:snapToGrid w:val="0"/>
        <w:spacing w:line="360" w:lineRule="auto"/>
        <w:ind w:left="1680"/>
        <w:rPr>
          <w:rFonts w:ascii="宋体"/>
          <w:b/>
          <w:color w:val="auto"/>
          <w:sz w:val="28"/>
          <w:u w:val="single"/>
        </w:rPr>
      </w:pPr>
      <w:r>
        <w:rPr>
          <w:rFonts w:hint="eastAsia" w:ascii="宋体"/>
          <w:b/>
          <w:color w:val="auto"/>
          <w:sz w:val="28"/>
        </w:rPr>
        <w:t>项目名称：</w:t>
      </w:r>
      <w:r>
        <w:rPr>
          <w:rFonts w:hint="eastAsia" w:ascii="宋体"/>
          <w:b/>
          <w:color w:val="auto"/>
          <w:sz w:val="28"/>
          <w:u w:val="single"/>
        </w:rPr>
        <w:t xml:space="preserve">                          </w:t>
      </w:r>
    </w:p>
    <w:p>
      <w:pPr>
        <w:adjustRightInd w:val="0"/>
        <w:snapToGrid w:val="0"/>
        <w:spacing w:line="360" w:lineRule="auto"/>
        <w:ind w:left="1680"/>
        <w:rPr>
          <w:rFonts w:ascii="宋体"/>
          <w:b/>
          <w:color w:val="auto"/>
          <w:sz w:val="28"/>
        </w:rPr>
      </w:pPr>
      <w:r>
        <w:rPr>
          <w:rFonts w:hint="eastAsia" w:ascii="宋体"/>
          <w:b/>
          <w:color w:val="auto"/>
          <w:sz w:val="28"/>
        </w:rPr>
        <w:t>合同编号：</w:t>
      </w:r>
      <w:r>
        <w:rPr>
          <w:rFonts w:hint="eastAsia" w:ascii="宋体"/>
          <w:b/>
          <w:color w:val="auto"/>
          <w:sz w:val="28"/>
          <w:u w:val="single"/>
        </w:rPr>
        <w:t xml:space="preserve">                          </w:t>
      </w:r>
    </w:p>
    <w:p>
      <w:pPr>
        <w:adjustRightInd w:val="0"/>
        <w:snapToGrid w:val="0"/>
        <w:spacing w:line="360" w:lineRule="auto"/>
        <w:ind w:left="1680"/>
        <w:rPr>
          <w:rFonts w:ascii="宋体"/>
          <w:b/>
          <w:color w:val="auto"/>
          <w:sz w:val="28"/>
        </w:rPr>
      </w:pPr>
      <w:r>
        <w:rPr>
          <w:rFonts w:hint="eastAsia" w:ascii="宋体"/>
          <w:b/>
          <w:color w:val="auto"/>
          <w:sz w:val="28"/>
        </w:rPr>
        <w:t>签约地点：</w:t>
      </w:r>
      <w:r>
        <w:rPr>
          <w:rFonts w:hint="eastAsia" w:ascii="宋体"/>
          <w:b/>
          <w:color w:val="auto"/>
          <w:sz w:val="28"/>
          <w:u w:val="single"/>
        </w:rPr>
        <w:t xml:space="preserve">                          </w:t>
      </w:r>
    </w:p>
    <w:p>
      <w:pPr>
        <w:widowControl/>
        <w:jc w:val="left"/>
        <w:rPr>
          <w:rFonts w:ascii="宋体"/>
          <w:b/>
          <w:color w:val="auto"/>
          <w:sz w:val="28"/>
        </w:rPr>
      </w:pPr>
      <w:r>
        <w:rPr>
          <w:rFonts w:ascii="宋体"/>
          <w:b/>
          <w:color w:val="auto"/>
          <w:sz w:val="28"/>
        </w:rPr>
        <w:br w:type="page"/>
      </w:r>
    </w:p>
    <w:p>
      <w:pPr>
        <w:spacing w:line="360" w:lineRule="auto"/>
        <w:rPr>
          <w:rFonts w:hint="eastAsia" w:ascii="宋体" w:hAnsi="宋体"/>
          <w:b/>
          <w:color w:val="auto"/>
          <w:szCs w:val="21"/>
        </w:rPr>
      </w:pPr>
    </w:p>
    <w:p>
      <w:pPr>
        <w:tabs>
          <w:tab w:val="left" w:pos="720"/>
        </w:tabs>
        <w:spacing w:line="360" w:lineRule="auto"/>
        <w:outlineLvl w:val="0"/>
        <w:rPr>
          <w:rFonts w:ascii="宋体" w:hAnsi="宋体"/>
          <w:b/>
          <w:color w:val="auto"/>
          <w:szCs w:val="21"/>
        </w:rPr>
      </w:pPr>
      <w:r>
        <w:rPr>
          <w:rFonts w:ascii="宋体" w:hAnsi="宋体"/>
          <w:b/>
          <w:color w:val="auto"/>
          <w:szCs w:val="21"/>
        </w:rPr>
        <w:t>甲</w:t>
      </w:r>
      <w:r>
        <w:rPr>
          <w:rFonts w:hint="eastAsia" w:ascii="宋体" w:hAnsi="宋体"/>
          <w:b/>
          <w:color w:val="auto"/>
          <w:szCs w:val="21"/>
        </w:rPr>
        <w:t xml:space="preserve">    </w:t>
      </w:r>
      <w:r>
        <w:rPr>
          <w:rFonts w:ascii="宋体" w:hAnsi="宋体"/>
          <w:b/>
          <w:color w:val="auto"/>
          <w:szCs w:val="21"/>
        </w:rPr>
        <w:t>方：</w:t>
      </w:r>
      <w:r>
        <w:rPr>
          <w:rFonts w:hint="eastAsia" w:ascii="宋体" w:hAnsi="宋体"/>
          <w:b/>
          <w:color w:val="auto"/>
          <w:szCs w:val="21"/>
          <w:u w:val="single"/>
        </w:rPr>
        <w:t xml:space="preserve">   广东省监狱中心医院      </w:t>
      </w:r>
    </w:p>
    <w:p>
      <w:pPr>
        <w:spacing w:line="360" w:lineRule="auto"/>
        <w:rPr>
          <w:rFonts w:ascii="宋体" w:hAnsi="宋体"/>
          <w:color w:val="auto"/>
          <w:szCs w:val="21"/>
        </w:rPr>
      </w:pPr>
      <w:r>
        <w:rPr>
          <w:rFonts w:hint="eastAsia" w:ascii="宋体" w:hAnsi="宋体"/>
          <w:color w:val="auto"/>
          <w:szCs w:val="21"/>
        </w:rPr>
        <w:t>地  址：广州市白云区石井石潭西路88号</w:t>
      </w:r>
    </w:p>
    <w:p>
      <w:pPr>
        <w:spacing w:line="360" w:lineRule="auto"/>
        <w:outlineLvl w:val="0"/>
        <w:rPr>
          <w:rFonts w:ascii="宋体" w:hAnsi="宋体"/>
          <w:b/>
          <w:color w:val="auto"/>
          <w:szCs w:val="21"/>
          <w:u w:val="single"/>
        </w:rPr>
      </w:pPr>
      <w:r>
        <w:rPr>
          <w:rFonts w:ascii="宋体" w:hAnsi="宋体"/>
          <w:b/>
          <w:color w:val="auto"/>
          <w:szCs w:val="21"/>
        </w:rPr>
        <w:t>乙</w:t>
      </w:r>
      <w:r>
        <w:rPr>
          <w:rFonts w:hint="eastAsia" w:ascii="宋体" w:hAnsi="宋体"/>
          <w:b/>
          <w:color w:val="auto"/>
          <w:szCs w:val="21"/>
        </w:rPr>
        <w:t xml:space="preserve">    </w:t>
      </w:r>
      <w:r>
        <w:rPr>
          <w:rFonts w:ascii="宋体" w:hAnsi="宋体"/>
          <w:b/>
          <w:color w:val="auto"/>
          <w:szCs w:val="21"/>
        </w:rPr>
        <w:t>方：</w:t>
      </w:r>
      <w:r>
        <w:rPr>
          <w:rFonts w:hint="eastAsia" w:ascii="宋体" w:hAnsi="宋体"/>
          <w:b/>
          <w:color w:val="auto"/>
          <w:szCs w:val="21"/>
          <w:u w:val="single"/>
        </w:rPr>
        <w:t xml:space="preserve">                           </w:t>
      </w:r>
    </w:p>
    <w:p>
      <w:pPr>
        <w:spacing w:line="360" w:lineRule="auto"/>
        <w:outlineLvl w:val="0"/>
        <w:rPr>
          <w:rFonts w:ascii="宋体" w:hAnsi="宋体"/>
          <w:color w:val="auto"/>
          <w:szCs w:val="21"/>
        </w:rPr>
      </w:pPr>
      <w:r>
        <w:rPr>
          <w:rFonts w:hint="eastAsia" w:ascii="宋体" w:hAnsi="宋体"/>
          <w:color w:val="auto"/>
          <w:szCs w:val="21"/>
        </w:rPr>
        <w:t>地  址：</w:t>
      </w:r>
      <w:r>
        <w:rPr>
          <w:rFonts w:ascii="宋体" w:hAnsi="宋体"/>
          <w:color w:val="auto"/>
          <w:szCs w:val="21"/>
        </w:rPr>
        <w:t xml:space="preserve">  </w:t>
      </w:r>
    </w:p>
    <w:p>
      <w:pPr>
        <w:tabs>
          <w:tab w:val="left" w:pos="720"/>
        </w:tabs>
        <w:spacing w:line="360" w:lineRule="auto"/>
        <w:rPr>
          <w:rFonts w:ascii="宋体" w:hAnsi="宋体"/>
          <w:b/>
          <w:color w:val="auto"/>
          <w:szCs w:val="21"/>
        </w:rPr>
      </w:pPr>
      <w:r>
        <w:rPr>
          <w:rFonts w:hint="eastAsia" w:ascii="宋体" w:hAnsi="宋体"/>
          <w:color w:val="auto"/>
          <w:szCs w:val="21"/>
        </w:rPr>
        <w:t>项目名称：</w:t>
      </w:r>
      <w:r>
        <w:rPr>
          <w:rFonts w:hint="eastAsia" w:ascii="宋体" w:hAnsi="宋体"/>
          <w:bCs/>
          <w:iCs/>
          <w:color w:val="auto"/>
          <w:szCs w:val="21"/>
        </w:rPr>
        <w:t xml:space="preserve">                       </w:t>
      </w:r>
      <w:r>
        <w:rPr>
          <w:rFonts w:hint="eastAsia" w:ascii="宋体" w:hAnsi="宋体"/>
          <w:color w:val="auto"/>
          <w:szCs w:val="21"/>
        </w:rPr>
        <w:t xml:space="preserve">               招标编号：              </w:t>
      </w:r>
    </w:p>
    <w:p>
      <w:pPr>
        <w:spacing w:line="360" w:lineRule="auto"/>
        <w:rPr>
          <w:rFonts w:ascii="宋体" w:hAnsi="宋体"/>
          <w:color w:val="auto"/>
          <w:szCs w:val="21"/>
        </w:rPr>
      </w:pPr>
    </w:p>
    <w:p>
      <w:pPr>
        <w:spacing w:line="360" w:lineRule="auto"/>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根据 </w:t>
      </w:r>
      <w:r>
        <w:rPr>
          <w:rFonts w:hint="eastAsia" w:ascii="宋体" w:hAnsi="宋体"/>
          <w:color w:val="auto"/>
          <w:szCs w:val="21"/>
          <w:u w:val="single"/>
        </w:rPr>
        <w:t xml:space="preserve">             采购项目</w:t>
      </w:r>
      <w:r>
        <w:rPr>
          <w:rFonts w:hint="eastAsia" w:ascii="宋体" w:hAnsi="宋体"/>
          <w:color w:val="auto"/>
          <w:szCs w:val="21"/>
        </w:rPr>
        <w:t>的采购结果，按照《中华人民共和国政府采购法》、《中华人民共和国民法典》  的相关规定，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w:t>
      </w:r>
    </w:p>
    <w:p>
      <w:pPr>
        <w:numPr>
          <w:ilvl w:val="0"/>
          <w:numId w:val="6"/>
        </w:numPr>
        <w:tabs>
          <w:tab w:val="left" w:pos="630"/>
        </w:tabs>
        <w:spacing w:line="360" w:lineRule="auto"/>
        <w:ind w:left="0" w:firstLine="0"/>
        <w:rPr>
          <w:rFonts w:ascii="宋体" w:hAnsi="宋体"/>
          <w:b/>
          <w:color w:val="auto"/>
          <w:szCs w:val="21"/>
        </w:rPr>
      </w:pPr>
      <w:r>
        <w:rPr>
          <w:rFonts w:hint="eastAsia" w:ascii="宋体" w:hAnsi="宋体"/>
          <w:b/>
          <w:color w:val="auto"/>
          <w:szCs w:val="21"/>
          <w:lang w:val="en-US" w:eastAsia="zh-CN"/>
        </w:rPr>
        <w:t>服务</w:t>
      </w:r>
      <w:r>
        <w:rPr>
          <w:rFonts w:hint="eastAsia" w:ascii="宋体" w:hAnsi="宋体"/>
          <w:b/>
          <w:color w:val="auto"/>
          <w:szCs w:val="21"/>
        </w:rPr>
        <w:t>内容</w:t>
      </w:r>
      <w:r>
        <w:rPr>
          <w:rFonts w:ascii="宋体" w:hAnsi="宋体"/>
          <w:b/>
          <w:color w:val="auto"/>
          <w:szCs w:val="21"/>
        </w:rPr>
        <w:t xml:space="preserve"> </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66"/>
        <w:gridCol w:w="2118"/>
        <w:gridCol w:w="1536"/>
        <w:gridCol w:w="935"/>
        <w:gridCol w:w="95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9"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2266"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设备名称</w:t>
            </w:r>
          </w:p>
        </w:tc>
        <w:tc>
          <w:tcPr>
            <w:tcW w:w="2118" w:type="dxa"/>
            <w:vMerge w:val="restart"/>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型号</w:t>
            </w:r>
          </w:p>
        </w:tc>
        <w:tc>
          <w:tcPr>
            <w:tcW w:w="1536" w:type="dxa"/>
            <w:vMerge w:val="restart"/>
            <w:vAlign w:val="center"/>
          </w:tcPr>
          <w:p>
            <w:pPr>
              <w:spacing w:line="360" w:lineRule="auto"/>
              <w:jc w:val="center"/>
              <w:outlineLvl w:val="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品牌</w:t>
            </w:r>
          </w:p>
        </w:tc>
        <w:tc>
          <w:tcPr>
            <w:tcW w:w="1890" w:type="dxa"/>
            <w:gridSpan w:val="2"/>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性能防护检测</w:t>
            </w:r>
          </w:p>
        </w:tc>
        <w:tc>
          <w:tcPr>
            <w:tcW w:w="1317" w:type="dxa"/>
            <w:vMerge w:val="restart"/>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辐射环境监测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9" w:type="dxa"/>
            <w:vMerge w:val="continue"/>
            <w:vAlign w:val="top"/>
          </w:tcPr>
          <w:p>
            <w:pPr>
              <w:spacing w:line="360" w:lineRule="auto"/>
              <w:outlineLvl w:val="0"/>
              <w:rPr>
                <w:rFonts w:hint="eastAsia" w:ascii="宋体" w:hAnsi="宋体" w:eastAsia="宋体" w:cs="宋体"/>
                <w:bCs/>
                <w:color w:val="000000"/>
                <w:sz w:val="21"/>
                <w:szCs w:val="21"/>
              </w:rPr>
            </w:pPr>
          </w:p>
        </w:tc>
        <w:tc>
          <w:tcPr>
            <w:tcW w:w="2266"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2118"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1536" w:type="dxa"/>
            <w:vMerge w:val="continue"/>
            <w:vAlign w:val="center"/>
          </w:tcPr>
          <w:p>
            <w:pPr>
              <w:spacing w:line="360" w:lineRule="auto"/>
              <w:jc w:val="center"/>
              <w:outlineLvl w:val="0"/>
              <w:rPr>
                <w:rFonts w:hint="eastAsia" w:ascii="宋体" w:hAnsi="宋体" w:eastAsia="宋体" w:cs="宋体"/>
                <w:bCs/>
                <w:color w:val="000000"/>
                <w:sz w:val="21"/>
                <w:szCs w:val="21"/>
              </w:rPr>
            </w:pPr>
          </w:p>
        </w:tc>
        <w:tc>
          <w:tcPr>
            <w:tcW w:w="935" w:type="dxa"/>
            <w:vAlign w:val="top"/>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性能</w:t>
            </w:r>
          </w:p>
        </w:tc>
        <w:tc>
          <w:tcPr>
            <w:tcW w:w="955" w:type="dxa"/>
            <w:vAlign w:val="top"/>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防护</w:t>
            </w:r>
          </w:p>
        </w:tc>
        <w:tc>
          <w:tcPr>
            <w:tcW w:w="1317" w:type="dxa"/>
            <w:vMerge w:val="continue"/>
            <w:vAlign w:val="top"/>
          </w:tcPr>
          <w:p>
            <w:pPr>
              <w:spacing w:line="360" w:lineRule="auto"/>
              <w:outlineLvl w:val="0"/>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26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双排螺旋CT机</w:t>
            </w:r>
          </w:p>
        </w:tc>
        <w:tc>
          <w:tcPr>
            <w:tcW w:w="2118"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MX4000</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226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DR-X线诊断机</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Digital Diagnost</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2266"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移动式数字X线射线系统1</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GX-MD32型</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北京万东</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2266"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移动式数字X线射线系统2</w:t>
            </w:r>
          </w:p>
        </w:tc>
        <w:tc>
          <w:tcPr>
            <w:tcW w:w="2118" w:type="dxa"/>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uDR 370i</w:t>
            </w:r>
          </w:p>
        </w:tc>
        <w:tc>
          <w:tcPr>
            <w:tcW w:w="1536"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上海联影</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w:t>
            </w:r>
          </w:p>
        </w:tc>
        <w:tc>
          <w:tcPr>
            <w:tcW w:w="226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DR-X线诊断机</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Digital Diagnost</w:t>
            </w:r>
            <w:r>
              <w:rPr>
                <w:rFonts w:hint="eastAsia" w:ascii="宋体" w:hAnsi="宋体" w:eastAsia="宋体" w:cs="宋体"/>
                <w:bCs/>
                <w:color w:val="000000"/>
                <w:sz w:val="21"/>
                <w:szCs w:val="21"/>
                <w:lang w:val="en-US" w:eastAsia="zh-CN"/>
              </w:rPr>
              <w:t>C50</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飞利浦</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w:t>
            </w:r>
          </w:p>
        </w:tc>
        <w:tc>
          <w:tcPr>
            <w:tcW w:w="226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16排CT</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Optima CT520</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通用</w:t>
            </w:r>
          </w:p>
        </w:tc>
        <w:tc>
          <w:tcPr>
            <w:tcW w:w="93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9"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7</w:t>
            </w:r>
          </w:p>
        </w:tc>
        <w:tc>
          <w:tcPr>
            <w:tcW w:w="2266"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数字医用诊断X射线透视摄影系统</w:t>
            </w:r>
          </w:p>
        </w:tc>
        <w:tc>
          <w:tcPr>
            <w:tcW w:w="2118" w:type="dxa"/>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Uni-Vision</w:t>
            </w:r>
          </w:p>
        </w:tc>
        <w:tc>
          <w:tcPr>
            <w:tcW w:w="1536"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岛津</w:t>
            </w:r>
          </w:p>
        </w:tc>
        <w:tc>
          <w:tcPr>
            <w:tcW w:w="935" w:type="dxa"/>
            <w:vAlign w:val="center"/>
          </w:tcPr>
          <w:p>
            <w:pPr>
              <w:spacing w:line="36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w:t>
            </w:r>
          </w:p>
        </w:tc>
        <w:tc>
          <w:tcPr>
            <w:tcW w:w="955"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317" w:type="dxa"/>
            <w:vAlign w:val="center"/>
          </w:tcPr>
          <w:p>
            <w:pPr>
              <w:spacing w:line="36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r>
    </w:tbl>
    <w:p>
      <w:pPr>
        <w:spacing w:line="360" w:lineRule="auto"/>
        <w:ind w:firstLine="420" w:firstLineChars="200"/>
        <w:rPr>
          <w:rFonts w:hint="eastAsia"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合同总额为含税总包干价，</w:t>
      </w:r>
      <w:r>
        <w:rPr>
          <w:rFonts w:hint="eastAsia" w:ascii="宋体" w:hAnsi="宋体" w:cs="宋体"/>
          <w:color w:val="auto"/>
          <w:szCs w:val="21"/>
          <w:lang w:val="zh-CN"/>
        </w:rPr>
        <w:t>包括投入人员的劳务费、</w:t>
      </w:r>
      <w:r>
        <w:rPr>
          <w:rFonts w:hint="eastAsia" w:ascii="宋体" w:hAnsi="宋体" w:cs="宋体"/>
          <w:color w:val="auto"/>
          <w:szCs w:val="21"/>
          <w:lang w:val="en-US" w:eastAsia="zh-CN"/>
        </w:rPr>
        <w:t>检测</w:t>
      </w:r>
      <w:r>
        <w:rPr>
          <w:rFonts w:hint="eastAsia" w:ascii="宋体" w:hAnsi="宋体" w:cs="宋体"/>
          <w:color w:val="auto"/>
          <w:szCs w:val="21"/>
          <w:lang w:val="zh-CN"/>
        </w:rPr>
        <w:t>耗材等用品、业务技能培训费、税费、差旅费、伙食费以及在项目实施过程中所发生的其他一切费用</w:t>
      </w:r>
      <w:r>
        <w:rPr>
          <w:rFonts w:hint="eastAsia" w:ascii="宋体" w:hAnsi="宋体"/>
          <w:color w:val="auto"/>
          <w:szCs w:val="21"/>
        </w:rPr>
        <w:t>。</w:t>
      </w:r>
    </w:p>
    <w:p>
      <w:pPr>
        <w:spacing w:line="360" w:lineRule="auto"/>
        <w:rPr>
          <w:rFonts w:ascii="宋体" w:hAnsi="宋体"/>
          <w:b/>
          <w:color w:val="auto"/>
          <w:szCs w:val="21"/>
        </w:rPr>
      </w:pPr>
      <w:r>
        <w:rPr>
          <w:rFonts w:hint="eastAsia" w:ascii="宋体" w:hAnsi="宋体"/>
          <w:b/>
          <w:color w:val="auto"/>
          <w:szCs w:val="21"/>
        </w:rPr>
        <w:t>二、合同金额</w:t>
      </w:r>
    </w:p>
    <w:p>
      <w:pPr>
        <w:pStyle w:val="9"/>
        <w:spacing w:line="360" w:lineRule="auto"/>
        <w:ind w:firstLine="420" w:firstLineChars="200"/>
        <w:rPr>
          <w:rFonts w:hAnsi="宋体"/>
          <w:color w:val="auto"/>
          <w:szCs w:val="21"/>
        </w:rPr>
      </w:pPr>
      <w:r>
        <w:rPr>
          <w:rFonts w:hint="eastAsia" w:hAnsi="宋体"/>
          <w:color w:val="auto"/>
          <w:szCs w:val="21"/>
        </w:rPr>
        <w:t>合同金额为人民币（大写）：</w:t>
      </w:r>
      <w:r>
        <w:rPr>
          <w:rFonts w:hint="eastAsia" w:hAnsi="宋体"/>
          <w:color w:val="auto"/>
          <w:szCs w:val="21"/>
          <w:u w:val="single"/>
        </w:rPr>
        <w:t xml:space="preserve">               </w:t>
      </w:r>
      <w:r>
        <w:rPr>
          <w:rFonts w:hAnsi="宋体"/>
          <w:color w:val="auto"/>
          <w:szCs w:val="21"/>
        </w:rPr>
        <w:t>_</w:t>
      </w:r>
      <w:r>
        <w:rPr>
          <w:rFonts w:hint="eastAsia" w:hAnsi="宋体"/>
          <w:color w:val="auto"/>
          <w:szCs w:val="21"/>
        </w:rPr>
        <w:t>元（￥</w:t>
      </w:r>
      <w:r>
        <w:rPr>
          <w:rFonts w:hint="eastAsia" w:hAnsi="宋体"/>
          <w:color w:val="auto"/>
          <w:szCs w:val="21"/>
          <w:u w:val="single"/>
        </w:rPr>
        <w:t xml:space="preserve">          </w:t>
      </w:r>
      <w:r>
        <w:rPr>
          <w:rFonts w:hAnsi="宋体"/>
          <w:color w:val="auto"/>
          <w:szCs w:val="21"/>
        </w:rPr>
        <w:t>_</w:t>
      </w:r>
      <w:r>
        <w:rPr>
          <w:rFonts w:hint="eastAsia" w:hAnsi="宋体"/>
          <w:color w:val="auto"/>
          <w:szCs w:val="21"/>
        </w:rPr>
        <w:t>元）。</w:t>
      </w:r>
    </w:p>
    <w:p>
      <w:pPr>
        <w:spacing w:line="360" w:lineRule="auto"/>
        <w:rPr>
          <w:rFonts w:ascii="宋体" w:hAnsi="宋体"/>
          <w:b/>
          <w:color w:val="auto"/>
          <w:szCs w:val="21"/>
        </w:rPr>
      </w:pPr>
      <w:r>
        <w:rPr>
          <w:rFonts w:hint="eastAsia" w:ascii="宋体" w:hAnsi="宋体"/>
          <w:b/>
          <w:color w:val="auto"/>
          <w:szCs w:val="21"/>
        </w:rPr>
        <w:t>三、</w:t>
      </w:r>
      <w:r>
        <w:rPr>
          <w:rFonts w:hint="eastAsia" w:ascii="宋体" w:hAnsi="宋体"/>
          <w:b/>
          <w:color w:val="auto"/>
          <w:szCs w:val="21"/>
          <w:lang w:val="en-US" w:eastAsia="zh-CN"/>
        </w:rPr>
        <w:t>服务</w:t>
      </w:r>
      <w:r>
        <w:rPr>
          <w:rFonts w:hint="eastAsia" w:ascii="宋体" w:hAnsi="宋体"/>
          <w:b/>
          <w:color w:val="auto"/>
          <w:szCs w:val="21"/>
        </w:rPr>
        <w:t>要求</w:t>
      </w:r>
    </w:p>
    <w:p>
      <w:pPr>
        <w:spacing w:line="360" w:lineRule="auto"/>
        <w:ind w:left="420"/>
        <w:outlineLvl w:val="1"/>
        <w:rPr>
          <w:rFonts w:ascii="宋体" w:hAnsi="宋体" w:cs="宋体"/>
          <w:b/>
          <w:bCs/>
          <w:szCs w:val="28"/>
        </w:rPr>
      </w:pPr>
      <w:r>
        <w:rPr>
          <w:rFonts w:hint="eastAsia" w:ascii="宋体" w:hAnsi="宋体" w:cs="宋体"/>
          <w:szCs w:val="21"/>
        </w:rPr>
        <w:t>（按采购需求要求）</w:t>
      </w:r>
    </w:p>
    <w:p>
      <w:pPr>
        <w:numPr>
          <w:ilvl w:val="-1"/>
          <w:numId w:val="0"/>
        </w:numPr>
        <w:spacing w:line="360" w:lineRule="auto"/>
        <w:ind w:left="0" w:firstLine="0"/>
        <w:outlineLvl w:val="1"/>
        <w:rPr>
          <w:rFonts w:ascii="宋体" w:hAnsi="宋体" w:cs="宋体"/>
          <w:b/>
          <w:bCs/>
          <w:szCs w:val="28"/>
        </w:rPr>
      </w:pPr>
      <w:r>
        <w:rPr>
          <w:rFonts w:hint="eastAsia" w:hAnsi="宋体"/>
          <w:b/>
          <w:color w:val="auto"/>
          <w:szCs w:val="21"/>
        </w:rPr>
        <w:t xml:space="preserve">四. </w:t>
      </w:r>
      <w:r>
        <w:rPr>
          <w:rFonts w:hint="eastAsia" w:ascii="宋体" w:hAnsi="宋体" w:cs="宋体"/>
          <w:b/>
          <w:szCs w:val="21"/>
        </w:rPr>
        <w:t>交付时间、地点、方式</w:t>
      </w:r>
    </w:p>
    <w:p>
      <w:pPr>
        <w:numPr>
          <w:ilvl w:val="0"/>
          <w:numId w:val="7"/>
        </w:numPr>
        <w:tabs>
          <w:tab w:val="left" w:pos="420"/>
        </w:tabs>
        <w:spacing w:line="360" w:lineRule="auto"/>
        <w:rPr>
          <w:rFonts w:ascii="宋体" w:hAnsi="宋体" w:cs="宋体"/>
          <w:b/>
          <w:szCs w:val="24"/>
        </w:rPr>
      </w:pPr>
      <w:r>
        <w:rPr>
          <w:rFonts w:hint="eastAsia" w:ascii="宋体" w:hAnsi="宋体" w:cs="宋体"/>
          <w:szCs w:val="21"/>
        </w:rPr>
        <w:t>交付时间（服务期限）：</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numPr>
          <w:ilvl w:val="0"/>
          <w:numId w:val="7"/>
        </w:numPr>
        <w:tabs>
          <w:tab w:val="left" w:pos="420"/>
          <w:tab w:val="left" w:pos="851"/>
        </w:tabs>
        <w:spacing w:line="360" w:lineRule="auto"/>
        <w:rPr>
          <w:rFonts w:ascii="宋体" w:hAnsi="宋体" w:cs="宋体"/>
          <w:szCs w:val="21"/>
        </w:rPr>
      </w:pPr>
      <w:r>
        <w:rPr>
          <w:rFonts w:hint="eastAsia" w:ascii="宋体" w:hAnsi="宋体" w:cs="宋体"/>
          <w:szCs w:val="21"/>
        </w:rPr>
        <w:t>交付地点（服务地点）：</w:t>
      </w:r>
      <w:r>
        <w:rPr>
          <w:rFonts w:hint="eastAsia" w:ascii="宋体" w:hAnsi="宋体" w:cs="宋体"/>
          <w:szCs w:val="21"/>
          <w:u w:val="single"/>
        </w:rPr>
        <w:t xml:space="preserve">                        </w:t>
      </w:r>
    </w:p>
    <w:p>
      <w:pPr>
        <w:numPr>
          <w:ilvl w:val="0"/>
          <w:numId w:val="7"/>
        </w:numPr>
        <w:tabs>
          <w:tab w:val="left" w:pos="420"/>
          <w:tab w:val="left" w:pos="851"/>
        </w:tabs>
        <w:spacing w:line="360" w:lineRule="auto"/>
        <w:rPr>
          <w:rFonts w:ascii="宋体" w:hAnsi="宋体" w:cs="宋体"/>
          <w:szCs w:val="21"/>
        </w:rPr>
      </w:pPr>
      <w:r>
        <w:rPr>
          <w:rFonts w:hint="eastAsia" w:ascii="宋体" w:hAnsi="宋体" w:cs="宋体"/>
          <w:szCs w:val="21"/>
        </w:rPr>
        <w:t>交付条件：项目验收通过</w:t>
      </w:r>
    </w:p>
    <w:p>
      <w:pPr>
        <w:numPr>
          <w:ilvl w:val="0"/>
          <w:numId w:val="7"/>
        </w:numPr>
        <w:autoSpaceDE w:val="0"/>
        <w:autoSpaceDN w:val="0"/>
        <w:spacing w:line="360" w:lineRule="auto"/>
        <w:rPr>
          <w:rFonts w:ascii="宋体" w:hAnsi="宋体" w:cs="宋体"/>
          <w:szCs w:val="21"/>
        </w:rPr>
      </w:pPr>
      <w:r>
        <w:rPr>
          <w:rFonts w:hint="eastAsia" w:ascii="宋体" w:hAnsi="宋体" w:cs="宋体"/>
          <w:szCs w:val="21"/>
        </w:rPr>
        <w:t>甲方联系人及联系电话：</w:t>
      </w:r>
    </w:p>
    <w:p>
      <w:pPr>
        <w:numPr>
          <w:ilvl w:val="0"/>
          <w:numId w:val="7"/>
        </w:numPr>
        <w:autoSpaceDE w:val="0"/>
        <w:autoSpaceDN w:val="0"/>
        <w:spacing w:line="360" w:lineRule="auto"/>
        <w:rPr>
          <w:rFonts w:ascii="宋体" w:hAnsi="宋体" w:cs="宋体"/>
          <w:szCs w:val="21"/>
        </w:rPr>
      </w:pPr>
      <w:r>
        <w:rPr>
          <w:rFonts w:hint="eastAsia" w:ascii="宋体" w:hAnsi="宋体" w:cs="宋体"/>
          <w:szCs w:val="21"/>
        </w:rPr>
        <w:t>乙方联系人及联系电话：</w:t>
      </w:r>
    </w:p>
    <w:p>
      <w:pPr>
        <w:spacing w:line="360" w:lineRule="auto"/>
        <w:rPr>
          <w:rFonts w:ascii="宋体" w:hAnsi="宋体"/>
          <w:b/>
          <w:color w:val="auto"/>
          <w:szCs w:val="21"/>
        </w:rPr>
      </w:pPr>
      <w:r>
        <w:rPr>
          <w:rFonts w:hint="eastAsia" w:ascii="宋体" w:hAnsi="宋体"/>
          <w:b/>
          <w:color w:val="auto"/>
          <w:szCs w:val="21"/>
          <w:lang w:val="en-US" w:eastAsia="zh-CN"/>
        </w:rPr>
        <w:t>五</w:t>
      </w:r>
      <w:r>
        <w:rPr>
          <w:rFonts w:hint="eastAsia" w:ascii="宋体" w:hAnsi="宋体"/>
          <w:b/>
          <w:color w:val="auto"/>
          <w:szCs w:val="21"/>
        </w:rPr>
        <w:t>、付款方式</w:t>
      </w:r>
    </w:p>
    <w:p>
      <w:pPr>
        <w:pStyle w:val="6"/>
        <w:spacing w:line="420" w:lineRule="exact"/>
        <w:rPr>
          <w:color w:val="auto"/>
          <w:szCs w:val="21"/>
        </w:rPr>
      </w:pPr>
      <w:r>
        <w:rPr>
          <w:rFonts w:hint="eastAsia"/>
          <w:color w:val="auto"/>
          <w:szCs w:val="21"/>
        </w:rPr>
        <w:t>本合同采取银行转账方式。在本项目验收合格后30日历日内</w:t>
      </w:r>
      <w:r>
        <w:rPr>
          <w:rFonts w:hint="eastAsia"/>
          <w:color w:val="auto"/>
          <w:szCs w:val="21"/>
          <w:lang w:eastAsia="zh-CN"/>
        </w:rPr>
        <w:t>，</w:t>
      </w:r>
      <w:r>
        <w:rPr>
          <w:rFonts w:hint="eastAsia"/>
          <w:color w:val="auto"/>
          <w:szCs w:val="21"/>
          <w:lang w:val="en-US" w:eastAsia="zh-CN"/>
        </w:rPr>
        <w:t>甲方一次性支付合同金额全额费用</w:t>
      </w:r>
      <w:r>
        <w:rPr>
          <w:rFonts w:hint="eastAsia"/>
          <w:color w:val="auto"/>
          <w:szCs w:val="21"/>
        </w:rPr>
        <w:t>，由</w:t>
      </w:r>
      <w:r>
        <w:rPr>
          <w:rFonts w:hint="eastAsia"/>
          <w:color w:val="auto"/>
          <w:szCs w:val="21"/>
          <w:lang w:val="en-US" w:eastAsia="zh-CN"/>
        </w:rPr>
        <w:t>乙方</w:t>
      </w:r>
      <w:r>
        <w:rPr>
          <w:rFonts w:hint="eastAsia"/>
          <w:color w:val="auto"/>
          <w:szCs w:val="21"/>
        </w:rPr>
        <w:t>开具正式发票，</w:t>
      </w:r>
      <w:r>
        <w:rPr>
          <w:rFonts w:hint="eastAsia"/>
          <w:color w:val="auto"/>
          <w:szCs w:val="21"/>
          <w:lang w:val="en-US" w:eastAsia="zh-CN"/>
        </w:rPr>
        <w:t>甲方</w:t>
      </w:r>
      <w:r>
        <w:rPr>
          <w:rFonts w:hint="eastAsia"/>
          <w:color w:val="auto"/>
          <w:szCs w:val="21"/>
        </w:rPr>
        <w:t>在收到正式发票之日起15日内支付完成。</w:t>
      </w:r>
    </w:p>
    <w:p>
      <w:pPr>
        <w:spacing w:line="360" w:lineRule="auto"/>
        <w:rPr>
          <w:rFonts w:hint="default" w:ascii="宋体" w:hAnsi="宋体" w:eastAsia="宋体"/>
          <w:b/>
          <w:color w:val="auto"/>
          <w:szCs w:val="21"/>
          <w:lang w:val="en-US" w:eastAsia="zh-CN"/>
        </w:rPr>
      </w:pPr>
      <w:r>
        <w:rPr>
          <w:rFonts w:hint="eastAsia" w:ascii="宋体" w:hAnsi="宋体"/>
          <w:b/>
          <w:color w:val="auto"/>
          <w:szCs w:val="21"/>
          <w:lang w:val="en-US" w:eastAsia="zh-CN"/>
        </w:rPr>
        <w:t>六</w:t>
      </w:r>
      <w:r>
        <w:rPr>
          <w:rFonts w:hint="eastAsia" w:ascii="宋体" w:hAnsi="宋体"/>
          <w:b/>
          <w:color w:val="auto"/>
          <w:szCs w:val="21"/>
        </w:rPr>
        <w:t>、</w:t>
      </w:r>
      <w:r>
        <w:rPr>
          <w:rFonts w:hint="eastAsia" w:ascii="宋体" w:hAnsi="宋体"/>
          <w:b/>
          <w:color w:val="auto"/>
          <w:szCs w:val="21"/>
          <w:lang w:val="en-US" w:eastAsia="zh-CN"/>
        </w:rPr>
        <w:t>项目验收评估</w:t>
      </w:r>
    </w:p>
    <w:p>
      <w:pPr>
        <w:numPr>
          <w:ilvl w:val="0"/>
          <w:numId w:val="8"/>
        </w:numPr>
        <w:spacing w:line="360" w:lineRule="auto"/>
        <w:rPr>
          <w:rFonts w:hAnsi="宋体"/>
          <w:color w:val="auto"/>
          <w:kern w:val="0"/>
          <w:szCs w:val="21"/>
        </w:rPr>
      </w:pPr>
      <w:r>
        <w:rPr>
          <w:rFonts w:hint="eastAsia" w:hAnsi="宋体"/>
          <w:color w:val="auto"/>
          <w:kern w:val="0"/>
          <w:szCs w:val="21"/>
        </w:rPr>
        <w:t>要求按照本项目《采购需求》。</w:t>
      </w:r>
    </w:p>
    <w:p>
      <w:pPr>
        <w:tabs>
          <w:tab w:val="left" w:pos="360"/>
        </w:tabs>
        <w:spacing w:line="360" w:lineRule="auto"/>
        <w:ind w:left="211" w:hanging="211"/>
        <w:rPr>
          <w:rFonts w:hint="default" w:ascii="宋体" w:hAnsi="宋体" w:eastAsia="宋体"/>
          <w:b/>
          <w:color w:val="auto"/>
          <w:szCs w:val="21"/>
          <w:lang w:val="en-US" w:eastAsia="zh-CN"/>
        </w:rPr>
      </w:pPr>
      <w:r>
        <w:rPr>
          <w:rFonts w:hint="eastAsia" w:ascii="宋体" w:hAnsi="宋体"/>
          <w:b/>
          <w:color w:val="auto"/>
          <w:szCs w:val="21"/>
          <w:lang w:val="en-US" w:eastAsia="zh-CN"/>
        </w:rPr>
        <w:t>七</w:t>
      </w:r>
      <w:r>
        <w:rPr>
          <w:rFonts w:hint="eastAsia" w:ascii="宋体" w:hAnsi="宋体"/>
          <w:b/>
          <w:color w:val="auto"/>
          <w:szCs w:val="21"/>
        </w:rPr>
        <w:t>、</w:t>
      </w:r>
      <w:r>
        <w:rPr>
          <w:rFonts w:hint="eastAsia" w:ascii="宋体" w:hAnsi="宋体"/>
          <w:b/>
          <w:color w:val="auto"/>
          <w:szCs w:val="21"/>
          <w:lang w:val="en-US" w:eastAsia="zh-CN"/>
        </w:rPr>
        <w:t>知识产权归属</w:t>
      </w:r>
    </w:p>
    <w:p>
      <w:pPr>
        <w:tabs>
          <w:tab w:val="left" w:pos="255"/>
        </w:tabs>
        <w:spacing w:line="360" w:lineRule="auto"/>
        <w:ind w:firstLine="420" w:firstLineChars="200"/>
        <w:rPr>
          <w:rFonts w:ascii="宋体" w:hAnsi="宋体"/>
          <w:color w:val="auto"/>
          <w:szCs w:val="21"/>
        </w:rPr>
      </w:pPr>
      <w:r>
        <w:rPr>
          <w:rFonts w:hint="eastAsia" w:ascii="宋体" w:hAnsi="宋体" w:cs="宋体"/>
          <w:szCs w:val="21"/>
          <w:lang w:val="en-GB"/>
        </w:rPr>
        <w:t>乙方必须保证甲方在中华人民共和国境内使用</w:t>
      </w:r>
      <w:r>
        <w:rPr>
          <w:rFonts w:hint="eastAsia" w:ascii="宋体" w:hAnsi="宋体" w:cs="宋体"/>
          <w:szCs w:val="21"/>
          <w:lang w:val="en-US" w:eastAsia="zh-CN"/>
        </w:rPr>
        <w:t>响应</w:t>
      </w:r>
      <w:r>
        <w:rPr>
          <w:rFonts w:hint="eastAsia" w:ascii="宋体" w:hAnsi="宋体" w:cs="宋体"/>
          <w:szCs w:val="21"/>
          <w:lang w:val="en-GB"/>
        </w:rPr>
        <w:t>资料、服务或其任何一部分时，享有不受限制的无偿使用权，不会产生因第三方提出侵犯其专利权、商标权或其它知识产权而引起的法律或经济纠纷</w:t>
      </w:r>
      <w:r>
        <w:rPr>
          <w:rFonts w:ascii="Arial" w:hAnsi="Arial" w:cs="Arial"/>
          <w:color w:val="auto"/>
          <w:szCs w:val="21"/>
        </w:rPr>
        <w:t>。</w:t>
      </w:r>
    </w:p>
    <w:p>
      <w:pPr>
        <w:tabs>
          <w:tab w:val="left" w:pos="900"/>
        </w:tabs>
        <w:spacing w:line="360" w:lineRule="auto"/>
        <w:rPr>
          <w:rFonts w:hint="eastAsia" w:ascii="宋体" w:hAnsi="宋体" w:eastAsia="宋体"/>
          <w:b/>
          <w:color w:val="auto"/>
          <w:szCs w:val="21"/>
          <w:lang w:eastAsia="zh-CN"/>
        </w:rPr>
      </w:pPr>
      <w:r>
        <w:rPr>
          <w:rFonts w:hint="eastAsia" w:ascii="宋体" w:hAnsi="宋体"/>
          <w:b/>
          <w:color w:val="auto"/>
          <w:szCs w:val="21"/>
          <w:lang w:val="en-US" w:eastAsia="zh-CN"/>
        </w:rPr>
        <w:t>八</w:t>
      </w:r>
      <w:r>
        <w:rPr>
          <w:rFonts w:hint="eastAsia" w:ascii="宋体" w:hAnsi="宋体"/>
          <w:b/>
          <w:color w:val="auto"/>
          <w:szCs w:val="21"/>
        </w:rPr>
        <w:t>、</w:t>
      </w:r>
      <w:r>
        <w:rPr>
          <w:rFonts w:hint="eastAsia" w:ascii="宋体" w:hAnsi="宋体"/>
          <w:b/>
          <w:bCs/>
          <w:color w:val="auto"/>
          <w:szCs w:val="21"/>
          <w:lang w:val="en-US" w:eastAsia="zh-CN"/>
        </w:rPr>
        <w:t>保密</w:t>
      </w:r>
    </w:p>
    <w:p>
      <w:pPr>
        <w:tabs>
          <w:tab w:val="left" w:pos="360"/>
        </w:tabs>
        <w:spacing w:line="360" w:lineRule="auto"/>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w:t>
      </w:r>
      <w:r>
        <w:rPr>
          <w:rFonts w:hint="eastAsia" w:ascii="宋体" w:hAnsi="宋体"/>
          <w:color w:val="auto"/>
          <w:szCs w:val="21"/>
        </w:rPr>
        <w:t>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360"/>
        </w:tabs>
        <w:spacing w:line="360" w:lineRule="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360"/>
        </w:tabs>
        <w:spacing w:line="360" w:lineRule="auto"/>
        <w:rPr>
          <w:rFonts w:ascii="宋体" w:hAnsi="宋体"/>
          <w:color w:val="auto"/>
          <w:szCs w:val="21"/>
        </w:rPr>
      </w:pPr>
      <w:r>
        <w:rPr>
          <w:rFonts w:hint="eastAsia" w:ascii="宋体" w:hAnsi="宋体"/>
          <w:color w:val="auto"/>
          <w:szCs w:val="21"/>
        </w:rPr>
        <w:t>5、其它验收要求按照本项目《</w:t>
      </w:r>
      <w:r>
        <w:rPr>
          <w:rFonts w:hint="eastAsia" w:hAnsi="宋体"/>
          <w:color w:val="auto"/>
          <w:kern w:val="0"/>
          <w:szCs w:val="21"/>
        </w:rPr>
        <w:t>采购需求</w:t>
      </w:r>
      <w:r>
        <w:rPr>
          <w:rFonts w:hint="eastAsia" w:ascii="宋体" w:hAnsi="宋体"/>
          <w:color w:val="auto"/>
          <w:szCs w:val="21"/>
        </w:rPr>
        <w:t>》。</w:t>
      </w:r>
    </w:p>
    <w:p>
      <w:pPr>
        <w:tabs>
          <w:tab w:val="left" w:pos="900"/>
        </w:tabs>
        <w:spacing w:line="360" w:lineRule="auto"/>
        <w:rPr>
          <w:rFonts w:ascii="宋体" w:hAnsi="宋体"/>
          <w:b/>
          <w:color w:val="auto"/>
          <w:szCs w:val="21"/>
        </w:rPr>
      </w:pPr>
      <w:r>
        <w:rPr>
          <w:rFonts w:hint="eastAsia" w:ascii="宋体" w:hAnsi="宋体"/>
          <w:b/>
          <w:bCs/>
          <w:color w:val="auto"/>
          <w:szCs w:val="21"/>
          <w:lang w:val="en-US" w:eastAsia="zh-CN"/>
        </w:rPr>
        <w:t>九</w:t>
      </w:r>
      <w:r>
        <w:rPr>
          <w:rFonts w:hint="eastAsia" w:ascii="宋体" w:hAnsi="宋体"/>
          <w:b/>
          <w:bCs/>
          <w:color w:val="auto"/>
          <w:szCs w:val="21"/>
        </w:rPr>
        <w:t>、</w:t>
      </w:r>
      <w:r>
        <w:rPr>
          <w:rFonts w:hint="eastAsia" w:ascii="宋体" w:hAnsi="宋体"/>
          <w:b/>
          <w:color w:val="auto"/>
          <w:szCs w:val="21"/>
        </w:rPr>
        <w:t>违约责任与赔偿损失</w:t>
      </w:r>
    </w:p>
    <w:p>
      <w:pPr>
        <w:numPr>
          <w:ilvl w:val="1"/>
          <w:numId w:val="9"/>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乙方提供的服务不符合招标文件、投标文件或本合同规定的，甲方有权拒收，并且乙方须向甲方支付本合同总价5%的违约金。</w:t>
      </w:r>
    </w:p>
    <w:p>
      <w:pPr>
        <w:numPr>
          <w:ilvl w:val="1"/>
          <w:numId w:val="9"/>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乙方未能按本合同规定的交货时间提供服务，从逾期之日起每日按本合同总价3‰的数额向甲方支付违约金；逾期半个月以上的，甲方有权终止合同，由此造成的甲方经济损失由乙方承担。</w:t>
      </w:r>
    </w:p>
    <w:p>
      <w:pPr>
        <w:numPr>
          <w:ilvl w:val="1"/>
          <w:numId w:val="9"/>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甲方无正当理由拒绝接受服务，到期拒付服务款项的，甲方向乙方偿付本合同总价的5%的违约金。甲方逾期付款，则每日按本合同总价的3‰向乙方偿付违约金。</w:t>
      </w:r>
    </w:p>
    <w:p>
      <w:pPr>
        <w:numPr>
          <w:ilvl w:val="1"/>
          <w:numId w:val="9"/>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因甲方原因导致变更、中止或者终止政府采购合同的，甲方对乙方受到的损失予以赔偿或者补偿，赔偿或者补偿金额为： 按本合同总价的1%</w:t>
      </w:r>
    </w:p>
    <w:p>
      <w:pPr>
        <w:numPr>
          <w:ilvl w:val="1"/>
          <w:numId w:val="9"/>
        </w:numPr>
        <w:spacing w:line="360" w:lineRule="auto"/>
        <w:ind w:left="424" w:hanging="424" w:hangingChars="202"/>
        <w:rPr>
          <w:rFonts w:ascii="宋体" w:hAnsi="宋体" w:cs="宋体"/>
          <w:color w:val="auto"/>
          <w:szCs w:val="21"/>
        </w:rPr>
      </w:pPr>
      <w:r>
        <w:rPr>
          <w:rFonts w:hint="eastAsia" w:ascii="宋体" w:hAnsi="宋体" w:cs="宋体"/>
          <w:color w:val="auto"/>
          <w:szCs w:val="21"/>
        </w:rPr>
        <w:t>其它违约责任按《中华人民共和国民法典》处理。</w:t>
      </w:r>
    </w:p>
    <w:p>
      <w:pPr>
        <w:spacing w:line="360" w:lineRule="auto"/>
        <w:rPr>
          <w:rFonts w:ascii="宋体" w:hAnsi="宋体"/>
          <w:b/>
          <w:color w:val="auto"/>
          <w:szCs w:val="21"/>
        </w:rPr>
      </w:pPr>
      <w:r>
        <w:rPr>
          <w:rFonts w:hint="eastAsia" w:ascii="宋体" w:hAnsi="宋体"/>
          <w:b/>
          <w:color w:val="auto"/>
          <w:szCs w:val="21"/>
        </w:rPr>
        <w:t>十、争议的解决</w:t>
      </w:r>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合同执行过程中发生的任何争议，如双方不能通过友好协商解决，任一方可向甲方所在地有管辖权的人民法院提起诉讼解决。</w:t>
      </w:r>
    </w:p>
    <w:p>
      <w:pPr>
        <w:spacing w:line="360" w:lineRule="auto"/>
        <w:rPr>
          <w:rFonts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一</w:t>
      </w:r>
      <w:r>
        <w:rPr>
          <w:rFonts w:hint="eastAsia" w:ascii="宋体" w:hAnsi="宋体"/>
          <w:b/>
          <w:color w:val="auto"/>
          <w:szCs w:val="21"/>
        </w:rPr>
        <w:t>、不可抗力</w:t>
      </w:r>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二</w:t>
      </w:r>
      <w:r>
        <w:rPr>
          <w:rFonts w:hint="eastAsia" w:ascii="宋体" w:hAnsi="宋体"/>
          <w:b/>
          <w:color w:val="auto"/>
          <w:szCs w:val="21"/>
        </w:rPr>
        <w:t>、税费</w:t>
      </w:r>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spacing w:line="360" w:lineRule="auto"/>
        <w:rPr>
          <w:rFonts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三</w:t>
      </w:r>
      <w:r>
        <w:rPr>
          <w:rFonts w:hint="eastAsia" w:ascii="宋体" w:hAnsi="宋体"/>
          <w:b/>
          <w:color w:val="auto"/>
          <w:szCs w:val="21"/>
        </w:rPr>
        <w:t>、其它</w:t>
      </w:r>
    </w:p>
    <w:p>
      <w:pPr>
        <w:spacing w:line="360" w:lineRule="auto"/>
        <w:rPr>
          <w:rFonts w:ascii="宋体" w:hAnsi="宋体"/>
          <w:b/>
          <w:color w:val="auto"/>
          <w:szCs w:val="21"/>
        </w:rPr>
      </w:pPr>
      <w:r>
        <w:rPr>
          <w:rFonts w:hint="eastAsia" w:ascii="宋体" w:hAnsi="宋体"/>
          <w:color w:val="auto"/>
          <w:szCs w:val="21"/>
        </w:rPr>
        <w:t>1、 本合同所有附件、竞价文件、响应文件、</w:t>
      </w:r>
      <w:r>
        <w:rPr>
          <w:rFonts w:hint="eastAsia" w:ascii="宋体" w:hAnsi="宋体"/>
          <w:color w:val="auto"/>
          <w:szCs w:val="21"/>
          <w:lang w:val="en-US" w:eastAsia="zh-CN"/>
        </w:rPr>
        <w:t>成交</w:t>
      </w:r>
      <w:r>
        <w:rPr>
          <w:rFonts w:hint="eastAsia" w:ascii="宋体" w:hAnsi="宋体"/>
          <w:color w:val="auto"/>
          <w:szCs w:val="21"/>
        </w:rPr>
        <w:t>通知书通知书均为合同的有效组成部分，与本合同具有同等法律效力。</w:t>
      </w:r>
    </w:p>
    <w:p>
      <w:pPr>
        <w:spacing w:line="360" w:lineRule="auto"/>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3、 如一方地址、电话、传真号码有变更，应在变更当日内书面通知对方，否则，应承担相应责任。</w:t>
      </w:r>
      <w:r>
        <w:rPr>
          <w:rFonts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spacing w:line="360" w:lineRule="auto"/>
        <w:rPr>
          <w:rFonts w:ascii="宋体" w:hAnsi="宋体"/>
          <w:b/>
          <w:color w:val="auto"/>
          <w:szCs w:val="21"/>
        </w:rPr>
      </w:pPr>
      <w:r>
        <w:rPr>
          <w:rFonts w:hint="eastAsia" w:ascii="宋体" w:hAnsi="宋体"/>
          <w:b/>
          <w:color w:val="auto"/>
          <w:szCs w:val="21"/>
        </w:rPr>
        <w:t>十五、合同生效：</w:t>
      </w:r>
    </w:p>
    <w:p>
      <w:pPr>
        <w:spacing w:line="360" w:lineRule="auto"/>
        <w:rPr>
          <w:rFonts w:ascii="宋体" w:hAnsi="宋体"/>
          <w:color w:val="auto"/>
          <w:szCs w:val="21"/>
        </w:rPr>
      </w:pPr>
      <w:r>
        <w:rPr>
          <w:rFonts w:hint="eastAsia" w:ascii="宋体" w:hAnsi="宋体"/>
          <w:color w:val="auto"/>
          <w:szCs w:val="21"/>
        </w:rPr>
        <w:t>1、本合同在甲乙双方法人代表或其授权代表签字盖章后生效。</w:t>
      </w:r>
    </w:p>
    <w:p>
      <w:pPr>
        <w:spacing w:line="360" w:lineRule="auto"/>
        <w:rPr>
          <w:rFonts w:ascii="宋体" w:hAnsi="宋体"/>
          <w:color w:val="auto"/>
          <w:szCs w:val="21"/>
        </w:rPr>
      </w:pPr>
      <w:r>
        <w:rPr>
          <w:rFonts w:hint="eastAsia" w:ascii="宋体" w:hAnsi="宋体"/>
          <w:color w:val="auto"/>
          <w:szCs w:val="21"/>
        </w:rPr>
        <w:t>2、合同一式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s="宋体"/>
          <w:color w:val="auto"/>
          <w:szCs w:val="21"/>
        </w:rPr>
        <w:t>具有同等法律效力，甲方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份，乙方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spacing w:line="360" w:lineRule="auto"/>
        <w:rPr>
          <w:rFonts w:hint="eastAsia" w:ascii="宋体" w:hAnsi="宋体" w:cs="宋体"/>
          <w:b/>
          <w:bCs/>
          <w:color w:val="auto"/>
          <w:szCs w:val="21"/>
        </w:rPr>
      </w:pPr>
    </w:p>
    <w:p>
      <w:pPr>
        <w:spacing w:line="480" w:lineRule="auto"/>
        <w:rPr>
          <w:rFonts w:ascii="宋体" w:hAnsi="宋体"/>
          <w:b/>
          <w:bCs/>
          <w:color w:val="auto"/>
          <w:szCs w:val="21"/>
        </w:rPr>
      </w:pPr>
      <w:r>
        <w:rPr>
          <w:rFonts w:hint="eastAsia" w:ascii="宋体" w:hAnsi="宋体" w:cs="宋体"/>
          <w:b/>
          <w:bCs/>
          <w:color w:val="auto"/>
          <w:szCs w:val="21"/>
          <w:lang w:val="zh-CN"/>
        </w:rPr>
        <w:t xml:space="preserve">甲方（盖章）：广东省监狱中心医院                乙方（盖章）：          </w:t>
      </w:r>
    </w:p>
    <w:p>
      <w:pPr>
        <w:spacing w:line="480" w:lineRule="auto"/>
        <w:rPr>
          <w:rFonts w:ascii="宋体" w:hAnsi="宋体"/>
          <w:b/>
          <w:bCs/>
          <w:color w:val="auto"/>
          <w:szCs w:val="21"/>
        </w:rPr>
      </w:pPr>
      <w:r>
        <w:rPr>
          <w:rFonts w:hint="eastAsia" w:ascii="宋体" w:hAnsi="宋体" w:cs="宋体"/>
          <w:b/>
          <w:bCs/>
          <w:color w:val="auto"/>
          <w:szCs w:val="21"/>
          <w:lang w:val="zh-CN"/>
        </w:rPr>
        <w:t>代表：</w:t>
      </w:r>
      <w:r>
        <w:rPr>
          <w:rFonts w:ascii="宋体" w:hAnsi="宋体" w:cs="宋体"/>
          <w:b/>
          <w:bCs/>
          <w:color w:val="auto"/>
          <w:szCs w:val="21"/>
          <w:lang w:val="zh-CN"/>
        </w:rPr>
        <w:t xml:space="preserve"> </w:t>
      </w:r>
      <w:r>
        <w:rPr>
          <w:rFonts w:hint="eastAsia" w:ascii="宋体" w:hAnsi="宋体" w:cs="宋体"/>
          <w:b/>
          <w:bCs/>
          <w:color w:val="auto"/>
          <w:szCs w:val="21"/>
          <w:lang w:val="zh-CN"/>
        </w:rPr>
        <w:t xml:space="preserve">                                        </w:t>
      </w:r>
      <w:r>
        <w:rPr>
          <w:rFonts w:ascii="宋体" w:hAnsi="宋体" w:cs="宋体"/>
          <w:b/>
          <w:bCs/>
          <w:color w:val="auto"/>
          <w:szCs w:val="21"/>
          <w:lang w:val="zh-CN"/>
        </w:rPr>
        <w:t xml:space="preserve"> </w:t>
      </w:r>
      <w:r>
        <w:rPr>
          <w:rFonts w:hint="eastAsia" w:ascii="宋体" w:hAnsi="宋体" w:cs="宋体"/>
          <w:b/>
          <w:bCs/>
          <w:color w:val="auto"/>
          <w:szCs w:val="21"/>
          <w:lang w:val="zh-CN"/>
        </w:rPr>
        <w:t>代表：</w:t>
      </w:r>
      <w:r>
        <w:rPr>
          <w:rFonts w:ascii="宋体" w:hAnsi="宋体" w:cs="宋体"/>
          <w:b/>
          <w:bCs/>
          <w:color w:val="auto"/>
          <w:szCs w:val="21"/>
          <w:lang w:val="zh-CN"/>
        </w:rPr>
        <w:t xml:space="preserve"> </w:t>
      </w:r>
    </w:p>
    <w:p>
      <w:pPr>
        <w:spacing w:line="480" w:lineRule="auto"/>
        <w:rPr>
          <w:rFonts w:ascii="宋体" w:hAnsi="宋体"/>
          <w:color w:val="auto"/>
          <w:szCs w:val="21"/>
        </w:rPr>
      </w:pPr>
      <w:r>
        <w:rPr>
          <w:rFonts w:hint="eastAsia" w:ascii="宋体" w:hAnsi="宋体" w:cs="宋体"/>
          <w:color w:val="auto"/>
          <w:szCs w:val="21"/>
          <w:lang w:val="zh-CN"/>
        </w:rPr>
        <w:t>签定地点：</w:t>
      </w:r>
    </w:p>
    <w:p>
      <w:pPr>
        <w:spacing w:line="480" w:lineRule="auto"/>
        <w:rPr>
          <w:color w:val="auto"/>
        </w:rPr>
      </w:pPr>
      <w:r>
        <w:rPr>
          <w:rFonts w:hint="eastAsia" w:ascii="宋体" w:hAnsi="宋体" w:cs="宋体"/>
          <w:color w:val="auto"/>
          <w:szCs w:val="21"/>
          <w:lang w:val="zh-CN"/>
        </w:rPr>
        <w:t xml:space="preserve">签定日期：        年     月    日              签定日期：        年     月     日    </w:t>
      </w:r>
      <w:r>
        <w:rPr>
          <w:color w:val="auto"/>
        </w:rPr>
        <w:br w:type="page"/>
      </w:r>
    </w:p>
    <w:p>
      <w:pPr>
        <w:pStyle w:val="9"/>
        <w:rPr>
          <w:color w:val="auto"/>
        </w:rPr>
        <w:sectPr>
          <w:pgSz w:w="11906" w:h="16838"/>
          <w:pgMar w:top="1440" w:right="1080" w:bottom="1440" w:left="1080" w:header="851" w:footer="992" w:gutter="0"/>
          <w:cols w:space="720" w:num="1"/>
          <w:docGrid w:type="lines" w:linePitch="312" w:charSpace="0"/>
        </w:sectPr>
      </w:pPr>
    </w:p>
    <w:bookmarkEnd w:id="6"/>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2"/>
        <w:jc w:val="center"/>
        <w:rPr>
          <w:color w:val="auto"/>
        </w:rPr>
      </w:pPr>
      <w:bookmarkStart w:id="12" w:name="_Toc21084"/>
      <w:r>
        <w:rPr>
          <w:rFonts w:hint="eastAsia"/>
          <w:color w:val="auto"/>
        </w:rPr>
        <w:t>第五章 报价文件格式</w:t>
      </w:r>
      <w:bookmarkEnd w:id="12"/>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格式1 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tbl>
      <w:tblPr>
        <w:tblStyle w:val="2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5079"/>
        <w:gridCol w:w="1742"/>
        <w:gridCol w:w="2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2601" w:type="pct"/>
            <w:vAlign w:val="center"/>
          </w:tcPr>
          <w:p>
            <w:pPr>
              <w:tabs>
                <w:tab w:val="right" w:leader="dot" w:pos="9628"/>
              </w:tabs>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采购内容</w:t>
            </w:r>
          </w:p>
        </w:tc>
        <w:tc>
          <w:tcPr>
            <w:tcW w:w="892" w:type="pct"/>
            <w:vAlign w:val="center"/>
          </w:tcPr>
          <w:p>
            <w:pPr>
              <w:tabs>
                <w:tab w:val="right" w:leader="dot" w:pos="9628"/>
              </w:tabs>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数量</w:t>
            </w:r>
          </w:p>
        </w:tc>
        <w:tc>
          <w:tcPr>
            <w:tcW w:w="1506" w:type="pct"/>
            <w:vAlign w:val="center"/>
          </w:tcPr>
          <w:p>
            <w:pPr>
              <w:tabs>
                <w:tab w:val="right" w:leader="dot" w:pos="9628"/>
              </w:tabs>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en-US" w:eastAsia="zh-CN"/>
              </w:rPr>
              <w:t>响应</w:t>
            </w:r>
            <w:r>
              <w:rPr>
                <w:rFonts w:hint="eastAsia" w:ascii="宋体" w:hAnsi="宋体" w:cs="宋体"/>
                <w:color w:val="auto"/>
                <w:szCs w:val="21"/>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2601" w:type="pct"/>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auto"/>
                <w:szCs w:val="21"/>
                <w:lang w:val="zh-CN"/>
              </w:rPr>
            </w:pPr>
            <w:r>
              <w:rPr>
                <w:rFonts w:hint="eastAsia"/>
                <w:color w:val="auto"/>
                <w:szCs w:val="21"/>
                <w:lang w:eastAsia="zh-CN"/>
              </w:rPr>
              <w:t>放射诊疗设备性能、机房防护检测（含辐射环境监测）</w:t>
            </w:r>
          </w:p>
        </w:tc>
        <w:tc>
          <w:tcPr>
            <w:tcW w:w="892" w:type="pct"/>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1项</w:t>
            </w:r>
          </w:p>
        </w:tc>
        <w:tc>
          <w:tcPr>
            <w:tcW w:w="1506" w:type="pct"/>
            <w:tcBorders>
              <w:bottom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olor w:val="auto"/>
                <w:szCs w:val="21"/>
                <w:u w:val="single"/>
              </w:rPr>
              <w:t xml:space="preserve">      </w:t>
            </w:r>
            <w:r>
              <w:rPr>
                <w:rFonts w:hint="eastAsia" w:ascii="宋体" w:hAnsi="宋体"/>
                <w:color w:val="auto"/>
                <w:szCs w:val="21"/>
              </w:rPr>
              <w:t>元</w:t>
            </w:r>
          </w:p>
        </w:tc>
      </w:tr>
    </w:tbl>
    <w:p>
      <w:pPr>
        <w:rPr>
          <w:color w:val="auto"/>
        </w:rPr>
      </w:pPr>
    </w:p>
    <w:p>
      <w:pPr>
        <w:rPr>
          <w:color w:val="auto"/>
          <w:lang w:val="zh-CN"/>
        </w:rPr>
      </w:pPr>
    </w:p>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所有价格均系用人民币表示，单位为元，均为含税价；</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平台上报价与报价表合计不一致的，以报价表合计（经价格核准后的价格）为准；</w:t>
      </w:r>
    </w:p>
    <w:p>
      <w:pPr>
        <w:widowControl/>
        <w:numPr>
          <w:ilvl w:val="0"/>
          <w:numId w:val="10"/>
        </w:numPr>
        <w:spacing w:line="340" w:lineRule="exact"/>
        <w:jc w:val="left"/>
        <w:rPr>
          <w:rFonts w:ascii="宋体" w:hAnsi="宋体" w:cs="宋体"/>
          <w:b/>
          <w:color w:val="auto"/>
          <w:kern w:val="0"/>
          <w:szCs w:val="21"/>
        </w:rPr>
      </w:pPr>
      <w:r>
        <w:rPr>
          <w:rFonts w:hint="eastAsia" w:ascii="宋体" w:hAnsi="宋体" w:cs="宋体"/>
          <w:b/>
          <w:color w:val="auto"/>
          <w:kern w:val="0"/>
          <w:szCs w:val="21"/>
        </w:rPr>
        <w:t>报价表必须加盖单位公章，否则视为无效报价。</w:t>
      </w: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rPr>
          <w:rFonts w:ascii="宋体" w:hAnsi="宋体" w:cs="宋体"/>
          <w:b/>
          <w:color w:val="auto"/>
          <w:kern w:val="0"/>
          <w:szCs w:val="21"/>
        </w:rPr>
      </w:pPr>
      <w:r>
        <w:rPr>
          <w:rFonts w:ascii="宋体" w:hAnsi="宋体" w:cs="宋体"/>
          <w:b/>
          <w:color w:val="auto"/>
          <w:kern w:val="0"/>
          <w:szCs w:val="21"/>
        </w:rPr>
        <w:br w:type="page"/>
      </w:r>
    </w:p>
    <w:p>
      <w:pPr>
        <w:pStyle w:val="8"/>
        <w:spacing w:line="360" w:lineRule="auto"/>
        <w:jc w:val="center"/>
        <w:rPr>
          <w:rFonts w:ascii="宋体" w:hAnsi="宋体" w:cs="宋体"/>
          <w:b/>
          <w:bCs/>
          <w:color w:val="auto"/>
          <w:sz w:val="32"/>
          <w:szCs w:val="32"/>
        </w:rPr>
      </w:pPr>
      <w:bookmarkStart w:id="13" w:name="_Toc385940906"/>
      <w:r>
        <w:rPr>
          <w:rFonts w:hint="eastAsia" w:ascii="宋体" w:hAnsi="宋体" w:cs="宋体"/>
          <w:b/>
          <w:bCs/>
          <w:color w:val="auto"/>
          <w:sz w:val="32"/>
          <w:szCs w:val="32"/>
        </w:rPr>
        <w:t>分项报价表</w:t>
      </w:r>
      <w:bookmarkEnd w:id="13"/>
    </w:p>
    <w:p>
      <w:pPr>
        <w:snapToGrid w:val="0"/>
        <w:spacing w:line="360" w:lineRule="auto"/>
        <w:jc w:val="center"/>
        <w:rPr>
          <w:rFonts w:ascii="宋体" w:hAnsi="宋体" w:cs="宋体"/>
          <w:color w:val="auto"/>
          <w:sz w:val="24"/>
        </w:rPr>
      </w:pPr>
      <w:r>
        <w:rPr>
          <w:rFonts w:hint="eastAsia" w:ascii="宋体" w:hAnsi="宋体" w:cs="宋体"/>
          <w:b/>
          <w:bCs/>
          <w:color w:val="auto"/>
          <w:sz w:val="24"/>
          <w:lang w:val="en-GB"/>
        </w:rPr>
        <w:t>【格式自拟】</w:t>
      </w:r>
    </w:p>
    <w:p>
      <w:pPr>
        <w:snapToGrid w:val="0"/>
        <w:spacing w:line="360" w:lineRule="auto"/>
        <w:rPr>
          <w:rFonts w:ascii="宋体" w:hAnsi="宋体" w:cs="宋体"/>
          <w:color w:val="auto"/>
          <w:szCs w:val="21"/>
        </w:rPr>
      </w:pPr>
      <w:r>
        <w:rPr>
          <w:rFonts w:hint="eastAsia" w:ascii="宋体" w:hAnsi="宋体" w:cs="宋体"/>
          <w:color w:val="auto"/>
          <w:szCs w:val="21"/>
        </w:rPr>
        <w:t>项目编号：</w:t>
      </w:r>
      <w:r>
        <w:rPr>
          <w:rFonts w:hint="eastAsia"/>
          <w:color w:val="auto"/>
          <w:szCs w:val="21"/>
          <w:lang w:eastAsia="zh-CN"/>
        </w:rPr>
        <w:t>GZGK23P236C0784J</w:t>
      </w:r>
      <w:r>
        <w:rPr>
          <w:rFonts w:hint="eastAsia" w:ascii="宋体" w:hAnsi="宋体" w:cs="宋体"/>
          <w:color w:val="auto"/>
          <w:szCs w:val="21"/>
        </w:rPr>
        <w:t xml:space="preserve">                            </w:t>
      </w:r>
    </w:p>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lang w:eastAsia="zh-CN"/>
        </w:rPr>
        <w:t>广东省监狱中心医院放射诊疗设备性能、机房防护检测（含辐射环境监测）项目</w:t>
      </w:r>
    </w:p>
    <w:p>
      <w:pPr>
        <w:pStyle w:val="8"/>
        <w:rPr>
          <w:color w:val="auto"/>
        </w:rPr>
      </w:pPr>
    </w:p>
    <w:p>
      <w:pPr>
        <w:spacing w:line="360" w:lineRule="auto"/>
        <w:ind w:firstLine="420" w:firstLineChars="200"/>
        <w:rPr>
          <w:rFonts w:cs="宋体"/>
          <w:color w:val="auto"/>
        </w:rPr>
      </w:pPr>
      <w:r>
        <w:rPr>
          <w:rFonts w:hint="eastAsia" w:cs="宋体"/>
          <w:color w:val="auto"/>
        </w:rPr>
        <w:t>1此表为《报价表》的报价明细表，表中各合计项与报价表中的对应项均一致相符，如不一致以报价表为准。此表如有缺项、漏项，视为报价中已包含相关费用，采购人无须另外支付任何费用。</w:t>
      </w:r>
    </w:p>
    <w:p>
      <w:pPr>
        <w:spacing w:line="360" w:lineRule="auto"/>
        <w:ind w:firstLine="420" w:firstLineChars="200"/>
        <w:rPr>
          <w:rFonts w:cs="宋体"/>
          <w:color w:val="auto"/>
        </w:rPr>
      </w:pPr>
      <w:r>
        <w:rPr>
          <w:rFonts w:hint="eastAsia" w:cs="宋体"/>
          <w:color w:val="auto"/>
        </w:rPr>
        <w:t>2.该表格式仅作参考，响应供应商的详细报价表格式可自定。</w:t>
      </w:r>
    </w:p>
    <w:p>
      <w:pPr>
        <w:pStyle w:val="9"/>
        <w:rPr>
          <w:color w:val="auto"/>
        </w:rPr>
      </w:pPr>
    </w:p>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rPr>
          <w:rFonts w:ascii="宋体" w:hAnsi="宋体" w:cs="宋体"/>
          <w:b/>
          <w:color w:val="auto"/>
          <w:kern w:val="0"/>
          <w:szCs w:val="21"/>
        </w:rPr>
      </w:pPr>
      <w:r>
        <w:rPr>
          <w:rFonts w:ascii="宋体" w:hAnsi="宋体" w:cs="宋体"/>
          <w:b/>
          <w:color w:val="auto"/>
          <w:kern w:val="0"/>
          <w:szCs w:val="21"/>
        </w:rPr>
        <w:br w:type="page"/>
      </w: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格式2 资格声明函</w:t>
      </w:r>
    </w:p>
    <w:p>
      <w:pPr>
        <w:pStyle w:val="19"/>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rPr>
        <w:t>广东省监狱中心医院</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color w:val="auto"/>
          <w:szCs w:val="21"/>
          <w:lang w:eastAsia="zh-CN"/>
        </w:rPr>
        <w:t>广东省监狱中心医院放射诊疗设备性能、机房防护检测（含辐射环境监测）项目</w:t>
      </w:r>
      <w:r>
        <w:rPr>
          <w:rFonts w:hint="eastAsia"/>
          <w:color w:val="auto"/>
          <w:szCs w:val="21"/>
        </w:rPr>
        <w:t>（项目编号：</w:t>
      </w:r>
      <w:r>
        <w:rPr>
          <w:rFonts w:hint="eastAsia"/>
          <w:color w:val="auto"/>
          <w:szCs w:val="21"/>
          <w:lang w:eastAsia="zh-CN"/>
        </w:rPr>
        <w:t>GZGK23P236C0784J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auto"/>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    特此声明！</w:t>
      </w:r>
    </w:p>
    <w:p>
      <w:pPr>
        <w:spacing w:line="360" w:lineRule="auto"/>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firstLine="4628" w:firstLineChars="2204"/>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rPr>
          <w:rFonts w:ascii="宋体" w:hAnsi="宋体"/>
          <w:color w:val="auto"/>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格式3 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14" w:name="_Toc385940902"/>
      <w:r>
        <w:rPr>
          <w:rFonts w:hint="eastAsia"/>
          <w:b/>
          <w:bCs/>
          <w:color w:val="auto"/>
          <w:sz w:val="32"/>
          <w:szCs w:val="32"/>
        </w:rPr>
        <w:t>法定代表人（负责人）证明书</w:t>
      </w:r>
      <w:bookmarkEnd w:id="14"/>
    </w:p>
    <w:p>
      <w:pPr>
        <w:pStyle w:val="6"/>
        <w:spacing w:line="360" w:lineRule="auto"/>
        <w:rPr>
          <w:rFonts w:ascii="宋体" w:hAnsi="宋体"/>
          <w:bCs/>
          <w:color w:val="auto"/>
          <w:u w:val="single"/>
        </w:rPr>
      </w:pPr>
    </w:p>
    <w:p>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pStyle w:val="6"/>
        <w:spacing w:line="360" w:lineRule="auto"/>
        <w:rPr>
          <w:rFonts w:ascii="宋体" w:hAnsi="宋体"/>
          <w:bCs/>
          <w:color w:val="auto"/>
        </w:rPr>
      </w:pPr>
      <w:r>
        <w:rPr>
          <w:rFonts w:hint="eastAsia" w:ascii="宋体" w:hAnsi="宋体"/>
          <w:bCs/>
          <w:color w:val="auto"/>
        </w:rPr>
        <w:t>附：</w:t>
      </w:r>
    </w:p>
    <w:p>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pPr>
        <w:pStyle w:val="6"/>
        <w:spacing w:line="360" w:lineRule="auto"/>
        <w:rPr>
          <w:rFonts w:ascii="宋体" w:hAnsi="宋体"/>
          <w:b/>
          <w:color w:val="auto"/>
          <w:u w:val="single"/>
        </w:rPr>
      </w:pPr>
      <w:r>
        <w:rPr>
          <w:rFonts w:hint="eastAsia" w:ascii="宋体" w:hAnsi="宋体"/>
          <w:b/>
          <w:color w:val="auto"/>
          <w:u w:val="single"/>
        </w:rPr>
        <w:t xml:space="preserve">                                                                                    </w:t>
      </w:r>
    </w:p>
    <w:p>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pPr>
        <w:pStyle w:val="6"/>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4"/>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4"/>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6"/>
        <w:spacing w:line="360" w:lineRule="auto"/>
        <w:rPr>
          <w:rFonts w:ascii="宋体" w:hAnsi="宋体"/>
          <w:b/>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响应供应商名称（盖公章）：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left="2" w:firstLine="403" w:firstLineChars="192"/>
        <w:rPr>
          <w:rFonts w:ascii="宋体" w:hAnsi="宋体"/>
          <w:color w:val="auto"/>
        </w:rPr>
      </w:pPr>
    </w:p>
    <w:p>
      <w:pPr>
        <w:pStyle w:val="8"/>
        <w:spacing w:line="360" w:lineRule="auto"/>
        <w:ind w:left="180"/>
        <w:outlineLvl w:val="1"/>
        <w:rPr>
          <w:rFonts w:ascii="宋体" w:hAnsi="宋体"/>
          <w:b/>
          <w:bCs/>
          <w:color w:val="auto"/>
        </w:rPr>
      </w:pPr>
      <w:r>
        <w:rPr>
          <w:rFonts w:ascii="宋体" w:hAnsi="宋体"/>
          <w:b/>
          <w:bCs/>
          <w:color w:val="auto"/>
        </w:rPr>
        <w:br w:type="page"/>
      </w:r>
      <w:r>
        <w:rPr>
          <w:rFonts w:hint="eastAsia" w:ascii="宋体" w:hAnsi="宋体"/>
          <w:b/>
          <w:bCs/>
          <w:color w:val="auto"/>
        </w:rPr>
        <w:t xml:space="preserve">格式4 </w:t>
      </w:r>
      <w:r>
        <w:rPr>
          <w:rFonts w:hint="eastAsia" w:ascii="Cambria" w:hAnsi="Cambria" w:cs="宋体"/>
          <w:b/>
          <w:bCs/>
          <w:color w:val="auto"/>
          <w:sz w:val="28"/>
          <w:szCs w:val="28"/>
        </w:rPr>
        <w:t>法定代表人（负责人）授权委托书</w:t>
      </w:r>
    </w:p>
    <w:p>
      <w:pPr>
        <w:pStyle w:val="8"/>
        <w:jc w:val="center"/>
        <w:rPr>
          <w:b/>
          <w:bCs/>
          <w:color w:val="auto"/>
          <w:sz w:val="21"/>
          <w:szCs w:val="21"/>
        </w:rPr>
      </w:pPr>
      <w:bookmarkStart w:id="15" w:name="_Toc76354925"/>
      <w:bookmarkStart w:id="16" w:name="_Toc50737297"/>
      <w:bookmarkStart w:id="17" w:name="_Toc50736477"/>
      <w:bookmarkStart w:id="18" w:name="_Toc50737329"/>
      <w:bookmarkStart w:id="19" w:name="_Toc52165081"/>
    </w:p>
    <w:p>
      <w:pPr>
        <w:pStyle w:val="8"/>
        <w:spacing w:line="360" w:lineRule="auto"/>
        <w:jc w:val="center"/>
        <w:rPr>
          <w:b/>
          <w:bCs/>
          <w:color w:val="auto"/>
          <w:sz w:val="32"/>
          <w:szCs w:val="32"/>
        </w:rPr>
      </w:pPr>
      <w:bookmarkStart w:id="20" w:name="_Toc385940903"/>
      <w:r>
        <w:rPr>
          <w:rFonts w:hint="eastAsia"/>
          <w:b/>
          <w:bCs/>
          <w:color w:val="auto"/>
          <w:sz w:val="32"/>
          <w:szCs w:val="32"/>
        </w:rPr>
        <w:t>法定代表人（负责人）授权委托书</w:t>
      </w:r>
      <w:bookmarkEnd w:id="15"/>
      <w:bookmarkEnd w:id="16"/>
      <w:bookmarkEnd w:id="17"/>
      <w:bookmarkEnd w:id="18"/>
      <w:bookmarkEnd w:id="19"/>
      <w:bookmarkEnd w:id="20"/>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GZGK23P236C0784J</w:t>
      </w:r>
      <w:r>
        <w:rPr>
          <w:rFonts w:hint="eastAsia" w:ascii="宋体" w:hAnsi="宋体"/>
          <w:color w:val="auto"/>
        </w:rPr>
        <w:t>的</w:t>
      </w:r>
      <w:r>
        <w:rPr>
          <w:rFonts w:hint="eastAsia"/>
          <w:color w:val="auto"/>
          <w:szCs w:val="21"/>
          <w:lang w:eastAsia="zh-CN"/>
        </w:rPr>
        <w:t>广东省监狱中心医院放射诊疗设备性能、机房防护检测（含辐射环境监测）项目</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keepNext/>
        <w:keepLines/>
        <w:spacing w:before="260" w:after="260" w:line="416" w:lineRule="auto"/>
        <w:jc w:val="left"/>
        <w:outlineLvl w:val="1"/>
        <w:rPr>
          <w:rFonts w:ascii="宋体" w:hAnsi="宋体"/>
          <w:b/>
          <w:bCs/>
          <w:color w:val="auto"/>
          <w:sz w:val="24"/>
        </w:rPr>
      </w:pPr>
      <w:r>
        <w:rPr>
          <w:rFonts w:hint="eastAsia" w:ascii="宋体" w:hAnsi="宋体"/>
          <w:b/>
          <w:bCs/>
          <w:color w:val="auto"/>
          <w:sz w:val="24"/>
        </w:rPr>
        <w:t>格式5 采购需求响应声明函</w:t>
      </w:r>
    </w:p>
    <w:p>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pPr>
        <w:autoSpaceDE w:val="0"/>
        <w:autoSpaceDN w:val="0"/>
        <w:adjustRightInd w:val="0"/>
        <w:spacing w:before="240" w:after="312" w:afterLines="100" w:line="360" w:lineRule="auto"/>
        <w:jc w:val="left"/>
        <w:rPr>
          <w:rFonts w:ascii="宋体" w:hAnsi="宋体"/>
          <w:b/>
          <w:color w:val="auto"/>
          <w:kern w:val="0"/>
          <w:szCs w:val="21"/>
        </w:rPr>
      </w:pPr>
      <w:r>
        <w:rPr>
          <w:rFonts w:hint="eastAsia" w:ascii="宋体" w:hAnsi="宋体"/>
          <w:b/>
          <w:color w:val="auto"/>
          <w:kern w:val="0"/>
          <w:szCs w:val="21"/>
        </w:rPr>
        <w:t>致：广州市国科招标代理有限公司、广东省监狱中心医院</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广东省监狱中心医院放射诊疗设备性能、机房防护检测（含辐射环境监测）项目</w:t>
      </w:r>
      <w:r>
        <w:rPr>
          <w:rFonts w:hint="eastAsia" w:ascii="宋体" w:hAnsi="宋体" w:cs="宋体"/>
          <w:color w:val="auto"/>
          <w:szCs w:val="21"/>
        </w:rPr>
        <w:t>（项目编号：</w:t>
      </w:r>
      <w:r>
        <w:rPr>
          <w:rFonts w:hint="eastAsia" w:ascii="宋体" w:hAnsi="宋体" w:cs="宋体"/>
          <w:color w:val="auto"/>
          <w:szCs w:val="21"/>
          <w:lang w:eastAsia="zh-CN"/>
        </w:rPr>
        <w:t>GZGK23P236C0784J</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675" w:leftChars="1750" w:firstLine="2205" w:firstLineChars="10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wordWrap w:val="0"/>
        <w:jc w:val="center"/>
        <w:rPr>
          <w:rFonts w:ascii="宋体" w:hAnsi="宋体" w:cs="宋体"/>
          <w:color w:val="auto"/>
          <w:spacing w:val="4"/>
          <w:szCs w:val="21"/>
          <w:u w:val="single"/>
        </w:rPr>
      </w:pPr>
    </w:p>
    <w:p>
      <w:pPr>
        <w:spacing w:line="360" w:lineRule="auto"/>
        <w:jc w:val="left"/>
        <w:rPr>
          <w:rFonts w:hint="default" w:ascii="宋体" w:hAnsi="宋体" w:eastAsia="宋体" w:cs="宋体"/>
          <w:b/>
          <w:bCs/>
          <w:color w:val="auto"/>
          <w:spacing w:val="4"/>
          <w:szCs w:val="21"/>
          <w:u w:val="single"/>
          <w:lang w:val="en-US" w:eastAsia="zh-CN"/>
        </w:rPr>
      </w:pPr>
      <w:r>
        <w:rPr>
          <w:rFonts w:hint="eastAsia" w:ascii="宋体" w:hAnsi="宋体" w:cs="宋体"/>
          <w:b/>
          <w:bCs/>
          <w:color w:val="auto"/>
          <w:spacing w:val="4"/>
          <w:szCs w:val="21"/>
          <w:u w:val="single"/>
        </w:rPr>
        <w:t>注：①需补充以下相关内容：服务方案、验收方案等等相关方案，格式自拟；②采购需求响应表</w:t>
      </w:r>
      <w:r>
        <w:rPr>
          <w:rFonts w:hint="eastAsia" w:ascii="宋体" w:hAnsi="宋体" w:cs="宋体"/>
          <w:b/>
          <w:bCs/>
          <w:color w:val="auto"/>
          <w:spacing w:val="4"/>
          <w:szCs w:val="21"/>
          <w:u w:val="single"/>
          <w:lang w:eastAsia="zh-CN"/>
        </w:rPr>
        <w:t>；③</w:t>
      </w:r>
      <w:r>
        <w:rPr>
          <w:rFonts w:hint="eastAsia" w:ascii="宋体" w:hAnsi="宋体" w:cs="宋体"/>
          <w:b/>
          <w:bCs/>
          <w:color w:val="auto"/>
          <w:spacing w:val="4"/>
          <w:szCs w:val="21"/>
          <w:u w:val="single"/>
          <w:lang w:val="en-US" w:eastAsia="zh-CN"/>
        </w:rPr>
        <w:t>采购需求中要求提供的承诺函</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GZGK23P236C0784J</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广东省监狱中心医院放射诊疗设备性能、机房防护检测（含辐射环境监测）项目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”的请在偏离说明栏目中具体说明及填写页码，响应供应商须提供</w:t>
      </w:r>
      <w:r>
        <w:rPr>
          <w:rFonts w:hint="eastAsia" w:ascii="宋体" w:hAnsi="宋体" w:cs="宋体"/>
          <w:color w:val="auto"/>
          <w:szCs w:val="21"/>
          <w:lang w:val="en-US" w:eastAsia="zh-CN"/>
        </w:rPr>
        <w:t>服务条款要求承诺函</w:t>
      </w:r>
      <w:r>
        <w:rPr>
          <w:rFonts w:hint="eastAsia" w:ascii="宋体" w:hAnsi="宋体" w:cs="宋体"/>
          <w:color w:val="auto"/>
          <w:szCs w:val="21"/>
        </w:rPr>
        <w:t>，否则视</w:t>
      </w:r>
      <w:r>
        <w:rPr>
          <w:rFonts w:hint="eastAsia" w:ascii="宋体" w:hAnsi="宋体" w:cs="宋体"/>
          <w:color w:val="auto"/>
          <w:szCs w:val="21"/>
          <w:lang w:val="en-US" w:eastAsia="zh-CN"/>
        </w:rPr>
        <w:t>服务条款</w:t>
      </w:r>
      <w:r>
        <w:rPr>
          <w:rFonts w:hint="eastAsia" w:ascii="宋体" w:hAnsi="宋体" w:cs="宋体"/>
          <w:color w:val="auto"/>
          <w:szCs w:val="21"/>
        </w:rPr>
        <w:t>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 xml:space="preserve">格式6 </w:t>
      </w:r>
      <w:r>
        <w:rPr>
          <w:rFonts w:hint="eastAsia" w:ascii="宋体" w:hAnsi="宋体"/>
          <w:b/>
          <w:bCs/>
          <w:color w:val="auto"/>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21" w:name="_Toc385940918"/>
      <w:r>
        <w:rPr>
          <w:rFonts w:hint="eastAsia"/>
          <w:b/>
          <w:bCs/>
          <w:color w:val="auto"/>
          <w:sz w:val="32"/>
          <w:szCs w:val="32"/>
        </w:rPr>
        <w:t>采购</w:t>
      </w:r>
      <w:r>
        <w:rPr>
          <w:b/>
          <w:bCs/>
          <w:color w:val="auto"/>
          <w:sz w:val="32"/>
          <w:szCs w:val="32"/>
        </w:rPr>
        <w:t>代理服务费承诺书</w:t>
      </w:r>
      <w:bookmarkEnd w:id="21"/>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广东省监狱中心医院放射诊疗设备性能、机房防护检测（含辐射环境监测）项目</w:t>
      </w:r>
      <w:r>
        <w:rPr>
          <w:rFonts w:hint="eastAsia"/>
          <w:color w:val="auto"/>
          <w:szCs w:val="21"/>
        </w:rPr>
        <w:t>（项目编号：</w:t>
      </w:r>
      <w:r>
        <w:rPr>
          <w:rFonts w:hint="eastAsia"/>
          <w:color w:val="auto"/>
          <w:szCs w:val="21"/>
          <w:lang w:eastAsia="zh-CN"/>
        </w:rPr>
        <w:t>GZGK23P236C0784J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GZGK23P236C0784J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DB464"/>
    <w:multiLevelType w:val="multilevel"/>
    <w:tmpl w:val="D97DB46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064122FC"/>
    <w:multiLevelType w:val="multilevel"/>
    <w:tmpl w:val="064122FC"/>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4">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5">
    <w:nsid w:val="61457C0C"/>
    <w:multiLevelType w:val="singleLevel"/>
    <w:tmpl w:val="61457C0C"/>
    <w:lvl w:ilvl="0" w:tentative="0">
      <w:start w:val="1"/>
      <w:numFmt w:val="decimal"/>
      <w:suff w:val="nothing"/>
      <w:lvlText w:val="%1、"/>
      <w:lvlJc w:val="left"/>
    </w:lvl>
  </w:abstractNum>
  <w:abstractNum w:abstractNumId="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23E44B"/>
    <w:multiLevelType w:val="multilevel"/>
    <w:tmpl w:val="6E23E44B"/>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8">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65E529B"/>
    <w:multiLevelType w:val="multilevel"/>
    <w:tmpl w:val="765E529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1"/>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0BE1"/>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4C1F"/>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154EDD"/>
    <w:rsid w:val="02651F55"/>
    <w:rsid w:val="0556642A"/>
    <w:rsid w:val="06190206"/>
    <w:rsid w:val="071023CF"/>
    <w:rsid w:val="093C74AB"/>
    <w:rsid w:val="097C3CDB"/>
    <w:rsid w:val="09E66E2C"/>
    <w:rsid w:val="0A740EC6"/>
    <w:rsid w:val="0AC77248"/>
    <w:rsid w:val="0B982452"/>
    <w:rsid w:val="0BE33A7C"/>
    <w:rsid w:val="0D6E60A1"/>
    <w:rsid w:val="0E043D07"/>
    <w:rsid w:val="10EF74F9"/>
    <w:rsid w:val="11E934CB"/>
    <w:rsid w:val="12A91E1C"/>
    <w:rsid w:val="15A87F7A"/>
    <w:rsid w:val="175956CC"/>
    <w:rsid w:val="18C33745"/>
    <w:rsid w:val="1AB07CF9"/>
    <w:rsid w:val="1AEB472E"/>
    <w:rsid w:val="1B051DE9"/>
    <w:rsid w:val="1B7D746D"/>
    <w:rsid w:val="1D04432C"/>
    <w:rsid w:val="1E8E0351"/>
    <w:rsid w:val="1F06438B"/>
    <w:rsid w:val="203D7516"/>
    <w:rsid w:val="20F06302"/>
    <w:rsid w:val="21454B01"/>
    <w:rsid w:val="229B6EB9"/>
    <w:rsid w:val="22F4274D"/>
    <w:rsid w:val="235303CC"/>
    <w:rsid w:val="243A4DDE"/>
    <w:rsid w:val="24FB2A70"/>
    <w:rsid w:val="24FC514F"/>
    <w:rsid w:val="25594B8D"/>
    <w:rsid w:val="26306778"/>
    <w:rsid w:val="26DF6988"/>
    <w:rsid w:val="27326177"/>
    <w:rsid w:val="27637EA1"/>
    <w:rsid w:val="27DA4607"/>
    <w:rsid w:val="283D06F2"/>
    <w:rsid w:val="28D327C1"/>
    <w:rsid w:val="294A038A"/>
    <w:rsid w:val="29695C42"/>
    <w:rsid w:val="2984158E"/>
    <w:rsid w:val="2997617C"/>
    <w:rsid w:val="2B4A7605"/>
    <w:rsid w:val="2C8660B4"/>
    <w:rsid w:val="2F3651E0"/>
    <w:rsid w:val="315855A0"/>
    <w:rsid w:val="32021057"/>
    <w:rsid w:val="330B239B"/>
    <w:rsid w:val="33C70135"/>
    <w:rsid w:val="3482405C"/>
    <w:rsid w:val="35B75AE6"/>
    <w:rsid w:val="368D4541"/>
    <w:rsid w:val="36F54FB9"/>
    <w:rsid w:val="37907C11"/>
    <w:rsid w:val="37E02B0B"/>
    <w:rsid w:val="380A0EEE"/>
    <w:rsid w:val="3B293484"/>
    <w:rsid w:val="3B913751"/>
    <w:rsid w:val="3BC30828"/>
    <w:rsid w:val="3C756255"/>
    <w:rsid w:val="3E0F1049"/>
    <w:rsid w:val="3F542A99"/>
    <w:rsid w:val="3F80388E"/>
    <w:rsid w:val="3F9E5AC2"/>
    <w:rsid w:val="3FDF05B5"/>
    <w:rsid w:val="40A13ABC"/>
    <w:rsid w:val="40D7705A"/>
    <w:rsid w:val="41861E4D"/>
    <w:rsid w:val="4346094B"/>
    <w:rsid w:val="436B4A69"/>
    <w:rsid w:val="45343D24"/>
    <w:rsid w:val="45980C2A"/>
    <w:rsid w:val="46FA5CD4"/>
    <w:rsid w:val="477126AF"/>
    <w:rsid w:val="478163F5"/>
    <w:rsid w:val="48401E0D"/>
    <w:rsid w:val="49C52E59"/>
    <w:rsid w:val="49E055CE"/>
    <w:rsid w:val="4A7B537E"/>
    <w:rsid w:val="4ABB7E76"/>
    <w:rsid w:val="4C662C4F"/>
    <w:rsid w:val="4DBE1315"/>
    <w:rsid w:val="4EA56E6D"/>
    <w:rsid w:val="4EFF4ED4"/>
    <w:rsid w:val="4FA205B5"/>
    <w:rsid w:val="51D91BE3"/>
    <w:rsid w:val="52370A57"/>
    <w:rsid w:val="53A925E0"/>
    <w:rsid w:val="545D2F57"/>
    <w:rsid w:val="548F0226"/>
    <w:rsid w:val="56E3437D"/>
    <w:rsid w:val="577F7BD2"/>
    <w:rsid w:val="57A547F7"/>
    <w:rsid w:val="59534486"/>
    <w:rsid w:val="5B3A26EB"/>
    <w:rsid w:val="5B793214"/>
    <w:rsid w:val="5BA416FD"/>
    <w:rsid w:val="5BD47629"/>
    <w:rsid w:val="5BFE7BBD"/>
    <w:rsid w:val="5C0C22DA"/>
    <w:rsid w:val="5D66335B"/>
    <w:rsid w:val="5D7D7EED"/>
    <w:rsid w:val="5DA87DE0"/>
    <w:rsid w:val="5E1611EE"/>
    <w:rsid w:val="5EB822A5"/>
    <w:rsid w:val="605B715C"/>
    <w:rsid w:val="615E35D8"/>
    <w:rsid w:val="617A6411"/>
    <w:rsid w:val="61A540B7"/>
    <w:rsid w:val="6561719A"/>
    <w:rsid w:val="65817895"/>
    <w:rsid w:val="67670A09"/>
    <w:rsid w:val="678018FF"/>
    <w:rsid w:val="6A9040D6"/>
    <w:rsid w:val="6FCC5BB0"/>
    <w:rsid w:val="702726D6"/>
    <w:rsid w:val="70BD374B"/>
    <w:rsid w:val="71541250"/>
    <w:rsid w:val="72C76B03"/>
    <w:rsid w:val="72E07085"/>
    <w:rsid w:val="7355410F"/>
    <w:rsid w:val="744B33C2"/>
    <w:rsid w:val="7492281F"/>
    <w:rsid w:val="75B3511C"/>
    <w:rsid w:val="75BB5FFD"/>
    <w:rsid w:val="75E50A28"/>
    <w:rsid w:val="764D5571"/>
    <w:rsid w:val="7798281C"/>
    <w:rsid w:val="77CD0717"/>
    <w:rsid w:val="79292720"/>
    <w:rsid w:val="797572B9"/>
    <w:rsid w:val="79E45B8E"/>
    <w:rsid w:val="79FC5F2C"/>
    <w:rsid w:val="7A1268B5"/>
    <w:rsid w:val="7A594827"/>
    <w:rsid w:val="7B1B2286"/>
    <w:rsid w:val="7D3A5E62"/>
    <w:rsid w:val="7DB42E2C"/>
    <w:rsid w:val="7DF34C50"/>
    <w:rsid w:val="7E6B2A38"/>
    <w:rsid w:val="7EBE579E"/>
    <w:rsid w:val="7FA44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rFonts w:ascii="Calibri" w:hAnsi="Calibri"/>
    </w:rPr>
  </w:style>
  <w:style w:type="paragraph" w:styleId="7">
    <w:name w:val="annotation text"/>
    <w:basedOn w:val="1"/>
    <w:link w:val="45"/>
    <w:qFormat/>
    <w:uiPriority w:val="99"/>
    <w:pPr>
      <w:jc w:val="left"/>
    </w:pPr>
    <w:rPr>
      <w:kern w:val="0"/>
      <w:sz w:val="20"/>
    </w:rPr>
  </w:style>
  <w:style w:type="paragraph" w:styleId="8">
    <w:name w:val="Body Text"/>
    <w:basedOn w:val="1"/>
    <w:next w:val="9"/>
    <w:qFormat/>
    <w:uiPriority w:val="0"/>
    <w:rPr>
      <w:sz w:val="24"/>
    </w:rPr>
  </w:style>
  <w:style w:type="paragraph" w:styleId="9">
    <w:name w:val="Plain Text"/>
    <w:basedOn w:val="1"/>
    <w:next w:val="6"/>
    <w:qFormat/>
    <w:uiPriority w:val="0"/>
    <w:rPr>
      <w:rFonts w:ascii="宋体" w:hAnsi="Courier New"/>
      <w:szCs w:val="20"/>
    </w:rPr>
  </w:style>
  <w:style w:type="paragraph" w:styleId="10">
    <w:name w:val="Body Text Indent"/>
    <w:basedOn w:val="1"/>
    <w:qFormat/>
    <w:uiPriority w:val="99"/>
    <w:pPr>
      <w:spacing w:after="120"/>
      <w:ind w:left="420" w:leftChars="200"/>
    </w:pPr>
    <w:rPr>
      <w:rFonts w:ascii="Times New Roman" w:hAnsi="Times New Roman" w:eastAsia="宋体" w:cs="Times New Roman"/>
    </w:rPr>
  </w:style>
  <w:style w:type="paragraph" w:styleId="11">
    <w:name w:val="toc 3"/>
    <w:basedOn w:val="1"/>
    <w:next w:val="1"/>
    <w:semiHidden/>
    <w:unhideWhenUsed/>
    <w:qFormat/>
    <w:uiPriority w:val="39"/>
    <w:pPr>
      <w:ind w:left="840" w:leftChars="400"/>
    </w:p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6"/>
    <w:qFormat/>
    <w:uiPriority w:val="0"/>
    <w:rPr>
      <w:kern w:val="0"/>
      <w:sz w:val="18"/>
      <w:szCs w:val="18"/>
    </w:rPr>
  </w:style>
  <w:style w:type="paragraph" w:styleId="14">
    <w:name w:val="footer"/>
    <w:basedOn w:val="1"/>
    <w:link w:val="28"/>
    <w:qFormat/>
    <w:uiPriority w:val="99"/>
    <w:pPr>
      <w:tabs>
        <w:tab w:val="center" w:pos="4153"/>
        <w:tab w:val="right" w:pos="8306"/>
      </w:tabs>
      <w:snapToGrid w:val="0"/>
      <w:jc w:val="left"/>
    </w:pPr>
    <w:rPr>
      <w:kern w:val="0"/>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Body Text Indent 3"/>
    <w:basedOn w:val="1"/>
    <w:qFormat/>
    <w:uiPriority w:val="0"/>
    <w:pPr>
      <w:spacing w:line="360" w:lineRule="auto"/>
      <w:ind w:left="1260" w:leftChars="600"/>
    </w:pPr>
    <w:rPr>
      <w:rFonts w:ascii="宋体" w:hAnsi="宋体"/>
      <w:b/>
      <w:bCs/>
      <w:sz w:val="24"/>
    </w:rPr>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4"/>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6"/>
    <w:unhideWhenUsed/>
    <w:qFormat/>
    <w:uiPriority w:val="99"/>
    <w:rPr>
      <w:b/>
      <w:bCs/>
      <w:kern w:val="2"/>
      <w:sz w:val="21"/>
    </w:rPr>
  </w:style>
  <w:style w:type="paragraph" w:styleId="22">
    <w:name w:val="Body Text First Indent 2"/>
    <w:basedOn w:val="10"/>
    <w:qFormat/>
    <w:uiPriority w:val="99"/>
    <w:pPr>
      <w:ind w:firstLine="42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annotation reference"/>
    <w:qFormat/>
    <w:uiPriority w:val="0"/>
    <w:rPr>
      <w:sz w:val="21"/>
      <w:szCs w:val="21"/>
    </w:rPr>
  </w:style>
  <w:style w:type="character" w:customStyle="1" w:styleId="28">
    <w:name w:val="页脚 Char"/>
    <w:link w:val="14"/>
    <w:qFormat/>
    <w:uiPriority w:val="99"/>
    <w:rPr>
      <w:rFonts w:ascii="Times New Roman" w:hAnsi="Times New Roman" w:eastAsia="宋体" w:cs="Times New Roman"/>
      <w:sz w:val="18"/>
      <w:szCs w:val="18"/>
    </w:rPr>
  </w:style>
  <w:style w:type="character" w:customStyle="1" w:styleId="29">
    <w:name w:val="页眉 Char"/>
    <w:link w:val="15"/>
    <w:qFormat/>
    <w:uiPriority w:val="0"/>
    <w:rPr>
      <w:rFonts w:ascii="Times New Roman" w:hAnsi="Times New Roman" w:eastAsia="宋体" w:cs="Times New Roman"/>
      <w:sz w:val="18"/>
      <w:szCs w:val="18"/>
    </w:rPr>
  </w:style>
  <w:style w:type="character" w:customStyle="1" w:styleId="30">
    <w:name w:val="标题 2 字符1"/>
    <w:qFormat/>
    <w:uiPriority w:val="9"/>
    <w:rPr>
      <w:rFonts w:ascii="Arial" w:hAnsi="Arial" w:eastAsia="黑体"/>
      <w:b/>
      <w:bCs/>
      <w:kern w:val="2"/>
      <w:sz w:val="32"/>
      <w:szCs w:val="32"/>
    </w:rPr>
  </w:style>
  <w:style w:type="character" w:customStyle="1" w:styleId="31">
    <w:name w:val="列出段落 Char"/>
    <w:link w:val="32"/>
    <w:qFormat/>
    <w:uiPriority w:val="34"/>
    <w:rPr>
      <w:rFonts w:ascii="Calibri" w:hAnsi="Calibri"/>
      <w:kern w:val="2"/>
      <w:sz w:val="21"/>
      <w:szCs w:val="22"/>
    </w:rPr>
  </w:style>
  <w:style w:type="paragraph" w:styleId="32">
    <w:name w:val="List Paragraph"/>
    <w:basedOn w:val="1"/>
    <w:link w:val="31"/>
    <w:qFormat/>
    <w:uiPriority w:val="34"/>
    <w:pPr>
      <w:ind w:firstLine="420" w:firstLineChars="200"/>
    </w:pPr>
    <w:rPr>
      <w:rFonts w:ascii="Calibri" w:hAnsi="Calibri"/>
      <w:szCs w:val="22"/>
    </w:rPr>
  </w:style>
  <w:style w:type="character" w:customStyle="1" w:styleId="33">
    <w:name w:val="annotation reference1"/>
    <w:qFormat/>
    <w:uiPriority w:val="0"/>
    <w:rPr>
      <w:sz w:val="21"/>
      <w:szCs w:val="21"/>
    </w:rPr>
  </w:style>
  <w:style w:type="character" w:customStyle="1" w:styleId="34">
    <w:name w:val="标题 Char"/>
    <w:link w:val="20"/>
    <w:qFormat/>
    <w:uiPriority w:val="0"/>
    <w:rPr>
      <w:rFonts w:ascii="Cambria" w:hAnsi="Cambria"/>
      <w:b/>
      <w:bCs/>
      <w:sz w:val="32"/>
      <w:szCs w:val="32"/>
    </w:rPr>
  </w:style>
  <w:style w:type="character" w:customStyle="1" w:styleId="35">
    <w:name w:val="批注文字 字符"/>
    <w:qFormat/>
    <w:uiPriority w:val="99"/>
  </w:style>
  <w:style w:type="character" w:customStyle="1" w:styleId="36">
    <w:name w:val="批注主题 Char"/>
    <w:link w:val="21"/>
    <w:semiHidden/>
    <w:qFormat/>
    <w:uiPriority w:val="99"/>
    <w:rPr>
      <w:b/>
      <w:bCs/>
      <w:kern w:val="2"/>
      <w:sz w:val="21"/>
      <w:szCs w:val="24"/>
    </w:rPr>
  </w:style>
  <w:style w:type="character" w:customStyle="1" w:styleId="37">
    <w:name w:val="纯文本 Char1"/>
    <w:qFormat/>
    <w:uiPriority w:val="0"/>
    <w:rPr>
      <w:rFonts w:ascii="宋体" w:hAnsi="Courier New" w:eastAsia="宋体" w:cs="Courier New"/>
      <w:szCs w:val="21"/>
    </w:rPr>
  </w:style>
  <w:style w:type="character" w:customStyle="1" w:styleId="38">
    <w:name w:val="纯文本 字符1"/>
    <w:semiHidden/>
    <w:qFormat/>
    <w:uiPriority w:val="99"/>
    <w:rPr>
      <w:rFonts w:ascii="宋体" w:hAnsi="Courier New" w:cs="Courier New"/>
      <w:kern w:val="2"/>
      <w:sz w:val="21"/>
      <w:szCs w:val="21"/>
    </w:rPr>
  </w:style>
  <w:style w:type="character" w:customStyle="1" w:styleId="39">
    <w:name w:val="纯文本 Char"/>
    <w:link w:val="40"/>
    <w:qFormat/>
    <w:uiPriority w:val="0"/>
    <w:rPr>
      <w:rFonts w:ascii="宋体" w:hAnsi="Courier New" w:eastAsia="宋体" w:cs="Courier New"/>
      <w:szCs w:val="21"/>
    </w:rPr>
  </w:style>
  <w:style w:type="paragraph" w:customStyle="1" w:styleId="40">
    <w:name w:val="Plain Text1"/>
    <w:basedOn w:val="1"/>
    <w:link w:val="39"/>
    <w:qFormat/>
    <w:uiPriority w:val="0"/>
    <w:rPr>
      <w:rFonts w:ascii="宋体" w:hAnsi="Courier New"/>
      <w:kern w:val="0"/>
      <w:sz w:val="20"/>
      <w:szCs w:val="21"/>
    </w:rPr>
  </w:style>
  <w:style w:type="character" w:customStyle="1" w:styleId="41">
    <w:name w:val="标题 2 Char"/>
    <w:link w:val="3"/>
    <w:qFormat/>
    <w:uiPriority w:val="9"/>
    <w:rPr>
      <w:rFonts w:ascii="Arial" w:hAnsi="Arial" w:eastAsia="黑体"/>
      <w:b/>
      <w:bCs/>
      <w:kern w:val="2"/>
      <w:sz w:val="32"/>
      <w:szCs w:val="32"/>
    </w:rPr>
  </w:style>
  <w:style w:type="character" w:customStyle="1" w:styleId="42">
    <w:name w:val="font41"/>
    <w:qFormat/>
    <w:uiPriority w:val="0"/>
    <w:rPr>
      <w:rFonts w:hint="eastAsia" w:ascii="宋体" w:hAnsi="宋体" w:eastAsia="宋体" w:cs="宋体"/>
      <w:color w:val="000000"/>
      <w:sz w:val="18"/>
      <w:szCs w:val="18"/>
      <w:u w:val="none"/>
    </w:rPr>
  </w:style>
  <w:style w:type="character" w:customStyle="1" w:styleId="43">
    <w:name w:val="纯文本 Char2"/>
    <w:qFormat/>
    <w:uiPriority w:val="0"/>
    <w:rPr>
      <w:rFonts w:ascii="宋体" w:hAnsi="Courier New" w:cs="Courier New"/>
      <w:szCs w:val="21"/>
    </w:rPr>
  </w:style>
  <w:style w:type="character" w:customStyle="1" w:styleId="44">
    <w:name w:val="批注文字 字符1"/>
    <w:qFormat/>
    <w:uiPriority w:val="0"/>
    <w:rPr>
      <w:szCs w:val="24"/>
    </w:rPr>
  </w:style>
  <w:style w:type="character" w:customStyle="1" w:styleId="45">
    <w:name w:val="批注文字 Char"/>
    <w:link w:val="7"/>
    <w:qFormat/>
    <w:uiPriority w:val="99"/>
    <w:rPr>
      <w:szCs w:val="24"/>
    </w:rPr>
  </w:style>
  <w:style w:type="character" w:customStyle="1" w:styleId="46">
    <w:name w:val="批注框文本 Char"/>
    <w:link w:val="13"/>
    <w:qFormat/>
    <w:uiPriority w:val="0"/>
    <w:rPr>
      <w:rFonts w:ascii="Times New Roman" w:hAnsi="Times New Roman" w:eastAsia="宋体" w:cs="Times New Roman"/>
      <w:sz w:val="18"/>
      <w:szCs w:val="18"/>
    </w:rPr>
  </w:style>
  <w:style w:type="character" w:customStyle="1" w:styleId="47">
    <w:name w:val="标题 2 字符"/>
    <w:qFormat/>
    <w:uiPriority w:val="0"/>
    <w:rPr>
      <w:rFonts w:ascii="等线 Light" w:hAnsi="等线 Light" w:eastAsia="等线 Light" w:cs="Times New Roman"/>
      <w:b/>
      <w:bCs/>
      <w:kern w:val="2"/>
      <w:sz w:val="32"/>
      <w:szCs w:val="32"/>
    </w:rPr>
  </w:style>
  <w:style w:type="character" w:customStyle="1" w:styleId="48">
    <w:name w:val="font21"/>
    <w:qFormat/>
    <w:uiPriority w:val="0"/>
    <w:rPr>
      <w:rFonts w:hint="default" w:ascii="Times New Roman" w:hAnsi="Times New Roman" w:cs="Times New Roman"/>
      <w:color w:val="000000"/>
      <w:sz w:val="18"/>
      <w:szCs w:val="18"/>
      <w:u w:val="none"/>
    </w:rPr>
  </w:style>
  <w:style w:type="paragraph" w:customStyle="1" w:styleId="49">
    <w:name w:val="_Style 2"/>
    <w:basedOn w:val="1"/>
    <w:qFormat/>
    <w:uiPriority w:val="34"/>
    <w:pPr>
      <w:ind w:firstLine="420" w:firstLineChars="200"/>
    </w:pPr>
    <w:rPr>
      <w:rFonts w:ascii="Calibri" w:hAnsi="Calibri"/>
      <w:szCs w:val="22"/>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
    <w:name w:val="_Style 1"/>
    <w:basedOn w:val="1"/>
    <w:qFormat/>
    <w:uiPriority w:val="34"/>
    <w:pPr>
      <w:ind w:firstLine="420" w:firstLineChars="200"/>
    </w:pPr>
    <w:rPr>
      <w:rFonts w:ascii="Calibri" w:hAnsi="Calibri"/>
      <w:szCs w:val="22"/>
    </w:rPr>
  </w:style>
  <w:style w:type="paragraph" w:customStyle="1" w:styleId="52">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3">
    <w:name w:val="正文_0"/>
    <w:qFormat/>
    <w:uiPriority w:val="0"/>
    <w:pPr>
      <w:widowControl w:val="0"/>
      <w:jc w:val="both"/>
    </w:pPr>
    <w:rPr>
      <w:rFonts w:ascii="Times New Roman" w:hAnsi="Times New Roman" w:eastAsia="宋体" w:cs="Times New Roman"/>
      <w:lang w:val="en-US" w:eastAsia="zh-CN" w:bidi="ar-SA"/>
    </w:rPr>
  </w:style>
  <w:style w:type="paragraph" w:customStyle="1" w:styleId="54">
    <w:name w:val="List Paragraph1"/>
    <w:basedOn w:val="1"/>
    <w:qFormat/>
    <w:uiPriority w:val="34"/>
    <w:pPr>
      <w:ind w:firstLine="420" w:firstLineChars="200"/>
    </w:pPr>
  </w:style>
  <w:style w:type="paragraph" w:customStyle="1" w:styleId="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_Style 30"/>
    <w:basedOn w:val="1"/>
    <w:next w:val="32"/>
    <w:qFormat/>
    <w:uiPriority w:val="34"/>
    <w:pPr>
      <w:ind w:firstLine="420" w:firstLineChars="200"/>
    </w:pPr>
  </w:style>
  <w:style w:type="paragraph" w:customStyle="1" w:styleId="58">
    <w:name w:val="_Style 26"/>
    <w:basedOn w:val="1"/>
    <w:next w:val="32"/>
    <w:qFormat/>
    <w:uiPriority w:val="34"/>
    <w:pPr>
      <w:adjustRightInd w:val="0"/>
      <w:spacing w:line="360" w:lineRule="atLeast"/>
      <w:ind w:firstLine="420" w:firstLineChars="200"/>
      <w:textAlignment w:val="baseline"/>
    </w:pPr>
    <w:rPr>
      <w:rFonts w:ascii="Calibri" w:hAnsi="Calibri"/>
      <w:szCs w:val="22"/>
    </w:rPr>
  </w:style>
  <w:style w:type="character" w:customStyle="1" w:styleId="59">
    <w:name w:val="font01"/>
    <w:basedOn w:val="25"/>
    <w:qFormat/>
    <w:uiPriority w:val="0"/>
    <w:rPr>
      <w:rFonts w:hint="eastAsia" w:ascii="宋体" w:hAnsi="宋体" w:eastAsia="宋体" w:cs="宋体"/>
      <w:color w:val="000000"/>
      <w:sz w:val="24"/>
      <w:szCs w:val="24"/>
      <w:u w:val="none"/>
    </w:rPr>
  </w:style>
  <w:style w:type="character" w:customStyle="1" w:styleId="60">
    <w:name w:val="font11"/>
    <w:basedOn w:val="25"/>
    <w:qFormat/>
    <w:uiPriority w:val="0"/>
    <w:rPr>
      <w:rFonts w:hint="default" w:ascii="Arial" w:hAnsi="Arial" w:cs="Arial"/>
      <w:color w:val="000000"/>
      <w:sz w:val="24"/>
      <w:szCs w:val="24"/>
      <w:u w:val="none"/>
    </w:rPr>
  </w:style>
  <w:style w:type="paragraph" w:customStyle="1" w:styleId="61">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2">
    <w:name w:val="标题 4 Char"/>
    <w:basedOn w:val="25"/>
    <w:link w:val="5"/>
    <w:qFormat/>
    <w:uiPriority w:val="0"/>
    <w:rPr>
      <w:rFonts w:ascii="Arial" w:hAnsi="Arial" w:eastAsia="黑体"/>
      <w:b/>
      <w:bCs/>
      <w:kern w:val="2"/>
      <w:sz w:val="28"/>
      <w:szCs w:val="28"/>
    </w:rPr>
  </w:style>
  <w:style w:type="paragraph" w:customStyle="1" w:styleId="63">
    <w:name w:val="正文缩进1"/>
    <w:basedOn w:val="1"/>
    <w:qFormat/>
    <w:uiPriority w:val="0"/>
    <w:pPr>
      <w:ind w:firstLine="420"/>
    </w:pPr>
    <w:rPr>
      <w:rFonts w:ascii="Calibri" w:hAnsi="Calibri"/>
    </w:rPr>
  </w:style>
  <w:style w:type="paragraph" w:customStyle="1" w:styleId="6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5">
    <w:name w:val="_Style 3"/>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17351</Words>
  <Characters>19406</Characters>
  <Lines>163</Lines>
  <Paragraphs>46</Paragraphs>
  <TotalTime>0</TotalTime>
  <ScaleCrop>false</ScaleCrop>
  <LinksUpToDate>false</LinksUpToDate>
  <CharactersWithSpaces>21043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国科GJX</cp:lastModifiedBy>
  <dcterms:modified xsi:type="dcterms:W3CDTF">2023-12-05T09:44:57Z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ECD05EAE3ABD4C4E9CC506C8FA87F665_13</vt:lpwstr>
  </property>
</Properties>
</file>