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b/>
          <w:color w:val="auto"/>
          <w:sz w:val="84"/>
          <w:szCs w:val="84"/>
        </w:rPr>
      </w:pPr>
      <w:bookmarkStart w:id="0" w:name="_Hlk21427976"/>
      <w:r>
        <w:rPr>
          <w:rFonts w:hint="eastAsia" w:ascii="宋体" w:hAnsi="宋体"/>
          <w:b/>
          <w:bCs/>
          <w:color w:val="auto"/>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color w:val="auto"/>
          <w:sz w:val="84"/>
          <w:szCs w:val="84"/>
        </w:rPr>
      </w:pPr>
    </w:p>
    <w:p>
      <w:pPr>
        <w:snapToGrid w:val="0"/>
        <w:spacing w:before="156" w:beforeLines="50"/>
        <w:jc w:val="center"/>
        <w:rPr>
          <w:rFonts w:ascii="仿宋_GB2312" w:hAnsi="仿宋_GB2312"/>
          <w:b/>
          <w:bCs/>
          <w:color w:val="auto"/>
          <w:sz w:val="84"/>
          <w:szCs w:val="84"/>
        </w:rPr>
      </w:pPr>
      <w:r>
        <w:rPr>
          <w:rFonts w:hint="eastAsia" w:ascii="宋体" w:hAnsi="宋体"/>
          <w:b/>
          <w:color w:val="auto"/>
          <w:sz w:val="84"/>
          <w:szCs w:val="84"/>
        </w:rPr>
        <w:t>竞价文件</w:t>
      </w:r>
    </w:p>
    <w:p>
      <w:pPr>
        <w:spacing w:line="360" w:lineRule="auto"/>
        <w:jc w:val="center"/>
        <w:rPr>
          <w:rFonts w:ascii="宋体" w:hAnsi="宋体"/>
          <w:b/>
          <w:bCs/>
          <w:color w:val="auto"/>
          <w:sz w:val="24"/>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jc w:val="left"/>
        <w:rPr>
          <w:rFonts w:ascii="仿宋_GB2312" w:hAnsi="仿宋_GB2312"/>
          <w:b/>
          <w:bCs/>
          <w:color w:val="auto"/>
          <w:sz w:val="28"/>
          <w:szCs w:val="32"/>
        </w:rPr>
      </w:pPr>
      <w:r>
        <w:rPr>
          <w:rFonts w:ascii="仿宋_GB2312" w:hAnsi="仿宋_GB2312"/>
          <w:b/>
          <w:bCs/>
          <w:color w:val="auto"/>
          <w:sz w:val="28"/>
          <w:szCs w:val="32"/>
        </w:rPr>
        <w:t>采购方式：</w:t>
      </w:r>
      <w:r>
        <w:rPr>
          <w:rFonts w:hint="eastAsia" w:ascii="仿宋_GB2312" w:hAnsi="仿宋_GB2312"/>
          <w:b/>
          <w:bCs/>
          <w:color w:val="auto"/>
          <w:sz w:val="28"/>
          <w:szCs w:val="32"/>
        </w:rPr>
        <w:t>线上</w:t>
      </w:r>
      <w:r>
        <w:rPr>
          <w:rFonts w:ascii="仿宋_GB2312" w:hAnsi="仿宋_GB2312"/>
          <w:b/>
          <w:bCs/>
          <w:color w:val="auto"/>
          <w:sz w:val="28"/>
          <w:szCs w:val="32"/>
        </w:rPr>
        <w:t>竞价</w:t>
      </w:r>
    </w:p>
    <w:p>
      <w:pPr>
        <w:spacing w:line="360" w:lineRule="auto"/>
        <w:ind w:left="1405" w:hanging="1405" w:hangingChars="500"/>
        <w:jc w:val="left"/>
        <w:rPr>
          <w:rFonts w:hint="eastAsia" w:ascii="仿宋_GB2312" w:hAnsi="仿宋_GB2312" w:eastAsia="宋体"/>
          <w:b/>
          <w:bCs/>
          <w:color w:val="auto"/>
          <w:sz w:val="28"/>
          <w:szCs w:val="32"/>
          <w:lang w:eastAsia="zh-CN"/>
        </w:rPr>
      </w:pPr>
      <w:r>
        <w:rPr>
          <w:rFonts w:ascii="仿宋_GB2312" w:hAnsi="仿宋_GB2312"/>
          <w:b/>
          <w:bCs/>
          <w:color w:val="auto"/>
          <w:sz w:val="28"/>
          <w:szCs w:val="32"/>
        </w:rPr>
        <w:t>项目</w:t>
      </w:r>
      <w:r>
        <w:rPr>
          <w:rFonts w:hint="eastAsia" w:ascii="仿宋_GB2312" w:hAnsi="仿宋_GB2312"/>
          <w:b/>
          <w:bCs/>
          <w:color w:val="auto"/>
          <w:sz w:val="28"/>
          <w:szCs w:val="32"/>
        </w:rPr>
        <w:t>名称</w:t>
      </w:r>
      <w:r>
        <w:rPr>
          <w:rFonts w:ascii="仿宋_GB2312" w:hAnsi="仿宋_GB2312"/>
          <w:b/>
          <w:bCs/>
          <w:color w:val="auto"/>
          <w:sz w:val="28"/>
          <w:szCs w:val="32"/>
        </w:rPr>
        <w:t>：</w:t>
      </w:r>
      <w:r>
        <w:rPr>
          <w:rFonts w:hint="eastAsia" w:ascii="仿宋_GB2312" w:hAnsi="仿宋_GB2312" w:cs="Times New Roman"/>
          <w:b/>
          <w:bCs/>
          <w:color w:val="auto"/>
          <w:kern w:val="2"/>
          <w:sz w:val="28"/>
          <w:szCs w:val="32"/>
          <w:lang w:bidi="ar"/>
        </w:rPr>
        <w:t>广东省女子监狱</w:t>
      </w:r>
      <w:r>
        <w:rPr>
          <w:rFonts w:hint="eastAsia" w:ascii="仿宋_GB2312" w:hAnsi="仿宋_GB2312" w:cs="Times New Roman"/>
          <w:b/>
          <w:bCs/>
          <w:color w:val="auto"/>
          <w:kern w:val="2"/>
          <w:sz w:val="28"/>
          <w:szCs w:val="32"/>
          <w:lang w:val="en-US" w:eastAsia="zh-CN" w:bidi="ar"/>
        </w:rPr>
        <w:t>/</w:t>
      </w:r>
      <w:r>
        <w:rPr>
          <w:rFonts w:hint="eastAsia" w:ascii="仿宋_GB2312" w:hAnsi="仿宋_GB2312" w:cs="Times New Roman"/>
          <w:b/>
          <w:bCs/>
          <w:color w:val="auto"/>
          <w:kern w:val="2"/>
          <w:sz w:val="28"/>
          <w:szCs w:val="32"/>
          <w:lang w:bidi="ar"/>
        </w:rPr>
        <w:t>广东省广裕集团嘉顺实业有限责任公司视频监控系统完善项目</w:t>
      </w:r>
    </w:p>
    <w:p>
      <w:pPr>
        <w:spacing w:line="360" w:lineRule="auto"/>
        <w:jc w:val="left"/>
        <w:rPr>
          <w:rFonts w:hint="eastAsia" w:ascii="黑体" w:hAnsi="华文中宋" w:eastAsia="宋体" w:cs="华文中宋"/>
          <w:color w:val="auto"/>
          <w:sz w:val="30"/>
          <w:szCs w:val="30"/>
          <w:lang w:eastAsia="zh-CN"/>
        </w:rPr>
      </w:pPr>
      <w:r>
        <w:rPr>
          <w:rFonts w:hint="eastAsia" w:ascii="仿宋_GB2312" w:hAnsi="仿宋_GB2312"/>
          <w:b/>
          <w:bCs/>
          <w:color w:val="auto"/>
          <w:sz w:val="28"/>
          <w:szCs w:val="32"/>
        </w:rPr>
        <w:t>项目编号：</w:t>
      </w:r>
      <w:r>
        <w:rPr>
          <w:rFonts w:hint="eastAsia" w:ascii="仿宋_GB2312" w:hAnsi="仿宋_GB2312"/>
          <w:b/>
          <w:bCs/>
          <w:color w:val="auto"/>
          <w:sz w:val="28"/>
          <w:szCs w:val="32"/>
          <w:lang w:eastAsia="zh-CN"/>
        </w:rPr>
        <w:t>GZGK23P309B1007J</w:t>
      </w: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bookmarkEnd w:id="0"/>
    <w:p>
      <w:pPr>
        <w:spacing w:line="360" w:lineRule="auto"/>
        <w:ind w:left="420"/>
        <w:jc w:val="center"/>
        <w:rPr>
          <w:rFonts w:ascii="宋体" w:hAnsi="宋体"/>
          <w:b/>
          <w:bCs/>
          <w:color w:val="auto"/>
          <w:sz w:val="32"/>
          <w:szCs w:val="32"/>
        </w:rPr>
      </w:pPr>
      <w:r>
        <w:rPr>
          <w:rFonts w:hint="eastAsia" w:ascii="宋体" w:hAnsi="宋体"/>
          <w:b/>
          <w:bCs/>
          <w:color w:val="auto"/>
          <w:sz w:val="32"/>
          <w:szCs w:val="32"/>
        </w:rPr>
        <w:t>广州市国科招标代理有限公司</w:t>
      </w:r>
    </w:p>
    <w:p>
      <w:pPr>
        <w:pStyle w:val="12"/>
        <w:spacing w:line="360" w:lineRule="auto"/>
        <w:ind w:left="99" w:leftChars="47"/>
        <w:jc w:val="center"/>
        <w:rPr>
          <w:color w:val="auto"/>
          <w:szCs w:val="36"/>
        </w:rPr>
      </w:pPr>
      <w:r>
        <w:rPr>
          <w:rFonts w:hint="eastAsia"/>
          <w:color w:val="auto"/>
          <w:sz w:val="32"/>
          <w:szCs w:val="32"/>
        </w:rPr>
        <w:t>202</w:t>
      </w:r>
      <w:r>
        <w:rPr>
          <w:rFonts w:hint="eastAsia"/>
          <w:color w:val="auto"/>
          <w:sz w:val="32"/>
          <w:szCs w:val="32"/>
          <w:lang w:val="en-US" w:eastAsia="zh-CN"/>
        </w:rPr>
        <w:t>4</w:t>
      </w:r>
      <w:r>
        <w:rPr>
          <w:rFonts w:hint="eastAsia"/>
          <w:color w:val="auto"/>
          <w:sz w:val="32"/>
          <w:szCs w:val="32"/>
        </w:rPr>
        <w:t>年</w:t>
      </w:r>
      <w:r>
        <w:rPr>
          <w:rFonts w:hint="eastAsia"/>
          <w:color w:val="auto"/>
          <w:sz w:val="32"/>
          <w:szCs w:val="32"/>
          <w:lang w:val="en-US" w:eastAsia="zh-CN"/>
        </w:rPr>
        <w:t>1</w:t>
      </w:r>
      <w:r>
        <w:rPr>
          <w:rFonts w:hint="eastAsia"/>
          <w:color w:val="auto"/>
          <w:sz w:val="32"/>
          <w:szCs w:val="32"/>
        </w:rPr>
        <w:t>月</w:t>
      </w:r>
    </w:p>
    <w:p>
      <w:pPr>
        <w:snapToGrid w:val="0"/>
        <w:rPr>
          <w:rFonts w:ascii="Calibri" w:hAnsi="Calibri"/>
          <w:b/>
          <w:bCs/>
          <w:color w:val="auto"/>
          <w:sz w:val="24"/>
        </w:rPr>
      </w:pPr>
    </w:p>
    <w:p>
      <w:pPr>
        <w:snapToGrid w:val="0"/>
        <w:jc w:val="center"/>
        <w:rPr>
          <w:rFonts w:ascii="宋体" w:hAnsi="宋体" w:cs="宋体"/>
          <w:color w:val="auto"/>
          <w:sz w:val="44"/>
          <w:szCs w:val="44"/>
        </w:rPr>
      </w:pPr>
      <w:r>
        <w:rPr>
          <w:rFonts w:hint="eastAsia" w:ascii="宋体" w:hAnsi="宋体" w:cs="宋体"/>
          <w:color w:val="auto"/>
          <w:sz w:val="44"/>
          <w:szCs w:val="44"/>
        </w:rPr>
        <w:t>目录</w:t>
      </w:r>
    </w:p>
    <w:p>
      <w:pPr>
        <w:snapToGrid w:val="0"/>
        <w:jc w:val="center"/>
        <w:rPr>
          <w:rFonts w:ascii="宋体" w:hAnsi="宋体" w:cs="宋体"/>
          <w:color w:val="auto"/>
          <w:sz w:val="44"/>
          <w:szCs w:val="44"/>
        </w:rPr>
      </w:pPr>
    </w:p>
    <w:p>
      <w:pPr>
        <w:pStyle w:val="16"/>
        <w:tabs>
          <w:tab w:val="right" w:leader="dot" w:pos="8690"/>
        </w:tabs>
        <w:rPr>
          <w:rFonts w:ascii="宋体" w:hAnsi="宋体" w:cs="宋体"/>
          <w:color w:val="auto"/>
          <w:sz w:val="32"/>
          <w:szCs w:val="32"/>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color w:val="auto"/>
        </w:rPr>
        <w:fldChar w:fldCharType="begin"/>
      </w:r>
      <w:r>
        <w:rPr>
          <w:color w:val="auto"/>
        </w:rPr>
        <w:instrText xml:space="preserve"> HYPERLINK \l "_Toc220" </w:instrText>
      </w:r>
      <w:r>
        <w:rPr>
          <w:color w:val="auto"/>
        </w:rPr>
        <w:fldChar w:fldCharType="separate"/>
      </w:r>
      <w:r>
        <w:rPr>
          <w:rFonts w:hint="eastAsia" w:ascii="宋体" w:hAnsi="宋体" w:cs="宋体"/>
          <w:color w:val="auto"/>
          <w:sz w:val="32"/>
          <w:szCs w:val="32"/>
        </w:rPr>
        <w:t>第一章竞价公告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_Toc220 \h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"_Toc27889" </w:instrText>
      </w:r>
      <w:r>
        <w:rPr>
          <w:color w:val="auto"/>
        </w:rPr>
        <w:fldChar w:fldCharType="separate"/>
      </w:r>
      <w:r>
        <w:rPr>
          <w:rFonts w:hint="eastAsia" w:ascii="宋体" w:hAnsi="宋体" w:cs="宋体"/>
          <w:color w:val="auto"/>
          <w:sz w:val="32"/>
          <w:szCs w:val="32"/>
        </w:rPr>
        <w:t>第二章采购需求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_Toc27889 \h </w:instrText>
      </w:r>
      <w:r>
        <w:rPr>
          <w:rFonts w:hint="eastAsia" w:ascii="宋体" w:hAnsi="宋体" w:cs="宋体"/>
          <w:color w:val="auto"/>
          <w:sz w:val="32"/>
          <w:szCs w:val="32"/>
        </w:rPr>
        <w:fldChar w:fldCharType="separate"/>
      </w:r>
      <w:r>
        <w:rPr>
          <w:rFonts w:hint="eastAsia" w:ascii="宋体" w:hAnsi="宋体" w:cs="宋体"/>
          <w:color w:val="auto"/>
          <w:sz w:val="32"/>
          <w:szCs w:val="32"/>
        </w:rPr>
        <w:t>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"_Toc9145" </w:instrText>
      </w:r>
      <w:r>
        <w:rPr>
          <w:color w:val="auto"/>
        </w:rPr>
        <w:fldChar w:fldCharType="separate"/>
      </w:r>
      <w:r>
        <w:rPr>
          <w:rFonts w:hint="eastAsia" w:ascii="宋体" w:hAnsi="宋体" w:cs="宋体"/>
          <w:color w:val="auto"/>
          <w:sz w:val="32"/>
          <w:szCs w:val="32"/>
        </w:rPr>
        <w:t>第三章竞价须知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_Toc9145 \h </w:instrText>
      </w:r>
      <w:r>
        <w:rPr>
          <w:rFonts w:hint="eastAsia" w:ascii="宋体" w:hAnsi="宋体" w:cs="宋体"/>
          <w:color w:val="auto"/>
          <w:sz w:val="32"/>
          <w:szCs w:val="32"/>
        </w:rPr>
        <w:fldChar w:fldCharType="separate"/>
      </w:r>
      <w:r>
        <w:rPr>
          <w:rFonts w:hint="eastAsia" w:ascii="宋体" w:hAnsi="宋体" w:cs="宋体"/>
          <w:color w:val="auto"/>
          <w:sz w:val="32"/>
          <w:szCs w:val="32"/>
        </w:rPr>
        <w:t>41</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"_Toc20538" </w:instrText>
      </w:r>
      <w:r>
        <w:rPr>
          <w:color w:val="auto"/>
        </w:rPr>
        <w:fldChar w:fldCharType="separate"/>
      </w:r>
      <w:r>
        <w:rPr>
          <w:rFonts w:hint="eastAsia" w:ascii="宋体" w:hAnsi="宋体" w:cs="宋体"/>
          <w:color w:val="auto"/>
          <w:kern w:val="0"/>
          <w:sz w:val="32"/>
          <w:szCs w:val="32"/>
        </w:rPr>
        <w:t>第四章合同条款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_Toc20538 \h </w:instrText>
      </w:r>
      <w:r>
        <w:rPr>
          <w:rFonts w:hint="eastAsia" w:ascii="宋体" w:hAnsi="宋体" w:cs="宋体"/>
          <w:color w:val="auto"/>
          <w:sz w:val="32"/>
          <w:szCs w:val="32"/>
        </w:rPr>
        <w:fldChar w:fldCharType="separate"/>
      </w:r>
      <w:r>
        <w:rPr>
          <w:rFonts w:hint="eastAsia" w:ascii="宋体" w:hAnsi="宋体" w:cs="宋体"/>
          <w:color w:val="auto"/>
          <w:sz w:val="32"/>
          <w:szCs w:val="32"/>
        </w:rPr>
        <w:t>46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"_Toc21084" </w:instrText>
      </w:r>
      <w:r>
        <w:rPr>
          <w:color w:val="auto"/>
        </w:rPr>
        <w:fldChar w:fldCharType="separate"/>
      </w:r>
      <w:r>
        <w:rPr>
          <w:rFonts w:hint="eastAsia" w:ascii="宋体" w:hAnsi="宋体" w:cs="宋体"/>
          <w:color w:val="auto"/>
          <w:sz w:val="32"/>
          <w:szCs w:val="32"/>
        </w:rPr>
        <w:t>第五章报价文件格式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_Toc21084 \h </w:instrText>
      </w:r>
      <w:r>
        <w:rPr>
          <w:rFonts w:hint="eastAsia" w:ascii="宋体" w:hAnsi="宋体" w:cs="宋体"/>
          <w:color w:val="auto"/>
          <w:sz w:val="32"/>
          <w:szCs w:val="32"/>
        </w:rPr>
        <w:fldChar w:fldCharType="separate"/>
      </w:r>
      <w:r>
        <w:rPr>
          <w:rFonts w:hint="eastAsia" w:ascii="宋体" w:hAnsi="宋体" w:cs="宋体"/>
          <w:color w:val="auto"/>
          <w:sz w:val="32"/>
          <w:szCs w:val="32"/>
        </w:rPr>
        <w:t>68</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Cambria" w:hAnsi="Cambria"/>
          <w:b/>
          <w:bCs/>
          <w:color w:val="auto"/>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rPr>
        <w:fldChar w:fldCharType="end"/>
      </w: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pStyle w:val="3"/>
        <w:jc w:val="center"/>
        <w:rPr>
          <w:color w:val="auto"/>
        </w:rPr>
      </w:pPr>
      <w:bookmarkStart w:id="1" w:name="_Toc220"/>
      <w:r>
        <w:rPr>
          <w:rFonts w:hint="eastAsia"/>
          <w:color w:val="auto"/>
        </w:rPr>
        <w:t>第一章</w:t>
      </w:r>
      <w:r>
        <w:rPr>
          <w:rFonts w:hint="eastAsia"/>
          <w:color w:val="auto"/>
          <w:lang w:val="en-US" w:eastAsia="zh-CN"/>
        </w:rPr>
        <w:t xml:space="preserve"> </w:t>
      </w:r>
      <w:r>
        <w:rPr>
          <w:rFonts w:hint="eastAsia"/>
          <w:color w:val="auto"/>
        </w:rPr>
        <w:t>竞价公告</w:t>
      </w:r>
      <w:bookmarkEnd w:id="1"/>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jc w:val="center"/>
        <w:rPr>
          <w:rFonts w:ascii="黑体" w:hAnsi="黑体" w:eastAsia="黑体"/>
          <w:color w:val="auto"/>
          <w:sz w:val="30"/>
          <w:szCs w:val="30"/>
        </w:rPr>
      </w:pPr>
      <w:r>
        <w:rPr>
          <w:rFonts w:hint="eastAsia" w:ascii="黑体" w:hAnsi="黑体" w:eastAsia="黑体"/>
          <w:color w:val="auto"/>
          <w:sz w:val="36"/>
          <w:szCs w:val="36"/>
        </w:rPr>
        <w:t>竞价公告</w:t>
      </w:r>
    </w:p>
    <w:p>
      <w:pPr>
        <w:spacing w:line="360" w:lineRule="auto"/>
        <w:ind w:firstLine="420" w:firstLineChars="200"/>
        <w:rPr>
          <w:color w:val="auto"/>
          <w:szCs w:val="21"/>
        </w:rPr>
      </w:pPr>
      <w:r>
        <w:rPr>
          <w:rFonts w:hint="eastAsia"/>
          <w:color w:val="auto"/>
          <w:szCs w:val="21"/>
        </w:rPr>
        <w:t>广州市国科招标代理有限公司（以下简称“采购代理机构”）受</w:t>
      </w:r>
      <w:r>
        <w:rPr>
          <w:rFonts w:hint="eastAsia"/>
          <w:color w:val="auto"/>
          <w:szCs w:val="21"/>
          <w:lang w:eastAsia="zh-CN"/>
        </w:rPr>
        <w:t>广东省女子监狱</w:t>
      </w:r>
      <w:r>
        <w:rPr>
          <w:rFonts w:hint="eastAsia"/>
          <w:color w:val="auto"/>
          <w:szCs w:val="21"/>
        </w:rPr>
        <w:t>（以下简称“采购人”）的委托，对</w:t>
      </w: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r>
        <w:rPr>
          <w:rFonts w:hint="eastAsia"/>
          <w:color w:val="auto"/>
          <w:szCs w:val="21"/>
        </w:rPr>
        <w:t>（项目编号：</w:t>
      </w:r>
      <w:r>
        <w:rPr>
          <w:rFonts w:hint="eastAsia"/>
          <w:color w:val="auto"/>
          <w:szCs w:val="21"/>
          <w:lang w:eastAsia="zh-CN"/>
        </w:rPr>
        <w:t>GZGK23P309B1007J</w:t>
      </w:r>
      <w:r>
        <w:rPr>
          <w:rFonts w:hint="eastAsia"/>
          <w:color w:val="auto"/>
          <w:szCs w:val="21"/>
        </w:rPr>
        <w:t>）进行线上竞价采购。</w:t>
      </w:r>
    </w:p>
    <w:tbl>
      <w:tblPr>
        <w:tblStyle w:val="25"/>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41"/>
        <w:gridCol w:w="893"/>
        <w:gridCol w:w="1297"/>
        <w:gridCol w:w="967"/>
        <w:gridCol w:w="1491"/>
        <w:gridCol w:w="3805"/>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项目编号</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color w:val="auto"/>
                <w:szCs w:val="21"/>
                <w:lang w:eastAsia="zh-CN"/>
              </w:rPr>
              <w:t>GZGK23P309B1007J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color w:val="auto"/>
                <w:szCs w:val="21"/>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报名结束时间</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color w:val="auto"/>
                <w:szCs w:val="21"/>
              </w:rPr>
              <w:fldChar w:fldCharType="begin"/>
            </w:r>
            <w:r>
              <w:rPr>
                <w:color w:val="auto"/>
                <w:szCs w:val="21"/>
              </w:rPr>
              <w:instrText xml:space="preserve"> DOCVARIABLE @报名截止时间@ \* MERGEFORMAT </w:instrText>
            </w:r>
            <w:r>
              <w:rPr>
                <w:color w:val="auto"/>
                <w:szCs w:val="21"/>
              </w:rPr>
              <w:fldChar w:fldCharType="separate"/>
            </w:r>
            <w:r>
              <w:rPr>
                <w:rFonts w:hint="eastAsia"/>
                <w:bCs/>
                <w:color w:val="auto"/>
                <w:szCs w:val="21"/>
                <w:lang w:eastAsia="zh-CN"/>
              </w:rPr>
              <w:t>2023年12月XX日</w:t>
            </w:r>
            <w:r>
              <w:rPr>
                <w:rFonts w:hint="eastAsia"/>
                <w:bCs/>
                <w:color w:val="auto"/>
                <w:szCs w:val="21"/>
                <w:lang w:val="en-US" w:eastAsia="zh-CN"/>
              </w:rPr>
              <w:t>17</w:t>
            </w:r>
            <w:r>
              <w:rPr>
                <w:rFonts w:hint="eastAsia"/>
                <w:bCs/>
                <w:color w:val="auto"/>
                <w:szCs w:val="21"/>
                <w:lang w:eastAsia="zh-CN"/>
              </w:rPr>
              <w:t>:30</w:t>
            </w:r>
            <w:r>
              <w:rPr>
                <w:color w:val="auto"/>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报价时间</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bCs/>
                <w:color w:val="auto"/>
                <w:szCs w:val="21"/>
                <w:lang w:eastAsia="zh-CN"/>
              </w:rPr>
              <w:t>2023年12月XX日09:00:00起至2023年12月XX日12:00:00止</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color w:val="auto"/>
                <w:szCs w:val="21"/>
              </w:rPr>
            </w:pPr>
            <w:r>
              <w:rPr>
                <w:rFonts w:hint="eastAsia"/>
                <w:bCs/>
                <w:color w:val="auto"/>
                <w:szCs w:val="21"/>
              </w:rPr>
              <w:t>报价是否含税</w:t>
            </w:r>
          </w:p>
        </w:tc>
        <w:tc>
          <w:tcPr>
            <w:tcW w:w="967"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报价规则</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数量</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hint="default" w:eastAsia="宋体"/>
                <w:b/>
                <w:color w:val="auto"/>
                <w:szCs w:val="21"/>
                <w:lang w:val="en-US" w:eastAsia="zh-CN"/>
              </w:rPr>
            </w:pPr>
            <w:r>
              <w:rPr>
                <w:rFonts w:hint="eastAsia"/>
                <w:color w:val="auto"/>
                <w:szCs w:val="21"/>
                <w:lang w:val="en-US" w:eastAsia="zh-CN"/>
              </w:rPr>
              <w:t>1项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最高限价</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color w:val="auto"/>
                <w:szCs w:val="21"/>
              </w:rPr>
            </w:pPr>
            <w:r>
              <w:rPr>
                <w:rFonts w:hint="eastAsia" w:cs="Tahoma"/>
                <w:color w:val="auto"/>
                <w:szCs w:val="21"/>
              </w:rPr>
              <w:t>人民币280342</w:t>
            </w:r>
            <w:r>
              <w:rPr>
                <w:rFonts w:hint="eastAsia"/>
                <w:color w:val="auto"/>
                <w:szCs w:val="21"/>
              </w:rPr>
              <w:t>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hint="default" w:eastAsia="宋体"/>
                <w:b/>
                <w:color w:val="auto"/>
                <w:szCs w:val="21"/>
                <w:lang w:val="en-US" w:eastAsia="zh-CN"/>
              </w:rPr>
            </w:pPr>
            <w:r>
              <w:rPr>
                <w:rFonts w:hint="eastAsia"/>
                <w:b/>
                <w:color w:val="auto"/>
                <w:szCs w:val="21"/>
                <w:lang w:val="en-US" w:eastAsia="zh-CN"/>
              </w:rPr>
              <w:t>报名方式</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本项目采用“智采平台”（</w:t>
            </w:r>
            <w:r>
              <w:rPr>
                <w:rFonts w:hint="eastAsia" w:ascii="宋体" w:hAnsi="宋体" w:eastAsia="宋体" w:cs="宋体"/>
                <w:i w:val="0"/>
                <w:iCs w:val="0"/>
                <w:caps w:val="0"/>
                <w:color w:val="auto"/>
                <w:spacing w:val="0"/>
                <w:sz w:val="21"/>
                <w:szCs w:val="21"/>
                <w:shd w:val="clear" w:fill="FFFFFF"/>
              </w:rPr>
              <w:t>http://gzgk.365bidding.com/</w:t>
            </w:r>
            <w:r>
              <w:rPr>
                <w:rFonts w:hint="eastAsia"/>
                <w:color w:val="auto"/>
                <w:szCs w:val="21"/>
                <w:lang w:val="en-US" w:eastAsia="zh-CN"/>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（1）营业执照（或事业法人登记证或身份证等相关证明）复印件。</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（2）法定代表人或企业负责人资格证明书及其身份证（正反面）（详细见报价文件格式）；</w:t>
            </w:r>
          </w:p>
          <w:p>
            <w:pPr>
              <w:autoSpaceDE w:val="0"/>
              <w:autoSpaceDN w:val="0"/>
              <w:adjustRightInd w:val="0"/>
              <w:spacing w:line="440" w:lineRule="exact"/>
              <w:outlineLvl w:val="2"/>
              <w:rPr>
                <w:rFonts w:hint="eastAsia" w:cs="Tahoma"/>
                <w:color w:val="auto"/>
                <w:szCs w:val="21"/>
              </w:rPr>
            </w:pPr>
            <w:r>
              <w:rPr>
                <w:rFonts w:hint="eastAsia"/>
                <w:color w:val="auto"/>
                <w:szCs w:val="21"/>
                <w:lang w:val="en-US" w:eastAsia="zh-CN"/>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hint="default" w:eastAsia="宋体"/>
                <w:b/>
                <w:color w:val="auto"/>
                <w:szCs w:val="21"/>
                <w:lang w:val="en-US" w:eastAsia="zh-CN"/>
              </w:rPr>
            </w:pPr>
            <w:r>
              <w:rPr>
                <w:rFonts w:hint="eastAsia"/>
                <w:b/>
                <w:color w:val="auto"/>
                <w:szCs w:val="21"/>
              </w:rPr>
              <w:t>供应商资格要求</w:t>
            </w:r>
            <w:r>
              <w:rPr>
                <w:rFonts w:hint="eastAsia"/>
                <w:b/>
                <w:color w:val="auto"/>
                <w:szCs w:val="21"/>
                <w:lang w:val="en-US" w:eastAsia="zh-CN"/>
              </w:rPr>
              <w:t>及响应要求</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color w:val="auto"/>
                <w:szCs w:val="21"/>
              </w:rPr>
            </w:pPr>
            <w:r>
              <w:rPr>
                <w:rFonts w:hint="eastAsia"/>
                <w:color w:val="auto"/>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color w:val="auto"/>
                <w:szCs w:val="21"/>
              </w:rPr>
              <w:t>响应</w:t>
            </w:r>
            <w:r>
              <w:rPr>
                <w:rFonts w:hint="eastAsia"/>
                <w:color w:val="auto"/>
                <w:szCs w:val="21"/>
              </w:rPr>
              <w:t>的，须提供总公司和分公司营业执照副本复印件，总公司出具给分支机构的授权书。</w:t>
            </w:r>
          </w:p>
          <w:p>
            <w:pPr>
              <w:autoSpaceDE w:val="0"/>
              <w:autoSpaceDN w:val="0"/>
              <w:adjustRightInd w:val="0"/>
              <w:spacing w:line="440" w:lineRule="exact"/>
              <w:outlineLvl w:val="2"/>
              <w:rPr>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rFonts w:hint="eastAsia"/>
                <w:color w:val="auto"/>
                <w:szCs w:val="21"/>
              </w:rPr>
              <w:t>参加政府采购活动前3年内在经营活动中没有重大违法记录的书面声明；</w:t>
            </w:r>
          </w:p>
          <w:p>
            <w:pPr>
              <w:autoSpaceDE w:val="0"/>
              <w:autoSpaceDN w:val="0"/>
              <w:adjustRightInd w:val="0"/>
              <w:spacing w:line="440" w:lineRule="exact"/>
              <w:outlineLvl w:val="2"/>
              <w:rPr>
                <w:rFonts w:hint="eastAsia"/>
                <w:color w:val="auto"/>
                <w:szCs w:val="21"/>
              </w:rPr>
            </w:pPr>
            <w:r>
              <w:rPr>
                <w:rFonts w:hint="eastAsia"/>
                <w:color w:val="auto"/>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textAlignment w:val="baseline"/>
              <w:rPr>
                <w:rFonts w:hint="default" w:ascii="Times New Roman" w:hAnsi="Times New Roman" w:eastAsia="宋体" w:cs="Times New Roman"/>
                <w:b/>
                <w:bCs/>
                <w:i w:val="0"/>
                <w:iCs w:val="0"/>
                <w:caps w:val="0"/>
                <w:color w:val="auto"/>
                <w:spacing w:val="0"/>
                <w:kern w:val="2"/>
                <w:sz w:val="21"/>
                <w:szCs w:val="21"/>
                <w:shd w:val="clear" w:fill="auto"/>
                <w:vertAlign w:val="baseline"/>
                <w:lang w:val="en-US" w:eastAsia="zh-CN"/>
              </w:rPr>
            </w:pPr>
            <w:r>
              <w:rPr>
                <w:rFonts w:hint="eastAsia" w:ascii="Times New Roman" w:hAnsi="Times New Roman" w:cs="Times New Roman"/>
                <w:b/>
                <w:bCs/>
                <w:i w:val="0"/>
                <w:iCs w:val="0"/>
                <w:caps w:val="0"/>
                <w:color w:val="auto"/>
                <w:spacing w:val="0"/>
                <w:kern w:val="2"/>
                <w:sz w:val="21"/>
                <w:szCs w:val="21"/>
                <w:shd w:val="clear" w:fill="auto"/>
                <w:vertAlign w:val="baseline"/>
                <w:lang w:eastAsia="zh-CN"/>
              </w:rPr>
              <w:t>（</w:t>
            </w:r>
            <w:r>
              <w:rPr>
                <w:rFonts w:hint="eastAsia" w:ascii="Times New Roman" w:hAnsi="Times New Roman" w:cs="Times New Roman"/>
                <w:b/>
                <w:bCs/>
                <w:i w:val="0"/>
                <w:iCs w:val="0"/>
                <w:caps w:val="0"/>
                <w:color w:val="auto"/>
                <w:spacing w:val="0"/>
                <w:kern w:val="2"/>
                <w:sz w:val="21"/>
                <w:szCs w:val="21"/>
                <w:shd w:val="clear" w:fill="auto"/>
                <w:vertAlign w:val="baseline"/>
                <w:lang w:val="en-US" w:eastAsia="zh-CN"/>
              </w:rPr>
              <w:t>4</w:t>
            </w:r>
            <w:r>
              <w:rPr>
                <w:rFonts w:hint="eastAsia" w:ascii="Times New Roman" w:hAnsi="Times New Roman" w:cs="Times New Roman"/>
                <w:b/>
                <w:bCs/>
                <w:i w:val="0"/>
                <w:iCs w:val="0"/>
                <w:caps w:val="0"/>
                <w:color w:val="auto"/>
                <w:spacing w:val="0"/>
                <w:kern w:val="2"/>
                <w:sz w:val="21"/>
                <w:szCs w:val="21"/>
                <w:shd w:val="clear" w:fill="auto"/>
                <w:vertAlign w:val="baseline"/>
                <w:lang w:eastAsia="zh-CN"/>
              </w:rPr>
              <w:t>）</w:t>
            </w:r>
            <w:r>
              <w:rPr>
                <w:rFonts w:hint="eastAsia" w:ascii="Times New Roman" w:hAnsi="Times New Roman" w:eastAsia="宋体" w:cs="Times New Roman"/>
                <w:b/>
                <w:bCs/>
                <w:i w:val="0"/>
                <w:iCs w:val="0"/>
                <w:caps w:val="0"/>
                <w:color w:val="auto"/>
                <w:spacing w:val="0"/>
                <w:kern w:val="2"/>
                <w:sz w:val="21"/>
                <w:szCs w:val="21"/>
                <w:shd w:val="clear" w:fill="auto"/>
                <w:vertAlign w:val="baseline"/>
                <w:lang w:eastAsia="zh-CN"/>
              </w:rPr>
              <w:t>供应商必须具有有效的《广东省安全技术防范系统设计、施工、维修资格证》（资质等级：</w:t>
            </w:r>
            <w:r>
              <w:rPr>
                <w:rFonts w:hint="eastAsia" w:ascii="Times New Roman" w:hAnsi="Times New Roman" w:cs="Times New Roman"/>
                <w:b/>
                <w:bCs/>
                <w:i w:val="0"/>
                <w:iCs w:val="0"/>
                <w:caps w:val="0"/>
                <w:color w:val="auto"/>
                <w:spacing w:val="0"/>
                <w:kern w:val="2"/>
                <w:sz w:val="21"/>
                <w:szCs w:val="21"/>
                <w:shd w:val="clear" w:fill="auto"/>
                <w:vertAlign w:val="baseline"/>
                <w:lang w:val="en-US" w:eastAsia="zh-CN"/>
              </w:rPr>
              <w:t>四</w:t>
            </w:r>
            <w:r>
              <w:rPr>
                <w:rFonts w:hint="eastAsia" w:ascii="Times New Roman" w:hAnsi="Times New Roman" w:eastAsia="宋体" w:cs="Times New Roman"/>
                <w:b/>
                <w:bCs/>
                <w:i w:val="0"/>
                <w:iCs w:val="0"/>
                <w:caps w:val="0"/>
                <w:color w:val="auto"/>
                <w:spacing w:val="0"/>
                <w:kern w:val="2"/>
                <w:sz w:val="21"/>
                <w:szCs w:val="21"/>
                <w:shd w:val="clear" w:fill="auto"/>
                <w:vertAlign w:val="baseline"/>
                <w:lang w:eastAsia="zh-CN"/>
              </w:rPr>
              <w:t>级或以上），或者有效的</w:t>
            </w:r>
            <w:r>
              <w:rPr>
                <w:rFonts w:hint="eastAsia" w:ascii="Times New Roman" w:hAnsi="Times New Roman" w:eastAsia="宋体" w:cs="Times New Roman"/>
                <w:b/>
                <w:bCs/>
                <w:i w:val="0"/>
                <w:iCs w:val="0"/>
                <w:caps w:val="0"/>
                <w:color w:val="auto"/>
                <w:spacing w:val="0"/>
                <w:kern w:val="2"/>
                <w:sz w:val="21"/>
                <w:szCs w:val="21"/>
                <w:shd w:val="clear" w:fill="auto"/>
                <w:vertAlign w:val="baseline"/>
                <w:lang w:val="en-US" w:eastAsia="zh-CN"/>
              </w:rPr>
              <w:t>广东省公安厅的备案证明</w:t>
            </w:r>
            <w:r>
              <w:rPr>
                <w:rFonts w:hint="eastAsia" w:ascii="Times New Roman" w:hAnsi="Times New Roman" w:eastAsia="宋体" w:cs="Times New Roman"/>
                <w:b/>
                <w:bCs/>
                <w:i w:val="0"/>
                <w:iCs w:val="0"/>
                <w:caps w:val="0"/>
                <w:color w:val="auto"/>
                <w:spacing w:val="0"/>
                <w:kern w:val="2"/>
                <w:sz w:val="21"/>
                <w:szCs w:val="21"/>
                <w:shd w:val="clear" w:fill="auto"/>
                <w:vertAlign w:val="baseline"/>
                <w:lang w:eastAsia="zh-CN"/>
              </w:rPr>
              <w:t>（备案等级：</w:t>
            </w:r>
            <w:r>
              <w:rPr>
                <w:rFonts w:hint="eastAsia" w:ascii="Times New Roman" w:hAnsi="Times New Roman" w:cs="Times New Roman"/>
                <w:b/>
                <w:bCs/>
                <w:i w:val="0"/>
                <w:iCs w:val="0"/>
                <w:caps w:val="0"/>
                <w:color w:val="auto"/>
                <w:spacing w:val="0"/>
                <w:kern w:val="2"/>
                <w:sz w:val="21"/>
                <w:szCs w:val="21"/>
                <w:shd w:val="clear" w:fill="auto"/>
                <w:vertAlign w:val="baseline"/>
                <w:lang w:val="en-US" w:eastAsia="zh-CN"/>
              </w:rPr>
              <w:t>四</w:t>
            </w:r>
            <w:r>
              <w:rPr>
                <w:rFonts w:hint="eastAsia" w:ascii="Times New Roman" w:hAnsi="Times New Roman" w:eastAsia="宋体" w:cs="Times New Roman"/>
                <w:b/>
                <w:bCs/>
                <w:i w:val="0"/>
                <w:iCs w:val="0"/>
                <w:caps w:val="0"/>
                <w:color w:val="auto"/>
                <w:spacing w:val="0"/>
                <w:kern w:val="2"/>
                <w:sz w:val="21"/>
                <w:szCs w:val="21"/>
                <w:shd w:val="clear" w:fill="auto"/>
                <w:vertAlign w:val="baseline"/>
                <w:lang w:eastAsia="zh-CN"/>
              </w:rPr>
              <w:t>级或以上），</w:t>
            </w:r>
            <w:r>
              <w:rPr>
                <w:rFonts w:hint="eastAsia" w:ascii="Times New Roman" w:hAnsi="Times New Roman" w:cs="Times New Roman"/>
                <w:b/>
                <w:bCs/>
                <w:i w:val="0"/>
                <w:iCs w:val="0"/>
                <w:caps w:val="0"/>
                <w:color w:val="auto"/>
                <w:spacing w:val="0"/>
                <w:kern w:val="2"/>
                <w:sz w:val="21"/>
                <w:szCs w:val="21"/>
                <w:shd w:val="clear" w:fill="auto"/>
                <w:vertAlign w:val="baseline"/>
                <w:lang w:val="en-US" w:eastAsia="zh-CN"/>
              </w:rPr>
              <w:t>响应</w:t>
            </w:r>
            <w:r>
              <w:rPr>
                <w:rFonts w:hint="eastAsia" w:ascii="Times New Roman" w:hAnsi="Times New Roman" w:eastAsia="宋体" w:cs="Times New Roman"/>
                <w:b/>
                <w:bCs/>
                <w:i w:val="0"/>
                <w:iCs w:val="0"/>
                <w:caps w:val="0"/>
                <w:color w:val="auto"/>
                <w:spacing w:val="0"/>
                <w:kern w:val="2"/>
                <w:sz w:val="21"/>
                <w:szCs w:val="21"/>
                <w:shd w:val="clear" w:fill="auto"/>
                <w:vertAlign w:val="baseline"/>
                <w:lang w:eastAsia="zh-CN"/>
              </w:rPr>
              <w:t>时提供相关证明文件复印件</w:t>
            </w:r>
            <w:r>
              <w:rPr>
                <w:rFonts w:hint="eastAsia" w:ascii="Times New Roman" w:hAnsi="Times New Roman" w:cs="Times New Roman"/>
                <w:b/>
                <w:bCs/>
                <w:i w:val="0"/>
                <w:iCs w:val="0"/>
                <w:caps w:val="0"/>
                <w:color w:val="auto"/>
                <w:spacing w:val="0"/>
                <w:kern w:val="2"/>
                <w:sz w:val="21"/>
                <w:szCs w:val="21"/>
                <w:shd w:val="clear" w:fill="auto"/>
                <w:vertAlign w:val="baseline"/>
                <w:lang w:eastAsia="zh-CN"/>
              </w:rPr>
              <w:t>。</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textAlignment w:val="baseline"/>
              <w:rPr>
                <w:rFonts w:hint="eastAsia" w:ascii="Times New Roman" w:hAnsi="Times New Roman" w:cs="Times New Roman"/>
                <w:color w:val="auto"/>
                <w:kern w:val="2"/>
                <w:sz w:val="21"/>
                <w:szCs w:val="21"/>
              </w:rPr>
            </w:pPr>
            <w:r>
              <w:rPr>
                <w:rFonts w:hint="eastAsia" w:ascii="Times New Roman" w:hAnsi="Times New Roman" w:cs="Times New Roman"/>
                <w:i w:val="0"/>
                <w:iCs w:val="0"/>
                <w:caps w:val="0"/>
                <w:color w:val="auto"/>
                <w:spacing w:val="0"/>
                <w:kern w:val="2"/>
                <w:sz w:val="21"/>
                <w:szCs w:val="21"/>
                <w:shd w:val="clear" w:fill="auto"/>
                <w:vertAlign w:val="baseline"/>
                <w:lang w:eastAsia="zh-CN"/>
              </w:rPr>
              <w:t>（</w:t>
            </w:r>
            <w:r>
              <w:rPr>
                <w:rFonts w:hint="eastAsia" w:ascii="Times New Roman" w:hAnsi="Times New Roman" w:cs="Times New Roman"/>
                <w:i w:val="0"/>
                <w:iCs w:val="0"/>
                <w:caps w:val="0"/>
                <w:color w:val="auto"/>
                <w:spacing w:val="0"/>
                <w:kern w:val="2"/>
                <w:sz w:val="21"/>
                <w:szCs w:val="21"/>
                <w:shd w:val="clear" w:fill="auto"/>
                <w:vertAlign w:val="baseline"/>
                <w:lang w:val="en-US" w:eastAsia="zh-CN"/>
              </w:rPr>
              <w:t>5</w:t>
            </w:r>
            <w:r>
              <w:rPr>
                <w:rFonts w:hint="eastAsia" w:ascii="Times New Roman" w:hAnsi="Times New Roman" w:cs="Times New Roman"/>
                <w:i w:val="0"/>
                <w:iCs w:val="0"/>
                <w:caps w:val="0"/>
                <w:color w:val="auto"/>
                <w:spacing w:val="0"/>
                <w:kern w:val="2"/>
                <w:sz w:val="21"/>
                <w:szCs w:val="21"/>
                <w:shd w:val="clear" w:fill="auto"/>
                <w:vertAlign w:val="baseline"/>
                <w:lang w:eastAsia="zh-CN"/>
              </w:rPr>
              <w:t>）</w:t>
            </w:r>
            <w:r>
              <w:rPr>
                <w:rFonts w:hint="eastAsia" w:ascii="Times New Roman" w:hAnsi="Times New Roman" w:eastAsia="宋体" w:cs="Times New Roman"/>
                <w:i w:val="0"/>
                <w:iCs w:val="0"/>
                <w:caps w:val="0"/>
                <w:color w:val="auto"/>
                <w:spacing w:val="0"/>
                <w:kern w:val="2"/>
                <w:sz w:val="21"/>
                <w:szCs w:val="21"/>
                <w:shd w:val="clear" w:fill="auto"/>
                <w:vertAlign w:val="baseline"/>
                <w:lang w:eastAsia="zh-CN"/>
              </w:rPr>
              <w:t>关于联合体</w:t>
            </w:r>
            <w:r>
              <w:rPr>
                <w:rFonts w:hint="eastAsia" w:ascii="Times New Roman" w:hAnsi="Times New Roman" w:cs="Times New Roman"/>
                <w:i w:val="0"/>
                <w:iCs w:val="0"/>
                <w:caps w:val="0"/>
                <w:color w:val="auto"/>
                <w:spacing w:val="0"/>
                <w:kern w:val="2"/>
                <w:sz w:val="21"/>
                <w:szCs w:val="21"/>
                <w:shd w:val="clear" w:fill="auto"/>
                <w:vertAlign w:val="baseline"/>
                <w:lang w:val="en-US" w:eastAsia="zh-CN"/>
              </w:rPr>
              <w:t>响应</w:t>
            </w:r>
            <w:r>
              <w:rPr>
                <w:rFonts w:hint="eastAsia" w:ascii="Times New Roman" w:hAnsi="Times New Roman" w:eastAsia="宋体" w:cs="Times New Roman"/>
                <w:i w:val="0"/>
                <w:iCs w:val="0"/>
                <w:caps w:val="0"/>
                <w:color w:val="auto"/>
                <w:spacing w:val="0"/>
                <w:kern w:val="2"/>
                <w:sz w:val="21"/>
                <w:szCs w:val="21"/>
                <w:shd w:val="clear" w:fill="auto"/>
                <w:vertAlign w:val="baseline"/>
                <w:lang w:eastAsia="zh-CN"/>
              </w:rPr>
              <w:t>：本项目不接受联合体</w:t>
            </w:r>
            <w:r>
              <w:rPr>
                <w:rFonts w:hint="eastAsia" w:ascii="Times New Roman" w:hAnsi="Times New Roman" w:cs="Times New Roman"/>
                <w:i w:val="0"/>
                <w:iCs w:val="0"/>
                <w:caps w:val="0"/>
                <w:color w:val="auto"/>
                <w:spacing w:val="0"/>
                <w:kern w:val="2"/>
                <w:sz w:val="21"/>
                <w:szCs w:val="21"/>
                <w:shd w:val="clear" w:fill="auto"/>
                <w:vertAlign w:val="baseline"/>
                <w:lang w:val="en-US" w:eastAsia="zh-CN"/>
              </w:rPr>
              <w:t>响应</w:t>
            </w:r>
            <w:r>
              <w:rPr>
                <w:rFonts w:hint="eastAsia" w:ascii="Times New Roman" w:hAnsi="Times New Roman" w:eastAsia="宋体" w:cs="Times New Roman"/>
                <w:i w:val="0"/>
                <w:iCs w:val="0"/>
                <w:caps w:val="0"/>
                <w:color w:val="auto"/>
                <w:spacing w:val="0"/>
                <w:kern w:val="2"/>
                <w:sz w:val="21"/>
                <w:szCs w:val="21"/>
                <w:shd w:val="clear" w:fill="auto"/>
                <w:vertAlign w:val="baseline"/>
                <w:lang w:eastAsia="zh-CN"/>
              </w:rPr>
              <w:t>。</w:t>
            </w:r>
          </w:p>
          <w:p>
            <w:pPr>
              <w:autoSpaceDE w:val="0"/>
              <w:autoSpaceDN w:val="0"/>
              <w:adjustRightInd w:val="0"/>
              <w:spacing w:line="440" w:lineRule="exact"/>
              <w:outlineLvl w:val="2"/>
              <w:rPr>
                <w:b/>
                <w:bCs/>
                <w:color w:val="auto"/>
                <w:szCs w:val="21"/>
              </w:rPr>
            </w:pPr>
            <w:r>
              <w:rPr>
                <w:rFonts w:hint="eastAsia"/>
                <w:b/>
                <w:bCs/>
                <w:color w:val="auto"/>
                <w:szCs w:val="21"/>
              </w:rPr>
              <w:t>注：参与竞价的供应商</w:t>
            </w:r>
            <w:r>
              <w:rPr>
                <w:rFonts w:hint="eastAsia"/>
                <w:b/>
                <w:bCs/>
                <w:color w:val="auto"/>
                <w:szCs w:val="21"/>
                <w:lang w:val="en-US" w:eastAsia="zh-CN"/>
              </w:rPr>
              <w:t>报名</w:t>
            </w:r>
            <w:r>
              <w:rPr>
                <w:rFonts w:hint="eastAsia"/>
                <w:b/>
                <w:bCs/>
                <w:color w:val="auto"/>
                <w:szCs w:val="21"/>
              </w:rPr>
              <w:t>时需要提供以下盖章资料，并对上传的</w:t>
            </w:r>
            <w:r>
              <w:rPr>
                <w:rFonts w:hint="eastAsia"/>
                <w:b/>
                <w:bCs/>
                <w:color w:val="auto"/>
                <w:szCs w:val="21"/>
                <w:lang w:val="en-US" w:eastAsia="zh-CN"/>
              </w:rPr>
              <w:t>响应</w:t>
            </w:r>
            <w:r>
              <w:rPr>
                <w:rFonts w:hint="eastAsia"/>
                <w:b/>
                <w:bCs/>
                <w:color w:val="auto"/>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4</w:t>
            </w:r>
            <w:r>
              <w:rPr>
                <w:rFonts w:hint="eastAsia"/>
                <w:color w:val="auto"/>
                <w:szCs w:val="21"/>
              </w:rPr>
              <w:t>）参加政府采购活动前3年内在经营活动中没有重大违法记录的书面声明（承诺函）；</w:t>
            </w:r>
          </w:p>
          <w:p>
            <w:pPr>
              <w:autoSpaceDE w:val="0"/>
              <w:autoSpaceDN w:val="0"/>
              <w:adjustRightInd w:val="0"/>
              <w:spacing w:line="440" w:lineRule="exact"/>
              <w:ind w:firstLine="420" w:firstLineChars="200"/>
              <w:outlineLvl w:val="2"/>
              <w:rPr>
                <w:rFonts w:hint="eastAsia"/>
                <w:color w:val="auto"/>
                <w:szCs w:val="21"/>
              </w:rPr>
            </w:pPr>
            <w:r>
              <w:rPr>
                <w:rFonts w:hint="eastAsia"/>
                <w:color w:val="auto"/>
                <w:szCs w:val="21"/>
                <w:lang w:val="en-US" w:eastAsia="zh-CN"/>
              </w:rPr>
              <w:t>5</w:t>
            </w:r>
            <w:r>
              <w:rPr>
                <w:rFonts w:hint="eastAsia"/>
                <w:color w:val="auto"/>
                <w:szCs w:val="21"/>
              </w:rPr>
              <w:t>）如非法定代表人或企业负责人参加，则须同时提交法定代表人或企业负责人的授权委托书及其被授权人身份证（正反面）（详细见报价文件格式）；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0" w:firstLineChars="200"/>
              <w:outlineLvl w:val="2"/>
              <w:rPr>
                <w:rFonts w:hint="default" w:ascii="Times New Roman" w:hAnsi="Times New Roman" w:cs="Times New Roman"/>
                <w:color w:val="auto"/>
                <w:szCs w:val="21"/>
                <w:lang w:val="en-US" w:eastAsia="zh-CN"/>
              </w:rPr>
            </w:pPr>
            <w:r>
              <w:rPr>
                <w:rFonts w:hint="eastAsia"/>
                <w:color w:val="auto"/>
                <w:szCs w:val="21"/>
                <w:lang w:val="en-US" w:eastAsia="zh-CN"/>
              </w:rPr>
              <w:t>6</w:t>
            </w:r>
            <w:r>
              <w:rPr>
                <w:rFonts w:hint="eastAsia"/>
                <w:color w:val="auto"/>
                <w:szCs w:val="21"/>
              </w:rPr>
              <w:t>）</w:t>
            </w:r>
            <w:r>
              <w:rPr>
                <w:rFonts w:hint="eastAsia" w:ascii="Times New Roman" w:hAnsi="Times New Roman" w:cs="Times New Roman"/>
                <w:color w:val="auto"/>
                <w:szCs w:val="21"/>
                <w:lang w:val="en-US" w:eastAsia="zh-CN"/>
              </w:rPr>
              <w:t>有效的《广东省安全技术防范系统设计、施工、维修资格证》（资质等级：</w:t>
            </w:r>
            <w:r>
              <w:rPr>
                <w:rFonts w:hint="eastAsia" w:cs="Times New Roman"/>
                <w:color w:val="auto"/>
                <w:szCs w:val="21"/>
                <w:lang w:val="en-US" w:eastAsia="zh-CN"/>
              </w:rPr>
              <w:t>四</w:t>
            </w:r>
            <w:r>
              <w:rPr>
                <w:rFonts w:hint="eastAsia" w:ascii="Times New Roman" w:hAnsi="Times New Roman" w:cs="Times New Roman"/>
                <w:color w:val="auto"/>
                <w:szCs w:val="21"/>
                <w:lang w:val="en-US" w:eastAsia="zh-CN"/>
              </w:rPr>
              <w:t>级或以上），或者有效的广东省公安厅的备案证明（备案等级：</w:t>
            </w:r>
            <w:r>
              <w:rPr>
                <w:rFonts w:hint="eastAsia" w:cs="Times New Roman"/>
                <w:color w:val="auto"/>
                <w:szCs w:val="21"/>
                <w:lang w:val="en-US" w:eastAsia="zh-CN"/>
              </w:rPr>
              <w:t>四</w:t>
            </w:r>
            <w:r>
              <w:rPr>
                <w:rFonts w:hint="eastAsia" w:ascii="Times New Roman" w:hAnsi="Times New Roman" w:cs="Times New Roman"/>
                <w:color w:val="auto"/>
                <w:szCs w:val="21"/>
                <w:lang w:val="en-US" w:eastAsia="zh-CN"/>
              </w:rPr>
              <w:t>级或以上）。</w:t>
            </w:r>
          </w:p>
          <w:p>
            <w:pPr>
              <w:autoSpaceDE w:val="0"/>
              <w:autoSpaceDN w:val="0"/>
              <w:adjustRightInd w:val="0"/>
              <w:spacing w:line="440" w:lineRule="exact"/>
              <w:ind w:firstLine="422" w:firstLineChars="200"/>
              <w:outlineLvl w:val="2"/>
              <w:rPr>
                <w:color w:val="auto"/>
                <w:szCs w:val="21"/>
              </w:rPr>
            </w:pPr>
            <w:r>
              <w:rPr>
                <w:rFonts w:hint="eastAsia"/>
                <w:b/>
                <w:bCs/>
                <w:color w:val="auto"/>
                <w:szCs w:val="21"/>
                <w:lang w:val="en-US" w:eastAsia="zh-CN"/>
              </w:rPr>
              <w:t>7</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报价要求</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color w:val="auto"/>
                <w:szCs w:val="21"/>
              </w:rPr>
            </w:pPr>
            <w:r>
              <w:rPr>
                <w:rFonts w:hint="eastAsia"/>
                <w:color w:val="auto"/>
                <w:szCs w:val="21"/>
              </w:rPr>
              <w:t>通过报名供应商应根据本公告要求，在规定的竞价时间内对采购项目进行报价，同时按本公告要求完整、真实、准确地填写并上传相应报价附件</w:t>
            </w:r>
            <w:r>
              <w:rPr>
                <w:rFonts w:hint="eastAsia"/>
                <w:color w:val="auto"/>
                <w:szCs w:val="21"/>
                <w:lang w:eastAsia="zh-CN"/>
              </w:rPr>
              <w:t>，</w:t>
            </w:r>
            <w:r>
              <w:rPr>
                <w:rFonts w:hint="eastAsia"/>
                <w:color w:val="auto"/>
                <w:szCs w:val="21"/>
              </w:rPr>
              <w:t>符合要求的供应商在</w:t>
            </w:r>
            <w:r>
              <w:rPr>
                <w:rFonts w:hint="eastAsia"/>
                <w:bCs/>
                <w:color w:val="auto"/>
                <w:szCs w:val="21"/>
                <w:lang w:eastAsia="zh-CN"/>
              </w:rPr>
              <w:t>2023年12月XX日09:00:00起至2023年12月XX日12:00:0</w:t>
            </w:r>
            <w:r>
              <w:rPr>
                <w:rFonts w:hint="eastAsia"/>
                <w:bCs/>
                <w:color w:val="auto"/>
                <w:szCs w:val="21"/>
                <w:lang w:val="en-US" w:eastAsia="zh-CN"/>
              </w:rPr>
              <w:t>0之间</w:t>
            </w:r>
            <w:r>
              <w:rPr>
                <w:rFonts w:hint="eastAsia"/>
                <w:color w:val="auto"/>
                <w:szCs w:val="21"/>
              </w:rPr>
              <w:t>将以下报价文件材料加盖供应商单位公章后扫描上传至本项目智采平台系统。超时智采平台系统将自动关闭上传窗口。</w:t>
            </w:r>
            <w:r>
              <w:rPr>
                <w:rFonts w:hint="eastAsia"/>
                <w:b/>
                <w:color w:val="auto"/>
                <w:szCs w:val="21"/>
              </w:rPr>
              <w:t>（报价时需要提供以下盖章资料，并对上传的竞价文件资料承担责任）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w:t>
            </w:r>
            <w:r>
              <w:rPr>
                <w:rFonts w:hint="eastAsia"/>
                <w:b/>
                <w:bCs/>
                <w:color w:val="auto"/>
                <w:szCs w:val="21"/>
              </w:rPr>
              <w:t>报价表</w:t>
            </w:r>
            <w:r>
              <w:rPr>
                <w:rFonts w:hint="eastAsia"/>
                <w:color w:val="auto"/>
                <w:szCs w:val="21"/>
              </w:rPr>
              <w:t>。</w:t>
            </w:r>
          </w:p>
          <w:p>
            <w:pPr>
              <w:autoSpaceDE w:val="0"/>
              <w:autoSpaceDN w:val="0"/>
              <w:adjustRightInd w:val="0"/>
              <w:spacing w:line="440" w:lineRule="exact"/>
              <w:ind w:firstLine="420" w:firstLineChars="200"/>
              <w:outlineLvl w:val="2"/>
              <w:rPr>
                <w:b/>
                <w:bCs/>
                <w:color w:val="auto"/>
                <w:szCs w:val="21"/>
              </w:rPr>
            </w:pPr>
            <w:r>
              <w:rPr>
                <w:rFonts w:hint="eastAsia"/>
                <w:color w:val="auto"/>
                <w:szCs w:val="21"/>
              </w:rPr>
              <w:t>2.</w:t>
            </w:r>
            <w:r>
              <w:rPr>
                <w:rFonts w:hint="eastAsia"/>
                <w:b/>
                <w:bCs/>
                <w:color w:val="auto"/>
                <w:szCs w:val="21"/>
              </w:rPr>
              <w:t>响应文件盖章版扫描件</w:t>
            </w:r>
            <w:r>
              <w:rPr>
                <w:rFonts w:hint="eastAsia"/>
                <w:color w:val="auto"/>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color w:val="auto"/>
                <w:szCs w:val="21"/>
              </w:rPr>
            </w:pPr>
            <w:r>
              <w:rPr>
                <w:rFonts w:hint="eastAsia"/>
                <w:b/>
                <w:color w:val="auto"/>
                <w:szCs w:val="21"/>
              </w:rPr>
              <w:t>联系方式</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1.采购单位：</w:t>
            </w:r>
          </w:p>
          <w:p>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名称：</w:t>
            </w:r>
            <w:r>
              <w:rPr>
                <w:rFonts w:hint="eastAsia"/>
                <w:color w:val="auto"/>
                <w:szCs w:val="21"/>
                <w:lang w:eastAsia="zh-CN"/>
              </w:rPr>
              <w:t>广东省女子监狱</w:t>
            </w:r>
          </w:p>
          <w:p>
            <w:pPr>
              <w:autoSpaceDE w:val="0"/>
              <w:autoSpaceDN w:val="0"/>
              <w:adjustRightInd w:val="0"/>
              <w:spacing w:line="440" w:lineRule="exact"/>
              <w:outlineLvl w:val="2"/>
              <w:rPr>
                <w:color w:val="auto"/>
                <w:szCs w:val="21"/>
              </w:rPr>
            </w:pPr>
            <w:r>
              <w:rPr>
                <w:rFonts w:hint="eastAsia"/>
                <w:color w:val="auto"/>
                <w:szCs w:val="21"/>
              </w:rPr>
              <w:t>地址：广州市广从四路52号</w:t>
            </w:r>
          </w:p>
          <w:p>
            <w:pPr>
              <w:numPr>
                <w:ilvl w:val="0"/>
                <w:numId w:val="1"/>
              </w:numPr>
              <w:autoSpaceDE w:val="0"/>
              <w:autoSpaceDN w:val="0"/>
              <w:adjustRightInd w:val="0"/>
              <w:spacing w:line="440" w:lineRule="exact"/>
              <w:outlineLvl w:val="2"/>
              <w:rPr>
                <w:color w:val="auto"/>
                <w:szCs w:val="21"/>
              </w:rPr>
            </w:pPr>
            <w:r>
              <w:rPr>
                <w:rFonts w:hint="eastAsia"/>
                <w:color w:val="auto"/>
                <w:szCs w:val="21"/>
              </w:rPr>
              <w:t>代理机构：</w:t>
            </w:r>
          </w:p>
          <w:p>
            <w:pPr>
              <w:autoSpaceDE w:val="0"/>
              <w:autoSpaceDN w:val="0"/>
              <w:adjustRightInd w:val="0"/>
              <w:spacing w:line="440" w:lineRule="exact"/>
              <w:outlineLvl w:val="2"/>
              <w:rPr>
                <w:color w:val="auto"/>
                <w:szCs w:val="21"/>
              </w:rPr>
            </w:pPr>
            <w:r>
              <w:rPr>
                <w:rFonts w:hint="eastAsia"/>
                <w:color w:val="auto"/>
                <w:szCs w:val="21"/>
              </w:rPr>
              <w:t>名称：广州市国科招标代理有限公司</w:t>
            </w:r>
          </w:p>
          <w:p>
            <w:pPr>
              <w:pStyle w:val="66"/>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pPr>
              <w:pStyle w:val="2"/>
              <w:spacing w:line="440" w:lineRule="exact"/>
              <w:ind w:firstLine="0"/>
              <w:rPr>
                <w:rFonts w:hint="eastAsia" w:ascii="宋体" w:hAnsi="宋体" w:eastAsia="宋体" w:cs="宋体"/>
                <w:color w:val="auto"/>
                <w:kern w:val="0"/>
                <w:szCs w:val="21"/>
                <w:lang w:eastAsia="zh-CN"/>
              </w:rPr>
            </w:pPr>
            <w:r>
              <w:rPr>
                <w:rFonts w:hint="eastAsia" w:ascii="宋体" w:hAnsi="宋体" w:cs="宋体"/>
                <w:color w:val="auto"/>
                <w:kern w:val="0"/>
                <w:szCs w:val="21"/>
              </w:rPr>
              <w:t>项目联系人：郭先生、陈小姐</w:t>
            </w:r>
          </w:p>
          <w:p>
            <w:pPr>
              <w:pStyle w:val="2"/>
              <w:spacing w:line="440" w:lineRule="exact"/>
              <w:ind w:firstLine="0"/>
              <w:rPr>
                <w:rFonts w:ascii="宋体" w:hAnsi="宋体" w:cs="宋体"/>
                <w:color w:val="auto"/>
                <w:kern w:val="0"/>
                <w:szCs w:val="21"/>
              </w:rPr>
            </w:pPr>
            <w:r>
              <w:rPr>
                <w:rFonts w:hint="eastAsia" w:ascii="宋体" w:hAnsi="宋体" w:cs="宋体"/>
                <w:color w:val="auto"/>
                <w:kern w:val="0"/>
                <w:szCs w:val="21"/>
              </w:rPr>
              <w:t>电话：020-87687427、020-87688049</w:t>
            </w:r>
          </w:p>
        </w:tc>
      </w:tr>
    </w:tbl>
    <w:p>
      <w:pPr>
        <w:shd w:val="clear" w:color="auto" w:fill="FFFFFF"/>
        <w:spacing w:line="420" w:lineRule="atLeast"/>
        <w:jc w:val="right"/>
        <w:rPr>
          <w:color w:val="auto"/>
          <w:szCs w:val="21"/>
        </w:rPr>
      </w:pPr>
      <w:r>
        <w:rPr>
          <w:rFonts w:hint="eastAsia"/>
          <w:color w:val="auto"/>
          <w:szCs w:val="21"/>
        </w:rPr>
        <w:t>广州市国科招标代理有限公司</w:t>
      </w:r>
    </w:p>
    <w:p>
      <w:pPr>
        <w:shd w:val="clear" w:color="auto" w:fill="FFFFFF"/>
        <w:wordWrap w:val="0"/>
        <w:spacing w:line="420" w:lineRule="atLeast"/>
        <w:jc w:val="right"/>
        <w:rPr>
          <w:rFonts w:hint="eastAsia" w:eastAsia="宋体"/>
          <w:color w:val="auto"/>
          <w:szCs w:val="21"/>
          <w:lang w:eastAsia="zh-CN"/>
        </w:rPr>
      </w:pPr>
      <w:r>
        <w:rPr>
          <w:rFonts w:hint="eastAsia"/>
          <w:color w:val="auto"/>
          <w:szCs w:val="21"/>
          <w:lang w:eastAsia="zh-CN"/>
        </w:rPr>
        <w:t>2023年</w:t>
      </w:r>
      <w:r>
        <w:rPr>
          <w:rFonts w:hint="eastAsia"/>
          <w:color w:val="auto"/>
          <w:szCs w:val="21"/>
          <w:lang w:val="en-US" w:eastAsia="zh-CN"/>
        </w:rPr>
        <w:t>12</w:t>
      </w:r>
      <w:r>
        <w:rPr>
          <w:rFonts w:hint="eastAsia"/>
          <w:color w:val="auto"/>
          <w:szCs w:val="21"/>
          <w:lang w:eastAsia="zh-CN"/>
        </w:rPr>
        <w:t>月</w:t>
      </w:r>
      <w:r>
        <w:rPr>
          <w:rFonts w:hint="eastAsia"/>
          <w:color w:val="auto"/>
          <w:szCs w:val="21"/>
          <w:lang w:val="en-US" w:eastAsia="zh-CN"/>
        </w:rPr>
        <w:t>XX</w:t>
      </w:r>
      <w:r>
        <w:rPr>
          <w:rFonts w:hint="eastAsia"/>
          <w:color w:val="auto"/>
          <w:szCs w:val="21"/>
          <w:lang w:eastAsia="zh-CN"/>
        </w:rPr>
        <w:t>日</w:t>
      </w:r>
    </w:p>
    <w:p>
      <w:pPr>
        <w:rPr>
          <w:rFonts w:ascii="Cambria" w:hAnsi="Cambria"/>
          <w:b/>
          <w:bCs/>
          <w:color w:val="auto"/>
          <w:sz w:val="48"/>
          <w:szCs w:val="48"/>
        </w:rPr>
      </w:pPr>
      <w:r>
        <w:rPr>
          <w:rFonts w:ascii="Cambria" w:hAnsi="Cambria"/>
          <w:b/>
          <w:bCs/>
          <w:color w:val="auto"/>
          <w:sz w:val="48"/>
          <w:szCs w:val="48"/>
        </w:rPr>
        <w:br w:type="page"/>
      </w:r>
    </w:p>
    <w:p>
      <w:pPr>
        <w:pStyle w:val="8"/>
      </w:pPr>
    </w:p>
    <w:p>
      <w:pPr>
        <w:pStyle w:val="8"/>
        <w:rPr>
          <w:rFonts w:ascii="Cambria" w:hAnsi="Cambria"/>
          <w:b/>
          <w:bCs/>
          <w:color w:val="auto"/>
          <w:sz w:val="48"/>
          <w:szCs w:val="48"/>
        </w:rPr>
      </w:pPr>
    </w:p>
    <w:p>
      <w:pPr>
        <w:pStyle w:val="11"/>
        <w:rPr>
          <w:rFonts w:ascii="Cambria" w:hAnsi="Cambria"/>
          <w:b/>
          <w:bCs/>
          <w:color w:val="auto"/>
          <w:sz w:val="48"/>
          <w:szCs w:val="48"/>
        </w:rPr>
      </w:pPr>
    </w:p>
    <w:p>
      <w:pPr>
        <w:pStyle w:val="2"/>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pStyle w:val="8"/>
        <w:rPr>
          <w:rFonts w:ascii="Cambria" w:hAnsi="Cambria"/>
          <w:b/>
          <w:bCs/>
          <w:color w:val="auto"/>
          <w:sz w:val="48"/>
          <w:szCs w:val="48"/>
        </w:rPr>
      </w:pPr>
    </w:p>
    <w:p>
      <w:pPr>
        <w:pStyle w:val="11"/>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pStyle w:val="3"/>
        <w:jc w:val="center"/>
        <w:rPr>
          <w:color w:val="auto"/>
        </w:rPr>
      </w:pPr>
      <w:bookmarkStart w:id="2" w:name="_Toc27889"/>
      <w:r>
        <w:rPr>
          <w:rFonts w:hint="eastAsia"/>
          <w:color w:val="auto"/>
        </w:rPr>
        <w:t>第二章</w:t>
      </w:r>
      <w:r>
        <w:rPr>
          <w:rFonts w:hint="eastAsia"/>
          <w:color w:val="auto"/>
          <w:lang w:val="en-US" w:eastAsia="zh-CN"/>
        </w:rPr>
        <w:t xml:space="preserve"> </w:t>
      </w:r>
      <w:r>
        <w:rPr>
          <w:rFonts w:hint="eastAsia"/>
          <w:color w:val="auto"/>
        </w:rPr>
        <w:t>采购需求</w:t>
      </w:r>
      <w:bookmarkEnd w:id="2"/>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spacing w:before="156" w:beforeLines="50" w:after="156" w:afterLines="50" w:line="360" w:lineRule="auto"/>
        <w:jc w:val="center"/>
        <w:rPr>
          <w:color w:val="auto"/>
          <w:sz w:val="30"/>
          <w:szCs w:val="30"/>
        </w:rPr>
      </w:pPr>
      <w:r>
        <w:rPr>
          <w:rFonts w:hint="eastAsia"/>
          <w:b/>
          <w:bCs/>
          <w:color w:val="auto"/>
          <w:sz w:val="30"/>
          <w:szCs w:val="30"/>
        </w:rPr>
        <w:t>采购需求</w:t>
      </w:r>
    </w:p>
    <w:p>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rPr>
      </w:pPr>
      <w:r>
        <w:rPr>
          <w:rFonts w:hint="eastAsia" w:ascii="宋体" w:hAnsi="宋体" w:cs="宋体"/>
          <w:b/>
          <w:bCs/>
          <w:color w:val="auto"/>
          <w:szCs w:val="21"/>
        </w:rPr>
        <w:t>总体要求</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标有“★”的条款</w:t>
      </w:r>
      <w:r>
        <w:rPr>
          <w:rFonts w:hint="eastAsia" w:ascii="宋体" w:hAnsi="宋体" w:cs="宋体"/>
          <w:color w:val="auto"/>
        </w:rPr>
        <w:t>为必须完全满足的实质性要求</w:t>
      </w:r>
      <w:r>
        <w:rPr>
          <w:rFonts w:hint="eastAsia" w:ascii="宋体" w:hAnsi="宋体" w:cs="宋体"/>
          <w:color w:val="auto"/>
          <w:szCs w:val="21"/>
        </w:rPr>
        <w:t>，响应供应商如有一项带“★”的条款未响应或负偏离，将按无效响应处理。</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2、</w:t>
      </w:r>
      <w:r>
        <w:rPr>
          <w:rFonts w:hint="eastAsia" w:ascii="宋体" w:hAnsi="宋体" w:cs="宋体"/>
          <w:color w:val="auto"/>
          <w:szCs w:val="21"/>
        </w:rPr>
        <w:t>响应供应商必须承诺提供厂商原装、全新的、符合国家及用户提出的有关质量标准的货物。</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3、</w:t>
      </w:r>
      <w:r>
        <w:rPr>
          <w:rFonts w:hint="eastAsia" w:ascii="宋体" w:hAnsi="宋体" w:cs="宋体"/>
          <w:color w:val="auto"/>
          <w:szCs w:val="21"/>
        </w:rPr>
        <w:t>响应供应商应对采购需求中的货物指标在响应详细内容中列出具体数值。如果响应供应商只注明“正偏离”或“无偏离”，将</w:t>
      </w:r>
      <w:r>
        <w:rPr>
          <w:rFonts w:hint="eastAsia" w:ascii="宋体" w:hAnsi="宋体" w:cs="宋体"/>
          <w:color w:val="auto"/>
          <w:kern w:val="28"/>
        </w:rPr>
        <w:t>可能</w:t>
      </w:r>
      <w:r>
        <w:rPr>
          <w:rFonts w:hint="eastAsia" w:ascii="宋体" w:hAnsi="宋体" w:cs="宋体"/>
          <w:color w:val="auto"/>
          <w:szCs w:val="21"/>
        </w:rPr>
        <w:t>被视为“负偏离”，从而可能导致严重影响评审结果。</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4、</w:t>
      </w:r>
      <w:r>
        <w:rPr>
          <w:rFonts w:hint="eastAsia" w:ascii="宋体" w:hAnsi="宋体" w:cs="宋体"/>
          <w:color w:val="auto"/>
          <w:szCs w:val="21"/>
        </w:rPr>
        <w:t>响应供应商所投产品除竞价文件中明确规定要求提供彩页或相应检测报告等证明材料以外，所有技术参数描述均以响应文件为准（竞价文件内厂家提供的技术参数描述与响应供应商的响应技术参数描述不一致时，以厂家提供的技术参数描述为准）。响应供应商须对所投产品技术参数的真实性承担法律责任。</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5、</w:t>
      </w:r>
      <w:r>
        <w:rPr>
          <w:rFonts w:hint="eastAsia" w:ascii="宋体" w:hAnsi="宋体" w:cs="宋体"/>
          <w:color w:val="auto"/>
          <w:szCs w:val="21"/>
        </w:rPr>
        <w:t>凡列入《中华人民共和国实施强制性产品认证的产品目录》的产品在验收时必须出具CCC认证证书复印件，并以在产品外部加施认证标志作为验收依据之一。</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6、</w:t>
      </w:r>
      <w:r>
        <w:rPr>
          <w:rFonts w:hint="eastAsia" w:ascii="宋体" w:hAnsi="宋体" w:cs="宋体"/>
          <w:color w:val="auto"/>
          <w:szCs w:val="21"/>
        </w:rPr>
        <w:t>节能产品的优先采购和强制采购以财政部、发展改革委、生态环境部等部门公布的最新《节能产品政府采购品目清单》中所列产品及相关规定为准。如果涉及到政府强制采购节能，供应商必须在响应文件中明确列明具体产品的名称并提供国家确定的认证机构出具的处于有效期之内的节能产品认证证书。</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7、</w:t>
      </w:r>
      <w:r>
        <w:rPr>
          <w:rFonts w:hint="eastAsia" w:ascii="宋体" w:hAnsi="宋体" w:cs="宋体"/>
          <w:color w:val="auto"/>
          <w:szCs w:val="21"/>
        </w:rPr>
        <w:t>环境标志产品的优先采购以财政部、发展改革委、生态环境部等部门公布的最新《环境标志产品政府采购品目清单》所列产品为准。响应产品涉及到环境标志产品的，供应商需在响应文件中明确列明具体产品的名称并提供国家确定的认证机构出具的处于有效期之内的环境标志产品认证证书。</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8、</w:t>
      </w:r>
      <w:r>
        <w:rPr>
          <w:rFonts w:hint="eastAsia" w:ascii="宋体" w:hAnsi="宋体" w:cs="宋体"/>
          <w:color w:val="auto"/>
          <w:szCs w:val="21"/>
        </w:rPr>
        <w:t>响应供应商没有在响应文件中注明偏离（文字说明或在响应表注明）的参数、配置、条款视为被响应供应商完全接受。</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9、</w:t>
      </w:r>
      <w:r>
        <w:rPr>
          <w:rFonts w:hint="eastAsia" w:ascii="宋体" w:hAnsi="宋体" w:cs="宋体"/>
          <w:color w:val="auto"/>
          <w:szCs w:val="21"/>
        </w:rPr>
        <w:t>响应供应商应保证，采购人在中华人民共和国使用该货物或货物的任何一部分时，免受第三方提出的侵犯其专利权、商标权、著作权或其它知识产权的起诉。</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10、</w:t>
      </w:r>
      <w:r>
        <w:rPr>
          <w:rFonts w:hint="eastAsia" w:ascii="宋体" w:hAnsi="宋体"/>
          <w:bCs/>
          <w:color w:val="auto"/>
          <w:kern w:val="28"/>
        </w:rPr>
        <w:t>不允许成交供应商</w:t>
      </w:r>
      <w:r>
        <w:rPr>
          <w:rFonts w:hint="eastAsia" w:ascii="宋体" w:hAnsi="宋体"/>
          <w:color w:val="auto"/>
          <w:kern w:val="28"/>
        </w:rPr>
        <w:t>转包、分包项目内容</w:t>
      </w:r>
      <w:r>
        <w:rPr>
          <w:rFonts w:hint="eastAsia" w:ascii="宋体" w:hAnsi="宋体" w:cs="宋体"/>
          <w:color w:val="auto"/>
          <w:szCs w:val="21"/>
        </w:rPr>
        <w:t>。</w:t>
      </w:r>
    </w:p>
    <w:p>
      <w:pPr>
        <w:numPr>
          <w:ilvl w:val="1"/>
          <w:numId w:val="0"/>
        </w:numPr>
        <w:spacing w:line="360" w:lineRule="auto"/>
        <w:ind w:left="424" w:hanging="424" w:hangingChars="202"/>
        <w:rPr>
          <w:rFonts w:hint="eastAsia" w:ascii="宋体" w:hAnsi="宋体" w:cs="宋体"/>
          <w:color w:val="auto"/>
          <w:szCs w:val="21"/>
        </w:rPr>
      </w:pPr>
      <w:r>
        <w:rPr>
          <w:rFonts w:hint="eastAsia" w:ascii="宋体" w:hAnsi="宋体"/>
          <w:color w:val="auto"/>
          <w:szCs w:val="21"/>
          <w:lang w:val="zh-CN"/>
        </w:rPr>
        <w:t>1</w:t>
      </w:r>
      <w:r>
        <w:rPr>
          <w:rFonts w:hint="eastAsia" w:ascii="宋体" w:hAnsi="宋体"/>
          <w:color w:val="auto"/>
          <w:szCs w:val="21"/>
        </w:rPr>
        <w:t>1</w:t>
      </w:r>
      <w:r>
        <w:rPr>
          <w:rFonts w:hint="eastAsia" w:ascii="宋体" w:hAnsi="宋体"/>
          <w:color w:val="auto"/>
          <w:szCs w:val="21"/>
          <w:lang w:val="zh-CN"/>
        </w:rPr>
        <w:t>、</w:t>
      </w:r>
      <w:r>
        <w:rPr>
          <w:rFonts w:hint="eastAsia" w:ascii="宋体" w:hAnsi="宋体" w:cs="宋体"/>
          <w:color w:val="auto"/>
          <w:szCs w:val="21"/>
        </w:rPr>
        <w:t>响应供应商须在响应文件中提供针对本项目的所有货物内容清晰列出货物清单（含品牌、型号、制造商、质保期、产品单价）的明细表。</w:t>
      </w:r>
    </w:p>
    <w:p>
      <w:pPr>
        <w:pStyle w:val="2"/>
        <w:rPr>
          <w:rFonts w:hint="eastAsia" w:ascii="宋体" w:hAnsi="宋体" w:cs="宋体"/>
          <w:color w:val="auto"/>
          <w:szCs w:val="21"/>
        </w:rPr>
      </w:pPr>
    </w:p>
    <w:p>
      <w:pPr>
        <w:pStyle w:val="2"/>
        <w:rPr>
          <w:rFonts w:hint="eastAsia" w:ascii="宋体" w:hAnsi="宋体" w:cs="宋体"/>
          <w:color w:val="auto"/>
          <w:szCs w:val="21"/>
          <w:lang w:val="zh-CN"/>
        </w:rPr>
      </w:pP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color w:val="auto"/>
          <w:szCs w:val="21"/>
          <w:lang w:val="zh-CN"/>
        </w:rPr>
      </w:pPr>
      <w:r>
        <w:rPr>
          <w:rFonts w:hint="eastAsia" w:ascii="宋体" w:hAnsi="宋体" w:cs="宋体"/>
          <w:b/>
          <w:bCs/>
          <w:color w:val="auto"/>
          <w:szCs w:val="21"/>
          <w:lang w:val="en-US" w:eastAsia="zh-CN"/>
        </w:rPr>
        <w:t>采购内容</w:t>
      </w:r>
    </w:p>
    <w:tbl>
      <w:tblPr>
        <w:tblStyle w:val="25"/>
        <w:tblW w:w="9772" w:type="dxa"/>
        <w:jc w:val="center"/>
        <w:tblLayout w:type="fixed"/>
        <w:tblCellMar>
          <w:top w:w="0" w:type="dxa"/>
          <w:left w:w="0" w:type="dxa"/>
          <w:bottom w:w="0" w:type="dxa"/>
          <w:right w:w="0" w:type="dxa"/>
        </w:tblCellMar>
      </w:tblPr>
      <w:tblGrid>
        <w:gridCol w:w="1867"/>
        <w:gridCol w:w="1867"/>
        <w:gridCol w:w="1509"/>
        <w:gridCol w:w="1509"/>
        <w:gridCol w:w="1510"/>
        <w:gridCol w:w="1510"/>
      </w:tblGrid>
      <w:tr>
        <w:tblPrEx>
          <w:tblCellMar>
            <w:top w:w="0" w:type="dxa"/>
            <w:left w:w="0" w:type="dxa"/>
            <w:bottom w:w="0" w:type="dxa"/>
            <w:right w:w="0" w:type="dxa"/>
          </w:tblCellMar>
        </w:tblPrEx>
        <w:trPr>
          <w:trHeight w:val="570" w:hRule="atLeast"/>
          <w:jc w:val="center"/>
        </w:trPr>
        <w:tc>
          <w:tcPr>
            <w:tcW w:w="3734" w:type="dxa"/>
            <w:gridSpan w:val="2"/>
            <w:tcBorders>
              <w:top w:val="single" w:color="000000" w:sz="12" w:space="0"/>
              <w:left w:val="single" w:color="000000" w:sz="12" w:space="0"/>
              <w:bottom w:val="single" w:color="000000" w:sz="8" w:space="0"/>
              <w:right w:val="single" w:color="000000" w:sz="8" w:space="0"/>
            </w:tcBorders>
            <w:shd w:val="clear" w:color="auto" w:fill="EEECE1"/>
            <w:tcMar>
              <w:top w:w="15" w:type="dxa"/>
              <w:left w:w="15" w:type="dxa"/>
              <w:right w:w="15"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项目名称</w:t>
            </w:r>
          </w:p>
        </w:tc>
        <w:tc>
          <w:tcPr>
            <w:tcW w:w="1509" w:type="dxa"/>
            <w:tcBorders>
              <w:top w:val="single" w:color="000000" w:sz="12" w:space="0"/>
              <w:left w:val="nil"/>
              <w:bottom w:val="single" w:color="000000" w:sz="8" w:space="0"/>
              <w:right w:val="single" w:color="000000" w:sz="8" w:space="0"/>
            </w:tcBorders>
            <w:shd w:val="clear" w:color="auto" w:fill="EEECE1"/>
            <w:tcMar>
              <w:top w:w="15" w:type="dxa"/>
              <w:left w:w="15" w:type="dxa"/>
              <w:right w:w="15"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子项目</w:t>
            </w:r>
          </w:p>
        </w:tc>
        <w:tc>
          <w:tcPr>
            <w:tcW w:w="1509" w:type="dxa"/>
            <w:tcBorders>
              <w:top w:val="single" w:color="000000" w:sz="12" w:space="0"/>
              <w:left w:val="single" w:color="000000" w:sz="8" w:space="0"/>
              <w:bottom w:val="single" w:color="000000" w:sz="8" w:space="0"/>
              <w:right w:val="single" w:color="000000" w:sz="8" w:space="0"/>
            </w:tcBorders>
            <w:shd w:val="clear" w:color="auto" w:fill="EEECE1"/>
            <w:tcMar>
              <w:top w:w="15" w:type="dxa"/>
              <w:left w:w="15" w:type="dxa"/>
              <w:right w:w="15"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数量</w:t>
            </w:r>
          </w:p>
        </w:tc>
        <w:tc>
          <w:tcPr>
            <w:tcW w:w="1510" w:type="dxa"/>
            <w:tcBorders>
              <w:top w:val="single" w:color="000000" w:sz="12" w:space="0"/>
              <w:left w:val="single" w:color="000000" w:sz="8" w:space="0"/>
              <w:bottom w:val="single" w:color="000000" w:sz="8" w:space="0"/>
              <w:right w:val="single" w:color="000000" w:sz="8" w:space="0"/>
            </w:tcBorders>
            <w:shd w:val="clear" w:color="auto" w:fill="EEECE1"/>
            <w:tcMar>
              <w:top w:w="15" w:type="dxa"/>
              <w:left w:w="15" w:type="dxa"/>
              <w:right w:w="15"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子项目预算</w:t>
            </w:r>
          </w:p>
        </w:tc>
        <w:tc>
          <w:tcPr>
            <w:tcW w:w="1510" w:type="dxa"/>
            <w:tcBorders>
              <w:top w:val="single" w:color="000000" w:sz="12" w:space="0"/>
              <w:left w:val="single" w:color="000000" w:sz="8" w:space="0"/>
              <w:bottom w:val="single" w:color="000000" w:sz="8" w:space="0"/>
              <w:right w:val="single" w:color="000000" w:sz="8" w:space="0"/>
            </w:tcBorders>
            <w:shd w:val="clear" w:color="auto" w:fill="EEECE1"/>
            <w:tcMar>
              <w:top w:w="15" w:type="dxa"/>
              <w:left w:w="15" w:type="dxa"/>
              <w:right w:w="15"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项目总预算</w:t>
            </w:r>
          </w:p>
        </w:tc>
      </w:tr>
      <w:tr>
        <w:tblPrEx>
          <w:tblCellMar>
            <w:top w:w="0" w:type="dxa"/>
            <w:left w:w="0" w:type="dxa"/>
            <w:bottom w:w="0" w:type="dxa"/>
            <w:right w:w="0" w:type="dxa"/>
          </w:tblCellMar>
        </w:tblPrEx>
        <w:trPr>
          <w:trHeight w:val="2280" w:hRule="atLeast"/>
          <w:jc w:val="center"/>
        </w:trPr>
        <w:tc>
          <w:tcPr>
            <w:tcW w:w="1867" w:type="dxa"/>
            <w:vMerge w:val="restart"/>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p>
        </w:tc>
        <w:tc>
          <w:tcPr>
            <w:tcW w:w="186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包含内容</w:t>
            </w:r>
          </w:p>
        </w:tc>
        <w:tc>
          <w:tcPr>
            <w:tcW w:w="150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广东省广裕集团嘉顺实业有限责任公司厂房锅炉房视频监控系统项目</w:t>
            </w:r>
          </w:p>
        </w:tc>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1项</w:t>
            </w:r>
          </w:p>
        </w:tc>
        <w:tc>
          <w:tcPr>
            <w:tcW w:w="151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65420元</w:t>
            </w:r>
          </w:p>
        </w:tc>
        <w:tc>
          <w:tcPr>
            <w:tcW w:w="151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280342元</w:t>
            </w:r>
          </w:p>
        </w:tc>
      </w:tr>
      <w:tr>
        <w:tblPrEx>
          <w:tblCellMar>
            <w:top w:w="0" w:type="dxa"/>
            <w:left w:w="0" w:type="dxa"/>
            <w:bottom w:w="0" w:type="dxa"/>
            <w:right w:w="0" w:type="dxa"/>
          </w:tblCellMar>
        </w:tblPrEx>
        <w:trPr>
          <w:trHeight w:val="2295" w:hRule="atLeast"/>
          <w:jc w:val="center"/>
        </w:trPr>
        <w:tc>
          <w:tcPr>
            <w:tcW w:w="1867" w:type="dxa"/>
            <w:vMerge w:val="continue"/>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1"/>
                <w:szCs w:val="21"/>
              </w:rPr>
            </w:pPr>
          </w:p>
        </w:tc>
        <w:tc>
          <w:tcPr>
            <w:tcW w:w="186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1"/>
                <w:szCs w:val="21"/>
              </w:rPr>
            </w:pPr>
          </w:p>
        </w:tc>
        <w:tc>
          <w:tcPr>
            <w:tcW w:w="150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广东省女子监狱罪犯伙房、垃圾场和三监区五楼视频监控系统完善项目</w:t>
            </w:r>
          </w:p>
        </w:tc>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1项</w:t>
            </w:r>
          </w:p>
        </w:tc>
        <w:tc>
          <w:tcPr>
            <w:tcW w:w="151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214922元</w:t>
            </w:r>
          </w:p>
        </w:tc>
        <w:tc>
          <w:tcPr>
            <w:tcW w:w="151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1"/>
                <w:szCs w:val="21"/>
              </w:rPr>
            </w:pPr>
          </w:p>
        </w:tc>
      </w:tr>
    </w:tbl>
    <w:p>
      <w:pPr>
        <w:pStyle w:val="35"/>
        <w:numPr>
          <w:ilvl w:val="0"/>
          <w:numId w:val="0"/>
        </w:numPr>
        <w:tabs>
          <w:tab w:val="left" w:pos="426"/>
        </w:tabs>
        <w:adjustRightInd w:val="0"/>
        <w:snapToGrid w:val="0"/>
        <w:spacing w:before="156" w:beforeLines="50" w:line="360" w:lineRule="auto"/>
        <w:ind w:firstLine="422" w:firstLineChars="200"/>
        <w:outlineLvl w:val="9"/>
        <w:rPr>
          <w:rFonts w:hint="eastAsia" w:ascii="宋体" w:hAnsi="宋体" w:eastAsia="宋体" w:cs="宋体"/>
          <w:b/>
          <w:bCs/>
          <w:color w:val="auto"/>
          <w:kern w:val="2"/>
          <w:sz w:val="21"/>
          <w:szCs w:val="21"/>
          <w:lang w:val="en-US" w:eastAsia="zh-CN" w:bidi="ar-SA"/>
        </w:rPr>
      </w:pPr>
      <w:r>
        <w:rPr>
          <w:rFonts w:hint="eastAsia"/>
          <w:b/>
          <w:bCs/>
          <w:lang w:val="en-US" w:eastAsia="zh-CN"/>
        </w:rPr>
        <w:t>供应商</w:t>
      </w:r>
      <w:r>
        <w:rPr>
          <w:rFonts w:hint="eastAsia"/>
          <w:b/>
          <w:bCs/>
        </w:rPr>
        <w:t>须对上述项目及子项目进行报价，且项目及子项目报价均不超过相应预算。子项目根据资金来源分别签订相应采购合同。</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工程概况</w:t>
      </w:r>
    </w:p>
    <w:p>
      <w:pPr>
        <w:pStyle w:val="69"/>
        <w:spacing w:line="360" w:lineRule="auto"/>
        <w:ind w:firstLine="480"/>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val="zh-CN" w:eastAsia="zh-CN"/>
          <w14:textFill>
            <w14:solidFill>
              <w14:schemeClr w14:val="tx1"/>
            </w14:solidFill>
          </w14:textFill>
        </w:rPr>
        <w:t>项目名称：广东省女子监狱</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val="zh-CN" w:eastAsia="zh-CN"/>
          <w14:textFill>
            <w14:solidFill>
              <w14:schemeClr w14:val="tx1"/>
            </w14:solidFill>
          </w14:textFill>
        </w:rPr>
        <w:t>广东省广裕集团嘉顺实业有限责任公司视频监控系统完善项目</w:t>
      </w:r>
    </w:p>
    <w:p>
      <w:pPr>
        <w:pStyle w:val="69"/>
        <w:spacing w:line="360" w:lineRule="auto"/>
        <w:ind w:firstLine="480"/>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val="zh-CN" w:eastAsia="zh-CN"/>
          <w14:textFill>
            <w14:solidFill>
              <w14:schemeClr w14:val="tx1"/>
            </w14:solidFill>
          </w14:textFill>
        </w:rPr>
        <w:t>监狱安防系统需要完善区域：</w:t>
      </w:r>
    </w:p>
    <w:p>
      <w:pPr>
        <w:pStyle w:val="69"/>
        <w:spacing w:line="360" w:lineRule="auto"/>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第一部分：广东省女子监狱部分功能区域不够完善存在监控盲区，厂房傍边垃圾站，锅炉房内及锅炉房外围等。</w:t>
      </w:r>
    </w:p>
    <w:p>
      <w:pPr>
        <w:pStyle w:val="69"/>
        <w:spacing w:line="360" w:lineRule="auto"/>
        <w:ind w:firstLine="480"/>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val="zh-CN" w:eastAsia="zh-CN"/>
          <w14:textFill>
            <w14:solidFill>
              <w14:schemeClr w14:val="tx1"/>
            </w14:solidFill>
          </w14:textFill>
        </w:rPr>
        <w:t>第二部分：含伙房区及外围、垃圾站；三监区五楼视频监控摄像机升级更换。</w:t>
      </w:r>
    </w:p>
    <w:p>
      <w:pPr>
        <w:pStyle w:val="69"/>
        <w:spacing w:line="360" w:lineRule="auto"/>
        <w:ind w:firstLine="480"/>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val="zh-CN" w:eastAsia="zh-CN"/>
          <w14:textFill>
            <w14:solidFill>
              <w14:schemeClr w14:val="tx1"/>
            </w14:solidFill>
          </w14:textFill>
        </w:rPr>
        <w:t>女子监狱医院部分楼层增加广播系统设备，具体设备详见清单</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rPr>
      </w:pPr>
      <w:r>
        <w:rPr>
          <w:rFonts w:hint="eastAsia" w:ascii="宋体" w:hAnsi="宋体" w:eastAsia="宋体" w:cs="宋体"/>
          <w:b/>
          <w:bCs/>
          <w:color w:val="auto"/>
          <w:szCs w:val="21"/>
        </w:rPr>
        <w:t>项目建设目标及建设内容</w:t>
      </w:r>
    </w:p>
    <w:p>
      <w:pPr>
        <w:spacing w:line="360" w:lineRule="auto"/>
        <w:ind w:firstLine="211" w:firstLineChars="100"/>
        <w:rPr>
          <w:rFonts w:hint="eastAsia" w:ascii="宋体" w:hAnsi="宋体" w:eastAsia="宋体" w:cs="宋体"/>
          <w:b/>
        </w:rPr>
      </w:pPr>
      <w:bookmarkStart w:id="3" w:name="_Toc35501176"/>
      <w:bookmarkStart w:id="4" w:name="_Toc44196709"/>
      <w:bookmarkStart w:id="5" w:name="_Toc505244485"/>
      <w:r>
        <w:rPr>
          <w:rFonts w:hint="eastAsia" w:ascii="宋体" w:hAnsi="宋体" w:eastAsia="宋体" w:cs="宋体"/>
          <w:b/>
        </w:rPr>
        <w:t>2.1、项目建设目标</w:t>
      </w:r>
      <w:bookmarkEnd w:id="3"/>
      <w:bookmarkEnd w:id="4"/>
      <w:bookmarkEnd w:id="5"/>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系统要求“全覆盖，无盲区”的指导思想，在前端监控点位的部署设计严格依据监狱建筑，合理设计摄像机的位置，摄像机像素200万以上，实时有效的对项目范围进行监控全覆盖和图像记录。充分应用超广角技术、立体监控技术，实现对传统视频监控的有效补充和优化，监控前端的设计将结合监所实际监控需要选择合适的产品和技术方法，保障监控的效果。</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系统存储设计以“7×24小时实时存储为基本原则，设计实时视频存储保存30天及以上，存储格式达到1080P及以上；</w:t>
      </w:r>
    </w:p>
    <w:p>
      <w:pPr>
        <w:pStyle w:val="69"/>
        <w:spacing w:line="360" w:lineRule="auto"/>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各区域视频图像通过监狱智能安防专网汇聚接入海康安防综合平台，通过授权实现客户端浏览、回放等功能。</w:t>
      </w:r>
    </w:p>
    <w:p>
      <w:pPr>
        <w:spacing w:line="360" w:lineRule="auto"/>
        <w:ind w:firstLine="211" w:firstLineChars="100"/>
        <w:rPr>
          <w:rFonts w:hint="eastAsia" w:ascii="宋体" w:hAnsi="宋体" w:eastAsia="宋体" w:cs="宋体"/>
          <w:b/>
        </w:rPr>
      </w:pPr>
      <w:r>
        <w:rPr>
          <w:rFonts w:hint="eastAsia" w:ascii="宋体" w:hAnsi="宋体" w:eastAsia="宋体" w:cs="宋体"/>
          <w:b/>
        </w:rPr>
        <w:t>2.2、项目建设内容</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本期建设分两部分：</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第一部分为</w:t>
      </w:r>
      <w:r>
        <w:rPr>
          <w:rFonts w:hint="eastAsia" w:ascii="宋体" w:hAnsi="宋体" w:eastAsia="宋体" w:cs="宋体"/>
          <w:lang w:val="en-US" w:bidi="ar"/>
        </w:rPr>
        <w:t>广东省广裕集团嘉顺实业有限责任公司厂房锅炉房视频监控系统项目：</w:t>
      </w:r>
      <w:r>
        <w:rPr>
          <w:rFonts w:hint="eastAsia" w:ascii="宋体" w:hAnsi="宋体" w:eastAsia="宋体" w:cs="宋体"/>
          <w:color w:val="000000" w:themeColor="text1"/>
          <w14:textFill>
            <w14:solidFill>
              <w14:schemeClr w14:val="tx1"/>
            </w14:solidFill>
          </w14:textFill>
        </w:rPr>
        <w:t>厂房傍边垃圾站，锅炉房内及锅炉房外围等重要路口增加摄像头；具体设备详见清单。</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第二部分为</w:t>
      </w:r>
      <w:r>
        <w:rPr>
          <w:rFonts w:hint="eastAsia" w:ascii="宋体" w:hAnsi="宋体" w:eastAsia="宋体" w:cs="宋体"/>
          <w:lang w:val="en-US" w:bidi="ar"/>
        </w:rPr>
        <w:t>广东省女子监狱罪犯伙房、垃圾场和三监区五楼视频监控系统完善项目：</w:t>
      </w:r>
      <w:r>
        <w:rPr>
          <w:rFonts w:hint="eastAsia" w:ascii="宋体" w:hAnsi="宋体" w:eastAsia="宋体" w:cs="宋体"/>
          <w:color w:val="000000" w:themeColor="text1"/>
          <w14:textFill>
            <w14:solidFill>
              <w14:schemeClr w14:val="tx1"/>
            </w14:solidFill>
          </w14:textFill>
        </w:rPr>
        <w:t>伙房区及外围、禁闭室周围垃圾站、三监区五楼视频监控摄像升级更换；监狱医院部分楼层增加广播系统设备，具体设备详见清单。</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1.为保证电子设备免受雷电浪涌过电压的破坏，</w:t>
      </w:r>
      <w:r>
        <w:rPr>
          <w:rFonts w:hint="eastAsia" w:ascii="宋体" w:hAnsi="宋体" w:eastAsia="宋体" w:cs="宋体"/>
          <w:color w:val="000000" w:themeColor="text1"/>
          <w:lang w:val="en-US" w:eastAsia="zh-CN"/>
          <w14:textFill>
            <w14:solidFill>
              <w14:schemeClr w14:val="tx1"/>
            </w14:solidFill>
          </w14:textFill>
        </w:rPr>
        <w:t>成交供应商</w:t>
      </w:r>
      <w:r>
        <w:rPr>
          <w:rFonts w:hint="eastAsia" w:ascii="宋体" w:hAnsi="宋体" w:eastAsia="宋体" w:cs="宋体"/>
          <w:color w:val="000000" w:themeColor="text1"/>
          <w14:textFill>
            <w14:solidFill>
              <w14:schemeClr w14:val="tx1"/>
            </w14:solidFill>
          </w14:textFill>
        </w:rPr>
        <w:t>应根据有关要求及标准对其智能化设备加装多级防雷保护装置。</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2.负责前端摄像机及配套设备（含线管线缆）的提供施工、安装、调试及试运行工作。</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3.监狱现使用视频监控系统品牌为</w:t>
      </w:r>
      <w:r>
        <w:rPr>
          <w:rFonts w:hint="eastAsia" w:ascii="宋体" w:hAnsi="宋体" w:eastAsia="宋体" w:cs="宋体"/>
          <w:b/>
          <w:bCs/>
          <w:color w:val="000000" w:themeColor="text1"/>
          <w14:textFill>
            <w14:solidFill>
              <w14:schemeClr w14:val="tx1"/>
            </w14:solidFill>
          </w14:textFill>
        </w:rPr>
        <w:t>海康、科达、华为</w:t>
      </w:r>
      <w:r>
        <w:rPr>
          <w:rFonts w:hint="eastAsia" w:ascii="宋体" w:hAnsi="宋体" w:eastAsia="宋体" w:cs="宋体"/>
          <w:color w:val="000000" w:themeColor="text1"/>
          <w14:textFill>
            <w14:solidFill>
              <w14:schemeClr w14:val="tx1"/>
            </w14:solidFill>
          </w14:textFill>
        </w:rPr>
        <w:t>，需做好不同品牌系统之间技术对接；</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4.本工程需要将各功能区域前端安防摄像头通过监狱智能安防专网汇聚到监控中视频管理平台，7</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24小时存储30天</w:t>
      </w:r>
      <w:r>
        <w:rPr>
          <w:rFonts w:hint="eastAsia" w:ascii="宋体" w:hAnsi="宋体" w:eastAsia="宋体" w:cs="宋体"/>
          <w:color w:val="000000" w:themeColor="text1"/>
          <w:lang w:val="en-US" w:eastAsia="zh-CN"/>
          <w14:textFill>
            <w14:solidFill>
              <w14:schemeClr w14:val="tx1"/>
            </w14:solidFill>
          </w14:textFill>
        </w:rPr>
        <w:t>或以上</w:t>
      </w:r>
      <w:r>
        <w:rPr>
          <w:rFonts w:hint="eastAsia" w:ascii="宋体" w:hAnsi="宋体" w:eastAsia="宋体" w:cs="宋体"/>
          <w:color w:val="000000" w:themeColor="text1"/>
          <w14:textFill>
            <w14:solidFill>
              <w14:schemeClr w14:val="tx1"/>
            </w14:solidFill>
          </w14:textFill>
        </w:rPr>
        <w:t>；</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5.新增加摄像头支持开放型网络视频接口，ISAPI，SDK，GB28181（2016）；</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6.本项目包含图纸深化设计、设备供货、安装、网络接入、调试及试运行、测试、验收工作、培训、保修。</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7.本项目视频接入平台升级迁移：需要将SPCC平台扩容授权（接入先旧平台设备授权），扩容接入后，旧平台不再使用。本次监控点所接入的数量，现有监控点位数量1300多路，扩容预留100多路。</w:t>
      </w:r>
    </w:p>
    <w:p>
      <w:pPr>
        <w:pStyle w:val="69"/>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SPCC平台扩容授权（接入先旧平台设备授权），扩容接入后，旧平台不再使用。本级监控点所接入的数量，现有监控点位数量1300多路，扩容预留100多路。</w:t>
      </w:r>
    </w:p>
    <w:p>
      <w:pPr>
        <w:pStyle w:val="35"/>
        <w:numPr>
          <w:ilvl w:val="0"/>
          <w:numId w:val="3"/>
        </w:numPr>
        <w:spacing w:line="360" w:lineRule="auto"/>
        <w:ind w:firstLineChars="0"/>
        <w:rPr>
          <w:rFonts w:hint="eastAsia" w:ascii="宋体" w:hAnsi="宋体" w:eastAsia="宋体" w:cs="宋体"/>
          <w:color w:val="000000" w:themeColor="text1"/>
          <w:kern w:val="0"/>
          <w:szCs w:val="24"/>
          <w:lang w:val="zh-CN"/>
          <w14:textFill>
            <w14:solidFill>
              <w14:schemeClr w14:val="tx1"/>
            </w14:solidFill>
          </w14:textFill>
        </w:rPr>
      </w:pPr>
      <w:r>
        <w:rPr>
          <w:rFonts w:hint="eastAsia" w:ascii="宋体" w:hAnsi="宋体" w:eastAsia="宋体" w:cs="宋体"/>
          <w:color w:val="000000" w:themeColor="text1"/>
          <w:kern w:val="0"/>
          <w:szCs w:val="24"/>
          <w:lang w:val="zh-CN"/>
          <w14:textFill>
            <w14:solidFill>
              <w14:schemeClr w14:val="tx1"/>
            </w14:solidFill>
          </w14:textFill>
        </w:rPr>
        <w:t>存储系统：</w:t>
      </w:r>
    </w:p>
    <w:p>
      <w:pPr>
        <w:pStyle w:val="69"/>
        <w:numPr>
          <w:ilvl w:val="0"/>
          <w:numId w:val="0"/>
        </w:num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1"/>
          <w:szCs w:val="24"/>
          <w:lang w:val="zh-CN" w:eastAsia="zh-CN" w:bidi="ar-SA"/>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含服务项:硬盘不返还</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有</w:t>
      </w:r>
      <w:r>
        <w:rPr>
          <w:rFonts w:hint="eastAsia" w:asci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年质保</w:t>
      </w:r>
      <w:r>
        <w:rPr>
          <w:rFonts w:hint="eastAsia" w:ascii="宋体" w:hAnsi="宋体" w:eastAsia="宋体" w:cs="宋体"/>
          <w:color w:val="000000" w:themeColor="text1"/>
          <w:lang w:val="en-US" w:eastAsia="zh-CN"/>
          <w14:textFill>
            <w14:solidFill>
              <w14:schemeClr w14:val="tx1"/>
            </w14:solidFill>
          </w14:textFill>
        </w:rPr>
        <w:t>;</w:t>
      </w:r>
    </w:p>
    <w:p>
      <w:pPr>
        <w:pStyle w:val="69"/>
        <w:numPr>
          <w:ilvl w:val="0"/>
          <w:numId w:val="0"/>
        </w:num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1"/>
          <w:szCs w:val="24"/>
          <w:lang w:val="zh-CN" w:eastAsia="zh-CN" w:bidi="ar-SA"/>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整机吞吐能力（2M-768、4M-384）</w:t>
      </w:r>
      <w:r>
        <w:rPr>
          <w:rFonts w:hint="eastAsia" w:ascii="宋体" w:hAnsi="宋体" w:eastAsia="宋体" w:cs="宋体"/>
          <w:color w:val="000000" w:themeColor="text1"/>
          <w:lang w:val="en-US" w:eastAsia="zh-CN"/>
          <w14:textFill>
            <w14:solidFill>
              <w14:schemeClr w14:val="tx1"/>
            </w14:solidFill>
          </w14:textFill>
        </w:rPr>
        <w:t>;</w:t>
      </w:r>
    </w:p>
    <w:p>
      <w:pPr>
        <w:pStyle w:val="69"/>
        <w:spacing w:line="360" w:lineRule="auto"/>
        <w:ind w:firstLine="480"/>
        <w:rPr>
          <w:rFonts w:hint="eastAsia" w:ascii="宋体" w:hAnsi="宋体" w:eastAsia="宋体" w:cs="宋体"/>
          <w:color w:val="000000" w:themeColor="text1"/>
          <w:lang w:val="en-US" w:eastAsia="zh-CN"/>
          <w14:textFill>
            <w14:solidFill>
              <w14:schemeClr w14:val="tx1"/>
            </w14:solidFill>
          </w14:textFill>
        </w:rPr>
      </w:pPr>
      <w:r>
        <w:rPr>
          <w:rFonts w:hint="eastAsia" w:asci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4个千兆口入网</w:t>
      </w:r>
      <w:r>
        <w:rPr>
          <w:rFonts w:hint="eastAsia" w:ascii="宋体" w:hAnsi="宋体" w:eastAsia="宋体" w:cs="宋体"/>
          <w:color w:val="000000" w:themeColor="text1"/>
          <w:lang w:val="en-US" w:eastAsia="zh-CN"/>
          <w14:textFill>
            <w14:solidFill>
              <w14:schemeClr w14:val="tx1"/>
            </w14:solidFill>
          </w14:textFill>
        </w:rPr>
        <w:t>;</w:t>
      </w:r>
    </w:p>
    <w:p>
      <w:pPr>
        <w:pStyle w:val="69"/>
        <w:numPr>
          <w:ilvl w:val="0"/>
          <w:numId w:val="4"/>
        </w:numPr>
        <w:spacing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满配24块16TB硬盘，可存储192路4M视频；</w:t>
      </w:r>
    </w:p>
    <w:p>
      <w:pPr>
        <w:pStyle w:val="69"/>
        <w:spacing w:line="360" w:lineRule="auto"/>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预计可以在120天（4</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30天）左右完成1340路左右视频存储30天录像计划的整体迁移</w:t>
      </w:r>
      <w:r>
        <w:rPr>
          <w:rFonts w:hint="eastAsia" w:ascii="宋体" w:hAnsi="宋体" w:eastAsia="宋体" w:cs="宋体"/>
          <w:color w:val="000000" w:themeColor="text1"/>
          <w:lang w:eastAsia="zh-CN"/>
          <w14:textFill>
            <w14:solidFill>
              <w14:schemeClr w14:val="tx1"/>
            </w14:solidFill>
          </w14:textFill>
        </w:rPr>
        <w:t>。</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rPr>
      </w:pPr>
      <w:r>
        <w:rPr>
          <w:rFonts w:hint="eastAsia" w:ascii="宋体" w:hAnsi="宋体" w:eastAsia="宋体" w:cs="宋体"/>
          <w:b/>
          <w:bCs/>
          <w:color w:val="auto"/>
          <w:szCs w:val="21"/>
        </w:rPr>
        <w:t>标准与规范</w:t>
      </w:r>
    </w:p>
    <w:p>
      <w:pPr>
        <w:pStyle w:val="69"/>
        <w:spacing w:line="360" w:lineRule="auto"/>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提供的设计方案、产品和安装施工必须遵循但不限于以下国家/行业标准和规范，除特别声明，</w:t>
      </w:r>
      <w:r>
        <w:rPr>
          <w:rFonts w:hint="eastAsia" w:ascii="宋体" w:hAnsi="宋体" w:eastAsia="宋体" w:cs="宋体"/>
          <w:color w:val="000000" w:themeColor="text1"/>
          <w:lang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使用的规范必须是最新的现行版本：</w:t>
      </w:r>
    </w:p>
    <w:p>
      <w:pPr>
        <w:numPr>
          <w:ilvl w:val="0"/>
          <w:numId w:val="5"/>
        </w:numPr>
        <w:spacing w:line="360" w:lineRule="auto"/>
        <w:rPr>
          <w:rFonts w:hint="eastAsia" w:ascii="宋体" w:hAnsi="宋体" w:eastAsia="宋体" w:cs="宋体"/>
        </w:rPr>
      </w:pPr>
      <w:r>
        <w:rPr>
          <w:rFonts w:hint="eastAsia" w:ascii="宋体" w:hAnsi="宋体" w:eastAsia="宋体" w:cs="宋体"/>
        </w:rPr>
        <w:t>《广东省智感安防区建设规范〈2019年修订版）》</w:t>
      </w:r>
    </w:p>
    <w:p>
      <w:pPr>
        <w:numPr>
          <w:ilvl w:val="0"/>
          <w:numId w:val="5"/>
        </w:numPr>
        <w:spacing w:line="360" w:lineRule="auto"/>
        <w:rPr>
          <w:rFonts w:hint="eastAsia" w:ascii="宋体" w:hAnsi="宋体" w:eastAsia="宋体" w:cs="宋体"/>
        </w:rPr>
      </w:pPr>
      <w:r>
        <w:rPr>
          <w:rFonts w:hint="eastAsia" w:ascii="宋体" w:hAnsi="宋体" w:eastAsia="宋体" w:cs="宋体"/>
        </w:rPr>
        <w:t>《广东省安全技术防范管理实施办法》〈广东省人民政府令第238号）</w:t>
      </w:r>
    </w:p>
    <w:p>
      <w:pPr>
        <w:numPr>
          <w:ilvl w:val="0"/>
          <w:numId w:val="5"/>
        </w:numPr>
        <w:spacing w:line="360" w:lineRule="auto"/>
        <w:rPr>
          <w:rFonts w:hint="eastAsia" w:ascii="宋体" w:hAnsi="宋体" w:eastAsia="宋体" w:cs="宋体"/>
        </w:rPr>
      </w:pPr>
      <w:r>
        <w:rPr>
          <w:rFonts w:hint="eastAsia" w:ascii="宋体" w:hAnsi="宋体" w:eastAsia="宋体" w:cs="宋体"/>
        </w:rPr>
        <w:t>《安全防范视频监控联网系统信息传输、交换、控制技术要求》</w:t>
      </w:r>
    </w:p>
    <w:p>
      <w:pPr>
        <w:numPr>
          <w:ilvl w:val="0"/>
          <w:numId w:val="5"/>
        </w:numPr>
        <w:spacing w:line="360" w:lineRule="auto"/>
        <w:rPr>
          <w:rFonts w:hint="eastAsia" w:ascii="宋体" w:hAnsi="宋体" w:eastAsia="宋体" w:cs="宋体"/>
        </w:rPr>
      </w:pPr>
      <w:r>
        <w:rPr>
          <w:rFonts w:hint="eastAsia" w:ascii="宋体" w:hAnsi="宋体" w:eastAsia="宋体" w:cs="宋体"/>
        </w:rPr>
        <w:t>《公安视频图像信息应用系统》</w:t>
      </w:r>
    </w:p>
    <w:p>
      <w:pPr>
        <w:numPr>
          <w:ilvl w:val="0"/>
          <w:numId w:val="5"/>
        </w:numPr>
        <w:spacing w:line="360" w:lineRule="auto"/>
        <w:rPr>
          <w:rFonts w:hint="eastAsia" w:ascii="宋体" w:hAnsi="宋体" w:eastAsia="宋体" w:cs="宋体"/>
        </w:rPr>
      </w:pPr>
      <w:r>
        <w:rPr>
          <w:rFonts w:hint="eastAsia" w:ascii="宋体" w:hAnsi="宋体" w:eastAsia="宋体" w:cs="宋体"/>
        </w:rPr>
        <w:t>《公安视频图像信息应用系统（智慧社区平台扩展〉接口协议要求》</w:t>
      </w:r>
    </w:p>
    <w:p>
      <w:pPr>
        <w:numPr>
          <w:ilvl w:val="0"/>
          <w:numId w:val="5"/>
        </w:numPr>
        <w:spacing w:line="360" w:lineRule="auto"/>
        <w:rPr>
          <w:rFonts w:hint="eastAsia" w:ascii="宋体" w:hAnsi="宋体" w:eastAsia="宋体" w:cs="宋体"/>
        </w:rPr>
      </w:pPr>
      <w:r>
        <w:rPr>
          <w:rFonts w:hint="eastAsia" w:ascii="宋体" w:hAnsi="宋体" w:eastAsia="宋体" w:cs="宋体"/>
        </w:rPr>
        <w:t>《智能建筑设计标准》GB50314-2015</w:t>
      </w:r>
    </w:p>
    <w:p>
      <w:pPr>
        <w:numPr>
          <w:ilvl w:val="0"/>
          <w:numId w:val="5"/>
        </w:numPr>
        <w:spacing w:line="360" w:lineRule="auto"/>
        <w:rPr>
          <w:rFonts w:hint="eastAsia" w:ascii="宋体" w:hAnsi="宋体" w:eastAsia="宋体" w:cs="宋体"/>
        </w:rPr>
      </w:pPr>
      <w:r>
        <w:rPr>
          <w:rFonts w:hint="eastAsia" w:ascii="宋体" w:hAnsi="宋体" w:eastAsia="宋体" w:cs="宋体"/>
        </w:rPr>
        <w:t>《建筑防雷设计规范》GB50057-2010</w:t>
      </w:r>
    </w:p>
    <w:p>
      <w:pPr>
        <w:numPr>
          <w:ilvl w:val="0"/>
          <w:numId w:val="5"/>
        </w:numPr>
        <w:spacing w:line="360" w:lineRule="auto"/>
        <w:rPr>
          <w:rFonts w:hint="eastAsia" w:ascii="宋体" w:hAnsi="宋体" w:eastAsia="宋体" w:cs="宋体"/>
        </w:rPr>
      </w:pPr>
      <w:r>
        <w:rPr>
          <w:rFonts w:hint="eastAsia" w:ascii="宋体" w:hAnsi="宋体" w:eastAsia="宋体" w:cs="宋体"/>
        </w:rPr>
        <w:t>《建筑物电子信息系统防雷技术规范》GB50343-2012</w:t>
      </w:r>
    </w:p>
    <w:p>
      <w:pPr>
        <w:numPr>
          <w:ilvl w:val="0"/>
          <w:numId w:val="5"/>
        </w:numPr>
        <w:spacing w:line="360" w:lineRule="auto"/>
        <w:rPr>
          <w:rFonts w:hint="eastAsia" w:ascii="宋体" w:hAnsi="宋体" w:eastAsia="宋体" w:cs="宋体"/>
        </w:rPr>
      </w:pPr>
      <w:r>
        <w:rPr>
          <w:rFonts w:hint="eastAsia" w:ascii="宋体" w:hAnsi="宋体" w:eastAsia="宋体" w:cs="宋体"/>
        </w:rPr>
        <w:t>《安全防范工程技术规范》GB50348-2004</w:t>
      </w:r>
    </w:p>
    <w:p>
      <w:pPr>
        <w:numPr>
          <w:ilvl w:val="0"/>
          <w:numId w:val="5"/>
        </w:numPr>
        <w:spacing w:line="360" w:lineRule="auto"/>
        <w:rPr>
          <w:rFonts w:hint="eastAsia" w:ascii="宋体" w:hAnsi="宋体" w:eastAsia="宋体" w:cs="宋体"/>
        </w:rPr>
      </w:pPr>
      <w:r>
        <w:rPr>
          <w:rFonts w:hint="eastAsia" w:ascii="宋体" w:hAnsi="宋体" w:eastAsia="宋体" w:cs="宋体"/>
        </w:rPr>
        <w:t>《视频安防监控系统工程设计规范》GB50395-2007</w:t>
      </w:r>
    </w:p>
    <w:p>
      <w:pPr>
        <w:numPr>
          <w:ilvl w:val="0"/>
          <w:numId w:val="5"/>
        </w:numPr>
        <w:spacing w:line="360" w:lineRule="auto"/>
        <w:rPr>
          <w:rFonts w:hint="eastAsia" w:ascii="宋体" w:hAnsi="宋体" w:eastAsia="宋体" w:cs="宋体"/>
        </w:rPr>
      </w:pPr>
      <w:r>
        <w:rPr>
          <w:rFonts w:hint="eastAsia" w:ascii="宋体" w:hAnsi="宋体" w:eastAsia="宋体" w:cs="宋体"/>
        </w:rPr>
        <w:t>《综合布线系统设计规范》GB50311-2016</w:t>
      </w:r>
    </w:p>
    <w:p>
      <w:pPr>
        <w:numPr>
          <w:ilvl w:val="0"/>
          <w:numId w:val="5"/>
        </w:numPr>
        <w:spacing w:line="360" w:lineRule="auto"/>
        <w:rPr>
          <w:rFonts w:hint="eastAsia" w:ascii="宋体" w:hAnsi="宋体" w:eastAsia="宋体" w:cs="宋体"/>
        </w:rPr>
      </w:pPr>
      <w:r>
        <w:rPr>
          <w:rFonts w:hint="eastAsia" w:ascii="宋体" w:hAnsi="宋体" w:eastAsia="宋体" w:cs="宋体"/>
        </w:rPr>
        <w:t>《公共广播系统工程技术规范》GB50526-2010</w:t>
      </w:r>
    </w:p>
    <w:p>
      <w:pPr>
        <w:numPr>
          <w:ilvl w:val="0"/>
          <w:numId w:val="5"/>
        </w:numPr>
        <w:spacing w:line="360" w:lineRule="auto"/>
        <w:rPr>
          <w:rFonts w:hint="eastAsia" w:ascii="宋体" w:hAnsi="宋体" w:eastAsia="宋体" w:cs="宋体"/>
        </w:rPr>
      </w:pPr>
      <w:r>
        <w:rPr>
          <w:rFonts w:hint="eastAsia" w:ascii="宋体" w:hAnsi="宋体" w:eastAsia="宋体" w:cs="宋体"/>
        </w:rPr>
        <w:t>《电子设备雷击试验方法》(GB/T3482-2008)；</w:t>
      </w:r>
    </w:p>
    <w:p>
      <w:pPr>
        <w:numPr>
          <w:ilvl w:val="0"/>
          <w:numId w:val="5"/>
        </w:numPr>
        <w:spacing w:line="360" w:lineRule="auto"/>
        <w:rPr>
          <w:rFonts w:hint="eastAsia" w:ascii="宋体" w:hAnsi="宋体" w:eastAsia="宋体" w:cs="宋体"/>
        </w:rPr>
      </w:pPr>
      <w:r>
        <w:rPr>
          <w:rFonts w:hint="eastAsia" w:ascii="宋体" w:hAnsi="宋体" w:eastAsia="宋体" w:cs="宋体"/>
        </w:rPr>
        <w:t>《图像监控监控中心设计规范》(GB50348-2018)；</w:t>
      </w:r>
    </w:p>
    <w:p>
      <w:pPr>
        <w:numPr>
          <w:ilvl w:val="0"/>
          <w:numId w:val="5"/>
        </w:numPr>
        <w:spacing w:line="360" w:lineRule="auto"/>
        <w:rPr>
          <w:rFonts w:hint="eastAsia" w:ascii="宋体" w:hAnsi="宋体" w:eastAsia="宋体" w:cs="宋体"/>
        </w:rPr>
      </w:pPr>
      <w:r>
        <w:rPr>
          <w:rFonts w:hint="eastAsia" w:ascii="宋体" w:hAnsi="宋体" w:eastAsia="宋体" w:cs="宋体"/>
        </w:rPr>
        <w:t>《智能建筑设计标准》(GB/T50314-2015)；</w:t>
      </w:r>
    </w:p>
    <w:p>
      <w:pPr>
        <w:numPr>
          <w:ilvl w:val="0"/>
          <w:numId w:val="5"/>
        </w:numPr>
        <w:spacing w:line="360" w:lineRule="auto"/>
        <w:rPr>
          <w:rFonts w:hint="eastAsia" w:ascii="宋体" w:hAnsi="宋体" w:eastAsia="宋体" w:cs="宋体"/>
        </w:rPr>
      </w:pPr>
      <w:r>
        <w:rPr>
          <w:rFonts w:hint="eastAsia" w:ascii="宋体" w:hAnsi="宋体" w:eastAsia="宋体" w:cs="宋体"/>
        </w:rPr>
        <w:t>《视频安防监控系统工程设计规范》(GB50395-2007)；</w:t>
      </w:r>
    </w:p>
    <w:p>
      <w:pPr>
        <w:numPr>
          <w:ilvl w:val="0"/>
          <w:numId w:val="5"/>
        </w:numPr>
        <w:spacing w:line="360" w:lineRule="auto"/>
        <w:rPr>
          <w:rFonts w:hint="eastAsia" w:ascii="宋体" w:hAnsi="宋体" w:eastAsia="宋体" w:cs="宋体"/>
        </w:rPr>
      </w:pPr>
      <w:r>
        <w:rPr>
          <w:rFonts w:hint="eastAsia" w:ascii="宋体" w:hAnsi="宋体" w:eastAsia="宋体" w:cs="宋体"/>
        </w:rPr>
        <w:t>《视频安防监控数字录像设备》(GB20815-2016)；</w:t>
      </w:r>
    </w:p>
    <w:p>
      <w:pPr>
        <w:numPr>
          <w:ilvl w:val="0"/>
          <w:numId w:val="5"/>
        </w:numPr>
        <w:spacing w:line="360" w:lineRule="auto"/>
        <w:rPr>
          <w:rFonts w:hint="eastAsia" w:ascii="宋体" w:hAnsi="宋体" w:eastAsia="宋体" w:cs="宋体"/>
        </w:rPr>
      </w:pPr>
      <w:r>
        <w:rPr>
          <w:rFonts w:hint="eastAsia" w:ascii="宋体" w:hAnsi="宋体" w:eastAsia="宋体" w:cs="宋体"/>
        </w:rPr>
        <w:t>《安全防范监控数字视音频编解码技术要求》(GB/T25724-2017)；</w:t>
      </w:r>
    </w:p>
    <w:p>
      <w:pPr>
        <w:numPr>
          <w:ilvl w:val="0"/>
          <w:numId w:val="5"/>
        </w:numPr>
        <w:spacing w:line="360" w:lineRule="auto"/>
        <w:rPr>
          <w:rFonts w:hint="eastAsia" w:ascii="宋体" w:hAnsi="宋体" w:eastAsia="宋体" w:cs="宋体"/>
        </w:rPr>
      </w:pPr>
      <w:r>
        <w:rPr>
          <w:rFonts w:hint="eastAsia" w:ascii="宋体" w:hAnsi="宋体" w:eastAsia="宋体" w:cs="宋体"/>
        </w:rPr>
        <w:t>《建筑和建筑群综合布线系统工程设计规范》(GB/T50311-2016)；</w:t>
      </w:r>
    </w:p>
    <w:p>
      <w:pPr>
        <w:numPr>
          <w:ilvl w:val="0"/>
          <w:numId w:val="5"/>
        </w:numPr>
        <w:spacing w:line="360" w:lineRule="auto"/>
        <w:rPr>
          <w:rFonts w:hint="eastAsia" w:ascii="宋体" w:hAnsi="宋体" w:eastAsia="宋体" w:cs="宋体"/>
        </w:rPr>
      </w:pPr>
      <w:r>
        <w:rPr>
          <w:rFonts w:hint="eastAsia" w:ascii="宋体" w:hAnsi="宋体" w:eastAsia="宋体" w:cs="宋体"/>
        </w:rPr>
        <w:t>《安全防范视频监控联网系统信息传输交换控制技术要求》(GB/T28181-2016)。</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注：本项目涉及的所有标准或版本，如果国家或行业有新标准或版本替代公布,则以新版为准。</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rPr>
      </w:pPr>
      <w:bookmarkStart w:id="6" w:name="_Toc73538489"/>
      <w:bookmarkStart w:id="7" w:name="_Toc271648455"/>
      <w:bookmarkStart w:id="8" w:name="_Toc27462"/>
      <w:bookmarkStart w:id="9" w:name="_Toc530131601"/>
      <w:bookmarkStart w:id="10" w:name="_Toc530131195"/>
      <w:bookmarkStart w:id="11" w:name="_Toc4613"/>
      <w:bookmarkStart w:id="12" w:name="_Toc504125002"/>
      <w:bookmarkStart w:id="13" w:name="_Toc8024"/>
      <w:bookmarkStart w:id="14" w:name="_Toc507661699"/>
      <w:bookmarkStart w:id="15" w:name="_Toc271648556"/>
      <w:r>
        <w:rPr>
          <w:rFonts w:hint="eastAsia" w:ascii="宋体" w:hAnsi="宋体" w:eastAsia="宋体" w:cs="宋体"/>
          <w:b/>
          <w:bCs/>
          <w:color w:val="auto"/>
          <w:szCs w:val="21"/>
        </w:rPr>
        <w:t>建设要求</w:t>
      </w:r>
      <w:bookmarkEnd w:id="6"/>
      <w:bookmarkEnd w:id="7"/>
      <w:bookmarkEnd w:id="8"/>
      <w:bookmarkEnd w:id="9"/>
      <w:bookmarkEnd w:id="10"/>
      <w:bookmarkEnd w:id="11"/>
      <w:bookmarkEnd w:id="12"/>
      <w:bookmarkEnd w:id="13"/>
      <w:bookmarkEnd w:id="14"/>
      <w:bookmarkEnd w:id="15"/>
    </w:p>
    <w:p>
      <w:pPr>
        <w:spacing w:line="360" w:lineRule="auto"/>
        <w:ind w:firstLine="422" w:firstLineChars="200"/>
        <w:rPr>
          <w:rFonts w:hint="eastAsia" w:ascii="宋体" w:hAnsi="宋体" w:eastAsia="宋体" w:cs="宋体"/>
          <w:b/>
          <w:bCs/>
        </w:rPr>
      </w:pPr>
      <w:r>
        <w:rPr>
          <w:rFonts w:hint="eastAsia" w:ascii="宋体" w:hAnsi="宋体" w:eastAsia="宋体" w:cs="宋体"/>
          <w:b/>
          <w:bCs/>
        </w:rPr>
        <w:t>（一）系统的应遵循以下原则：</w:t>
      </w:r>
    </w:p>
    <w:p>
      <w:pPr>
        <w:spacing w:line="360" w:lineRule="auto"/>
        <w:ind w:firstLine="422" w:firstLineChars="200"/>
        <w:rPr>
          <w:rFonts w:hint="eastAsia" w:ascii="宋体" w:hAnsi="宋体" w:eastAsia="宋体" w:cs="宋体"/>
          <w:b/>
          <w:bCs/>
        </w:rPr>
      </w:pPr>
      <w:r>
        <w:rPr>
          <w:rFonts w:hint="eastAsia" w:ascii="宋体" w:hAnsi="宋体" w:eastAsia="宋体" w:cs="宋体"/>
          <w:b/>
          <w:bCs/>
        </w:rPr>
        <w:t>1、合理性2、实用性3、可扩展性4、稳定性</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考虑系统全天候实时性需求，要求系统具备7</w:t>
      </w:r>
      <w:r>
        <w:rPr>
          <w:rFonts w:hint="eastAsia" w:ascii="宋体" w:hAnsi="宋体" w:eastAsia="宋体" w:cs="宋体"/>
          <w:bCs/>
          <w:sz w:val="21"/>
          <w:szCs w:val="21"/>
          <w:lang w:val="en-US" w:eastAsia="zh-CN"/>
        </w:rPr>
        <w:t>×</w:t>
      </w:r>
      <w:r>
        <w:rPr>
          <w:rFonts w:hint="eastAsia" w:ascii="宋体" w:hAnsi="宋体" w:eastAsia="宋体" w:cs="宋体"/>
          <w:bCs/>
          <w:sz w:val="21"/>
          <w:szCs w:val="21"/>
        </w:rPr>
        <w:t>24小时连续不间断运行的能力，并通过自动检测、自动报警、自动监控等技术有效地保证系统的高可用性和可靠性。</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（二）系统前端设计</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1、监控点设计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第一部分：本工程设计摄像机的点位主要设计在</w:t>
      </w:r>
      <w:r>
        <w:rPr>
          <w:rFonts w:hint="eastAsia" w:ascii="宋体" w:hAnsi="宋体" w:eastAsia="宋体" w:cs="宋体"/>
          <w:color w:val="000000" w:themeColor="text1"/>
          <w:sz w:val="21"/>
          <w:szCs w:val="21"/>
          <w14:textFill>
            <w14:solidFill>
              <w14:schemeClr w14:val="tx1"/>
            </w14:solidFill>
          </w14:textFill>
        </w:rPr>
        <w:t>厂房傍边垃圾站，锅炉房内及锅炉房外围等重要路口</w:t>
      </w:r>
      <w:r>
        <w:rPr>
          <w:rFonts w:hint="eastAsia" w:ascii="宋体" w:hAnsi="宋体" w:eastAsia="宋体" w:cs="宋体"/>
          <w:sz w:val="21"/>
          <w:szCs w:val="21"/>
        </w:rPr>
        <w:t>等设计监控点。</w:t>
      </w:r>
    </w:p>
    <w:p>
      <w:pPr>
        <w:pStyle w:val="8"/>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第二部分：含伙房区及外围、垃圾站；三监区五楼视频监控摄像机升级更换。</w:t>
      </w:r>
    </w:p>
    <w:p>
      <w:pPr>
        <w:pStyle w:val="8"/>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女子监狱医院部分楼层增加为本</w:t>
      </w:r>
      <w:r>
        <w:rPr>
          <w:rFonts w:hint="eastAsia" w:ascii="宋体" w:hAnsi="宋体" w:cs="宋体"/>
          <w:sz w:val="21"/>
          <w:szCs w:val="21"/>
          <w:lang w:val="en-US" w:eastAsia="zh-CN"/>
        </w:rPr>
        <w:t>项目</w:t>
      </w:r>
      <w:r>
        <w:rPr>
          <w:rFonts w:hint="eastAsia" w:ascii="宋体" w:hAnsi="宋体" w:eastAsia="宋体" w:cs="宋体"/>
          <w:sz w:val="21"/>
          <w:szCs w:val="21"/>
        </w:rPr>
        <w:t>采购</w:t>
      </w:r>
      <w:r>
        <w:rPr>
          <w:rFonts w:hint="eastAsia" w:ascii="宋体" w:hAnsi="宋体" w:cs="宋体"/>
          <w:sz w:val="21"/>
          <w:szCs w:val="21"/>
          <w:lang w:eastAsia="zh-CN"/>
        </w:rPr>
        <w:t>的</w:t>
      </w:r>
      <w:r>
        <w:rPr>
          <w:rFonts w:hint="eastAsia" w:ascii="宋体" w:hAnsi="宋体" w:eastAsia="宋体" w:cs="宋体"/>
          <w:sz w:val="21"/>
          <w:szCs w:val="21"/>
        </w:rPr>
        <w:t>广播系统设备，具体设备详见清单</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2、摄像机选型原则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监控摄像机全部选用高清网络摄像机，采用200万以上像素摄像机，画面清晰逼真，并带有音频输入接口为实现全天候24小时监控需要，对于光线不足的场合可选用具有红外补光功能的摄像机。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于有天花板装饰的室内监控场所，采用半球吸顶安装，为满足防暴要求可选用具有防暴功能的高清网络半球摄像机，为满足一个画面实现对单个管理区域的全景监控要求可选用具有超广角的高清网络摄像机，并可以对单个管理区域内的行为进行智能侦测。对于有明暗交接的室内场所，半球摄像机还需带有宽动态功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对于雾气较大的天气，室外摄像机应选用带有透雾功能的摄像机，以达到清晰监控目标场所的目的。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对于锅炉房等场所，采用耐高温摄像机，专业制冷风道设计，有效降低设备内部温度，保证设备在70°C</w:t>
      </w:r>
      <w:r>
        <w:rPr>
          <w:rFonts w:hint="eastAsia" w:ascii="宋体" w:hAnsi="宋体" w:eastAsia="宋体" w:cs="宋体"/>
          <w:sz w:val="21"/>
          <w:szCs w:val="21"/>
          <w:lang w:val="en-US" w:eastAsia="zh-CN"/>
        </w:rPr>
        <w:t>或以上</w:t>
      </w:r>
      <w:r>
        <w:rPr>
          <w:rFonts w:hint="eastAsia" w:ascii="宋体" w:hAnsi="宋体" w:eastAsia="宋体" w:cs="宋体"/>
          <w:sz w:val="21"/>
          <w:szCs w:val="21"/>
        </w:rPr>
        <w:t>环境下7×24小时不间断稳定运行要求。</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3、前端系统供电的设计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本系统伙房区、1号厂房附近垃圾站摄像机、锅炉房耐高温摄像机单采用DC集中供电，其余全部摄像机均采用POE供电（POE交换机的电源取自各功能区机房电源）。</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4、前端系统防雷的设计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对于室外的摄像机加装相应线路的防雷器以防止设备的破坏；对于立杆安装的摄像机，将采用在立杆上加装避雷针防直接雷的防雷方式，立杆要做好防雷接地保护。同时也将在室外的设备箱里加装相应线路的防雷器，以防感应器对设备的破坏。</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（三）系统传输网络的设计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本监控系统为全数字网络架构，因此监控系统的传输为数据信号的传输将采用“网线+光纤+交换机”进行传输。利用原有监控专网汇聚到监控中心。</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（四）视频控制、存储的设计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本项目原有系统有华为、</w:t>
      </w:r>
      <w:r>
        <w:rPr>
          <w:rFonts w:hint="eastAsia" w:ascii="宋体" w:hAnsi="宋体" w:eastAsia="宋体" w:cs="宋体"/>
          <w:sz w:val="21"/>
          <w:szCs w:val="21"/>
          <w:lang w:eastAsia="zh-CN"/>
        </w:rPr>
        <w:t>科达、</w:t>
      </w:r>
      <w:r>
        <w:rPr>
          <w:rFonts w:hint="eastAsia" w:ascii="宋体" w:hAnsi="宋体" w:eastAsia="宋体" w:cs="宋体"/>
          <w:sz w:val="21"/>
          <w:szCs w:val="21"/>
        </w:rPr>
        <w:t>海康系统需要做好视频技</w:t>
      </w:r>
      <w:r>
        <w:rPr>
          <w:rFonts w:hint="eastAsia" w:ascii="宋体" w:hAnsi="宋体" w:eastAsia="宋体" w:cs="宋体"/>
          <w:sz w:val="21"/>
          <w:szCs w:val="21"/>
          <w:lang w:eastAsia="zh-CN"/>
        </w:rPr>
        <w:t>术</w:t>
      </w:r>
      <w:r>
        <w:rPr>
          <w:rFonts w:hint="eastAsia" w:ascii="宋体" w:hAnsi="宋体" w:eastAsia="宋体" w:cs="宋体"/>
          <w:sz w:val="21"/>
          <w:szCs w:val="21"/>
        </w:rPr>
        <w:t>对接工作，要求数据保存不少于30天，并实现7</w:t>
      </w:r>
      <w:r>
        <w:rPr>
          <w:rFonts w:hint="eastAsia" w:ascii="宋体" w:hAnsi="宋体" w:eastAsia="宋体" w:cs="宋体"/>
          <w:sz w:val="21"/>
          <w:szCs w:val="21"/>
          <w:lang w:val="en-US" w:eastAsia="zh-CN"/>
        </w:rPr>
        <w:t>×</w:t>
      </w:r>
      <w:r>
        <w:rPr>
          <w:rFonts w:hint="eastAsia" w:ascii="宋体" w:hAnsi="宋体" w:eastAsia="宋体" w:cs="宋体"/>
          <w:sz w:val="21"/>
          <w:szCs w:val="21"/>
        </w:rPr>
        <w:t>24小时监控。</w:t>
      </w:r>
    </w:p>
    <w:p>
      <w:pPr>
        <w:pStyle w:val="8"/>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三监区五楼新装摄像机需将原有拾音器一并接入科达监控系统和海康安防综合管理平台。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拾音器、摄像机、广播等设备需接入监狱原有的监控平台、广播、各个系统的对接，并配置存储录像且无缝接入监狱综合安防管理平台，实现监控、广播等设备与综合安防平台的联动一体化功能。</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 w:val="21"/>
          <w:szCs w:val="21"/>
        </w:rPr>
      </w:pPr>
      <w:bookmarkStart w:id="16" w:name="_Toc169263224"/>
      <w:bookmarkStart w:id="17" w:name="_Toc224549095"/>
      <w:bookmarkStart w:id="18" w:name="_Toc328695927"/>
      <w:bookmarkStart w:id="19" w:name="_Toc15814"/>
      <w:bookmarkStart w:id="20" w:name="_Toc73538550"/>
      <w:bookmarkStart w:id="21" w:name="_Toc338428056"/>
      <w:bookmarkStart w:id="22" w:name="_Toc530131675"/>
      <w:bookmarkStart w:id="23" w:name="_Toc309198001"/>
      <w:bookmarkStart w:id="24" w:name="_Toc530131269"/>
      <w:bookmarkStart w:id="25" w:name="_Toc271648629"/>
      <w:bookmarkStart w:id="26" w:name="_Toc21766"/>
      <w:bookmarkStart w:id="27" w:name="_Toc271648528"/>
      <w:bookmarkStart w:id="28" w:name="_Toc504125051"/>
      <w:bookmarkStart w:id="29" w:name="_Toc309298975"/>
      <w:bookmarkStart w:id="30" w:name="_Toc507661748"/>
      <w:bookmarkStart w:id="31" w:name="_Toc456712387"/>
      <w:bookmarkStart w:id="32" w:name="_Toc26915"/>
      <w:r>
        <w:rPr>
          <w:rFonts w:hint="eastAsia" w:ascii="宋体" w:hAnsi="宋体" w:eastAsia="宋体" w:cs="宋体"/>
          <w:b/>
          <w:bCs/>
          <w:color w:val="auto"/>
          <w:sz w:val="21"/>
          <w:szCs w:val="21"/>
        </w:rPr>
        <w:t>技术服务</w:t>
      </w:r>
      <w:bookmarkEnd w:id="16"/>
      <w:r>
        <w:rPr>
          <w:rFonts w:hint="eastAsia" w:ascii="宋体" w:hAnsi="宋体" w:eastAsia="宋体" w:cs="宋体"/>
          <w:b/>
          <w:bCs/>
          <w:color w:val="auto"/>
          <w:sz w:val="21"/>
          <w:szCs w:val="21"/>
        </w:rPr>
        <w:t>及培训</w:t>
      </w:r>
      <w:bookmarkEnd w:id="17"/>
      <w:r>
        <w:rPr>
          <w:rFonts w:hint="eastAsia" w:ascii="宋体" w:hAnsi="宋体" w:eastAsia="宋体" w:cs="宋体"/>
          <w:b/>
          <w:bCs/>
          <w:color w:val="auto"/>
          <w:sz w:val="21"/>
          <w:szCs w:val="21"/>
        </w:rPr>
        <w:t>要求</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spacing w:line="360" w:lineRule="auto"/>
        <w:rPr>
          <w:rFonts w:hint="eastAsia" w:ascii="宋体" w:hAnsi="宋体" w:eastAsia="宋体" w:cs="宋体"/>
          <w:b/>
          <w:bCs/>
          <w:sz w:val="21"/>
          <w:szCs w:val="21"/>
        </w:rPr>
      </w:pPr>
      <w:bookmarkStart w:id="33" w:name="_Toc224549096"/>
      <w:bookmarkStart w:id="34" w:name="_Toc156293139"/>
      <w:bookmarkStart w:id="35" w:name="_Toc328695928"/>
      <w:bookmarkStart w:id="36" w:name="_Toc530131676"/>
      <w:bookmarkStart w:id="37" w:name="_Toc338428057"/>
      <w:bookmarkStart w:id="38" w:name="_Toc28599"/>
      <w:bookmarkStart w:id="39" w:name="_Toc507661749"/>
      <w:bookmarkStart w:id="40" w:name="_Toc271648529"/>
      <w:bookmarkStart w:id="41" w:name="_Toc456712388"/>
      <w:bookmarkStart w:id="42" w:name="_Toc73538551"/>
      <w:bookmarkStart w:id="43" w:name="_Toc7711"/>
      <w:bookmarkStart w:id="44" w:name="_Toc504125052"/>
      <w:bookmarkStart w:id="45" w:name="_Toc309198002"/>
      <w:bookmarkStart w:id="46" w:name="_Toc309298976"/>
      <w:bookmarkStart w:id="47" w:name="_Toc530131270"/>
      <w:bookmarkStart w:id="48" w:name="_Toc271648630"/>
      <w:bookmarkStart w:id="49" w:name="_Toc169263225"/>
      <w:r>
        <w:rPr>
          <w:rFonts w:hint="eastAsia" w:ascii="宋体" w:hAnsi="宋体" w:eastAsia="宋体" w:cs="宋体"/>
          <w:b/>
          <w:bCs/>
          <w:sz w:val="21"/>
          <w:szCs w:val="21"/>
        </w:rPr>
        <w:t>1、技术</w:t>
      </w:r>
      <w:bookmarkEnd w:id="33"/>
      <w:bookmarkEnd w:id="34"/>
      <w:r>
        <w:rPr>
          <w:rFonts w:hint="eastAsia" w:ascii="宋体" w:hAnsi="宋体" w:eastAsia="宋体" w:cs="宋体"/>
          <w:b/>
          <w:bCs/>
          <w:sz w:val="21"/>
          <w:szCs w:val="21"/>
        </w:rPr>
        <w:t>支持要求</w:t>
      </w:r>
      <w:bookmarkEnd w:id="35"/>
      <w:bookmarkEnd w:id="36"/>
      <w:bookmarkEnd w:id="37"/>
      <w:bookmarkEnd w:id="38"/>
      <w:bookmarkEnd w:id="39"/>
      <w:bookmarkEnd w:id="40"/>
      <w:bookmarkEnd w:id="41"/>
      <w:bookmarkEnd w:id="42"/>
      <w:bookmarkEnd w:id="43"/>
      <w:bookmarkEnd w:id="44"/>
      <w:bookmarkEnd w:id="45"/>
      <w:bookmarkEnd w:id="46"/>
      <w:bookmarkEnd w:id="47"/>
      <w:bookmarkEnd w:id="48"/>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响应提供技术服务方案，承诺提供整体工程</w:t>
      </w:r>
      <w:r>
        <w:rPr>
          <w:rFonts w:hint="eastAsia" w:ascii="宋体" w:hAnsi="宋体" w:eastAsia="宋体" w:cs="宋体"/>
          <w:b/>
          <w:bCs/>
          <w:sz w:val="21"/>
          <w:szCs w:val="21"/>
        </w:rPr>
        <w:t>终生</w:t>
      </w:r>
      <w:r>
        <w:rPr>
          <w:rFonts w:hint="eastAsia" w:ascii="宋体" w:hAnsi="宋体" w:eastAsia="宋体" w:cs="宋体"/>
          <w:sz w:val="21"/>
          <w:szCs w:val="21"/>
        </w:rPr>
        <w:t>技术支持服务，说明工程技术维护队伍和机构情况</w:t>
      </w:r>
      <w:r>
        <w:rPr>
          <w:rFonts w:hint="eastAsia" w:ascii="宋体" w:hAnsi="宋体" w:eastAsia="宋体" w:cs="宋体"/>
          <w:sz w:val="21"/>
          <w:szCs w:val="21"/>
          <w:lang w:eastAsia="zh-CN"/>
        </w:rPr>
        <w:t>、</w:t>
      </w:r>
      <w:r>
        <w:rPr>
          <w:rFonts w:hint="eastAsia" w:ascii="宋体" w:hAnsi="宋体" w:eastAsia="宋体" w:cs="宋体"/>
          <w:sz w:val="21"/>
          <w:szCs w:val="21"/>
        </w:rPr>
        <w:t>服务模式，详细阐述技术支持的内容、范围、响应时间和解决问题时间。</w:t>
      </w:r>
      <w:bookmarkStart w:id="50" w:name="_Toc136829044"/>
      <w:bookmarkStart w:id="51" w:name="_Toc105752948"/>
    </w:p>
    <w:p>
      <w:pPr>
        <w:spacing w:line="360" w:lineRule="auto"/>
        <w:rPr>
          <w:rFonts w:hint="eastAsia" w:ascii="宋体" w:hAnsi="宋体" w:eastAsia="宋体" w:cs="宋体"/>
          <w:b/>
          <w:bCs/>
          <w:sz w:val="21"/>
          <w:szCs w:val="21"/>
        </w:rPr>
      </w:pPr>
      <w:bookmarkStart w:id="52" w:name="_Toc156293141"/>
      <w:bookmarkStart w:id="53" w:name="_Toc224549098"/>
      <w:bookmarkStart w:id="54" w:name="_Toc530131271"/>
      <w:bookmarkStart w:id="55" w:name="_Toc338428058"/>
      <w:bookmarkStart w:id="56" w:name="_Toc18257"/>
      <w:bookmarkStart w:id="57" w:name="_Toc271648530"/>
      <w:bookmarkStart w:id="58" w:name="_Toc456712389"/>
      <w:bookmarkStart w:id="59" w:name="_Toc504125053"/>
      <w:bookmarkStart w:id="60" w:name="_Toc73538552"/>
      <w:bookmarkStart w:id="61" w:name="_Toc309298977"/>
      <w:bookmarkStart w:id="62" w:name="_Toc530131677"/>
      <w:bookmarkStart w:id="63" w:name="_Toc328695929"/>
      <w:bookmarkStart w:id="64" w:name="_Toc507661750"/>
      <w:bookmarkStart w:id="65" w:name="_Toc309198003"/>
      <w:bookmarkStart w:id="66" w:name="_Toc271648631"/>
      <w:bookmarkStart w:id="67" w:name="_Toc623"/>
      <w:r>
        <w:rPr>
          <w:rFonts w:hint="eastAsia" w:ascii="宋体" w:hAnsi="宋体" w:eastAsia="宋体" w:cs="宋体"/>
          <w:b/>
          <w:bCs/>
          <w:sz w:val="21"/>
          <w:szCs w:val="21"/>
        </w:rPr>
        <w:t>2、售后服务</w:t>
      </w:r>
      <w:bookmarkEnd w:id="52"/>
      <w:bookmarkEnd w:id="53"/>
      <w:r>
        <w:rPr>
          <w:rFonts w:hint="eastAsia" w:ascii="宋体" w:hAnsi="宋体" w:eastAsia="宋体" w:cs="宋体"/>
          <w:b/>
          <w:bCs/>
          <w:sz w:val="21"/>
          <w:szCs w:val="21"/>
        </w:rPr>
        <w:t>要求</w:t>
      </w:r>
      <w:bookmarkEnd w:id="54"/>
      <w:bookmarkEnd w:id="55"/>
      <w:bookmarkEnd w:id="56"/>
      <w:bookmarkEnd w:id="57"/>
      <w:bookmarkEnd w:id="58"/>
      <w:bookmarkEnd w:id="59"/>
      <w:bookmarkEnd w:id="60"/>
      <w:bookmarkEnd w:id="61"/>
      <w:bookmarkEnd w:id="62"/>
      <w:bookmarkEnd w:id="63"/>
      <w:bookmarkEnd w:id="64"/>
      <w:bookmarkEnd w:id="65"/>
      <w:bookmarkEnd w:id="66"/>
      <w:bookmarkEnd w:id="67"/>
    </w:p>
    <w:bookmarkEnd w:id="50"/>
    <w:bookmarkEnd w:id="51"/>
    <w:p>
      <w:pPr>
        <w:spacing w:line="360" w:lineRule="auto"/>
        <w:ind w:firstLine="361" w:firstLineChars="171"/>
        <w:rPr>
          <w:rFonts w:hint="eastAsia" w:ascii="宋体" w:hAnsi="宋体" w:eastAsia="宋体" w:cs="宋体"/>
          <w:b/>
          <w:bCs/>
          <w:sz w:val="21"/>
          <w:szCs w:val="21"/>
          <w:highlight w:val="none"/>
        </w:rPr>
      </w:pPr>
      <w:r>
        <w:rPr>
          <w:rFonts w:hint="eastAsia" w:ascii="宋体" w:hAnsi="宋体" w:eastAsia="宋体" w:cs="宋体"/>
          <w:b/>
          <w:bCs/>
          <w:sz w:val="21"/>
          <w:szCs w:val="21"/>
        </w:rPr>
        <w:t>项目验收通过后，成交</w:t>
      </w:r>
      <w:r>
        <w:rPr>
          <w:rFonts w:hint="eastAsia" w:ascii="宋体" w:hAnsi="宋体" w:eastAsia="宋体" w:cs="宋体"/>
          <w:b/>
          <w:bCs/>
          <w:sz w:val="21"/>
          <w:szCs w:val="21"/>
          <w:highlight w:val="none"/>
        </w:rPr>
        <w:t>供应商提供1年的免费全系统保修服务，在质量保证期内，成交供应商必须1小时之内赶赴现场处理故障，并24小时内完成解决。成交供应商应提供满足设备1年正常使用的备品备件，其费用应包括在响应报价中。系统实现1年免费维修保修服务，提供系统终生维修保修服务。</w:t>
      </w:r>
      <w:r>
        <w:rPr>
          <w:rFonts w:hint="eastAsia" w:ascii="宋体" w:hAnsi="宋体" w:eastAsia="宋体" w:cs="宋体"/>
          <w:b/>
          <w:bCs/>
          <w:sz w:val="21"/>
          <w:szCs w:val="21"/>
          <w:highlight w:val="none"/>
          <w:u w:color="FFFFFF"/>
        </w:rPr>
        <w:t>（响应供应商须提供承诺函</w:t>
      </w:r>
      <w:r>
        <w:rPr>
          <w:rFonts w:hint="eastAsia" w:ascii="宋体" w:hAnsi="宋体" w:eastAsia="宋体" w:cs="宋体"/>
          <w:b/>
          <w:bCs/>
          <w:sz w:val="21"/>
          <w:szCs w:val="21"/>
          <w:highlight w:val="none"/>
          <w:u w:color="FFFFFF"/>
          <w:lang w:eastAsia="zh-CN"/>
        </w:rPr>
        <w:t>，</w:t>
      </w:r>
      <w:r>
        <w:rPr>
          <w:rFonts w:hint="eastAsia" w:ascii="宋体" w:hAnsi="宋体" w:eastAsia="宋体" w:cs="宋体"/>
          <w:b/>
          <w:bCs/>
          <w:sz w:val="21"/>
          <w:szCs w:val="21"/>
          <w:highlight w:val="none"/>
          <w:u w:color="FFFFFF"/>
          <w:lang w:val="en-US" w:eastAsia="zh-CN"/>
        </w:rPr>
        <w:t>不提供视为无效响应</w:t>
      </w:r>
      <w:r>
        <w:rPr>
          <w:rFonts w:hint="eastAsia" w:ascii="宋体" w:hAnsi="宋体" w:eastAsia="宋体" w:cs="宋体"/>
          <w:b/>
          <w:bCs/>
          <w:sz w:val="21"/>
          <w:szCs w:val="21"/>
          <w:highlight w:val="none"/>
          <w:u w:color="FFFFFF"/>
        </w:rPr>
        <w:t>）</w:t>
      </w:r>
      <w:r>
        <w:rPr>
          <w:rFonts w:hint="eastAsia" w:ascii="宋体" w:hAnsi="宋体" w:eastAsia="宋体" w:cs="宋体"/>
          <w:b/>
          <w:bCs/>
          <w:sz w:val="21"/>
          <w:szCs w:val="21"/>
          <w:highlight w:val="none"/>
          <w:u w:color="FFFFFF"/>
          <w:lang w:val="en-GB"/>
        </w:rPr>
        <w:t>。</w:t>
      </w:r>
    </w:p>
    <w:bookmarkEnd w:id="49"/>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供货</w:t>
      </w:r>
    </w:p>
    <w:p>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应在合同签订后按以下工期完成工程（包括供货、安装、调试、验收）：本次项目工期在</w:t>
      </w:r>
      <w:r>
        <w:rPr>
          <w:rFonts w:hint="eastAsia" w:ascii="宋体" w:hAnsi="宋体" w:eastAsia="宋体" w:cs="宋体"/>
          <w:sz w:val="21"/>
          <w:szCs w:val="21"/>
          <w:lang w:val="en-US" w:eastAsia="zh-CN"/>
        </w:rPr>
        <w:t>采购人</w:t>
      </w:r>
      <w:r>
        <w:rPr>
          <w:rFonts w:hint="eastAsia" w:ascii="宋体" w:hAnsi="宋体" w:eastAsia="宋体" w:cs="宋体"/>
          <w:sz w:val="21"/>
          <w:szCs w:val="21"/>
        </w:rPr>
        <w:t>信息技术科发出开工令后3个月内完成（包括供货、安装、调试、验收）。</w:t>
      </w:r>
      <w:r>
        <w:rPr>
          <w:rFonts w:hint="eastAsia" w:ascii="宋体" w:hAnsi="宋体" w:eastAsia="宋体" w:cs="宋体"/>
          <w:b/>
          <w:bCs/>
          <w:sz w:val="21"/>
          <w:szCs w:val="21"/>
        </w:rPr>
        <w:t>其中</w:t>
      </w:r>
      <w:r>
        <w:rPr>
          <w:rFonts w:hint="eastAsia" w:ascii="宋体" w:hAnsi="宋体" w:eastAsia="宋体" w:cs="宋体"/>
          <w:b/>
          <w:bCs/>
          <w:sz w:val="21"/>
          <w:szCs w:val="21"/>
          <w:lang w:val="en-US" w:eastAsia="zh-CN"/>
        </w:rPr>
        <w:t>供应商</w:t>
      </w:r>
      <w:r>
        <w:rPr>
          <w:rFonts w:hint="eastAsia" w:ascii="宋体" w:hAnsi="宋体" w:eastAsia="宋体" w:cs="宋体"/>
          <w:b/>
          <w:bCs/>
          <w:sz w:val="21"/>
          <w:szCs w:val="21"/>
        </w:rPr>
        <w:t>必须在合同签订后5个工作日内提供合同项下主要设备（视频摄像机、交换机、CVR存储设备、广播设备、线缆线材等）的采购确认清单（含设备订货合同的主要页、数量、供货日期、供货商名称及联系电话等内容），并将主要设备在合同签订后的1个月内送到</w:t>
      </w:r>
      <w:r>
        <w:rPr>
          <w:rFonts w:hint="eastAsia" w:ascii="宋体" w:hAnsi="宋体" w:eastAsia="宋体" w:cs="宋体"/>
          <w:b/>
          <w:bCs/>
          <w:sz w:val="21"/>
          <w:szCs w:val="21"/>
          <w:lang w:val="en-US" w:eastAsia="zh-CN"/>
        </w:rPr>
        <w:t>采购人</w:t>
      </w:r>
      <w:r>
        <w:rPr>
          <w:rFonts w:hint="eastAsia" w:ascii="宋体" w:hAnsi="宋体" w:eastAsia="宋体" w:cs="宋体"/>
          <w:b/>
          <w:bCs/>
          <w:sz w:val="21"/>
          <w:szCs w:val="21"/>
        </w:rPr>
        <w:t>指定地点。</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需提供</w:t>
      </w:r>
      <w:r>
        <w:rPr>
          <w:rFonts w:hint="eastAsia" w:ascii="宋体" w:hAnsi="宋体" w:cs="宋体"/>
          <w:b/>
          <w:bCs/>
          <w:sz w:val="21"/>
          <w:szCs w:val="21"/>
          <w:lang w:eastAsia="zh-CN"/>
        </w:rPr>
        <w:t>主要设备【</w:t>
      </w:r>
      <w:r>
        <w:rPr>
          <w:rFonts w:hint="eastAsia" w:ascii="宋体" w:hAnsi="宋体" w:eastAsia="宋体" w:cs="宋体"/>
          <w:b/>
          <w:bCs/>
          <w:sz w:val="21"/>
          <w:szCs w:val="21"/>
        </w:rPr>
        <w:t>摄像机</w:t>
      </w:r>
      <w:r>
        <w:rPr>
          <w:rFonts w:hint="eastAsia" w:ascii="宋体" w:hAnsi="宋体" w:cs="宋体"/>
          <w:b/>
          <w:bCs/>
          <w:sz w:val="21"/>
          <w:szCs w:val="21"/>
          <w:lang w:eastAsia="zh-CN"/>
        </w:rPr>
        <w:t>（品牌：海康威视）、</w:t>
      </w:r>
      <w:r>
        <w:rPr>
          <w:rFonts w:hint="eastAsia" w:ascii="宋体" w:hAnsi="宋体" w:eastAsia="宋体" w:cs="宋体"/>
          <w:b/>
          <w:bCs/>
          <w:sz w:val="21"/>
          <w:szCs w:val="21"/>
        </w:rPr>
        <w:t>摄像机</w:t>
      </w:r>
      <w:r>
        <w:rPr>
          <w:rFonts w:hint="eastAsia" w:ascii="宋体" w:hAnsi="宋体" w:cs="宋体"/>
          <w:b/>
          <w:bCs/>
          <w:sz w:val="21"/>
          <w:szCs w:val="21"/>
          <w:lang w:eastAsia="zh-CN"/>
        </w:rPr>
        <w:t>（品牌：科达）</w:t>
      </w:r>
      <w:r>
        <w:rPr>
          <w:rFonts w:hint="eastAsia" w:ascii="宋体" w:hAnsi="宋体" w:eastAsia="宋体" w:cs="宋体"/>
          <w:b/>
          <w:bCs/>
          <w:sz w:val="21"/>
          <w:szCs w:val="21"/>
        </w:rPr>
        <w:t>、CVR存储设备、室外超五类屏蔽双绞线</w:t>
      </w:r>
      <w:r>
        <w:rPr>
          <w:rFonts w:hint="eastAsia" w:ascii="宋体" w:hAnsi="宋体" w:cs="宋体"/>
          <w:b/>
          <w:bCs/>
          <w:sz w:val="21"/>
          <w:szCs w:val="21"/>
          <w:lang w:eastAsia="zh-CN"/>
        </w:rPr>
        <w:t>和</w:t>
      </w:r>
      <w:r>
        <w:rPr>
          <w:rFonts w:hint="eastAsia" w:ascii="宋体" w:hAnsi="宋体" w:eastAsia="宋体" w:cs="宋体"/>
          <w:b/>
          <w:bCs/>
          <w:sz w:val="21"/>
          <w:szCs w:val="21"/>
        </w:rPr>
        <w:t>IP网络功放终端</w:t>
      </w:r>
      <w:r>
        <w:rPr>
          <w:rFonts w:hint="eastAsia" w:ascii="宋体" w:hAnsi="宋体" w:cs="宋体"/>
          <w:b/>
          <w:bCs/>
          <w:sz w:val="21"/>
          <w:szCs w:val="21"/>
          <w:lang w:eastAsia="zh-CN"/>
        </w:rPr>
        <w:t>】</w:t>
      </w:r>
      <w:r>
        <w:rPr>
          <w:rFonts w:hint="eastAsia" w:ascii="宋体" w:hAnsi="宋体" w:eastAsia="宋体" w:cs="宋体"/>
          <w:b/>
          <w:bCs/>
          <w:sz w:val="21"/>
          <w:szCs w:val="21"/>
          <w:lang w:eastAsia="zh-CN"/>
        </w:rPr>
        <w:t>原厂</w:t>
      </w:r>
      <w:r>
        <w:rPr>
          <w:rFonts w:hint="eastAsia" w:ascii="宋体" w:hAnsi="宋体" w:cs="宋体"/>
          <w:b/>
          <w:bCs/>
          <w:sz w:val="21"/>
          <w:szCs w:val="21"/>
          <w:lang w:eastAsia="zh-CN"/>
        </w:rPr>
        <w:t>盖章</w:t>
      </w:r>
      <w:r>
        <w:rPr>
          <w:rFonts w:hint="eastAsia" w:ascii="宋体" w:hAnsi="宋体" w:eastAsia="宋体" w:cs="宋体"/>
          <w:b/>
          <w:bCs/>
          <w:sz w:val="21"/>
          <w:szCs w:val="21"/>
          <w:lang w:eastAsia="zh-CN"/>
        </w:rPr>
        <w:t>供货证明。</w:t>
      </w:r>
      <w:r>
        <w:rPr>
          <w:rFonts w:hint="eastAsia" w:ascii="宋体" w:hAnsi="宋体" w:eastAsia="宋体" w:cs="宋体"/>
          <w:b/>
          <w:bCs/>
          <w:kern w:val="2"/>
          <w:sz w:val="21"/>
          <w:szCs w:val="21"/>
          <w:lang w:val="en-US" w:eastAsia="zh-CN" w:bidi="ar-SA"/>
        </w:rPr>
        <w:t>（响应供应商</w:t>
      </w:r>
      <w:r>
        <w:rPr>
          <w:rFonts w:hint="eastAsia" w:ascii="宋体" w:hAnsi="宋体" w:cs="宋体"/>
          <w:b/>
          <w:bCs/>
          <w:kern w:val="2"/>
          <w:sz w:val="21"/>
          <w:szCs w:val="21"/>
          <w:lang w:val="en-US" w:eastAsia="zh-CN" w:bidi="ar-SA"/>
        </w:rPr>
        <w:t>报价时</w:t>
      </w:r>
      <w:r>
        <w:rPr>
          <w:rFonts w:hint="eastAsia" w:ascii="宋体" w:hAnsi="宋体" w:eastAsia="宋体" w:cs="宋体"/>
          <w:b/>
          <w:bCs/>
          <w:kern w:val="2"/>
          <w:sz w:val="21"/>
          <w:szCs w:val="21"/>
          <w:lang w:val="en-US" w:eastAsia="zh-CN" w:bidi="ar-SA"/>
        </w:rPr>
        <w:t>须提</w:t>
      </w:r>
      <w:r>
        <w:rPr>
          <w:rFonts w:hint="eastAsia" w:ascii="宋体" w:hAnsi="宋体" w:cs="宋体"/>
          <w:b/>
          <w:bCs/>
          <w:kern w:val="2"/>
          <w:sz w:val="21"/>
          <w:szCs w:val="21"/>
          <w:lang w:val="en-US" w:eastAsia="zh-CN" w:bidi="ar-SA"/>
        </w:rPr>
        <w:t>供</w:t>
      </w:r>
      <w:r>
        <w:rPr>
          <w:rFonts w:hint="eastAsia" w:ascii="宋体" w:hAnsi="宋体" w:eastAsia="宋体" w:cs="宋体"/>
          <w:b/>
          <w:bCs/>
          <w:sz w:val="21"/>
          <w:szCs w:val="21"/>
          <w:lang w:eastAsia="zh-CN"/>
        </w:rPr>
        <w:t>原厂</w:t>
      </w:r>
      <w:r>
        <w:rPr>
          <w:rFonts w:hint="eastAsia" w:ascii="宋体" w:hAnsi="宋体" w:cs="宋体"/>
          <w:b/>
          <w:bCs/>
          <w:sz w:val="21"/>
          <w:szCs w:val="21"/>
          <w:lang w:eastAsia="zh-CN"/>
        </w:rPr>
        <w:t>盖章</w:t>
      </w:r>
      <w:r>
        <w:rPr>
          <w:rFonts w:hint="eastAsia" w:ascii="宋体" w:hAnsi="宋体" w:eastAsia="宋体" w:cs="宋体"/>
          <w:b/>
          <w:bCs/>
          <w:sz w:val="21"/>
          <w:szCs w:val="21"/>
          <w:lang w:eastAsia="zh-CN"/>
        </w:rPr>
        <w:t>供货证明</w:t>
      </w:r>
      <w:r>
        <w:rPr>
          <w:rFonts w:hint="eastAsia" w:ascii="宋体" w:hAnsi="宋体" w:eastAsia="宋体" w:cs="宋体"/>
          <w:b/>
          <w:bCs/>
          <w:sz w:val="21"/>
          <w:szCs w:val="21"/>
          <w:u w:color="FFFFFF"/>
          <w:lang w:eastAsia="zh-CN"/>
        </w:rPr>
        <w:t>，</w:t>
      </w:r>
      <w:r>
        <w:rPr>
          <w:rFonts w:hint="eastAsia" w:ascii="宋体" w:hAnsi="宋体" w:eastAsia="宋体" w:cs="宋体"/>
          <w:b/>
          <w:bCs/>
          <w:sz w:val="21"/>
          <w:szCs w:val="21"/>
          <w:u w:color="FFFFFF"/>
          <w:lang w:val="en-US" w:eastAsia="zh-CN"/>
        </w:rPr>
        <w:t>不提供视为无效响应</w:t>
      </w:r>
      <w:r>
        <w:rPr>
          <w:rFonts w:hint="eastAsia" w:ascii="宋体" w:hAnsi="宋体" w:eastAsia="宋体" w:cs="宋体"/>
          <w:b/>
          <w:bCs/>
          <w:kern w:val="2"/>
          <w:sz w:val="21"/>
          <w:szCs w:val="21"/>
          <w:lang w:val="en-US" w:eastAsia="zh-CN" w:bidi="ar-SA"/>
        </w:rPr>
        <w:t>）</w:t>
      </w:r>
    </w:p>
    <w:p>
      <w:pPr>
        <w:pStyle w:val="70"/>
        <w:keepLines w:val="0"/>
        <w:pageBreakBefore w:val="0"/>
        <w:widowControl w:val="0"/>
        <w:numPr>
          <w:ilvl w:val="0"/>
          <w:numId w:val="0"/>
        </w:numPr>
        <w:kinsoku/>
        <w:wordWrap/>
        <w:overflowPunct/>
        <w:topLinePunct w:val="0"/>
        <w:bidi w:val="0"/>
        <w:spacing w:line="360" w:lineRule="auto"/>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本项目涉及存储介质的所有产品，需提供存储介质不回收服务，当保修期内存储介质出现故障需要更换时，坏件不回收。（响应供应商须提供承诺函</w:t>
      </w:r>
      <w:r>
        <w:rPr>
          <w:rFonts w:hint="eastAsia" w:ascii="宋体" w:hAnsi="宋体" w:eastAsia="宋体" w:cs="宋体"/>
          <w:b/>
          <w:bCs/>
          <w:sz w:val="21"/>
          <w:szCs w:val="21"/>
          <w:u w:color="FFFFFF"/>
          <w:lang w:eastAsia="zh-CN"/>
        </w:rPr>
        <w:t>，</w:t>
      </w:r>
      <w:r>
        <w:rPr>
          <w:rFonts w:hint="eastAsia" w:ascii="宋体" w:hAnsi="宋体" w:eastAsia="宋体" w:cs="宋体"/>
          <w:b/>
          <w:bCs/>
          <w:sz w:val="21"/>
          <w:szCs w:val="21"/>
          <w:u w:color="FFFFFF"/>
          <w:lang w:val="en-US" w:eastAsia="zh-CN"/>
        </w:rPr>
        <w:t>不提供视为无效响应</w:t>
      </w:r>
      <w:r>
        <w:rPr>
          <w:rFonts w:hint="eastAsia" w:ascii="宋体" w:hAnsi="宋体" w:eastAsia="宋体" w:cs="宋体"/>
          <w:b/>
          <w:bCs/>
          <w:kern w:val="2"/>
          <w:sz w:val="21"/>
          <w:szCs w:val="21"/>
          <w:lang w:val="en-US" w:eastAsia="zh-CN" w:bidi="ar-SA"/>
        </w:rPr>
        <w:t>）</w:t>
      </w:r>
    </w:p>
    <w:p>
      <w:pPr>
        <w:pStyle w:val="70"/>
        <w:keepLines w:val="0"/>
        <w:pageBreakBefore w:val="0"/>
        <w:widowControl w:val="0"/>
        <w:numPr>
          <w:ilvl w:val="0"/>
          <w:numId w:val="0"/>
        </w:numPr>
        <w:kinsoku/>
        <w:wordWrap/>
        <w:overflowPunct/>
        <w:topLinePunct w:val="0"/>
        <w:bidi w:val="0"/>
        <w:spacing w:line="360" w:lineRule="auto"/>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GB" w:eastAsia="zh-CN" w:bidi="ar-SA"/>
        </w:rPr>
        <w:t>本项目的建设内容、具体点位及设备数量已在用户需求书中详细描述，所需的各种配套设备、线缆、耗品和辅材以工程现场实际需求为准，其费用应包括在响应报价之内，供应商的报价应满足本项目需求书的全部建设内容，如漏报，成交后应由成交供应商免费补足。</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付款</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同签订后，供应商按合同规定向采购人提交履约保证金，提出付款申请，采购人审核同意支付并收到供应商交付的履约保证金和等额有效发票后10个工作日内，采购人办理支付合同金额30%的款项给供应商的手续；</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2）项目通过最终验收及结算审核后，供应商提出付款申请，采购人审核同意支付并收到供应商交付的等额有效发票后10个工作日内，采购人办理将款项支付至结算审定后合同结算总金额的100%的手续；</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待项目通过最终验收并正常使用1年，且供应商于此一年内依约全面履行合同约定的各项义务，无发生重大质量问题，到期后供应商提出退款申请并经采购人审核同意后的10个工作日内，采购人办理将履约保证金无息退还给供应商的支付手续；</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4）上述时间不包括采购人正常办理支付报批手续的时间，待采购人项目建设财政资金到位后再予以办理各笔合同进度款的支付手续。</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5）因供应商过错造成无法按合同约定的时间安排进行有关工作，采购人有权在相应的付款时间段推迟付款，直至供应商完成此时间段的工作为止。</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履约保证金</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成交供应商应在合同签订后三日内，向采购人提交合同总金额的5%作为履约保证金。</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若成交供应商违反合同义务，且经采购人或监理方书面催告后仍不予整改的，则视为成交供应商自动放弃对履约保证金的所有权，并归采购人所有。履约保证金在成交供应商完成项目</w:t>
      </w:r>
      <w:r>
        <w:rPr>
          <w:rFonts w:hint="eastAsia" w:ascii="宋体" w:hAnsi="宋体" w:eastAsia="宋体" w:cs="宋体"/>
          <w:sz w:val="21"/>
          <w:szCs w:val="21"/>
          <w:lang w:val="en-GB" w:eastAsia="zh-CN"/>
        </w:rPr>
        <w:t>所有建设内容，且履约保证金退还条件成就后，</w:t>
      </w:r>
      <w:r>
        <w:rPr>
          <w:rFonts w:hint="eastAsia" w:ascii="宋体" w:hAnsi="宋体" w:eastAsia="宋体" w:cs="宋体"/>
          <w:sz w:val="21"/>
          <w:szCs w:val="21"/>
          <w:lang w:val="en-US" w:eastAsia="zh-CN"/>
        </w:rPr>
        <w:t>采购人于10个工作日内办理支付手续无息退还成交供应商。成交供应商违约导致合同终止的，履约保证金不予退还。</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成交供应商可通过任何市级以上银行出具履约保函，以代替履约保证金。履约保函的格式采用</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文件提供的格式或其他采购人可接受的格式，开具保函费用由成交供应商承担。在成交供应商完成项目</w:t>
      </w:r>
      <w:r>
        <w:rPr>
          <w:rFonts w:hint="eastAsia" w:ascii="宋体" w:hAnsi="宋体" w:eastAsia="宋体" w:cs="宋体"/>
          <w:sz w:val="21"/>
          <w:szCs w:val="21"/>
          <w:lang w:val="en-GB" w:eastAsia="zh-CN"/>
        </w:rPr>
        <w:t>所有建设内容且项目</w:t>
      </w:r>
      <w:r>
        <w:rPr>
          <w:rFonts w:hint="eastAsia" w:ascii="宋体" w:hAnsi="宋体" w:eastAsia="宋体" w:cs="宋体"/>
          <w:sz w:val="21"/>
          <w:szCs w:val="21"/>
          <w:lang w:val="en-US" w:eastAsia="zh-CN"/>
        </w:rPr>
        <w:t>通过最终验收并正常使用1年，且供应商于此一年内依约全面履行合同约定的各项义务，无发生重大质量问题，</w:t>
      </w:r>
      <w:r>
        <w:rPr>
          <w:rFonts w:hint="eastAsia" w:ascii="宋体" w:hAnsi="宋体" w:cs="宋体"/>
          <w:sz w:val="21"/>
          <w:szCs w:val="21"/>
          <w:lang w:val="en-US" w:eastAsia="zh-CN"/>
        </w:rPr>
        <w:t>质保</w:t>
      </w:r>
      <w:r>
        <w:rPr>
          <w:rFonts w:hint="eastAsia" w:ascii="宋体" w:hAnsi="宋体" w:eastAsia="宋体" w:cs="宋体"/>
          <w:sz w:val="21"/>
          <w:szCs w:val="21"/>
          <w:lang w:val="en-US" w:eastAsia="zh-CN"/>
        </w:rPr>
        <w:t>到期后供应商提出退款申请并经采购人审核同意后的10个工作日内履约保函失效。</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b/>
          <w:bCs/>
          <w:color w:val="auto"/>
          <w:sz w:val="21"/>
          <w:szCs w:val="21"/>
          <w:lang w:val="en-US" w:eastAsia="zh-CN"/>
        </w:rPr>
      </w:pPr>
      <w:bookmarkStart w:id="68" w:name="_Toc44196710"/>
      <w:r>
        <w:rPr>
          <w:rFonts w:hint="eastAsia" w:ascii="宋体" w:hAnsi="宋体" w:cs="宋体"/>
          <w:b/>
          <w:bCs/>
          <w:color w:val="auto"/>
          <w:sz w:val="21"/>
          <w:szCs w:val="21"/>
          <w:lang w:val="en-US" w:eastAsia="zh-CN"/>
        </w:rPr>
        <w:t>设备清单</w:t>
      </w:r>
    </w:p>
    <w:bookmarkEnd w:id="68"/>
    <w:p>
      <w:pPr>
        <w:pStyle w:val="8"/>
        <w:jc w:val="center"/>
        <w:rPr>
          <w:rFonts w:hint="eastAsia"/>
          <w:lang w:eastAsia="zh-CN"/>
        </w:rPr>
      </w:pPr>
      <w:r>
        <w:rPr>
          <w:rFonts w:hint="eastAsia"/>
        </w:rPr>
        <w:t>广东省女子监狱</w:t>
      </w:r>
      <w:r>
        <w:rPr>
          <w:rFonts w:hint="eastAsia"/>
          <w:lang w:val="en-US" w:eastAsia="zh-CN"/>
        </w:rPr>
        <w:t>/</w:t>
      </w:r>
      <w:r>
        <w:rPr>
          <w:rFonts w:hint="eastAsia"/>
        </w:rPr>
        <w:t>广东省广裕集团嘉顺实业有限责任公司视频监控系统完善项目设备清单</w:t>
      </w:r>
    </w:p>
    <w:tbl>
      <w:tblPr>
        <w:tblStyle w:val="25"/>
        <w:tblW w:w="9962" w:type="dxa"/>
        <w:tblInd w:w="0" w:type="dxa"/>
        <w:tblLayout w:type="fixed"/>
        <w:tblCellMar>
          <w:top w:w="0" w:type="dxa"/>
          <w:left w:w="108" w:type="dxa"/>
          <w:bottom w:w="0" w:type="dxa"/>
          <w:right w:w="108" w:type="dxa"/>
        </w:tblCellMar>
      </w:tblPr>
      <w:tblGrid>
        <w:gridCol w:w="387"/>
        <w:gridCol w:w="986"/>
        <w:gridCol w:w="4160"/>
        <w:gridCol w:w="413"/>
        <w:gridCol w:w="652"/>
        <w:gridCol w:w="368"/>
        <w:gridCol w:w="840"/>
        <w:gridCol w:w="828"/>
        <w:gridCol w:w="591"/>
        <w:gridCol w:w="737"/>
      </w:tblGrid>
      <w:tr>
        <w:tblPrEx>
          <w:tblCellMar>
            <w:top w:w="0" w:type="dxa"/>
            <w:left w:w="108" w:type="dxa"/>
            <w:bottom w:w="0" w:type="dxa"/>
            <w:right w:w="108" w:type="dxa"/>
          </w:tblCellMar>
        </w:tblPrEx>
        <w:trPr>
          <w:wAfter w:w="0" w:type="auto"/>
          <w:trHeight w:val="930" w:hRule="atLeast"/>
          <w:tblHeader/>
        </w:trPr>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9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货物</w:t>
            </w:r>
            <w:r>
              <w:rPr>
                <w:rFonts w:hint="eastAsia" w:asciiTheme="minorEastAsia" w:hAnsiTheme="minorEastAsia" w:eastAsiaTheme="minorEastAsia" w:cstheme="minorEastAsia"/>
                <w:b/>
                <w:bCs/>
                <w:kern w:val="0"/>
                <w:sz w:val="21"/>
                <w:szCs w:val="21"/>
              </w:rPr>
              <w:t>名称</w:t>
            </w:r>
          </w:p>
        </w:tc>
        <w:tc>
          <w:tcPr>
            <w:tcW w:w="41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技术规格</w:t>
            </w:r>
          </w:p>
        </w:tc>
        <w:tc>
          <w:tcPr>
            <w:tcW w:w="41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单位</w:t>
            </w:r>
          </w:p>
        </w:tc>
        <w:tc>
          <w:tcPr>
            <w:tcW w:w="6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数量</w:t>
            </w:r>
          </w:p>
        </w:tc>
        <w:tc>
          <w:tcPr>
            <w:tcW w:w="3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品牌</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型号</w:t>
            </w:r>
          </w:p>
        </w:tc>
        <w:tc>
          <w:tcPr>
            <w:tcW w:w="8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最高</w:t>
            </w:r>
            <w:r>
              <w:rPr>
                <w:rFonts w:hint="eastAsia" w:asciiTheme="minorEastAsia" w:hAnsiTheme="minorEastAsia" w:eastAsiaTheme="minorEastAsia" w:cstheme="minorEastAsia"/>
                <w:b/>
                <w:bCs/>
                <w:kern w:val="0"/>
                <w:sz w:val="21"/>
                <w:szCs w:val="21"/>
              </w:rPr>
              <w:t>综合单价</w:t>
            </w:r>
            <w:r>
              <w:rPr>
                <w:rFonts w:hint="eastAsia" w:asciiTheme="minorEastAsia" w:hAnsiTheme="minorEastAsia" w:eastAsiaTheme="minorEastAsia" w:cstheme="minorEastAsia"/>
                <w:b/>
                <w:bCs/>
                <w:kern w:val="0"/>
                <w:sz w:val="21"/>
                <w:szCs w:val="21"/>
                <w:lang w:val="en-US" w:eastAsia="zh-CN"/>
              </w:rPr>
              <w:t>限价</w:t>
            </w:r>
            <w:r>
              <w:rPr>
                <w:rFonts w:hint="eastAsia" w:asciiTheme="minorEastAsia" w:hAnsiTheme="minorEastAsia" w:eastAsiaTheme="minorEastAsia" w:cstheme="minorEastAsia"/>
                <w:b/>
                <w:bCs/>
                <w:kern w:val="0"/>
                <w:sz w:val="21"/>
                <w:szCs w:val="21"/>
              </w:rPr>
              <w:t>含税安装施工</w:t>
            </w:r>
          </w:p>
        </w:tc>
        <w:tc>
          <w:tcPr>
            <w:tcW w:w="5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小计</w:t>
            </w:r>
            <w:r>
              <w:rPr>
                <w:rFonts w:hint="eastAsia" w:asciiTheme="minorEastAsia" w:hAnsiTheme="minorEastAsia" w:eastAsiaTheme="minorEastAsia" w:cstheme="minorEastAsia"/>
                <w:b/>
                <w:bCs/>
                <w:kern w:val="0"/>
                <w:sz w:val="21"/>
                <w:szCs w:val="21"/>
              </w:rPr>
              <w:t>（元）</w:t>
            </w:r>
          </w:p>
        </w:tc>
        <w:tc>
          <w:tcPr>
            <w:tcW w:w="7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备注</w:t>
            </w:r>
          </w:p>
        </w:tc>
      </w:tr>
      <w:tr>
        <w:tblPrEx>
          <w:tblCellMar>
            <w:top w:w="0" w:type="dxa"/>
            <w:left w:w="108" w:type="dxa"/>
            <w:bottom w:w="0" w:type="dxa"/>
            <w:right w:w="108" w:type="dxa"/>
          </w:tblCellMar>
        </w:tblPrEx>
        <w:trPr>
          <w:wAfter w:w="0" w:type="auto"/>
          <w:trHeight w:val="78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9575" w:type="dxa"/>
            <w:gridSpan w:val="9"/>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第一部分：广东省广裕集团嘉顺实业有限责任公司厂房锅炉房视频监控系统项目</w:t>
            </w:r>
          </w:p>
        </w:tc>
      </w:tr>
      <w:tr>
        <w:tblPrEx>
          <w:tblCellMar>
            <w:top w:w="0" w:type="dxa"/>
            <w:left w:w="108" w:type="dxa"/>
            <w:bottom w:w="0" w:type="dxa"/>
            <w:right w:w="108" w:type="dxa"/>
          </w:tblCellMar>
        </w:tblPrEx>
        <w:trPr>
          <w:wAfter w:w="0" w:type="auto"/>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9575" w:type="dxa"/>
            <w:gridSpan w:val="9"/>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厂房锅炉房</w:t>
            </w:r>
          </w:p>
        </w:tc>
      </w:tr>
      <w:tr>
        <w:tblPrEx>
          <w:tblCellMar>
            <w:top w:w="0" w:type="dxa"/>
            <w:left w:w="108" w:type="dxa"/>
            <w:bottom w:w="0" w:type="dxa"/>
            <w:right w:w="108" w:type="dxa"/>
          </w:tblCellMar>
        </w:tblPrEx>
        <w:trPr>
          <w:wAfter w:w="0" w:type="auto"/>
          <w:trHeight w:val="14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室外高清红外枪式摄像机（POE)</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200万筒型网络摄像机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海康威视红外阵列筒型网络摄像机，最高分辨率可达200万像素，并在此分辨率下可输出25fps实时图像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支持1个RJ4510M/100M自适应以太网口，1个内置麦克风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移动侦测（支持人形检测）与异常侦测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适用于道路、仓库、地下停车场、酒吧、管道、园区等光线较暗或无光照环境且要求高清画质的场所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支持背光补偿，强光抑制，3D数字降噪，数字宽动态，适应不同环境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支持萤石平台，海康互联接入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支持ROI感兴趣区域增强编码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采用高效阵列红外灯，使用寿命长，红外照射最远可达50m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w:t>
            </w:r>
            <w:r>
              <w:rPr>
                <w:rFonts w:hint="eastAsia" w:asciiTheme="minorEastAsia" w:hAnsiTheme="minorEastAsia" w:eastAsiaTheme="minorEastAsia" w:cstheme="minorEastAsia"/>
                <w:kern w:val="0"/>
                <w:sz w:val="21"/>
                <w:szCs w:val="21"/>
              </w:rPr>
              <w:t>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最低照度：彩色：0.01Lux@（F1.2，AGCON），0LuxwithIR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宽动态：数字宽动态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焦距&amp;视场角：4mm，水平视场角：81.3°，垂直视场角：43.6°，对角视场角：96.9°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6mm，水平视场角：50.9°，垂直视场角：29.3°，对角视场角：58.1°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8mm，水平视场角：39.4°，垂直视场角：21.7°，对角视场角：45.6°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12mm，水平视场角：24.6°，垂直视场角：13.9°，对角视场角：28.1°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补光距离：最远可达50m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子码流：H.265/H.264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启动及工作温湿度：-30°C~60°C，湿度小于95%（无凝结）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存储温湿度：-30°C~60°C，湿度小于95%（无凝结）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PoE：IEEE802.3af，CLASS3</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电流及功耗：DC：12V，0.42A，最大功耗：5W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PoE：IEEE802.3af，CLASS3，最大功耗：6.5W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产品尺寸：87.1×83.7×171.7mm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恢复出厂设置：支持客户端或浏览器恢复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包装尺寸：216×121×118mm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设备重量：370g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带包装重量：525g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rPr>
              <w:t>防护：IP66</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DS-2CD2225GSS-I</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597</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4179</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41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室外高清红外枪式摄像机</w:t>
            </w:r>
          </w:p>
        </w:tc>
        <w:tc>
          <w:tcPr>
            <w:tcW w:w="416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200万筒型网络摄像机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海康威视红外阵列筒型网络摄像机，最高分辨率可达200万像素，并在此分辨率下可输出25fps实时图像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支持1个RJ4510M/100M自适应以太网口，1个内置麦克风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移动侦测（支持人形检测）与异常侦测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适用于道路、仓库、地下停车场、酒吧、管道、园区等光线较暗或无光照环境且要求高清画质的场所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支持背光补偿，强光抑制，3D数字降噪，数字宽动态，适应不同环境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支持萤石平台，海康互联接入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支持ROI感兴趣区域增强编码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采用高效阵列红外灯，使用寿命长，红外照射最远可达50m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最低照度：彩色：0.01Lux@（F1.2，AGCON），0LuxwithIR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宽动态：数字宽动态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焦距&amp;视场角：4mm，水平视场角：81.3°，垂直视场角：43.6°，对角视场角：96.9°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6mm，水平视场角：50.9°，垂直视场角：29.3°，对角视场角：58.1°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8mm，水平视场角：39.4°，垂直视场角：21.7°，对角视场角：45.6°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12mm，水平视场角：24.6°，垂直视场角：13.9°，对角视场角：28.1°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补光距离：最远可达50m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子码流：H.265/H.264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启动及工作温湿度：-30°C~60°C，湿度小于95%（无凝结）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存储温湿度：-30°C~60°C，湿度小于95%（无凝结）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电流及功耗：DC：12V，0.42A，最大功耗：5W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恢复出厂设置：支持客户端或浏览器恢复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产品尺寸：87.1×83.7×171.7mm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包装尺寸：216×121×118mm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设备重量：370g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带包装重量：525g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防护：IP66</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DS-2CD2225DGSS-I</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579</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579</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84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支架</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壁装支架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适用范围适合枪型、筒型、一体型摄像机壁装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材料铝合金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调整角度水平：360°，垂直：-45°~45°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尺寸70×97.1×173.4mm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重量201g</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65</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520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5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5</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耐高温摄像机</w:t>
            </w:r>
          </w:p>
        </w:tc>
        <w:tc>
          <w:tcPr>
            <w:tcW w:w="416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200万耐高温摄像机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内置半导体制冷模块制冷有效寿命可达2万小时，专业制冷风道设计，有效降低设备内部温度，保证设备在70°C环境下7×24小时不间断稳定运行要求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支持P-iris自动光圈调节方式控制光圈大小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内嵌深度学习算法，以海量图片及视频资源为路基，通过机器自身提取目标特征，形成深层可供学习的人脸图像，极大的提升了目标人脸的检出率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人脸抓拍：支持对运动人脸进行检测、抓拍，输出最优的人脸抓拍，最多同时检测30张人脸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Smart录像：支持断网续传功能保证录像不丢失</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Smart编码：支持ROI感兴趣区域增强编码，支持Smart265/264编码，支持SVC自适应编码技术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Smart事件：区域入侵侦测，越界侦测，进入区域侦测，离开区域侦测，物品遗留侦测，物品拿取侦测，徘徊侦测，人员聚集侦测，快速运动侦测，停车侦测，场景变更侦测，虚焦侦测，音频异常侦测（低延时模式不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支持1920×1280@25fps，图像更流畅，支持透雾、电子防抖，支持宽动态120dB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支持3.8-16mm镜头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支持三码流技术，支持同时20路取流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支持标准的256GBMicroSD/MicroSDHC/MicroSDXC卡存储（选配）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支持10M/100M自适应网口，支持1路音频输入，1路音频输出；1路报警输入，1路报警输出和1路RS-485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支持开放型网络视频接口，ISAPI，GB28181和ISUP接入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支持AC100~240V宽压供电</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支持防雷、防浪涌、防静电，IP66防护等级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宽动态：120dB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传感器类型：1/1.8"ProgressiveScanCMOS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最低照度：彩色：0.0005Lux@（F1.2，AGCON）</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黑白：0.0001Lux@（F1.2，AGCON）</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焦距&amp;视场角：3.8~16mm：水平视场角：103.6°~28°，垂直视场角：58°~16°，对角视场角：120.3°~32.2°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视频压缩标准：H.265/H.264/MJPEG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SD卡扩展：内置MicroSD/MicroSDHC/MicroSDXC插槽，最大支持256GB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电源输出：DC12V，100mA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报警：2路输入，2路输出（报警输入支持开关量，报警输出最大支持AC/DC24V，1A）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复位：支持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RS-485：采用半双工模式，支持自适应HIKVISION，PELCO-P和PELCO-D协议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接口类型：内插式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音频：1路输入（Linein），1路输出（Lineout），1个内置麦克风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恢复出厂设置：支持RESET按键，客户端或浏览器恢复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设备重量：4410g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带包装重量：5375g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包装尺寸：597×231×223mm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产品尺寸：521.3×169.2×110mm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启动和工作温湿度：-30°C~70°C，70°C~85°C可支持1小时，湿度小于95%（无凝结）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电源接口类型：接线端子排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电流及功耗：AC：220V，0.323A，50/60Hz，</w:t>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最大功耗：22.71W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供电方式：AC：220V±20%</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DS-2XC8425GSS-ST0</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3080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12320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14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6</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200万半球摄像机（POE)</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200万海螺型网络摄像机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海康威视红外阵列海螺型网络摄像机，最高分辨率可达200万像素，并在此分辨率下可输出25fps实时图像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支持1个RJ4510M/100M自适应以太网口，1个内置麦克风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移动侦测（支持人形检测）与异常侦测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适用于道路、仓库、地下停车场、酒吧、管道、园区等光线较暗或无光照环境且要求高清画质的场所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支持背光补偿，强光抑制，3D数字降噪，数字宽动态，适应不同环境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支持萤石平台，海康互联接入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支持ROI感兴趣区域增强编码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采用高效阵列红外灯，使用寿命长，红外照射最远可达30m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调节角度：水平：0°~360°，垂直：0°~75°，旋转：0°~360°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宽动态：数字宽动态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最低照度：彩色：0.01Lux@（F1.2，AGCON），0LuxwithIR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焦距&amp;视场角：2.8mm，水平视场角：104.9°，垂直视场角：58.2°，对角视场角：123.2°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4mm，水平视场角：81.3°，垂直视场角：43.6°，对角视场角：96.9°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6mm，水平视场角：50.9°，垂直视场角：29.3°，对角视场角：58.1°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8mm，水平视场角：39.4°，垂直视场角：21.7°，对角视场角：45.6°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补光距离：最远可达30m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子码流：H.265/H.264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启动和工作温湿度：-30°C~60°C，湿度小于95%（无凝结）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PoE：IEEE802.3af，CLASS3</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设备重量：285g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产品尺寸：Ø110×93mm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包装尺寸：145×145×128mm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带包装重量：450g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存储温湿度：-30°C~60°C，湿度小于95%（无凝结）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恢复出厂设置：支持客户端或浏览器恢复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电流及功耗：DC：12V，0.42A，最大功耗：5W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PoE：IEEE802.3af，CLASS3，最大功耗：6.5W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26.</w:t>
            </w:r>
            <w:r>
              <w:rPr>
                <w:rFonts w:hint="eastAsia" w:asciiTheme="minorEastAsia" w:hAnsiTheme="minorEastAsia" w:eastAsiaTheme="minorEastAsia" w:cstheme="minorEastAsia"/>
                <w:kern w:val="0"/>
                <w:sz w:val="21"/>
                <w:szCs w:val="21"/>
              </w:rPr>
              <w:t>防护：IP66</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DS-2CD2325EMB-I</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597</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2985</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7</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支架</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壁装支架</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84</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336</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8</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12V集中供电源</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12V集中供电源</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213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9</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POE防雷器（前端）</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POE防雷器：电源电涌保护特性Un48VAC,Uc60VAC,Up(8/20μs)150V,In(8/20μs)5kA,Imax(8/20μs)10kA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插入损耗&lt;0.5dB，响应时间：≦1ns工作环境：温度－40～＋85℃，相对湿度≤95％(25℃)</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175</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1225</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228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二合一防雷器（前端）</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电源、网络二合一防雷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电源电涌保护特性Un12、24VAC,Uc40VACUp(8/20μs)120V、In(8/20μs)5kA,Imax(8/20μs)10kA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插入损耗&lt;0.5dB，响应时间：≦1ns工作环境：温度－40～＋85℃，相对湿度≤95％(25℃)</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205</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205</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11</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室外防水盒</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76</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608</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225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12</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8路POE防雷器（非机架式）</w:t>
            </w:r>
          </w:p>
        </w:tc>
        <w:tc>
          <w:tcPr>
            <w:tcW w:w="4160" w:type="dxa"/>
            <w:tcBorders>
              <w:top w:val="nil"/>
              <w:left w:val="nil"/>
              <w:bottom w:val="single" w:color="auto" w:sz="4" w:space="0"/>
              <w:right w:val="single" w:color="auto" w:sz="4" w:space="0"/>
            </w:tcBorders>
            <w:shd w:val="clear" w:color="000000" w:fill="FFFFFF"/>
            <w:vAlign w:val="center"/>
          </w:tcPr>
          <w:p>
            <w:pPr>
              <w:widowControl/>
              <w:numPr>
                <w:ilvl w:val="0"/>
                <w:numId w:val="6"/>
              </w:num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8路POE防雷器：电源电涌保护特性Un48VAC,Uc60VAC,Up(8/20μs)150V,In(8/20μs)5kA,Imax(8/20μs)10kA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插入损耗&lt;0.5dB，保护路数：8路，响应时间：≦1ns工作环境：温度－40～＋85℃，相对湿度≤95％(25℃)</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1064</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1064</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53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13</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24口POE三层交换机</w:t>
            </w:r>
          </w:p>
        </w:tc>
        <w:tc>
          <w:tcPr>
            <w:tcW w:w="4160" w:type="dxa"/>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交换容量336Gbps/3.36Tbps、包转发率：126Mpps；固定端口：24个10/100/1000BASE-T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以太网端口（PoE+），4个千兆SFP；</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华为</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S5735S-L24P4S-A2</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4000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4000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14</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单模光纤模块</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千兆单模双纤LC光口1310nm,20km（需确定前后端交换机品牌进行订够）</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华为</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300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600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47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15</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3米光纤跳线</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单模双工2LC-2LC跳线3米(LSZH)</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LC-LC单模光纤跳线,OS2,双工,3米技术规格：插入损耗≤0.2dB,回波损耗≥50dB@单模。阻燃等级:符合IEC60332-1标准要求，LSZH产品特点：100%通过工厂测试，高质量陶瓷</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16</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四口光熔纤盘(含尾纤、藕合器、跳线）</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(含尾纤、藕合器、跳线）</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253</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506</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17</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4芯室外单模光纤</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铠装4芯室外单模光纤</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80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334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18</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室外超五类屏蔽双绞线</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室外超五类网线,Cat5e屏蔽双绞线,24AWG,工作温度为-20~60℃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标准：符合ISO/IEC11801、TIA-568-C.2、GB/T18015.5要求,所用材料符合RoHS要求,性能指标优于现行超5类线缆100MHz标准；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标准装轴长度:305m±1.5m；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芯线规格:24AWG,无氧铜；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线缆结构：4对8芯双绞线,每芯均有颜色区分,外皮印有厂商标识及电缆编码，有撕裂绳；</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965</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5790</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19</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开挖回填</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开挖回填</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定制</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72</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7200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20</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400*400手井</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400*400手井</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1179</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1179</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21</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MR100*100金属线槽</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MR100*100国标</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800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22</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电源线3*2.5</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室外使用电源线3*2.5</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12</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2040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23</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电源线RVV3*1.5</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RVV3*1.5</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9</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1800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24</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电源开关箱含10A空气开关</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129.00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129</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25</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二三插电源插座</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65.00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65</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26</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线槽管材</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线槽管材</w:t>
            </w:r>
            <w:r>
              <w:rPr>
                <w:rFonts w:hint="eastAsia" w:asciiTheme="minorEastAsia" w:hAnsiTheme="minorEastAsia" w:eastAsiaTheme="minorEastAsia" w:cstheme="minorEastAsia"/>
                <w:kern w:val="0"/>
                <w:sz w:val="21"/>
                <w:szCs w:val="21"/>
                <w:lang w:eastAsia="zh-CN"/>
              </w:rPr>
              <w:t>，国标</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10420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10420</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27</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配件辅料</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电源开关、排插、接线盒、防水箱、软管、螺丝、桥架、光纤熔接、RJ45水晶头、电源防雷等安装设备各种配件材料</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490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490</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793"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28</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第一部分（合计）</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65420</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wAfter w:w="0" w:type="auto"/>
          <w:trHeight w:val="5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9575"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第二部分：</w:t>
            </w:r>
            <w:r>
              <w:rPr>
                <w:rFonts w:hint="eastAsia" w:asciiTheme="minorEastAsia" w:hAnsiTheme="minorEastAsia" w:eastAsiaTheme="minorEastAsia" w:cstheme="minorEastAsia"/>
                <w:color w:val="000000"/>
                <w:kern w:val="0"/>
                <w:sz w:val="21"/>
                <w:szCs w:val="21"/>
                <w:lang w:bidi="ar"/>
              </w:rPr>
              <w:t>广东省女子监狱罪犯伙房、垃圾场和三监区五楼视频监控系统完善项目</w:t>
            </w:r>
          </w:p>
        </w:tc>
      </w:tr>
      <w:tr>
        <w:tblPrEx>
          <w:tblCellMar>
            <w:top w:w="0" w:type="dxa"/>
            <w:left w:w="108" w:type="dxa"/>
            <w:bottom w:w="0" w:type="dxa"/>
            <w:right w:w="108" w:type="dxa"/>
          </w:tblCellMar>
        </w:tblPrEx>
        <w:trPr>
          <w:wAfter w:w="0" w:type="auto"/>
          <w:trHeight w:val="61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9575" w:type="dxa"/>
            <w:gridSpan w:val="9"/>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一、伙房区</w:t>
            </w:r>
          </w:p>
        </w:tc>
      </w:tr>
      <w:tr>
        <w:tblPrEx>
          <w:tblCellMar>
            <w:top w:w="0" w:type="dxa"/>
            <w:left w:w="108" w:type="dxa"/>
            <w:bottom w:w="0" w:type="dxa"/>
            <w:right w:w="108" w:type="dxa"/>
          </w:tblCellMar>
        </w:tblPrEx>
        <w:trPr>
          <w:wAfter w:w="0" w:type="auto"/>
          <w:trHeight w:val="610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室外高清红外枪式摄像机</w:t>
            </w:r>
          </w:p>
        </w:tc>
        <w:tc>
          <w:tcPr>
            <w:tcW w:w="4160" w:type="dxa"/>
            <w:tcBorders>
              <w:top w:val="nil"/>
              <w:left w:val="nil"/>
              <w:bottom w:val="single" w:color="auto" w:sz="4" w:space="0"/>
              <w:right w:val="single" w:color="auto" w:sz="4" w:space="0"/>
            </w:tcBorders>
            <w:shd w:val="clear" w:color="000000" w:fill="FFFFFF"/>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200万筒型网络摄像机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海康威视红外阵列筒型网络摄像机，最高分辨率可达200万像素，并在此分辨率下可输出25fps实时图像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支持1个RJ4510M/100M自适应以太网口，1个内置麦克风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移动侦测（支持人形检测）与异常侦测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适用于道路、仓库、地下停车场、酒吧、管道、园区等光线较暗或无光照环境且要求高清画质的场所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支持背光补偿，强光抑制，3D数字降噪，数字宽动态，适应不同环境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支持萤石平台，海康互联接入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支持ROI感兴趣区域增强编码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采用高效阵列红外灯，使用寿命长，红外照射最远可达50m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最低照度：彩色：0.01Lux@（F1.2，AGCON），0LuxwithIR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宽动态：数字宽动态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焦距&amp;视场角：4mm，水平视场角：81.3°，垂直视场角：43.6°，对角视场角：96.9°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6mm，水平视场角：50.9°，垂直视场角：29.3°，对角视场角：58.1°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8mm，水平视场角：39.4°，垂直视场角：21.7°，对角视场角：45.6°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12mm，水平视场角：24.6°，垂直视场角：13.9°，对角视场角：28.1°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补光距离：最远可达50m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子码流：H.265/H.264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启动及工作温湿度：-30°C~60°C，湿度小于95%（无凝结）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存储温湿度：-30°C~60°C，湿度小于95%（无凝结）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电流及功耗：DC：12V，0.42A，最大功耗：5W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恢复出厂设置：支持客户端或浏览器恢复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产品尺寸：87.1×83.7×171.7mm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包装尺寸：216×121×118mm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设备重量：370g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带包装重量：525g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防护：IP66</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DS-2CD2225DGSS-I</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579</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3474</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3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室内枪式广角400万像素摄像机</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400万筒型广角网络摄像机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最高分辨率可达2688×1520@25fps，在该分辨率下可输出实时图像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Smart侦测：区域入侵侦测，越界侦测，进入区域侦测，离开区域侦测，物品遗留侦测，物品拿取侦测，徘徊侦测，停车侦测，人员聚集侦测，快速移动侦测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支持背光补偿，强光抑制，3D数字降噪，120dB宽动态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支持萤石平台接入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支持180°水平视场角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采用高效阵列红外灯，使用寿命长，红外照射距离最远可达10m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 xml:space="preserve">7. </w:t>
            </w:r>
            <w:r>
              <w:rPr>
                <w:rFonts w:hint="eastAsia" w:asciiTheme="minorEastAsia" w:hAnsiTheme="minorEastAsia" w:eastAsiaTheme="minorEastAsia" w:cstheme="minorEastAsia"/>
                <w:kern w:val="0"/>
                <w:sz w:val="21"/>
                <w:szCs w:val="21"/>
              </w:rPr>
              <w:t>1个内置麦克风，高清拾音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传感器类型：1/3"ProgressiveScanCMOS</w:t>
            </w:r>
            <w:r>
              <w:rPr>
                <w:rFonts w:hint="eastAsia" w:asciiTheme="minorEastAsia" w:hAnsiTheme="minorEastAsia" w:eastAsiaTheme="minorEastAsia" w:cstheme="minorEastAsia"/>
                <w:b/>
                <w:bCs/>
                <w:kern w:val="0"/>
                <w:sz w:val="21"/>
                <w:szCs w:val="21"/>
              </w:rPr>
              <w:br w:type="textWrapping"/>
            </w:r>
            <w:r>
              <w:rPr>
                <w:rFonts w:hint="eastAsia" w:asciiTheme="minorEastAsia" w:hAnsiTheme="minorEastAsia" w:eastAsiaTheme="minorEastAsia" w:cstheme="minorEastAsia"/>
                <w:b/>
                <w:bCs/>
                <w:kern w:val="0"/>
                <w:sz w:val="21"/>
                <w:szCs w:val="21"/>
                <w:lang w:val="en-US" w:eastAsia="zh-CN"/>
              </w:rPr>
              <w:t>1.</w:t>
            </w:r>
            <w:r>
              <w:rPr>
                <w:rFonts w:hint="eastAsia" w:asciiTheme="minorEastAsia" w:hAnsiTheme="minorEastAsia" w:eastAsiaTheme="minorEastAsia" w:cstheme="minorEastAsia"/>
                <w:kern w:val="0"/>
                <w:sz w:val="21"/>
                <w:szCs w:val="21"/>
              </w:rPr>
              <w:t>最低照度：0.005Lux @（F1.2，AGCON），0LuxwithIR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宽动态：120dB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焦距&amp;视场角：1.68mm，水平视场角：180°，垂直视场角：98°</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补光距离：最远可达10m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最大图像尺寸：2688×1520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子码流：H.265/H.264/MJPEG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第三码流：H.265/H.264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产品尺寸：85.1×90×169mm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包装尺寸：216×121×118mm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设备重量：545g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带包装重量：740g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启动和工作温湿度：-30℃~60℃，湿度小于95%（无凝结）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电流及功耗：DC：12V，0.46A，最大功耗：5.5W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PoE：802.3af，36V~57V，0.18A~0.11A，最大功耗：6.5W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PoE：802.3af，Class3</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防护：IP66</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DS-2CD2T46P1-I(1.68mm)</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794</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1588</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32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冷链专用监控红外变焦摄像机</w:t>
            </w:r>
          </w:p>
        </w:tc>
        <w:tc>
          <w:tcPr>
            <w:tcW w:w="4160" w:type="dxa"/>
            <w:tcBorders>
              <w:top w:val="nil"/>
              <w:left w:val="nil"/>
              <w:bottom w:val="single" w:color="auto" w:sz="4" w:space="0"/>
              <w:right w:val="single" w:color="auto" w:sz="4" w:space="0"/>
            </w:tcBorders>
            <w:shd w:val="clear" w:color="000000" w:fill="FFFFFF"/>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200W星光级冷链专用监控红外变焦摄像机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支持镜头视窗玻璃加热，通过智能感知硬件，感应视窗玻璃温度，自动调节加热功率，不惧穿堂风、凝霜等造成画面模糊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最高分辨率可达1920×1080@25fps，在该分辨率下可输出实时图像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支持Smart侦测：场景变更侦测，虚焦侦测，区域入侵侦测，越界侦测，进入区域侦测，离开区域侦测，物品遗留侦测，物品拿取侦测，徘徊侦测，停车侦测，人员聚集侦测，快速移动侦测，音频异常侦测，音频抖升侦测，音频抖降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内置加热模块，可对镜头前盖玻璃加热。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支持背光补偿，强光抑制，3D数字降噪，120dB宽动态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支持H.265/H.264/MJPEG视频压缩算法，支持多级别视频质量配置、编码复杂度设置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支持ROI感兴趣区域增强编码，支持Smart265/264编码，可根据场景情况自适应调整码率分配，有效节省存储成本</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支持红外补光，红外光最远可达50m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支持1路报警输入，1路报警输出（报警输出最大支持DC12V，30mA），1路音频输入，1路音频输出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支持1个RS-485，支持温湿度传感器接入，叠加OSD</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支持最大256GBMicroSD/MicroSDHC/MicroSDXC卡本地存储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符合IP67防尘防水设计，可靠性高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最低照度：彩色：0.002Lux@（F1.2，AGCON），0LuxwithLight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宽动态：120dB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焦距&amp;视场角：2.7~12mm，水平视场角：106.9°~32.3°，垂直视场角：56.4°~18.2°，对角视场角：127.9°~37°</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补光灯类型：红外补光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补光距离：红外光最远可达50m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子码流：H.265/H.264/MJPEG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第三码流：H.265/H.264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SD卡扩展：内置MicroSD/MicroSDHC/MicroSDXC插槽，最大支持256GB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 xml:space="preserve">14. </w:t>
            </w:r>
            <w:r>
              <w:rPr>
                <w:rFonts w:hint="eastAsia" w:asciiTheme="minorEastAsia" w:hAnsiTheme="minorEastAsia" w:eastAsiaTheme="minorEastAsia" w:cstheme="minorEastAsia"/>
                <w:kern w:val="0"/>
                <w:sz w:val="21"/>
                <w:szCs w:val="21"/>
              </w:rPr>
              <w:t>1路输入（Linein），最大输入幅值：3.3Vpp，输入阻抗：4.7kΩ，接口类型：非平衡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 xml:space="preserve">15. </w:t>
            </w:r>
            <w:r>
              <w:rPr>
                <w:rFonts w:hint="eastAsia" w:asciiTheme="minorEastAsia" w:hAnsiTheme="minorEastAsia" w:eastAsiaTheme="minorEastAsia" w:cstheme="minorEastAsia"/>
                <w:kern w:val="0"/>
                <w:sz w:val="21"/>
                <w:szCs w:val="21"/>
              </w:rPr>
              <w:t>1路输出（Lineout），最大输出幅值：3.3Vpp，输出阻抗：100Ω，接口类型：非平衡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报警：1路输入，1路输出（报警输出最大支持DC12V，30mA）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RS-485：1个RS-485（半双工，HIKVISION，Pelco-P，Pelco-D，自适应）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支持温湿度传感器接入，叠加OSD（推荐温湿度传感器外需要定制）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复位：支持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电源输出：DC12V，100mA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产品尺寸：94.9×100.1×195.9mm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包装尺寸：315×137×141mm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设备重量：750g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带包装重量：1090g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rPr>
              <w:t>启动和工作温湿度：-35°C~60°C，湿度小于95%（无凝结）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26.</w:t>
            </w:r>
            <w:r>
              <w:rPr>
                <w:rFonts w:hint="eastAsia" w:asciiTheme="minorEastAsia" w:hAnsiTheme="minorEastAsia" w:eastAsiaTheme="minorEastAsia" w:cstheme="minorEastAsia"/>
                <w:kern w:val="0"/>
                <w:sz w:val="21"/>
                <w:szCs w:val="21"/>
              </w:rPr>
              <w:t>电流及功耗：DC：12V,1.08A,Max：13W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27.</w:t>
            </w:r>
            <w:r>
              <w:rPr>
                <w:rFonts w:hint="eastAsia" w:asciiTheme="minorEastAsia" w:hAnsiTheme="minorEastAsia" w:eastAsiaTheme="minorEastAsia" w:cstheme="minorEastAsia"/>
                <w:kern w:val="0"/>
                <w:sz w:val="21"/>
                <w:szCs w:val="21"/>
              </w:rPr>
              <w:t>PoE：(802.3at,42.5V-57V),0.36Ato0.27A，Max：15W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28.</w:t>
            </w:r>
            <w:r>
              <w:rPr>
                <w:rFonts w:hint="eastAsia" w:asciiTheme="minorEastAsia" w:hAnsiTheme="minorEastAsia" w:eastAsiaTheme="minorEastAsia" w:cstheme="minorEastAsia"/>
                <w:kern w:val="0"/>
                <w:sz w:val="21"/>
                <w:szCs w:val="21"/>
              </w:rPr>
              <w:t>供电方式：DC：12V±25%；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29.</w:t>
            </w:r>
            <w:r>
              <w:rPr>
                <w:rFonts w:hint="eastAsia" w:asciiTheme="minorEastAsia" w:hAnsiTheme="minorEastAsia" w:eastAsiaTheme="minorEastAsia" w:cstheme="minorEastAsia"/>
                <w:kern w:val="0"/>
                <w:sz w:val="21"/>
                <w:szCs w:val="21"/>
              </w:rPr>
              <w:t>PoE：802.3at，Class4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30.</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31.</w:t>
            </w:r>
            <w:r>
              <w:rPr>
                <w:rFonts w:hint="eastAsia" w:asciiTheme="minorEastAsia" w:hAnsiTheme="minorEastAsia" w:eastAsiaTheme="minorEastAsia" w:cstheme="minorEastAsia"/>
                <w:kern w:val="0"/>
                <w:sz w:val="21"/>
                <w:szCs w:val="21"/>
              </w:rPr>
              <w:t>防护：IP67</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DS-2CD8T25GSS-IHZS</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933</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3732</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99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5</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支架</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壁装支架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外观白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适用范围适合枪型、筒型、一体型摄像机壁装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材料铝合金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调整角度水平：360°，垂直：-45°~45°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尺寸70×97.1×173.4mm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重量201g</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65</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780</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99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6</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二合一防雷器（前端）</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电源、网络二合一防雷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电源电涌保护特性Un12、24VAC,Uc40VACUp(8/20μs)120V、In(8/20μs)5kA,Imax(8/20μs)10kA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插入损耗&lt;0.5dB，响应时间：≦1ns工作环境：温度－40～＋85℃，相对湿度≤95％(25℃)</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205</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1230</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3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7</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室外防水盒</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76</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456</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14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8</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8口网络防雷器（非机架式）</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插入损耗&lt;0.5dB，响应时间：≦1ns，保护路数：8路，工作环境：温度－40～＋85℃，相对湿度≤95％(25℃)</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881</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881</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84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9</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1U机架式16路集中供电开关</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1u电源机架式电源稳压直流12V24V供电数显电压可调安防监控电源</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1047</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1047</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76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MR100*100金属线槽</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MR100*100国标</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80</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2400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58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11</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电源线RVV3*1.5</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RVV3*1.5</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1020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9</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9180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87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12</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室外超五类屏蔽双绞线</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室外超五类网线,Cat5e屏蔽双绞线,24AWG,工作温度为-20~60℃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标准：符合ISO/IEC11801、TIA-568-C.2、GB/T18015.5要求,所用材料符合RoHS要求,性能指标优于现行超5类线缆100MHz标准；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标准装轴长度:305m±1.5m；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芯线规格:24AWG,无氧铜；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线缆结构：4对8芯双绞线,每芯均有颜色区分,外皮印有厂商标识及电缆编码，有撕裂绳；</w:t>
            </w:r>
            <w:r>
              <w:rPr>
                <w:rFonts w:hint="eastAsia" w:asciiTheme="minorEastAsia" w:hAnsiTheme="minorEastAsia" w:eastAsiaTheme="minorEastAsia" w:cstheme="minorEastAsia"/>
                <w:kern w:val="0"/>
                <w:sz w:val="21"/>
                <w:szCs w:val="21"/>
              </w:rPr>
              <w:br w:type="textWrapping"/>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1020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6120</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59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13</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线槽管材</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线槽管材</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6000</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6000</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包括迁移2个摄像机和2个对讲报警设备位置工作量。</w:t>
            </w:r>
          </w:p>
        </w:tc>
      </w:tr>
      <w:tr>
        <w:tblPrEx>
          <w:tblCellMar>
            <w:top w:w="0" w:type="dxa"/>
            <w:left w:w="108" w:type="dxa"/>
            <w:bottom w:w="0" w:type="dxa"/>
            <w:right w:w="108" w:type="dxa"/>
          </w:tblCellMar>
        </w:tblPrEx>
        <w:trPr>
          <w:wAfter w:w="0" w:type="auto"/>
          <w:trHeight w:val="75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14</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配件辅料</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电源开关、排插、接线盒、防水箱、软管、螺丝、桥架、电源防雷、RJ45水晶头等安装设备各种配件材料</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2350</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2350</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15</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小计</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39238</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wAfter w:w="0" w:type="auto"/>
          <w:trHeight w:val="63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9575"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二、禁闭区附近垃圾站</w:t>
            </w:r>
          </w:p>
        </w:tc>
      </w:tr>
      <w:tr>
        <w:tblPrEx>
          <w:tblCellMar>
            <w:top w:w="0" w:type="dxa"/>
            <w:left w:w="108" w:type="dxa"/>
            <w:bottom w:w="0" w:type="dxa"/>
            <w:right w:w="108" w:type="dxa"/>
          </w:tblCellMar>
        </w:tblPrEx>
        <w:trPr>
          <w:wAfter w:w="0" w:type="auto"/>
          <w:trHeight w:val="229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200万半球摄像机（POE)</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实配2.8mm镜头）</w:t>
            </w:r>
          </w:p>
        </w:tc>
        <w:tc>
          <w:tcPr>
            <w:tcW w:w="416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200万海螺型网络摄像机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海康威视红外阵列海螺型网络摄像机，最高分辨率可达200万像素，并在此分辨率下可输出25fps实时图像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支持1个RJ4510M/100M自适应以太网口，1个内置麦克风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移动侦测（支持人形检测）与异常侦测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适用于道路、仓库、地下停车场、酒吧、管道、园区等光线较暗或无光照环境且要求高清画质的场所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支持背光补偿，强光抑制，3D数字降噪，数字宽动态，适应不同环境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支持萤石平台，海康互联接入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支持ROI感兴趣区域增强编码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采用高效阵列红外灯，使用寿命长，红外照射最远可达30m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调节角度：水平：0°~360°，垂直：0°~75°，旋转：0°~360°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宽动态：数字宽动态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最低照度：彩色：0.01Lux@（F1.2，AGCON），0LuxwithIR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焦距&amp;视场角：2.8mm，水平视场角：104.9°，垂直视场角：58.2°，对角视场角：123.2°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4mm，水平视场角：81.3°，垂直视场角：43.6°，对角视场角：96.9°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6mm，水平视场角：50.9°，垂直视场角：29.3°，对角视场角：58.1°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8mm，水平视场角：39.4°，垂直视场角：21.7°，对角视场角：45.6°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补光距离：最远可达30m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子码流：H.265/H.264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启动和工作温湿度：-30°C~60°C，湿度小于95%（无凝结）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PoE：IEEE802.3af，CLASS3</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设备重量：285g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产品尺寸：Ø110×93mm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包装尺寸：145×145×128mm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带包装重量：450g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存储温湿度：-30°C~60°C，湿度小于95%（无凝结）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恢复出厂设置：支持客户端或浏览器恢复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电流及功耗：DC：12V，0.42A，最大功耗：5W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PoE：IEEE802.3af，CLASS3，最大功耗：6.5W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26.</w:t>
            </w:r>
            <w:r>
              <w:rPr>
                <w:rFonts w:hint="eastAsia" w:asciiTheme="minorEastAsia" w:hAnsiTheme="minorEastAsia" w:eastAsiaTheme="minorEastAsia" w:cstheme="minorEastAsia"/>
                <w:kern w:val="0"/>
                <w:sz w:val="21"/>
                <w:szCs w:val="21"/>
              </w:rPr>
              <w:t>防护：IP66</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DS-2CD2325EMB-I</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597</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4776</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根据业主实际需求安装具体位置和更换安装8个旧摄像机</w:t>
            </w:r>
          </w:p>
        </w:tc>
      </w:tr>
      <w:tr>
        <w:tblPrEx>
          <w:tblCellMar>
            <w:top w:w="0" w:type="dxa"/>
            <w:left w:w="108" w:type="dxa"/>
            <w:bottom w:w="0" w:type="dxa"/>
            <w:right w:w="108" w:type="dxa"/>
          </w:tblCellMar>
        </w:tblPrEx>
        <w:trPr>
          <w:wAfter w:w="0" w:type="auto"/>
          <w:trHeight w:val="121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枪式摄像机（POE)</w:t>
            </w:r>
          </w:p>
        </w:tc>
        <w:tc>
          <w:tcPr>
            <w:tcW w:w="4160" w:type="dxa"/>
            <w:tcBorders>
              <w:top w:val="nil"/>
              <w:left w:val="nil"/>
              <w:bottom w:val="single" w:color="auto" w:sz="4" w:space="0"/>
              <w:right w:val="single" w:color="auto" w:sz="4" w:space="0"/>
            </w:tcBorders>
            <w:shd w:val="clear" w:color="auto" w:fill="auto"/>
          </w:tcPr>
          <w:p>
            <w:pPr>
              <w:widowControl/>
              <w:numPr>
                <w:ilvl w:val="0"/>
                <w:numId w:val="7"/>
              </w:num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1/2.7''200万像素逐行扫描CMOS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分辨率不小于1920×1080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内置CPU、GPU、NPU一体化国产芯片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最低照度不低于彩色:0.002Lux(F1.6,AGCON),黑白:0.001Lux(F1.6,AGCON),0Lux(红外开启)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内置电动变焦镜头，焦距范围为2.8-12mm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红外灯补光距离为不小于50m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支持快速移动，越线检测，区域入侵，进入/离开区域，徘徊检测，人员集聚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具有1个RJ4510M/100M自适应以太网口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不少于2路报警输入，1路报警输出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不少于1路音频输入，1路音频输出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防护等级不低于IP67</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支持DC12V，PoE</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华为</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C2120-10-SIU</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1500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6000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根据业主实际需求安装具体位置</w:t>
            </w:r>
          </w:p>
        </w:tc>
      </w:tr>
      <w:tr>
        <w:tblPrEx>
          <w:tblCellMar>
            <w:top w:w="0" w:type="dxa"/>
            <w:left w:w="108" w:type="dxa"/>
            <w:bottom w:w="0" w:type="dxa"/>
            <w:right w:w="108" w:type="dxa"/>
          </w:tblCellMar>
        </w:tblPrEx>
        <w:trPr>
          <w:wAfter w:w="0" w:type="auto"/>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支架</w:t>
            </w:r>
          </w:p>
        </w:tc>
        <w:tc>
          <w:tcPr>
            <w:tcW w:w="416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壁装支架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外观白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适用范围适合枪型、筒型、一体型摄像机壁装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材料铝合金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调整角度水平：360°，垂直：-45°~45°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尺寸70×97.1×173.4mm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重量201g</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65</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650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73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5</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24口POE三层交换机</w:t>
            </w:r>
          </w:p>
        </w:tc>
        <w:tc>
          <w:tcPr>
            <w:tcW w:w="4160" w:type="dxa"/>
            <w:tcBorders>
              <w:top w:val="nil"/>
              <w:left w:val="nil"/>
              <w:bottom w:val="single" w:color="auto" w:sz="4" w:space="0"/>
              <w:right w:val="single" w:color="auto" w:sz="4" w:space="0"/>
            </w:tcBorders>
            <w:shd w:val="clear" w:color="auto" w:fill="auto"/>
          </w:tcPr>
          <w:p>
            <w:pPr>
              <w:widowControl/>
              <w:spacing w:after="24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交换容量336Gbps/3.36Tbps、包转发率：126Mpps；固定端口：24个10/100/1000BASE-T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以太网端口（PoE+），4个千兆SFP；</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华为</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S5735S-L24P4S-A2</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4000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4000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6</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单模光纤模块</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千兆单模双纤LC光口1310nm,20km（需确定前后端交换机品牌进行订够）</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华为</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300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47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7</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3米光纤跳线</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单模双工2LC-2LC跳线3米(LSZH)</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LC-LC单模光纤跳线,OS2,双工,3米技术规格：插入损耗≤0.2dB,回波损耗≥50dB@单模。阻燃等级:符合IEC60332-1标准要求</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8</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室外防水盒</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76</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456</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20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9</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8路POE防雷器（非机架式）</w:t>
            </w:r>
          </w:p>
        </w:tc>
        <w:tc>
          <w:tcPr>
            <w:tcW w:w="4160" w:type="dxa"/>
            <w:tcBorders>
              <w:top w:val="nil"/>
              <w:left w:val="nil"/>
              <w:bottom w:val="single" w:color="auto" w:sz="4" w:space="0"/>
              <w:right w:val="single" w:color="auto" w:sz="4" w:space="0"/>
            </w:tcBorders>
            <w:shd w:val="clear" w:color="000000" w:fill="FFFFFF"/>
            <w:vAlign w:val="center"/>
          </w:tcPr>
          <w:p>
            <w:pPr>
              <w:widowControl/>
              <w:numPr>
                <w:ilvl w:val="0"/>
                <w:numId w:val="8"/>
              </w:num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8路POE防雷器：电源电涌保护特性Un48VAC,Uc60VAC,Up(8/20μs)150V,In(8/20μs)5kA,Imax(8/20μs)10kA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插入损耗&lt;0.5dB，保护路数：8路，响应时间：≦1ns工作环境：温度－40～＋85℃，相对湿度≤95％(25℃)</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1064</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1064</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87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POE防雷器（前端）</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POE防雷器：电源电涌保护特性Un48VAC,Uc60VAC,Up(8/20μs)150V,In(8/20μs)5kA,Imax(8/20μs)10kA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插入损耗&lt;0.5dB，响应时间：≦1ns工作环境：温度－40～＋85℃，相对湿度≤95％(25℃)</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175</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1050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70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11</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室外超五类屏蔽双绞线</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室外超五类网线,Cat5e屏蔽双绞线,24AWG,工作温度为-20~60℃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标准：符合ISO/IEC11801、TIA-568-C.2、GB/T18015.5要求,所用材料符合RoHS要求,性能指标优于现行超5类线缆100MHz标准；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标准装轴长度:305m±1.5m；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芯线规格:24AWG,无氧铜；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线缆结构：4对8芯双绞线,每芯均有颜色区分,外皮印有厂商标识及电缆编码，有撕裂绳；</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3000</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12</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开挖回填</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开挖土石方回填</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定制</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72</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720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13</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电源线RVV3*2.5</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RVV3*2.5</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12</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14</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线槽管材</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线槽管材</w:t>
            </w:r>
            <w:r>
              <w:rPr>
                <w:rFonts w:hint="eastAsia" w:asciiTheme="minorEastAsia" w:hAnsiTheme="minorEastAsia" w:eastAsiaTheme="minorEastAsia" w:cstheme="minorEastAsia"/>
                <w:kern w:val="0"/>
                <w:sz w:val="21"/>
                <w:szCs w:val="21"/>
                <w:lang w:eastAsia="zh-CN"/>
              </w:rPr>
              <w:t>，国标</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3013</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3013</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81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15</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配件辅料</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电源开关、排插、接线盒、防水箱、软管、螺丝、桥架、电源防雷、RJ45水晶头等安装设备各种配件材料</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800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800</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16</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小计</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26239</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wAfter w:w="0" w:type="auto"/>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9575"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三、三监区五层</w:t>
            </w:r>
          </w:p>
        </w:tc>
      </w:tr>
      <w:tr>
        <w:tblPrEx>
          <w:tblCellMar>
            <w:top w:w="0" w:type="dxa"/>
            <w:left w:w="108" w:type="dxa"/>
            <w:bottom w:w="0" w:type="dxa"/>
            <w:right w:w="108" w:type="dxa"/>
          </w:tblCellMar>
        </w:tblPrEx>
        <w:trPr>
          <w:wAfter w:w="0" w:type="auto"/>
          <w:trHeight w:val="181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红外半球广角摄像机</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清红外半球型网络摄像机，2.0mm定焦镜头，40米红外。1/2.8"200W像素高性能传感器，0.0002Lux星光级超低照度，120dB超宽动态。H.265/H.264，1080P/720P/D1，30fps。基础智能。1×RS485，2×LineIN，1×LineOUT，1×告警输入输出，1×模拟视频输出，1×内置TF卡槽。功耗10W，DC12V/POE。IP67。</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科达</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IPC2233-FN-SIR40-L0200</w:t>
            </w: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1476</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26568</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76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配件辅料</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电源开关、排插、接线盒、防水箱、软管、螺丝、桥架、电源防雷、RJ45水晶头等安装设备各种配件材料</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4206</w:t>
            </w:r>
          </w:p>
        </w:tc>
        <w:tc>
          <w:tcPr>
            <w:tcW w:w="59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4206</w:t>
            </w:r>
          </w:p>
        </w:tc>
        <w:tc>
          <w:tcPr>
            <w:tcW w:w="737"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55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小计</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30774</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wAfter w:w="0" w:type="auto"/>
          <w:trHeight w:val="49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9575"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四、监控中心存储</w:t>
            </w:r>
          </w:p>
        </w:tc>
      </w:tr>
      <w:tr>
        <w:tblPrEx>
          <w:tblCellMar>
            <w:top w:w="0" w:type="dxa"/>
            <w:left w:w="108" w:type="dxa"/>
            <w:bottom w:w="0" w:type="dxa"/>
            <w:right w:w="108" w:type="dxa"/>
          </w:tblCellMar>
        </w:tblPrEx>
        <w:trPr>
          <w:wAfter w:w="0" w:type="auto"/>
          <w:trHeight w:val="310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本级视频接入通道数（平台升级迁移授权）</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本级监控点所接入的数量，1500个海康前端摄像头接入授权，无缝接入智能安防管理平台；</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路</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1500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InfovisionSPCC_CAMNUM</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12000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SPCC平台扩容授权（接入先旧平台设备授权），扩容接入后，旧平台不再使用。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本级监控点所接入的数量，现有监控点位数量1300多路，扩容预留100多路</w:t>
            </w:r>
          </w:p>
        </w:tc>
      </w:tr>
      <w:tr>
        <w:tblPrEx>
          <w:tblCellMar>
            <w:top w:w="0" w:type="dxa"/>
            <w:left w:w="108" w:type="dxa"/>
            <w:bottom w:w="0" w:type="dxa"/>
            <w:right w:w="108" w:type="dxa"/>
          </w:tblCellMar>
        </w:tblPrEx>
        <w:trPr>
          <w:wAfter w:w="0" w:type="auto"/>
          <w:trHeight w:val="460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CVR存储设备（满配24*16TB硬盘）</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机架式/4U24盘位/1536Mbps接入带宽/SATA硬盘/64位多核处理器/4GB缓存（可扩展至128GB）/4个千兆数据网口/1个千兆管理网口/冗余电源/网络协议：RTSP/ONVIF/PSIA/（GB/T28181）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满配定制的24个16TBIOT硬盘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支持查看硬盘体检报告、硬盘深度体检和磁盘档案；支持下载单个硬盘或批量硬盘的报告，支持按时间显示硬盘的坏扇区、温度、振动变化趋势的曲线图；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支持红灯/蓝灯报警，可根据故障紧急程度分级报警，不同级别闪烁不同颜色保养灯，保养灯闪烁时长、频率可设；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更换系统盘并配置好信息后，再次开机无需人工介入，可自动恢复业务，历史数据不应丢失；</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样机支持延时摄影功能，可将长时间录制的视频图像合成为短视频，并支持延时摄影视频预览及下载</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DS-A71024R/16T（满配24*16TB硬盘)</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85500</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85500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1、含服务项:硬盘不返还-有</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年质保</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2、整机吞吐能力（2M-768、4M-384）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3、4个千兆口入网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4、满配24块16TB硬盘，可存储192路4M视频；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5、预计可以在120天（4*30天）左右完成1340路左右视频存储30天录像计划的整体迁移。</w:t>
            </w:r>
          </w:p>
        </w:tc>
      </w:tr>
      <w:tr>
        <w:tblPrEx>
          <w:tblCellMar>
            <w:top w:w="0" w:type="dxa"/>
            <w:left w:w="108" w:type="dxa"/>
            <w:bottom w:w="0" w:type="dxa"/>
            <w:right w:w="108" w:type="dxa"/>
          </w:tblCellMar>
        </w:tblPrEx>
        <w:trPr>
          <w:wAfter w:w="0" w:type="auto"/>
          <w:trHeight w:val="48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小计</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97500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51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9575"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五、医院增加楼层广播设备</w:t>
            </w:r>
          </w:p>
        </w:tc>
      </w:tr>
      <w:tr>
        <w:tblPrEx>
          <w:tblCellMar>
            <w:top w:w="0" w:type="dxa"/>
            <w:left w:w="108" w:type="dxa"/>
            <w:bottom w:w="0" w:type="dxa"/>
            <w:right w:w="108" w:type="dxa"/>
          </w:tblCellMar>
        </w:tblPrEx>
        <w:trPr>
          <w:wAfter w:w="0" w:type="auto"/>
          <w:trHeight w:val="327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986"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IP网络功放终端</w:t>
            </w:r>
          </w:p>
        </w:tc>
        <w:tc>
          <w:tcPr>
            <w:tcW w:w="4160"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ITC-67120技术参数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1.网络接口：标准RJ45输入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2.支持协议：TCP/IP，UDP，IGMP(组播)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3.音频格式：MP3</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4.音频模式：16位CD音质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5.额定功率：120W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6.功耗：180W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7.待机功耗：＜10W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8.频率响应：80Hz～16KHz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9.输出方式：4~16Ω定阻输出、70V/100V定压输出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10.保护电路：直流输出、过载、过温、短路保护电路</w:t>
            </w:r>
          </w:p>
        </w:tc>
        <w:tc>
          <w:tcPr>
            <w:tcW w:w="41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ITCT-67120</w:t>
            </w:r>
          </w:p>
        </w:tc>
        <w:tc>
          <w:tcPr>
            <w:tcW w:w="82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4360</w:t>
            </w:r>
          </w:p>
        </w:tc>
        <w:tc>
          <w:tcPr>
            <w:tcW w:w="59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8720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无缝兼容接入监狱现有ITC广播系统和海康安防综合管理平台。</w:t>
            </w: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986"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IP网络话筒</w:t>
            </w:r>
          </w:p>
        </w:tc>
        <w:tc>
          <w:tcPr>
            <w:tcW w:w="4160"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ITCT-6702AIP网络话筒</w:t>
            </w:r>
          </w:p>
        </w:tc>
        <w:tc>
          <w:tcPr>
            <w:tcW w:w="41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ITCT-6702A</w:t>
            </w:r>
          </w:p>
        </w:tc>
        <w:tc>
          <w:tcPr>
            <w:tcW w:w="82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2930</w:t>
            </w:r>
          </w:p>
        </w:tc>
        <w:tc>
          <w:tcPr>
            <w:tcW w:w="59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5860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127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986"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壁挂音箱</w:t>
            </w:r>
          </w:p>
        </w:tc>
        <w:tc>
          <w:tcPr>
            <w:tcW w:w="4160"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设备概况：室内壁挂音箱，流线型外观，声音辐射角度大，采用全频设计。技术规格1.扬声器单元：1×6.5"。2.灵敏度：91dB±3dB。3.额定功率：3W,6W,10W；接入方式：COM，70V，100V6.阻抗：3.3KΩ/1.7KΩ/1KΩ7.频率响应：130-18KHz8.防护等级：IP5X</w:t>
            </w:r>
          </w:p>
        </w:tc>
        <w:tc>
          <w:tcPr>
            <w:tcW w:w="41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52"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36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ITCT-601</w:t>
            </w:r>
          </w:p>
        </w:tc>
        <w:tc>
          <w:tcPr>
            <w:tcW w:w="82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730</w:t>
            </w:r>
          </w:p>
        </w:tc>
        <w:tc>
          <w:tcPr>
            <w:tcW w:w="59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2190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5</w:t>
            </w:r>
          </w:p>
        </w:tc>
        <w:tc>
          <w:tcPr>
            <w:tcW w:w="986"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网络跳线</w:t>
            </w:r>
          </w:p>
        </w:tc>
        <w:tc>
          <w:tcPr>
            <w:tcW w:w="4160"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5米超五类屏蔽双绞线网线跳线</w:t>
            </w:r>
          </w:p>
        </w:tc>
        <w:tc>
          <w:tcPr>
            <w:tcW w:w="41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652"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59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6</w:t>
            </w:r>
          </w:p>
        </w:tc>
        <w:tc>
          <w:tcPr>
            <w:tcW w:w="986"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双绞线缆</w:t>
            </w:r>
          </w:p>
        </w:tc>
        <w:tc>
          <w:tcPr>
            <w:tcW w:w="4160"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超五类屏蔽双绞线网线</w:t>
            </w:r>
          </w:p>
        </w:tc>
        <w:tc>
          <w:tcPr>
            <w:tcW w:w="41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652"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59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7</w:t>
            </w:r>
          </w:p>
        </w:tc>
        <w:tc>
          <w:tcPr>
            <w:tcW w:w="986"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广播音频线</w:t>
            </w:r>
          </w:p>
        </w:tc>
        <w:tc>
          <w:tcPr>
            <w:tcW w:w="4160"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广播音频线2*1.5MM、国标</w:t>
            </w:r>
          </w:p>
        </w:tc>
        <w:tc>
          <w:tcPr>
            <w:tcW w:w="41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652"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w:t>
            </w:r>
          </w:p>
        </w:tc>
        <w:tc>
          <w:tcPr>
            <w:tcW w:w="36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59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8</w:t>
            </w:r>
          </w:p>
        </w:tc>
        <w:tc>
          <w:tcPr>
            <w:tcW w:w="986"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线槽管材</w:t>
            </w:r>
          </w:p>
        </w:tc>
        <w:tc>
          <w:tcPr>
            <w:tcW w:w="4160"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线槽管材</w:t>
            </w:r>
            <w:r>
              <w:rPr>
                <w:rFonts w:hint="eastAsia" w:asciiTheme="minorEastAsia" w:hAnsiTheme="minorEastAsia" w:eastAsiaTheme="minorEastAsia" w:cstheme="minorEastAsia"/>
                <w:kern w:val="0"/>
                <w:sz w:val="21"/>
                <w:szCs w:val="21"/>
                <w:lang w:eastAsia="zh-CN"/>
              </w:rPr>
              <w:t>，国标</w:t>
            </w:r>
          </w:p>
        </w:tc>
        <w:tc>
          <w:tcPr>
            <w:tcW w:w="4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65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2000</w:t>
            </w:r>
          </w:p>
        </w:tc>
        <w:tc>
          <w:tcPr>
            <w:tcW w:w="59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2000</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wAfter w:w="0" w:type="auto"/>
          <w:trHeight w:val="63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9</w:t>
            </w:r>
          </w:p>
        </w:tc>
        <w:tc>
          <w:tcPr>
            <w:tcW w:w="986"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辅材</w:t>
            </w:r>
          </w:p>
        </w:tc>
        <w:tc>
          <w:tcPr>
            <w:tcW w:w="4160"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电源开关、排插、接线盒、防水箱、软管、螺丝、桥架、电源防雷、RJ45水晶头等安装设备各种配件材料</w:t>
            </w:r>
          </w:p>
        </w:tc>
        <w:tc>
          <w:tcPr>
            <w:tcW w:w="41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652"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6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828"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501</w:t>
            </w:r>
          </w:p>
        </w:tc>
        <w:tc>
          <w:tcPr>
            <w:tcW w:w="59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501</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10</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小计</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21171 </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wAfter w:w="0" w:type="auto"/>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（第二部分）合计</w:t>
            </w:r>
          </w:p>
        </w:tc>
        <w:tc>
          <w:tcPr>
            <w:tcW w:w="41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214922 </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wAfter w:w="0" w:type="auto"/>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9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综合总价（第一部分+第二部分）</w:t>
            </w:r>
          </w:p>
        </w:tc>
        <w:tc>
          <w:tcPr>
            <w:tcW w:w="41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1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3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xml:space="preserve">280342 </w:t>
            </w:r>
          </w:p>
        </w:tc>
        <w:tc>
          <w:tcPr>
            <w:tcW w:w="73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360" w:lineRule="auto"/>
        <w:ind w:firstLine="964" w:firstLineChars="200"/>
        <w:rPr>
          <w:rFonts w:ascii="Cambria" w:hAnsi="Cambria"/>
          <w:b/>
          <w:bCs/>
          <w:color w:val="auto"/>
          <w:sz w:val="48"/>
          <w:szCs w:val="48"/>
        </w:rPr>
      </w:pPr>
      <w:r>
        <w:rPr>
          <w:rFonts w:ascii="Cambria" w:hAnsi="Cambria"/>
          <w:b/>
          <w:bCs/>
          <w:color w:val="auto"/>
          <w:sz w:val="48"/>
          <w:szCs w:val="48"/>
        </w:rPr>
        <w:br w:type="page"/>
      </w: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pStyle w:val="3"/>
        <w:jc w:val="center"/>
        <w:rPr>
          <w:color w:val="auto"/>
        </w:rPr>
      </w:pPr>
      <w:bookmarkStart w:id="69" w:name="_Toc9145"/>
      <w:r>
        <w:rPr>
          <w:rFonts w:hint="eastAsia"/>
          <w:color w:val="auto"/>
        </w:rPr>
        <w:t>第三章</w:t>
      </w:r>
      <w:r>
        <w:rPr>
          <w:rFonts w:hint="eastAsia"/>
          <w:color w:val="auto"/>
          <w:lang w:val="en-US" w:eastAsia="zh-CN"/>
        </w:rPr>
        <w:t xml:space="preserve"> </w:t>
      </w:r>
      <w:r>
        <w:rPr>
          <w:rFonts w:hint="eastAsia"/>
          <w:color w:val="auto"/>
        </w:rPr>
        <w:t>竞价须知</w:t>
      </w:r>
      <w:bookmarkEnd w:id="69"/>
    </w:p>
    <w:p>
      <w:pPr>
        <w:autoSpaceDE w:val="0"/>
        <w:autoSpaceDN w:val="0"/>
        <w:adjustRightInd w:val="0"/>
        <w:rPr>
          <w:color w:val="auto"/>
          <w:szCs w:val="21"/>
        </w:rPr>
      </w:pPr>
    </w:p>
    <w:p>
      <w:pPr>
        <w:autoSpaceDE w:val="0"/>
        <w:autoSpaceDN w:val="0"/>
        <w:adjustRightInd w:val="0"/>
        <w:rPr>
          <w:color w:val="auto"/>
          <w:szCs w:val="21"/>
        </w:rPr>
        <w:sectPr>
          <w:pgSz w:w="11906" w:h="16838"/>
          <w:pgMar w:top="1440" w:right="1080" w:bottom="1440" w:left="1080" w:header="851" w:footer="992" w:gutter="0"/>
          <w:cols w:space="720" w:num="1"/>
          <w:docGrid w:type="lines" w:linePitch="312" w:charSpace="0"/>
        </w:sectPr>
      </w:pPr>
    </w:p>
    <w:p>
      <w:pPr>
        <w:autoSpaceDE w:val="0"/>
        <w:autoSpaceDN w:val="0"/>
        <w:adjustRightInd w:val="0"/>
        <w:jc w:val="center"/>
        <w:rPr>
          <w:rFonts w:ascii="Cambria" w:hAnsi="Cambria"/>
          <w:b/>
          <w:bCs/>
          <w:color w:val="auto"/>
          <w:sz w:val="32"/>
          <w:szCs w:val="32"/>
        </w:rPr>
      </w:pPr>
      <w:r>
        <w:rPr>
          <w:rFonts w:hint="eastAsia" w:ascii="Cambria" w:hAnsi="Cambria"/>
          <w:b/>
          <w:bCs/>
          <w:color w:val="auto"/>
          <w:sz w:val="32"/>
          <w:szCs w:val="32"/>
        </w:rPr>
        <w:t>竞价须知</w:t>
      </w:r>
    </w:p>
    <w:p>
      <w:pPr>
        <w:pStyle w:val="64"/>
        <w:wordWrap w:val="0"/>
        <w:spacing w:before="0" w:beforeAutospacing="0" w:after="0" w:afterAutospacing="0" w:line="360" w:lineRule="auto"/>
        <w:ind w:firstLine="420" w:firstLineChars="200"/>
        <w:jc w:val="both"/>
        <w:outlineLvl w:val="1"/>
        <w:rPr>
          <w:color w:val="auto"/>
          <w:sz w:val="21"/>
          <w:szCs w:val="21"/>
        </w:rPr>
      </w:pPr>
      <w:bookmarkStart w:id="70" w:name="_Hlk21526609"/>
      <w:bookmarkStart w:id="71" w:name="_Hlk21526798"/>
      <w:bookmarkStart w:id="72" w:name="_Hlk21526831"/>
      <w:r>
        <w:rPr>
          <w:rFonts w:hint="eastAsia"/>
          <w:color w:val="auto"/>
          <w:sz w:val="21"/>
          <w:szCs w:val="21"/>
        </w:rPr>
        <w:t>一</w:t>
      </w:r>
      <w:bookmarkEnd w:id="70"/>
      <w:bookmarkEnd w:id="71"/>
      <w:r>
        <w:rPr>
          <w:rFonts w:hint="eastAsia"/>
          <w:color w:val="auto"/>
          <w:sz w:val="21"/>
          <w:szCs w:val="21"/>
        </w:rPr>
        <w:t>、本项目通过智采平台（</w:t>
      </w:r>
      <w:r>
        <w:rPr>
          <w:rFonts w:hint="eastAsia" w:ascii="宋体" w:hAnsi="宋体" w:eastAsia="宋体" w:cs="宋体"/>
          <w:i w:val="0"/>
          <w:iCs w:val="0"/>
          <w:caps w:val="0"/>
          <w:color w:val="000000"/>
          <w:spacing w:val="0"/>
          <w:sz w:val="21"/>
          <w:szCs w:val="21"/>
          <w:shd w:val="clear" w:fill="FFFFFF"/>
        </w:rPr>
        <w:t>http://gzgk.365bidding.com/</w:t>
      </w:r>
      <w:r>
        <w:rPr>
          <w:rFonts w:hint="eastAsia"/>
          <w:color w:val="auto"/>
          <w:sz w:val="21"/>
          <w:szCs w:val="21"/>
        </w:rPr>
        <w:t>）进行竞价，参与竞价的供应商必须登录平台进行注册，注册成功后方可参与项目竞价。</w:t>
      </w:r>
    </w:p>
    <w:p>
      <w:pPr>
        <w:pStyle w:val="64"/>
        <w:wordWrap w:val="0"/>
        <w:spacing w:before="0" w:beforeAutospacing="0" w:after="0" w:afterAutospacing="0" w:line="360" w:lineRule="auto"/>
        <w:ind w:firstLine="422" w:firstLineChars="200"/>
        <w:jc w:val="both"/>
        <w:outlineLvl w:val="1"/>
        <w:rPr>
          <w:b/>
          <w:bCs/>
          <w:color w:val="auto"/>
          <w:sz w:val="21"/>
          <w:szCs w:val="21"/>
        </w:rPr>
      </w:pPr>
      <w:r>
        <w:rPr>
          <w:rFonts w:hint="eastAsia"/>
          <w:b/>
          <w:bCs/>
          <w:color w:val="auto"/>
          <w:sz w:val="21"/>
          <w:szCs w:val="21"/>
        </w:rPr>
        <w:t>二、语言要求</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color w:val="auto"/>
          <w:szCs w:val="21"/>
        </w:rPr>
      </w:pPr>
      <w:r>
        <w:rPr>
          <w:rFonts w:hint="eastAsia" w:ascii="宋体" w:hAnsi="宋体" w:cs="宋体"/>
          <w:color w:val="auto"/>
          <w:szCs w:val="21"/>
        </w:rPr>
        <w:t>三、在智采平台参与项目竞价后放弃成交资格超过三次（含三次）的供应商连同该供应商同一法人名下所有公司将被列入平台黑名单，永久不得参与平台的项目竞价。</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五、如无正当理由放弃成交资格的供应商连同该供应商同一法人名下所有公司将被列入采购人黑名单，永久不得参与采购人的项目竞价。</w:t>
      </w:r>
    </w:p>
    <w:p>
      <w:pPr>
        <w:wordWrap w:val="0"/>
        <w:spacing w:line="360" w:lineRule="auto"/>
        <w:ind w:firstLine="422" w:firstLineChars="200"/>
        <w:outlineLvl w:val="1"/>
        <w:rPr>
          <w:rFonts w:ascii="宋体" w:hAnsi="宋体" w:cs="宋体"/>
          <w:b/>
          <w:bCs/>
          <w:color w:val="auto"/>
          <w:szCs w:val="21"/>
        </w:rPr>
      </w:pPr>
      <w:r>
        <w:rPr>
          <w:rFonts w:hint="eastAsia" w:ascii="宋体" w:hAnsi="宋体" w:cs="宋体"/>
          <w:b/>
          <w:bCs/>
          <w:color w:val="auto"/>
          <w:szCs w:val="21"/>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64"/>
        <w:wordWrap w:val="0"/>
        <w:spacing w:before="0" w:beforeAutospacing="0" w:after="0" w:afterAutospacing="0" w:line="360" w:lineRule="auto"/>
        <w:ind w:firstLine="422" w:firstLineChars="200"/>
        <w:jc w:val="both"/>
        <w:outlineLvl w:val="1"/>
        <w:rPr>
          <w:color w:val="auto"/>
          <w:sz w:val="21"/>
          <w:szCs w:val="21"/>
        </w:rPr>
      </w:pPr>
      <w:r>
        <w:rPr>
          <w:rFonts w:hint="eastAsia"/>
          <w:b/>
          <w:bCs/>
          <w:color w:val="auto"/>
          <w:sz w:val="21"/>
          <w:szCs w:val="21"/>
        </w:rPr>
        <w:t>七、竞价须知</w:t>
      </w:r>
    </w:p>
    <w:p>
      <w:pPr>
        <w:pStyle w:val="64"/>
        <w:wordWrap w:val="0"/>
        <w:spacing w:before="0" w:beforeAutospacing="0" w:after="0" w:afterAutospacing="0" w:line="360" w:lineRule="auto"/>
        <w:ind w:firstLine="422" w:firstLineChars="200"/>
        <w:jc w:val="both"/>
        <w:outlineLvl w:val="2"/>
        <w:rPr>
          <w:color w:val="auto"/>
          <w:sz w:val="21"/>
          <w:szCs w:val="21"/>
        </w:rPr>
      </w:pPr>
      <w:r>
        <w:rPr>
          <w:rFonts w:hint="eastAsia"/>
          <w:b/>
          <w:color w:val="auto"/>
          <w:sz w:val="21"/>
          <w:szCs w:val="21"/>
        </w:rPr>
        <w:t>(一)</w:t>
      </w:r>
      <w:r>
        <w:rPr>
          <w:rStyle w:val="28"/>
          <w:rFonts w:hint="eastAsia"/>
          <w:color w:val="auto"/>
          <w:sz w:val="21"/>
          <w:szCs w:val="21"/>
        </w:rPr>
        <w:t>竞价说明</w:t>
      </w:r>
    </w:p>
    <w:p>
      <w:pPr>
        <w:pStyle w:val="64"/>
        <w:tabs>
          <w:tab w:val="left" w:pos="851"/>
        </w:tabs>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1.参与竞价的供应商应承担所有与准备和参加竞价有关的费用，不</w:t>
      </w:r>
      <w:r>
        <w:rPr>
          <w:rFonts w:hint="eastAsia"/>
          <w:color w:val="auto"/>
          <w:sz w:val="21"/>
          <w:szCs w:val="21"/>
          <w:lang w:eastAsia="zh-TW"/>
        </w:rPr>
        <w:t>论</w:t>
      </w:r>
      <w:r>
        <w:rPr>
          <w:rFonts w:hint="eastAsia"/>
          <w:color w:val="auto"/>
          <w:sz w:val="21"/>
          <w:szCs w:val="21"/>
        </w:rPr>
        <w:t>竞价</w:t>
      </w:r>
      <w:r>
        <w:rPr>
          <w:rFonts w:hint="eastAsia"/>
          <w:color w:val="auto"/>
          <w:sz w:val="21"/>
          <w:szCs w:val="21"/>
          <w:lang w:eastAsia="zh-TW"/>
        </w:rPr>
        <w:t>的结果如何</w:t>
      </w:r>
      <w:r>
        <w:rPr>
          <w:rFonts w:hint="eastAsia"/>
          <w:color w:val="auto"/>
          <w:sz w:val="21"/>
          <w:szCs w:val="21"/>
        </w:rPr>
        <w:t>，采购</w:t>
      </w:r>
      <w:r>
        <w:rPr>
          <w:rFonts w:hint="eastAsia"/>
          <w:color w:val="auto"/>
          <w:sz w:val="21"/>
          <w:szCs w:val="21"/>
          <w:lang w:eastAsia="zh-TW"/>
        </w:rPr>
        <w:t>人</w:t>
      </w:r>
      <w:r>
        <w:rPr>
          <w:rFonts w:hint="eastAsia"/>
          <w:color w:val="auto"/>
          <w:sz w:val="21"/>
          <w:szCs w:val="21"/>
        </w:rPr>
        <w:t>和</w:t>
      </w:r>
      <w:r>
        <w:rPr>
          <w:rFonts w:hint="eastAsia"/>
          <w:color w:val="auto"/>
          <w:sz w:val="21"/>
          <w:szCs w:val="21"/>
          <w:lang w:eastAsia="zh-TW"/>
        </w:rPr>
        <w:t>智采平台均无义务和责任承担这些费用</w:t>
      </w:r>
      <w:r>
        <w:rPr>
          <w:rFonts w:hint="eastAsia"/>
          <w:color w:val="auto"/>
          <w:sz w:val="21"/>
          <w:szCs w:val="21"/>
        </w:rPr>
        <w:t>。</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lang w:eastAsia="zh-CN"/>
        </w:rPr>
        <w:t>候选供应商</w:t>
      </w:r>
      <w:r>
        <w:rPr>
          <w:rFonts w:hint="eastAsia"/>
          <w:bCs/>
          <w:color w:val="auto"/>
          <w:sz w:val="21"/>
          <w:szCs w:val="21"/>
        </w:rPr>
        <w:t>。</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color w:val="auto"/>
          <w:sz w:val="21"/>
          <w:szCs w:val="21"/>
          <w:lang w:val="zh-CN"/>
        </w:rPr>
        <w:t>供应商需对用户需求书的所有条款进行整体响应，用户需求书条款若有一条负偏离或不响应，</w:t>
      </w:r>
      <w:r>
        <w:rPr>
          <w:rFonts w:hint="eastAsia"/>
          <w:bCs/>
          <w:color w:val="auto"/>
          <w:sz w:val="21"/>
          <w:szCs w:val="21"/>
        </w:rPr>
        <w:t>不推荐为成交</w:t>
      </w:r>
      <w:r>
        <w:rPr>
          <w:rFonts w:hint="eastAsia"/>
          <w:bCs/>
          <w:color w:val="auto"/>
          <w:sz w:val="21"/>
          <w:szCs w:val="21"/>
          <w:lang w:eastAsia="zh-CN"/>
        </w:rPr>
        <w:t>候选供应商</w:t>
      </w:r>
      <w:r>
        <w:rPr>
          <w:rFonts w:hint="eastAsia"/>
          <w:color w:val="auto"/>
          <w:sz w:val="21"/>
          <w:szCs w:val="21"/>
          <w:lang w:val="zh-CN"/>
        </w:rPr>
        <w:t>。</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4.若</w:t>
      </w:r>
      <w:r>
        <w:rPr>
          <w:rFonts w:hint="eastAsia"/>
          <w:color w:val="auto"/>
          <w:sz w:val="21"/>
          <w:szCs w:val="21"/>
          <w:lang w:eastAsia="zh-CN"/>
        </w:rPr>
        <w:t>成交供应商</w:t>
      </w:r>
      <w:r>
        <w:rPr>
          <w:rFonts w:hint="eastAsia"/>
          <w:color w:val="auto"/>
          <w:sz w:val="21"/>
          <w:szCs w:val="21"/>
        </w:rPr>
        <w:t>自身原因无法完成本项目，则采购人有权利保留追究责任。</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w:t>
      </w:r>
      <w:r>
        <w:rPr>
          <w:rFonts w:hint="eastAsia"/>
          <w:color w:val="auto"/>
          <w:sz w:val="21"/>
          <w:szCs w:val="21"/>
          <w:lang w:eastAsia="zh-CN"/>
        </w:rPr>
        <w:t>成交供应商</w:t>
      </w:r>
      <w:r>
        <w:rPr>
          <w:rFonts w:hint="eastAsia"/>
          <w:color w:val="auto"/>
          <w:sz w:val="21"/>
          <w:szCs w:val="21"/>
        </w:rPr>
        <w:t>因自身原因被取消成交资格，采购人可重新启动采购或按竞价公告规定顺延推选符合要求的供应商作为</w:t>
      </w:r>
      <w:r>
        <w:rPr>
          <w:rFonts w:hint="eastAsia"/>
          <w:color w:val="auto"/>
          <w:sz w:val="21"/>
          <w:szCs w:val="21"/>
          <w:lang w:eastAsia="zh-CN"/>
        </w:rPr>
        <w:t>成交供应商</w:t>
      </w:r>
      <w:r>
        <w:rPr>
          <w:rFonts w:hint="eastAsia"/>
          <w:color w:val="auto"/>
          <w:sz w:val="21"/>
          <w:szCs w:val="21"/>
        </w:rPr>
        <w:t>。</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6.若本项目竞价采购失败，采购人将重新采购，届时采购人有权根据项目具体情况，决定重新采购项目的采购方式。</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color w:val="auto"/>
          <w:sz w:val="21"/>
          <w:szCs w:val="21"/>
          <w:lang w:eastAsia="zh-CN"/>
        </w:rPr>
        <w:t>成交供应商</w:t>
      </w:r>
      <w:r>
        <w:rPr>
          <w:rFonts w:hint="eastAsia"/>
          <w:color w:val="auto"/>
          <w:sz w:val="21"/>
          <w:szCs w:val="21"/>
        </w:rPr>
        <w:t>若无正当理由恶意放弃成交资格，采购人有权将拒绝其参加本项目重新组织的竞价采购活动。</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9.参与竞价的</w:t>
      </w:r>
      <w:r>
        <w:rPr>
          <w:rFonts w:hint="eastAsia"/>
          <w:color w:val="auto"/>
          <w:sz w:val="21"/>
          <w:szCs w:val="21"/>
          <w:lang w:eastAsia="zh-TW"/>
        </w:rPr>
        <w:t>供应商向我司咨询的有关项目事项，一切以</w:t>
      </w:r>
      <w:r>
        <w:rPr>
          <w:rFonts w:hint="eastAsia"/>
          <w:color w:val="auto"/>
          <w:sz w:val="21"/>
          <w:szCs w:val="21"/>
        </w:rPr>
        <w:t>竞价文件</w:t>
      </w:r>
      <w:r>
        <w:rPr>
          <w:rFonts w:hint="eastAsia"/>
          <w:color w:val="auto"/>
          <w:sz w:val="21"/>
          <w:szCs w:val="21"/>
          <w:lang w:eastAsia="zh-TW"/>
        </w:rPr>
        <w:t>规定</w:t>
      </w:r>
      <w:r>
        <w:rPr>
          <w:rFonts w:hint="eastAsia"/>
          <w:color w:val="auto"/>
          <w:sz w:val="21"/>
          <w:szCs w:val="21"/>
        </w:rPr>
        <w:t>和竞价公告规定以及</w:t>
      </w:r>
      <w:r>
        <w:rPr>
          <w:rFonts w:hint="eastAsia"/>
          <w:color w:val="auto"/>
          <w:sz w:val="21"/>
          <w:szCs w:val="21"/>
          <w:lang w:eastAsia="zh-TW"/>
        </w:rPr>
        <w:t>本公司</w:t>
      </w:r>
      <w:r>
        <w:rPr>
          <w:rFonts w:hint="eastAsia"/>
          <w:color w:val="auto"/>
          <w:sz w:val="21"/>
          <w:szCs w:val="21"/>
        </w:rPr>
        <w:t>的</w:t>
      </w:r>
      <w:r>
        <w:rPr>
          <w:rFonts w:hint="eastAsia"/>
          <w:color w:val="auto"/>
          <w:sz w:val="21"/>
          <w:szCs w:val="21"/>
          <w:lang w:eastAsia="zh-TW"/>
        </w:rPr>
        <w:t>书面答复为准，其他一切形式均为个人意见，不代表本公司的意见</w:t>
      </w:r>
      <w:r>
        <w:rPr>
          <w:rFonts w:hint="eastAsia"/>
          <w:color w:val="auto"/>
          <w:sz w:val="21"/>
          <w:szCs w:val="21"/>
        </w:rPr>
        <w:t>；</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10.参与竞价的供应商应认真阅读</w:t>
      </w:r>
      <w:r>
        <w:rPr>
          <w:rFonts w:hint="eastAsia"/>
          <w:color w:val="auto"/>
          <w:sz w:val="21"/>
          <w:szCs w:val="21"/>
          <w:lang w:eastAsia="zh-TW"/>
        </w:rPr>
        <w:t>、并充分理解</w:t>
      </w:r>
      <w:r>
        <w:rPr>
          <w:rFonts w:hint="eastAsia"/>
          <w:color w:val="auto"/>
          <w:sz w:val="21"/>
          <w:szCs w:val="21"/>
        </w:rPr>
        <w:t>竞价</w:t>
      </w:r>
      <w:r>
        <w:rPr>
          <w:rFonts w:hint="eastAsia"/>
          <w:color w:val="auto"/>
          <w:sz w:val="21"/>
          <w:szCs w:val="21"/>
          <w:lang w:eastAsia="zh-TW"/>
        </w:rPr>
        <w:t>文件的全部内容（包括所有的补充、修改内容重要事项、格式、条款</w:t>
      </w:r>
      <w:r>
        <w:rPr>
          <w:rFonts w:hint="eastAsia"/>
          <w:color w:val="auto"/>
          <w:sz w:val="21"/>
          <w:szCs w:val="21"/>
        </w:rPr>
        <w:t>、服务要求</w:t>
      </w:r>
      <w:r>
        <w:rPr>
          <w:rFonts w:hint="eastAsia"/>
          <w:color w:val="auto"/>
          <w:sz w:val="21"/>
          <w:szCs w:val="21"/>
          <w:lang w:eastAsia="zh-TW"/>
        </w:rPr>
        <w:t>和技术规范、参数及要求等）。</w:t>
      </w:r>
      <w:r>
        <w:rPr>
          <w:rFonts w:hint="eastAsia"/>
          <w:color w:val="auto"/>
          <w:sz w:val="21"/>
          <w:szCs w:val="21"/>
        </w:rPr>
        <w:t>供应商</w:t>
      </w:r>
      <w:r>
        <w:rPr>
          <w:rFonts w:hint="eastAsia"/>
          <w:color w:val="auto"/>
          <w:sz w:val="21"/>
          <w:szCs w:val="21"/>
          <w:lang w:eastAsia="zh-TW"/>
        </w:rPr>
        <w:t>没有按照</w:t>
      </w:r>
      <w:r>
        <w:rPr>
          <w:rFonts w:hint="eastAsia"/>
          <w:color w:val="auto"/>
          <w:sz w:val="21"/>
          <w:szCs w:val="21"/>
        </w:rPr>
        <w:t>竞价</w:t>
      </w:r>
      <w:r>
        <w:rPr>
          <w:rFonts w:hint="eastAsia"/>
          <w:color w:val="auto"/>
          <w:sz w:val="21"/>
          <w:szCs w:val="21"/>
          <w:lang w:eastAsia="zh-TW"/>
        </w:rPr>
        <w:t>文件要求提交全部资料，或者</w:t>
      </w:r>
      <w:r>
        <w:rPr>
          <w:rFonts w:hint="eastAsia"/>
          <w:color w:val="auto"/>
          <w:sz w:val="21"/>
          <w:szCs w:val="21"/>
        </w:rPr>
        <w:t>参与竞价所上传的</w:t>
      </w:r>
      <w:r>
        <w:rPr>
          <w:rFonts w:hint="eastAsia"/>
          <w:color w:val="auto"/>
          <w:sz w:val="21"/>
          <w:szCs w:val="21"/>
          <w:lang w:eastAsia="zh-TW"/>
        </w:rPr>
        <w:t>文件没有对</w:t>
      </w:r>
      <w:r>
        <w:rPr>
          <w:rFonts w:hint="eastAsia"/>
          <w:color w:val="auto"/>
          <w:sz w:val="21"/>
          <w:szCs w:val="21"/>
        </w:rPr>
        <w:t>竞价</w:t>
      </w:r>
      <w:r>
        <w:rPr>
          <w:rFonts w:hint="eastAsia"/>
          <w:color w:val="auto"/>
          <w:sz w:val="21"/>
          <w:szCs w:val="21"/>
          <w:lang w:eastAsia="zh-TW"/>
        </w:rPr>
        <w:t>文件在各方面都作出实质性响应是</w:t>
      </w:r>
      <w:r>
        <w:rPr>
          <w:rFonts w:hint="eastAsia"/>
          <w:color w:val="auto"/>
          <w:sz w:val="21"/>
          <w:szCs w:val="21"/>
        </w:rPr>
        <w:t>供应商</w:t>
      </w:r>
      <w:r>
        <w:rPr>
          <w:rFonts w:hint="eastAsia"/>
          <w:color w:val="auto"/>
          <w:sz w:val="21"/>
          <w:szCs w:val="21"/>
          <w:lang w:eastAsia="zh-TW"/>
        </w:rPr>
        <w:t>的风险，有可能导致其</w:t>
      </w:r>
      <w:r>
        <w:rPr>
          <w:rFonts w:hint="eastAsia"/>
          <w:color w:val="auto"/>
          <w:sz w:val="21"/>
          <w:szCs w:val="21"/>
        </w:rPr>
        <w:t>竞价</w:t>
      </w:r>
      <w:r>
        <w:rPr>
          <w:rFonts w:hint="eastAsia"/>
          <w:color w:val="auto"/>
          <w:sz w:val="21"/>
          <w:szCs w:val="21"/>
          <w:lang w:eastAsia="zh-TW"/>
        </w:rPr>
        <w:t>被拒绝，</w:t>
      </w:r>
      <w:r>
        <w:rPr>
          <w:rFonts w:hint="eastAsia"/>
          <w:color w:val="auto"/>
          <w:sz w:val="21"/>
          <w:szCs w:val="21"/>
        </w:rPr>
        <w:t>或被认定为无效竞价。</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11.采购人有权拒绝接受任何不合格的货物或服务，由此产生的费用及相关后果均由</w:t>
      </w:r>
      <w:r>
        <w:rPr>
          <w:rFonts w:hint="eastAsia"/>
          <w:color w:val="auto"/>
          <w:sz w:val="21"/>
          <w:szCs w:val="21"/>
          <w:lang w:eastAsia="zh-CN"/>
        </w:rPr>
        <w:t>成交供应商</w:t>
      </w:r>
      <w:r>
        <w:rPr>
          <w:rFonts w:hint="eastAsia"/>
          <w:color w:val="auto"/>
          <w:sz w:val="21"/>
          <w:szCs w:val="21"/>
        </w:rPr>
        <w:t>自行承担。</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12.供应商认为竞价结果损害其权益的，应按照智采平台相关指引在规定的时间内向采购人或平台方提交书面质疑，不提交的视为无异议，逾期提交将不予受理。</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13.本竞价公告和竞价文件的解释权归</w:t>
      </w:r>
      <w:r>
        <w:rPr>
          <w:rFonts w:hint="eastAsia"/>
          <w:color w:val="auto"/>
          <w:sz w:val="21"/>
          <w:szCs w:val="21"/>
          <w:lang w:eastAsia="zh-TW"/>
        </w:rPr>
        <w:t>“</w:t>
      </w:r>
      <w:r>
        <w:rPr>
          <w:rFonts w:hint="eastAsia"/>
          <w:color w:val="auto"/>
          <w:sz w:val="21"/>
          <w:szCs w:val="21"/>
        </w:rPr>
        <w:t>广州市国科招标代理有限公司</w:t>
      </w:r>
      <w:r>
        <w:rPr>
          <w:rFonts w:hint="eastAsia"/>
          <w:color w:val="auto"/>
          <w:sz w:val="21"/>
          <w:szCs w:val="21"/>
          <w:lang w:eastAsia="zh-TW"/>
        </w:rPr>
        <w:t>”所有。</w:t>
      </w:r>
    </w:p>
    <w:p>
      <w:pPr>
        <w:pStyle w:val="64"/>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(二)竞价文件的澄清或修改</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1.采购人可以对已发出的竞价文件进行必要的澄清或者修改。澄清或者修改的内容将在智采平台上发布澄清（更正/变更）公告。</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2.无论澄清或者修改的内容是否影响竞价，平台将以邮箱形式通知所有的报名供应商；报名供应商应按要求履行相应的义务；如报名</w:t>
      </w:r>
      <w:r>
        <w:rPr>
          <w:rFonts w:hint="eastAsia"/>
          <w:color w:val="auto"/>
          <w:sz w:val="21"/>
          <w:szCs w:val="21"/>
          <w:lang w:eastAsia="zh-TW"/>
        </w:rPr>
        <w:t>截止时间</w:t>
      </w:r>
      <w:r>
        <w:rPr>
          <w:rFonts w:hint="eastAsia"/>
          <w:color w:val="auto"/>
          <w:sz w:val="21"/>
          <w:szCs w:val="21"/>
        </w:rPr>
        <w:t>少于一个工作日的，采购人应当相应顺延报名的截止时间。</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3.采购人发出的澄清或修改（更正/变更）的内容为竞价文件的组成部分，并对供应商具有约束力。</w:t>
      </w:r>
    </w:p>
    <w:p>
      <w:pPr>
        <w:pStyle w:val="64"/>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(三)如有要求缴纳</w:t>
      </w:r>
      <w:r>
        <w:rPr>
          <w:rFonts w:hint="eastAsia"/>
          <w:b/>
          <w:color w:val="auto"/>
          <w:sz w:val="21"/>
          <w:szCs w:val="21"/>
          <w:lang w:val="en-US" w:eastAsia="zh-CN"/>
        </w:rPr>
        <w:t>竞价</w:t>
      </w:r>
      <w:r>
        <w:rPr>
          <w:rFonts w:hint="eastAsia"/>
          <w:b/>
          <w:color w:val="auto"/>
          <w:sz w:val="21"/>
          <w:szCs w:val="21"/>
        </w:rPr>
        <w:t>保证金的项目有</w:t>
      </w:r>
      <w:r>
        <w:rPr>
          <w:rFonts w:hint="eastAsia"/>
          <w:b/>
          <w:color w:val="auto"/>
          <w:sz w:val="21"/>
          <w:szCs w:val="21"/>
          <w:lang w:eastAsia="zh-TW"/>
        </w:rPr>
        <w:t>下列任一情</w:t>
      </w:r>
      <w:r>
        <w:rPr>
          <w:rFonts w:hint="eastAsia"/>
          <w:b/>
          <w:color w:val="auto"/>
          <w:sz w:val="21"/>
          <w:szCs w:val="21"/>
        </w:rPr>
        <w:t>形</w:t>
      </w:r>
      <w:r>
        <w:rPr>
          <w:rFonts w:hint="eastAsia"/>
          <w:b/>
          <w:color w:val="auto"/>
          <w:sz w:val="21"/>
          <w:szCs w:val="21"/>
          <w:lang w:eastAsia="zh-TW"/>
        </w:rPr>
        <w:t>发生时</w:t>
      </w:r>
      <w:r>
        <w:rPr>
          <w:rFonts w:hint="eastAsia"/>
          <w:b/>
          <w:color w:val="auto"/>
          <w:sz w:val="21"/>
          <w:szCs w:val="21"/>
        </w:rPr>
        <w:t>，</w:t>
      </w:r>
      <w:r>
        <w:rPr>
          <w:rFonts w:hint="eastAsia"/>
          <w:b/>
          <w:color w:val="auto"/>
          <w:sz w:val="21"/>
          <w:szCs w:val="21"/>
          <w:lang w:val="en-US" w:eastAsia="zh-CN"/>
        </w:rPr>
        <w:t>竞价</w:t>
      </w:r>
      <w:r>
        <w:rPr>
          <w:rFonts w:hint="eastAsia"/>
          <w:b/>
          <w:color w:val="auto"/>
          <w:sz w:val="21"/>
          <w:szCs w:val="21"/>
          <w:lang w:eastAsia="zh-TW"/>
        </w:rPr>
        <w:t>保证金将不予退还</w:t>
      </w:r>
      <w:r>
        <w:rPr>
          <w:rFonts w:hint="eastAsia"/>
          <w:b/>
          <w:color w:val="auto"/>
          <w:sz w:val="21"/>
          <w:szCs w:val="21"/>
        </w:rPr>
        <w:t>：</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1.供应商</w:t>
      </w:r>
      <w:r>
        <w:rPr>
          <w:rFonts w:hint="eastAsia"/>
          <w:color w:val="auto"/>
          <w:sz w:val="21"/>
          <w:szCs w:val="21"/>
          <w:lang w:eastAsia="zh-TW"/>
        </w:rPr>
        <w:t>在</w:t>
      </w:r>
      <w:r>
        <w:rPr>
          <w:rFonts w:hint="eastAsia"/>
          <w:color w:val="auto"/>
          <w:sz w:val="21"/>
          <w:szCs w:val="21"/>
        </w:rPr>
        <w:t>项目相关公告以及竞价文件等相关</w:t>
      </w:r>
      <w:r>
        <w:rPr>
          <w:rFonts w:hint="eastAsia"/>
          <w:color w:val="auto"/>
          <w:sz w:val="21"/>
          <w:szCs w:val="21"/>
          <w:lang w:eastAsia="zh-TW"/>
        </w:rPr>
        <w:t>规定的</w:t>
      </w:r>
      <w:r>
        <w:rPr>
          <w:rFonts w:hint="eastAsia"/>
          <w:color w:val="auto"/>
          <w:sz w:val="21"/>
          <w:szCs w:val="21"/>
        </w:rPr>
        <w:t>报名报价</w:t>
      </w:r>
      <w:r>
        <w:rPr>
          <w:rFonts w:hint="eastAsia"/>
          <w:color w:val="auto"/>
          <w:sz w:val="21"/>
          <w:szCs w:val="21"/>
          <w:lang w:eastAsia="zh-TW"/>
        </w:rPr>
        <w:t>有效期内撤</w:t>
      </w:r>
      <w:r>
        <w:rPr>
          <w:rFonts w:hint="eastAsia"/>
          <w:color w:val="auto"/>
          <w:sz w:val="21"/>
          <w:szCs w:val="21"/>
        </w:rPr>
        <w:t>销</w:t>
      </w:r>
      <w:r>
        <w:rPr>
          <w:rFonts w:hint="eastAsia"/>
          <w:color w:val="auto"/>
          <w:sz w:val="21"/>
          <w:szCs w:val="21"/>
          <w:lang w:eastAsia="zh-TW"/>
        </w:rPr>
        <w:t>其</w:t>
      </w:r>
      <w:r>
        <w:rPr>
          <w:rFonts w:hint="eastAsia"/>
          <w:color w:val="auto"/>
          <w:sz w:val="21"/>
          <w:szCs w:val="21"/>
        </w:rPr>
        <w:t>报价的；</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2.获取成交资格</w:t>
      </w:r>
      <w:r>
        <w:rPr>
          <w:rFonts w:hint="eastAsia"/>
          <w:color w:val="auto"/>
          <w:sz w:val="21"/>
          <w:szCs w:val="21"/>
          <w:lang w:eastAsia="zh-TW"/>
        </w:rPr>
        <w:t>后无正当理由放弃</w:t>
      </w:r>
      <w:r>
        <w:rPr>
          <w:rFonts w:hint="eastAsia"/>
          <w:color w:val="auto"/>
          <w:sz w:val="21"/>
          <w:szCs w:val="21"/>
        </w:rPr>
        <w:t>成交资格</w:t>
      </w:r>
      <w:r>
        <w:rPr>
          <w:rFonts w:hint="eastAsia"/>
          <w:color w:val="auto"/>
          <w:sz w:val="21"/>
          <w:szCs w:val="21"/>
          <w:lang w:eastAsia="zh-TW"/>
        </w:rPr>
        <w:t>或</w:t>
      </w:r>
      <w:r>
        <w:rPr>
          <w:rFonts w:hint="eastAsia"/>
          <w:color w:val="auto"/>
          <w:sz w:val="21"/>
          <w:szCs w:val="21"/>
          <w:lang w:eastAsia="zh-CN"/>
        </w:rPr>
        <w:t>成交供应商</w:t>
      </w:r>
      <w:r>
        <w:rPr>
          <w:rFonts w:hint="eastAsia"/>
          <w:color w:val="auto"/>
          <w:sz w:val="21"/>
          <w:szCs w:val="21"/>
        </w:rPr>
        <w:t>拒绝与采购人</w:t>
      </w:r>
      <w:r>
        <w:rPr>
          <w:rFonts w:hint="eastAsia"/>
          <w:color w:val="auto"/>
          <w:sz w:val="21"/>
          <w:szCs w:val="21"/>
          <w:lang w:eastAsia="zh-TW"/>
        </w:rPr>
        <w:t>签订合同</w:t>
      </w:r>
      <w:r>
        <w:rPr>
          <w:rFonts w:hint="eastAsia"/>
          <w:color w:val="auto"/>
          <w:sz w:val="21"/>
          <w:szCs w:val="21"/>
        </w:rPr>
        <w:t>的；</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lang w:eastAsia="zh-TW"/>
        </w:rPr>
        <w:t>3.</w:t>
      </w:r>
      <w:r>
        <w:rPr>
          <w:rFonts w:hint="eastAsia"/>
          <w:color w:val="auto"/>
          <w:sz w:val="21"/>
          <w:szCs w:val="21"/>
        </w:rPr>
        <w:t>其他因</w:t>
      </w:r>
      <w:r>
        <w:rPr>
          <w:rFonts w:hint="eastAsia"/>
          <w:color w:val="auto"/>
          <w:sz w:val="21"/>
          <w:szCs w:val="21"/>
          <w:lang w:eastAsia="zh-CN"/>
        </w:rPr>
        <w:t>成交供应商</w:t>
      </w:r>
      <w:r>
        <w:rPr>
          <w:rFonts w:hint="eastAsia"/>
          <w:color w:val="auto"/>
          <w:sz w:val="21"/>
          <w:szCs w:val="21"/>
        </w:rPr>
        <w:t>的原因被认定取消成交资格的。</w:t>
      </w:r>
    </w:p>
    <w:p>
      <w:pPr>
        <w:pStyle w:val="64"/>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(四)</w:t>
      </w:r>
      <w:r>
        <w:rPr>
          <w:rFonts w:hint="eastAsia"/>
          <w:b/>
          <w:color w:val="auto"/>
          <w:sz w:val="21"/>
          <w:szCs w:val="21"/>
          <w:lang w:val="en-US" w:eastAsia="zh-CN"/>
        </w:rPr>
        <w:t>响应</w:t>
      </w:r>
      <w:r>
        <w:rPr>
          <w:rFonts w:hint="eastAsia"/>
          <w:b/>
          <w:color w:val="auto"/>
          <w:sz w:val="21"/>
          <w:szCs w:val="21"/>
        </w:rPr>
        <w:t>要求（参与竞价的供应商</w:t>
      </w:r>
      <w:r>
        <w:rPr>
          <w:rFonts w:hint="eastAsia"/>
          <w:b/>
          <w:color w:val="auto"/>
          <w:sz w:val="21"/>
          <w:szCs w:val="21"/>
          <w:lang w:val="en-US" w:eastAsia="zh-CN"/>
        </w:rPr>
        <w:t>响应</w:t>
      </w:r>
      <w:r>
        <w:rPr>
          <w:rFonts w:hint="eastAsia"/>
          <w:b/>
          <w:color w:val="auto"/>
          <w:sz w:val="21"/>
          <w:szCs w:val="21"/>
        </w:rPr>
        <w:t>时需要提供以下盖章资料，并对上传的</w:t>
      </w:r>
      <w:r>
        <w:rPr>
          <w:rFonts w:hint="eastAsia"/>
          <w:b/>
          <w:color w:val="auto"/>
          <w:sz w:val="21"/>
          <w:szCs w:val="21"/>
          <w:lang w:val="en-US" w:eastAsia="zh-CN"/>
        </w:rPr>
        <w:t>响应</w:t>
      </w:r>
      <w:r>
        <w:rPr>
          <w:rFonts w:hint="eastAsia"/>
          <w:b/>
          <w:color w:val="auto"/>
          <w:sz w:val="21"/>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4</w:t>
      </w:r>
      <w:r>
        <w:rPr>
          <w:rFonts w:hint="eastAsia"/>
          <w:color w:val="auto"/>
          <w:szCs w:val="21"/>
        </w:rPr>
        <w:t>）参加政府采购活动前3年内在经营活动中没有重大违法记录的书面声明（承诺函）；</w:t>
      </w:r>
    </w:p>
    <w:p>
      <w:pPr>
        <w:autoSpaceDE w:val="0"/>
        <w:autoSpaceDN w:val="0"/>
        <w:adjustRightInd w:val="0"/>
        <w:spacing w:line="440" w:lineRule="exact"/>
        <w:ind w:firstLine="420" w:firstLineChars="200"/>
        <w:outlineLvl w:val="2"/>
        <w:rPr>
          <w:rFonts w:hint="eastAsia"/>
          <w:color w:val="auto"/>
          <w:szCs w:val="21"/>
        </w:rPr>
      </w:pPr>
      <w:r>
        <w:rPr>
          <w:rFonts w:hint="eastAsia"/>
          <w:color w:val="auto"/>
          <w:szCs w:val="21"/>
          <w:lang w:val="en-US" w:eastAsia="zh-CN"/>
        </w:rPr>
        <w:t>5</w:t>
      </w:r>
      <w:r>
        <w:rPr>
          <w:rFonts w:hint="eastAsia"/>
          <w:color w:val="auto"/>
          <w:szCs w:val="21"/>
        </w:rPr>
        <w:t>）如非法定代表人或企业负责人参加，则须同时提交法定代表人或企业负责人的授权委托书及其被授权人身份证（正反面）（详细见报价文件格式）；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0" w:firstLineChars="200"/>
        <w:outlineLvl w:val="2"/>
        <w:rPr>
          <w:rFonts w:hint="default" w:ascii="Times New Roman" w:hAnsi="Times New Roman" w:cs="Times New Roman"/>
          <w:color w:val="auto"/>
          <w:szCs w:val="21"/>
          <w:lang w:val="en-US" w:eastAsia="zh-CN"/>
        </w:rPr>
      </w:pPr>
      <w:r>
        <w:rPr>
          <w:rFonts w:hint="eastAsia"/>
          <w:color w:val="auto"/>
          <w:szCs w:val="21"/>
          <w:lang w:val="en-US" w:eastAsia="zh-CN"/>
        </w:rPr>
        <w:t>6</w:t>
      </w:r>
      <w:r>
        <w:rPr>
          <w:rFonts w:hint="eastAsia"/>
          <w:color w:val="auto"/>
          <w:szCs w:val="21"/>
        </w:rPr>
        <w:t>）</w:t>
      </w:r>
      <w:r>
        <w:rPr>
          <w:rFonts w:hint="eastAsia" w:ascii="Times New Roman" w:hAnsi="Times New Roman" w:cs="Times New Roman"/>
          <w:color w:val="auto"/>
          <w:szCs w:val="21"/>
          <w:lang w:val="en-US" w:eastAsia="zh-CN"/>
        </w:rPr>
        <w:t>有效的《广东省安全技术防范系统设计、施工、维修资格证》（资质等级：</w:t>
      </w:r>
      <w:r>
        <w:rPr>
          <w:rFonts w:hint="eastAsia" w:cs="Times New Roman"/>
          <w:color w:val="auto"/>
          <w:szCs w:val="21"/>
          <w:lang w:val="en-US" w:eastAsia="zh-CN"/>
        </w:rPr>
        <w:t>四</w:t>
      </w:r>
      <w:r>
        <w:rPr>
          <w:rFonts w:hint="eastAsia" w:ascii="Times New Roman" w:hAnsi="Times New Roman" w:cs="Times New Roman"/>
          <w:color w:val="auto"/>
          <w:szCs w:val="21"/>
          <w:lang w:val="en-US" w:eastAsia="zh-CN"/>
        </w:rPr>
        <w:t>级或以上），或者有效的广东省公安厅的备案证明（备案等级：</w:t>
      </w:r>
      <w:r>
        <w:rPr>
          <w:rFonts w:hint="eastAsia" w:cs="Times New Roman"/>
          <w:color w:val="auto"/>
          <w:szCs w:val="21"/>
          <w:lang w:val="en-US" w:eastAsia="zh-CN"/>
        </w:rPr>
        <w:t>四</w:t>
      </w:r>
      <w:r>
        <w:rPr>
          <w:rFonts w:hint="eastAsia" w:ascii="Times New Roman" w:hAnsi="Times New Roman" w:cs="Times New Roman"/>
          <w:color w:val="auto"/>
          <w:szCs w:val="21"/>
          <w:lang w:val="en-US" w:eastAsia="zh-CN"/>
        </w:rPr>
        <w:t>级或以上）。</w:t>
      </w:r>
    </w:p>
    <w:p>
      <w:pPr>
        <w:pStyle w:val="64"/>
        <w:wordWrap w:val="0"/>
        <w:spacing w:before="0" w:beforeAutospacing="0" w:after="0" w:afterAutospacing="0" w:line="360" w:lineRule="auto"/>
        <w:ind w:firstLine="482" w:firstLineChars="200"/>
        <w:jc w:val="both"/>
        <w:outlineLvl w:val="2"/>
        <w:rPr>
          <w:rFonts w:hint="eastAsia"/>
          <w:b/>
          <w:bCs/>
          <w:color w:val="auto"/>
          <w:szCs w:val="21"/>
        </w:rPr>
      </w:pPr>
      <w:r>
        <w:rPr>
          <w:rFonts w:hint="eastAsia"/>
          <w:b/>
          <w:bCs/>
          <w:color w:val="auto"/>
          <w:szCs w:val="21"/>
          <w:lang w:val="en-US" w:eastAsia="zh-CN"/>
        </w:rPr>
        <w:t>7</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p>
      <w:pPr>
        <w:pStyle w:val="64"/>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(五)报价要求（报价时需要提供以下盖章资料，并对上传的竞价文件资料承担责任）</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报价表</w:t>
      </w:r>
      <w:r>
        <w:rPr>
          <w:rFonts w:hint="eastAsia" w:ascii="宋体" w:hAnsi="宋体" w:cs="宋体"/>
          <w:color w:val="auto"/>
          <w:szCs w:val="21"/>
        </w:rPr>
        <w:t>。</w:t>
      </w:r>
    </w:p>
    <w:p>
      <w:pPr>
        <w:wordWrap w:val="0"/>
        <w:spacing w:line="360" w:lineRule="auto"/>
        <w:ind w:firstLine="420" w:firstLineChars="200"/>
        <w:rPr>
          <w:rFonts w:hint="eastAsia" w:ascii="宋体" w:hAnsi="宋体" w:eastAsia="宋体" w:cs="宋体"/>
          <w:b/>
          <w:bCs/>
          <w:color w:val="auto"/>
          <w:szCs w:val="21"/>
          <w:lang w:eastAsia="zh-CN"/>
        </w:rPr>
      </w:pPr>
      <w:r>
        <w:rPr>
          <w:rFonts w:hint="eastAsia" w:ascii="宋体" w:hAnsi="宋体" w:cs="宋体"/>
          <w:color w:val="auto"/>
          <w:szCs w:val="21"/>
        </w:rPr>
        <w:t>2.</w:t>
      </w:r>
      <w:r>
        <w:rPr>
          <w:rFonts w:hint="eastAsia" w:ascii="宋体" w:hAnsi="宋体" w:cs="宋体"/>
          <w:b/>
          <w:bCs/>
          <w:color w:val="auto"/>
          <w:szCs w:val="21"/>
          <w:lang w:val="en-US" w:eastAsia="zh-CN"/>
        </w:rPr>
        <w:t>响应文件</w:t>
      </w:r>
      <w:r>
        <w:rPr>
          <w:rFonts w:hint="eastAsia" w:ascii="宋体" w:hAnsi="宋体" w:cs="宋体"/>
          <w:color w:val="auto"/>
          <w:szCs w:val="21"/>
        </w:rPr>
        <w:t>。</w:t>
      </w:r>
    </w:p>
    <w:p>
      <w:pPr>
        <w:pStyle w:val="64"/>
        <w:wordWrap w:val="0"/>
        <w:spacing w:before="0" w:beforeAutospacing="0" w:after="0" w:afterAutospacing="0" w:line="360" w:lineRule="auto"/>
        <w:ind w:firstLine="422" w:firstLineChars="200"/>
        <w:jc w:val="both"/>
        <w:outlineLvl w:val="2"/>
        <w:rPr>
          <w:rFonts w:hint="eastAsia" w:eastAsia="宋体"/>
          <w:b/>
          <w:color w:val="auto"/>
          <w:sz w:val="21"/>
          <w:szCs w:val="21"/>
          <w:lang w:eastAsia="zh-CN"/>
        </w:rPr>
      </w:pPr>
      <w:r>
        <w:rPr>
          <w:rFonts w:hint="eastAsia"/>
          <w:b/>
          <w:color w:val="auto"/>
          <w:sz w:val="21"/>
          <w:szCs w:val="21"/>
        </w:rPr>
        <w:t>(六)确定成交</w:t>
      </w:r>
      <w:r>
        <w:rPr>
          <w:rFonts w:hint="eastAsia"/>
          <w:b/>
          <w:color w:val="auto"/>
          <w:sz w:val="21"/>
          <w:szCs w:val="21"/>
          <w:lang w:eastAsia="zh-CN"/>
        </w:rPr>
        <w:t>候选供应商</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本项目以最低价中标的方式确定</w:t>
      </w:r>
      <w:r>
        <w:rPr>
          <w:rFonts w:hint="eastAsia" w:ascii="宋体" w:hAnsi="宋体" w:cs="宋体"/>
          <w:color w:val="auto"/>
          <w:szCs w:val="21"/>
          <w:lang w:eastAsia="zh-CN"/>
        </w:rPr>
        <w:t>成交供应商</w:t>
      </w:r>
      <w:r>
        <w:rPr>
          <w:rFonts w:hint="eastAsia" w:ascii="宋体" w:hAnsi="宋体" w:cs="宋体"/>
          <w:color w:val="auto"/>
          <w:szCs w:val="21"/>
        </w:rPr>
        <w:t>。报价时间截止后，系统按报价（经价格核准后的价格）由低到高顺序排列，报价最低的为第一成交</w:t>
      </w:r>
      <w:r>
        <w:rPr>
          <w:rFonts w:hint="eastAsia" w:ascii="宋体" w:hAnsi="宋体" w:cs="宋体"/>
          <w:color w:val="auto"/>
          <w:szCs w:val="21"/>
          <w:lang w:eastAsia="zh-CN"/>
        </w:rPr>
        <w:t>候选供应商</w:t>
      </w:r>
      <w:r>
        <w:rPr>
          <w:rFonts w:hint="eastAsia" w:ascii="宋体" w:hAnsi="宋体" w:cs="宋体"/>
          <w:color w:val="auto"/>
          <w:szCs w:val="21"/>
        </w:rPr>
        <w:t>，报价相同的，按报价时间在前的为第一成交</w:t>
      </w:r>
      <w:r>
        <w:rPr>
          <w:rFonts w:hint="eastAsia" w:ascii="宋体" w:hAnsi="宋体" w:cs="宋体"/>
          <w:color w:val="auto"/>
          <w:szCs w:val="21"/>
          <w:lang w:eastAsia="zh-CN"/>
        </w:rPr>
        <w:t>候选供应商</w:t>
      </w:r>
      <w:r>
        <w:rPr>
          <w:rFonts w:hint="eastAsia" w:ascii="宋体" w:hAnsi="宋体" w:cs="宋体"/>
          <w:color w:val="auto"/>
          <w:szCs w:val="21"/>
        </w:rPr>
        <w:t>；报价次低的为第二成交</w:t>
      </w:r>
      <w:r>
        <w:rPr>
          <w:rFonts w:hint="eastAsia" w:ascii="宋体" w:hAnsi="宋体" w:cs="宋体"/>
          <w:color w:val="auto"/>
          <w:szCs w:val="21"/>
          <w:lang w:eastAsia="zh-CN"/>
        </w:rPr>
        <w:t>候选供应商</w:t>
      </w:r>
      <w:r>
        <w:rPr>
          <w:rFonts w:hint="eastAsia" w:ascii="宋体" w:hAnsi="宋体" w:cs="宋体"/>
          <w:color w:val="auto"/>
          <w:szCs w:val="21"/>
        </w:rPr>
        <w:t>，以此类推。</w:t>
      </w:r>
    </w:p>
    <w:p>
      <w:pPr>
        <w:pStyle w:val="64"/>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(七)无效报价</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1.参与竞价的供应商报价超过最高限价或低于最低限价或超过项目对应产品单项最高限价的视为无效报价。</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供应商须提供本项目要求的</w:t>
      </w:r>
      <w:r>
        <w:rPr>
          <w:rFonts w:hint="eastAsia"/>
          <w:bCs/>
          <w:color w:val="auto"/>
          <w:sz w:val="21"/>
          <w:szCs w:val="21"/>
          <w:lang w:val="en-US" w:eastAsia="zh-CN"/>
        </w:rPr>
        <w:t>响应</w:t>
      </w:r>
      <w:r>
        <w:rPr>
          <w:rFonts w:hint="eastAsia"/>
          <w:bCs/>
          <w:color w:val="auto"/>
          <w:sz w:val="21"/>
          <w:szCs w:val="21"/>
        </w:rPr>
        <w:t>文件，如果不按公告规定或竞价文件要求等相关规定提供符合要求的</w:t>
      </w:r>
      <w:r>
        <w:rPr>
          <w:rFonts w:hint="eastAsia"/>
          <w:bCs/>
          <w:color w:val="auto"/>
          <w:sz w:val="21"/>
          <w:szCs w:val="21"/>
          <w:lang w:val="en-US" w:eastAsia="zh-CN"/>
        </w:rPr>
        <w:t>响应</w:t>
      </w:r>
      <w:r>
        <w:rPr>
          <w:rFonts w:hint="eastAsia"/>
          <w:bCs/>
          <w:color w:val="auto"/>
          <w:sz w:val="21"/>
          <w:szCs w:val="21"/>
        </w:rPr>
        <w:t>文件，将被视为无效报价。</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bCs/>
          <w:color w:val="auto"/>
          <w:sz w:val="21"/>
          <w:szCs w:val="21"/>
        </w:rPr>
        <w:t>供应商须对本项目采购内容进行整体报价，任何只对其中一部分内容进行的报价都被视为无效报价。</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4.报价表以及有报价供应商落款的报价文件必须加盖报价供应商公章，否则视为无效报价。</w:t>
      </w:r>
    </w:p>
    <w:p>
      <w:pPr>
        <w:pStyle w:val="21"/>
        <w:shd w:val="clear" w:color="auto" w:fill="FFFFFF"/>
        <w:wordWrap w:val="0"/>
        <w:spacing w:before="0" w:beforeAutospacing="0" w:after="0" w:afterAutospacing="0" w:line="360" w:lineRule="auto"/>
        <w:ind w:firstLine="422" w:firstLineChars="200"/>
        <w:jc w:val="both"/>
        <w:rPr>
          <w:color w:val="auto"/>
          <w:sz w:val="21"/>
          <w:szCs w:val="21"/>
        </w:rPr>
      </w:pPr>
      <w:r>
        <w:rPr>
          <w:rFonts w:hint="eastAsia"/>
          <w:b/>
          <w:bCs/>
          <w:color w:val="auto"/>
          <w:sz w:val="21"/>
          <w:szCs w:val="21"/>
        </w:rPr>
        <w:t>5.按有关法律、法规、规章属于报价无效的。</w:t>
      </w:r>
    </w:p>
    <w:p>
      <w:pPr>
        <w:pStyle w:val="21"/>
        <w:shd w:val="clear" w:color="auto" w:fill="FFFFFF"/>
        <w:wordWrap w:val="0"/>
        <w:spacing w:before="0" w:beforeAutospacing="0" w:after="0" w:afterAutospacing="0" w:line="360" w:lineRule="auto"/>
        <w:ind w:firstLine="420" w:firstLineChars="200"/>
        <w:jc w:val="both"/>
        <w:rPr>
          <w:bCs/>
          <w:color w:val="auto"/>
          <w:sz w:val="21"/>
          <w:szCs w:val="21"/>
        </w:rPr>
      </w:pPr>
      <w:r>
        <w:rPr>
          <w:rFonts w:hint="eastAsia"/>
          <w:bCs/>
          <w:color w:val="auto"/>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21"/>
        <w:shd w:val="clear" w:color="auto" w:fill="FFFFFF"/>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b/>
          <w:color w:val="auto"/>
          <w:sz w:val="21"/>
          <w:szCs w:val="21"/>
        </w:rPr>
        <w:t>有下列情形之一的，视为串通竞价，其报价无效：</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(1)存在单位负责人为同一人或存在直接控股、管理关系的不同单位参与同一竞价项目；</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(2)不同供应商的响应文件由同一单位或者个人编制；</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(3)不同供应商委托同一单位或者个人办理竞价事宜；</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(4)不同供应商使用同一IP地址参与竞价；</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(5)不同供应商的响应文件载明的项目管理成员或者联系人员为同一人；</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(6)不同供应商的响应文件异常一致或者报价呈规律性差异；</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(7)不同供应商的响应文件相互混淆；</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(8)不同供应商的平台使用费从同一单位或者个人的账户转出；</w:t>
      </w:r>
    </w:p>
    <w:p>
      <w:pPr>
        <w:pStyle w:val="64"/>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(八)竞价活动失败</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1.出现下列情况的，本次竞价活动失败：</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(1)报名供应商不足3家；</w:t>
      </w:r>
    </w:p>
    <w:p>
      <w:pPr>
        <w:pStyle w:val="64"/>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(2)报价供应商不足3家；</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2.出现影响采购公正的违法、违规行为的；</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3.因重大变故，采购任务取消的；</w:t>
      </w:r>
    </w:p>
    <w:p>
      <w:pPr>
        <w:pStyle w:val="64"/>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(九)服务费</w:t>
      </w:r>
    </w:p>
    <w:p>
      <w:pPr>
        <w:widowControl/>
        <w:tabs>
          <w:tab w:val="left" w:pos="1200"/>
        </w:tabs>
        <w:spacing w:line="360" w:lineRule="auto"/>
        <w:ind w:firstLine="420" w:firstLineChars="200"/>
        <w:jc w:val="left"/>
        <w:rPr>
          <w:rFonts w:hint="eastAsia" w:ascii="宋体" w:hAnsi="宋体" w:eastAsia="宋体" w:cs="宋体"/>
          <w:color w:val="auto"/>
          <w:kern w:val="0"/>
          <w:szCs w:val="21"/>
          <w:lang w:eastAsia="zh-CN"/>
        </w:rPr>
      </w:pPr>
      <w:bookmarkStart w:id="73" w:name="_Hlk103260340"/>
      <w:r>
        <w:rPr>
          <w:rFonts w:hint="eastAsia" w:ascii="宋体" w:hAnsi="宋体" w:cs="宋体"/>
          <w:color w:val="auto"/>
          <w:kern w:val="0"/>
          <w:szCs w:val="21"/>
        </w:rPr>
        <w:t>1.</w:t>
      </w:r>
      <w:r>
        <w:rPr>
          <w:rFonts w:hint="eastAsia" w:ascii="宋体" w:hAnsi="宋体" w:cs="宋体"/>
          <w:color w:val="auto"/>
          <w:kern w:val="0"/>
          <w:szCs w:val="21"/>
          <w:lang w:eastAsia="zh-CN"/>
        </w:rPr>
        <w:t>成交供应商</w:t>
      </w:r>
      <w:r>
        <w:rPr>
          <w:rFonts w:hint="eastAsia" w:ascii="宋体" w:hAnsi="宋体" w:cs="宋体"/>
          <w:color w:val="auto"/>
          <w:kern w:val="0"/>
          <w:szCs w:val="21"/>
        </w:rPr>
        <w:t>须向广州市国科招标代理有限公司缴纳</w:t>
      </w:r>
      <w:r>
        <w:rPr>
          <w:rFonts w:hint="eastAsia" w:ascii="宋体" w:hAnsi="宋体" w:cs="宋体"/>
          <w:color w:val="auto"/>
          <w:kern w:val="0"/>
          <w:szCs w:val="21"/>
          <w:lang w:val="en-US" w:eastAsia="zh-CN"/>
        </w:rPr>
        <w:t>采购</w:t>
      </w:r>
      <w:r>
        <w:rPr>
          <w:rFonts w:hint="eastAsia" w:ascii="宋体" w:hAnsi="宋体" w:cs="宋体"/>
          <w:color w:val="auto"/>
          <w:kern w:val="0"/>
          <w:szCs w:val="21"/>
        </w:rPr>
        <w:t>代理服务费，</w:t>
      </w:r>
      <w:r>
        <w:rPr>
          <w:rFonts w:hint="eastAsia" w:ascii="宋体" w:hAnsi="宋体" w:cs="宋体"/>
          <w:color w:val="auto"/>
          <w:kern w:val="0"/>
          <w:szCs w:val="21"/>
          <w:lang w:val="en-US" w:eastAsia="zh-CN"/>
        </w:rPr>
        <w:t>采购</w:t>
      </w:r>
      <w:r>
        <w:rPr>
          <w:rFonts w:hint="eastAsia" w:ascii="宋体" w:hAnsi="宋体" w:cs="宋体"/>
          <w:color w:val="auto"/>
          <w:kern w:val="0"/>
          <w:szCs w:val="21"/>
        </w:rPr>
        <w:t>代理服务费按照成交金额的1.5%收取(服务费不足500元的，按500元收取</w:t>
      </w:r>
      <w:r>
        <w:rPr>
          <w:rFonts w:hint="eastAsia" w:ascii="宋体" w:hAnsi="宋体" w:cs="宋体"/>
          <w:color w:val="auto"/>
          <w:kern w:val="0"/>
          <w:szCs w:val="21"/>
          <w:lang w:eastAsia="zh-CN"/>
        </w:rPr>
        <w:t>，</w:t>
      </w:r>
      <w:r>
        <w:rPr>
          <w:rFonts w:hint="eastAsia" w:ascii="宋体" w:hAnsi="宋体" w:cs="宋体"/>
          <w:color w:val="FF0000"/>
          <w:kern w:val="0"/>
          <w:szCs w:val="21"/>
          <w:lang w:val="en-US" w:eastAsia="zh-CN"/>
        </w:rPr>
        <w:t>其中包含竞价平台费用300元，成交供应商在竞价平台上无需缴纳费用</w:t>
      </w:r>
      <w:r>
        <w:rPr>
          <w:rFonts w:hint="eastAsia" w:ascii="宋体" w:hAnsi="宋体" w:cs="宋体"/>
          <w:color w:val="auto"/>
          <w:kern w:val="0"/>
          <w:szCs w:val="21"/>
        </w:rPr>
        <w:t>)。</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成交供应商</w:t>
      </w:r>
      <w:r>
        <w:rPr>
          <w:rFonts w:hint="eastAsia" w:ascii="宋体" w:hAnsi="宋体" w:cs="宋体"/>
          <w:color w:val="auto"/>
          <w:kern w:val="0"/>
          <w:szCs w:val="21"/>
        </w:rPr>
        <w:t>无正当理由放弃成交资格的必须按竞价公告等相关规定缴纳相应的招标代理服务费。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4.缴纳代理服务费专用账号：</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账户：广州市国科招标代理有限公司</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账号：712057741941</w:t>
      </w:r>
    </w:p>
    <w:p>
      <w:pPr>
        <w:widowControl/>
        <w:tabs>
          <w:tab w:val="left" w:pos="120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开户银行：中国银行广州先烈中路支行</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br w:type="page"/>
      </w:r>
    </w:p>
    <w:bookmarkEnd w:id="73"/>
    <w:p>
      <w:pPr>
        <w:keepNext/>
        <w:keepLines/>
        <w:spacing w:line="360" w:lineRule="auto"/>
        <w:jc w:val="center"/>
        <w:rPr>
          <w:rFonts w:hint="eastAsia" w:eastAsia="宋体"/>
          <w:color w:val="auto"/>
          <w:szCs w:val="21"/>
          <w:lang w:eastAsia="zh-CN"/>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pStyle w:val="3"/>
        <w:spacing w:before="0" w:after="0" w:line="360" w:lineRule="auto"/>
        <w:jc w:val="center"/>
        <w:rPr>
          <w:rFonts w:ascii="宋体" w:hAnsi="宋体"/>
          <w:color w:val="auto"/>
          <w:kern w:val="0"/>
        </w:rPr>
      </w:pPr>
      <w:bookmarkStart w:id="74" w:name="_Toc386099825"/>
      <w:bookmarkStart w:id="75" w:name="_Toc414745347"/>
      <w:bookmarkStart w:id="76" w:name="_Toc20538"/>
      <w:bookmarkStart w:id="77" w:name="_Toc384824326"/>
      <w:r>
        <w:rPr>
          <w:rFonts w:hint="eastAsia" w:ascii="宋体" w:hAnsi="宋体"/>
          <w:color w:val="auto"/>
          <w:kern w:val="0"/>
        </w:rPr>
        <w:t>第四章</w:t>
      </w:r>
      <w:r>
        <w:rPr>
          <w:rFonts w:hint="eastAsia" w:ascii="宋体" w:hAnsi="宋体"/>
          <w:color w:val="auto"/>
          <w:kern w:val="0"/>
          <w:lang w:val="en-US" w:eastAsia="zh-CN"/>
        </w:rPr>
        <w:t xml:space="preserve"> </w:t>
      </w:r>
      <w:r>
        <w:rPr>
          <w:rFonts w:hint="eastAsia" w:ascii="宋体" w:hAnsi="宋体"/>
          <w:color w:val="auto"/>
          <w:kern w:val="0"/>
        </w:rPr>
        <w:t>合同条款</w:t>
      </w:r>
      <w:bookmarkEnd w:id="74"/>
      <w:bookmarkEnd w:id="75"/>
      <w:bookmarkEnd w:id="76"/>
      <w:bookmarkEnd w:id="77"/>
    </w:p>
    <w:p>
      <w:pPr>
        <w:spacing w:line="360" w:lineRule="auto"/>
        <w:ind w:firstLine="301" w:firstLineChars="100"/>
        <w:rPr>
          <w:rFonts w:ascii="宋体" w:hAnsi="宋体"/>
          <w:color w:val="auto"/>
          <w:szCs w:val="28"/>
        </w:rPr>
      </w:pPr>
      <w:r>
        <w:rPr>
          <w:rFonts w:hint="eastAsia" w:ascii="宋体" w:hAnsi="宋体" w:cs="宋体"/>
          <w:b/>
          <w:bCs/>
          <w:color w:val="auto"/>
          <w:sz w:val="30"/>
        </w:rPr>
        <w:t>（合同格式为合同的参考文本，合同签订双方可根据项目的具体要求进行修订）</w:t>
      </w:r>
    </w:p>
    <w:p>
      <w:pPr>
        <w:widowControl/>
        <w:tabs>
          <w:tab w:val="left" w:pos="1200"/>
        </w:tabs>
        <w:spacing w:line="360" w:lineRule="auto"/>
        <w:ind w:firstLine="420" w:firstLineChars="200"/>
        <w:jc w:val="left"/>
        <w:rPr>
          <w:rFonts w:hint="eastAsia" w:eastAsia="宋体"/>
          <w:color w:val="auto"/>
          <w:szCs w:val="21"/>
          <w:lang w:eastAsia="zh-CN"/>
        </w:rPr>
      </w:pPr>
    </w:p>
    <w:p>
      <w:pPr>
        <w:rPr>
          <w:color w:val="auto"/>
          <w:szCs w:val="21"/>
        </w:rPr>
      </w:pPr>
      <w:r>
        <w:rPr>
          <w:rFonts w:hint="eastAsia"/>
          <w:color w:val="auto"/>
          <w:szCs w:val="21"/>
        </w:rPr>
        <w:br w:type="page"/>
      </w:r>
    </w:p>
    <w:p>
      <w:pPr>
        <w:jc w:val="center"/>
        <w:textAlignment w:val="top"/>
        <w:rPr>
          <w:rFonts w:hint="eastAsia" w:ascii="宋体" w:hAnsi="宋体" w:cs="宋体"/>
          <w:color w:val="000000"/>
          <w:sz w:val="44"/>
          <w:szCs w:val="44"/>
          <w:lang w:eastAsia="zh-CN" w:bidi="ar"/>
        </w:rPr>
      </w:pPr>
      <w:r>
        <w:rPr>
          <w:rFonts w:hint="eastAsia" w:ascii="宋体" w:hAnsi="宋体" w:cs="宋体"/>
          <w:color w:val="000000"/>
          <w:sz w:val="44"/>
          <w:szCs w:val="44"/>
          <w:lang w:bidi="ar"/>
        </w:rPr>
        <w:t>广东省女子监狱罪犯伙房、垃圾场和三监区五楼视频监控系统完善项目</w:t>
      </w:r>
      <w:r>
        <w:rPr>
          <w:rFonts w:hint="eastAsia" w:ascii="宋体" w:hAnsi="宋体" w:cs="宋体"/>
          <w:color w:val="000000"/>
          <w:sz w:val="44"/>
          <w:szCs w:val="44"/>
          <w:lang w:eastAsia="zh-CN" w:bidi="ar"/>
        </w:rPr>
        <w:t>（或</w:t>
      </w:r>
      <w:r>
        <w:rPr>
          <w:rFonts w:hint="eastAsia" w:ascii="宋体" w:hAnsi="宋体" w:cs="宋体"/>
          <w:color w:val="000000"/>
          <w:sz w:val="44"/>
          <w:szCs w:val="44"/>
          <w:lang w:bidi="ar"/>
        </w:rPr>
        <w:t>广东省广裕集团嘉顺实业有限责任公司厂房锅炉房视频监控系统项</w:t>
      </w:r>
      <w:r>
        <w:rPr>
          <w:rFonts w:hint="eastAsia" w:ascii="宋体" w:hAnsi="宋体" w:cs="宋体"/>
          <w:color w:val="000000"/>
          <w:sz w:val="44"/>
          <w:szCs w:val="44"/>
          <w:lang w:eastAsia="zh-CN" w:bidi="ar"/>
        </w:rPr>
        <w:t>目）</w:t>
      </w:r>
    </w:p>
    <w:p>
      <w:pPr>
        <w:adjustRightInd w:val="0"/>
        <w:snapToGrid w:val="0"/>
        <w:spacing w:line="360" w:lineRule="auto"/>
        <w:jc w:val="center"/>
        <w:rPr>
          <w:rFonts w:hint="eastAsia" w:ascii="宋体" w:hAnsi="宋体" w:cs="宋体"/>
          <w:b/>
          <w:spacing w:val="20"/>
          <w:sz w:val="44"/>
          <w:szCs w:val="44"/>
        </w:rPr>
      </w:pPr>
    </w:p>
    <w:p>
      <w:pPr>
        <w:adjustRightInd w:val="0"/>
        <w:snapToGrid w:val="0"/>
        <w:spacing w:line="360" w:lineRule="auto"/>
        <w:jc w:val="center"/>
        <w:rPr>
          <w:rFonts w:ascii="Courier New" w:hAnsi="Courier New" w:eastAsia="方正魏碑简体"/>
          <w:b/>
          <w:spacing w:val="20"/>
          <w:sz w:val="56"/>
        </w:rPr>
      </w:pPr>
    </w:p>
    <w:p>
      <w:pPr>
        <w:adjustRightInd w:val="0"/>
        <w:snapToGrid w:val="0"/>
        <w:spacing w:line="360" w:lineRule="auto"/>
        <w:jc w:val="center"/>
        <w:rPr>
          <w:rFonts w:hint="eastAsia" w:ascii="宋体" w:hAnsi="宋体" w:cs="宋体"/>
          <w:spacing w:val="200"/>
          <w:sz w:val="44"/>
          <w:szCs w:val="44"/>
        </w:rPr>
      </w:pPr>
    </w:p>
    <w:p>
      <w:pPr>
        <w:adjustRightInd w:val="0"/>
        <w:snapToGrid w:val="0"/>
        <w:spacing w:line="360" w:lineRule="auto"/>
        <w:jc w:val="center"/>
        <w:rPr>
          <w:rFonts w:hint="eastAsia" w:ascii="宋体" w:hAnsi="宋体" w:cs="宋体"/>
          <w:spacing w:val="200"/>
          <w:sz w:val="44"/>
          <w:szCs w:val="44"/>
        </w:rPr>
      </w:pPr>
    </w:p>
    <w:p>
      <w:pPr>
        <w:adjustRightInd w:val="0"/>
        <w:snapToGrid w:val="0"/>
        <w:spacing w:line="360" w:lineRule="auto"/>
        <w:jc w:val="center"/>
        <w:rPr>
          <w:rFonts w:hint="eastAsia" w:ascii="宋体" w:hAnsi="宋体" w:cs="宋体"/>
          <w:spacing w:val="200"/>
          <w:sz w:val="44"/>
          <w:szCs w:val="44"/>
        </w:rPr>
      </w:pPr>
    </w:p>
    <w:p>
      <w:pPr>
        <w:adjustRightInd w:val="0"/>
        <w:snapToGrid w:val="0"/>
        <w:spacing w:line="360" w:lineRule="auto"/>
        <w:jc w:val="center"/>
        <w:rPr>
          <w:rFonts w:hint="eastAsia" w:ascii="宋体" w:hAnsi="宋体" w:cs="宋体"/>
          <w:spacing w:val="200"/>
          <w:sz w:val="44"/>
          <w:szCs w:val="44"/>
        </w:rPr>
      </w:pPr>
    </w:p>
    <w:p>
      <w:pPr>
        <w:adjustRightInd w:val="0"/>
        <w:snapToGrid w:val="0"/>
        <w:spacing w:line="360" w:lineRule="auto"/>
        <w:jc w:val="center"/>
        <w:rPr>
          <w:rFonts w:hint="eastAsia" w:ascii="宋体" w:hAnsi="宋体" w:cs="宋体"/>
          <w:spacing w:val="200"/>
          <w:sz w:val="44"/>
          <w:szCs w:val="44"/>
        </w:rPr>
      </w:pPr>
    </w:p>
    <w:p>
      <w:pPr>
        <w:adjustRightInd w:val="0"/>
        <w:snapToGrid w:val="0"/>
        <w:spacing w:line="360" w:lineRule="auto"/>
        <w:jc w:val="center"/>
        <w:rPr>
          <w:rFonts w:hint="eastAsia" w:ascii="宋体" w:hAnsi="宋体" w:cs="宋体"/>
          <w:spacing w:val="200"/>
          <w:sz w:val="44"/>
          <w:szCs w:val="44"/>
        </w:rPr>
      </w:pPr>
    </w:p>
    <w:p>
      <w:pPr>
        <w:adjustRightInd w:val="0"/>
        <w:snapToGrid w:val="0"/>
        <w:spacing w:line="360" w:lineRule="auto"/>
        <w:jc w:val="center"/>
        <w:rPr>
          <w:rFonts w:hint="eastAsia" w:ascii="宋体" w:hAnsi="宋体" w:cs="宋体"/>
          <w:spacing w:val="200"/>
          <w:sz w:val="44"/>
          <w:szCs w:val="44"/>
        </w:rPr>
      </w:pPr>
      <w:r>
        <w:rPr>
          <w:rFonts w:hint="eastAsia" w:ascii="宋体" w:hAnsi="宋体" w:cs="宋体"/>
          <w:spacing w:val="200"/>
          <w:sz w:val="44"/>
          <w:szCs w:val="44"/>
        </w:rPr>
        <w:t>合同书</w:t>
      </w:r>
    </w:p>
    <w:p>
      <w:pPr>
        <w:adjustRightInd w:val="0"/>
        <w:snapToGrid w:val="0"/>
        <w:spacing w:line="360" w:lineRule="auto"/>
        <w:jc w:val="center"/>
        <w:rPr>
          <w:rFonts w:ascii="宋体"/>
          <w:b/>
          <w:sz w:val="32"/>
        </w:rPr>
      </w:pPr>
    </w:p>
    <w:p>
      <w:pPr>
        <w:adjustRightInd w:val="0"/>
        <w:snapToGrid w:val="0"/>
        <w:spacing w:line="360" w:lineRule="auto"/>
        <w:jc w:val="center"/>
        <w:rPr>
          <w:rFonts w:ascii="宋体"/>
          <w:bCs/>
          <w:sz w:val="32"/>
        </w:rPr>
      </w:pPr>
      <w:r>
        <w:rPr>
          <w:rFonts w:hint="eastAsia" w:ascii="宋体"/>
          <w:bCs/>
          <w:sz w:val="32"/>
        </w:rPr>
        <w:t>签订日期：  年  月  日</w:t>
      </w:r>
    </w:p>
    <w:p>
      <w:pPr>
        <w:adjustRightInd w:val="0"/>
        <w:snapToGrid w:val="0"/>
        <w:spacing w:line="360" w:lineRule="auto"/>
        <w:jc w:val="center"/>
        <w:rPr>
          <w:rFonts w:ascii="宋体"/>
          <w:b/>
          <w:sz w:val="32"/>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eastAsiaTheme="minorEastAsia"/>
          <w:szCs w:val="21"/>
          <w:lang w:eastAsia="zh-CN"/>
        </w:rPr>
      </w:pPr>
      <w:r>
        <w:rPr>
          <w:rFonts w:hint="eastAsia" w:ascii="宋体" w:hAnsi="宋体"/>
          <w:szCs w:val="21"/>
        </w:rPr>
        <w:t>甲方：</w:t>
      </w:r>
      <w:r>
        <w:rPr>
          <w:rFonts w:hint="eastAsia" w:ascii="宋体" w:hAnsi="宋体"/>
          <w:szCs w:val="21"/>
          <w:u w:val="single"/>
        </w:rPr>
        <w:t>广东省女子监狱</w:t>
      </w:r>
      <w:r>
        <w:rPr>
          <w:rFonts w:hint="eastAsia" w:ascii="宋体" w:hAnsi="宋体"/>
          <w:szCs w:val="21"/>
          <w:u w:val="single"/>
          <w:lang w:eastAsia="zh-CN"/>
        </w:rPr>
        <w:t>（或</w:t>
      </w:r>
      <w:r>
        <w:rPr>
          <w:rFonts w:hint="eastAsia" w:asciiTheme="minorEastAsia" w:hAnsiTheme="minorEastAsia" w:eastAsiaTheme="minorEastAsia" w:cstheme="minorEastAsia"/>
          <w:b/>
          <w:bCs/>
          <w:kern w:val="0"/>
          <w:sz w:val="21"/>
          <w:szCs w:val="21"/>
        </w:rPr>
        <w:t>广东省广裕集团嘉顺实业有限责任公司</w:t>
      </w:r>
      <w:r>
        <w:rPr>
          <w:rFonts w:hint="eastAsia" w:asciiTheme="minorEastAsia" w:hAnsiTheme="minorEastAsia" w:eastAsiaTheme="minorEastAsia" w:cstheme="minorEastAsia"/>
          <w:b/>
          <w:bCs/>
          <w:kern w:val="0"/>
          <w:sz w:val="21"/>
          <w:szCs w:val="21"/>
          <w:lang w:eastAsia="zh-CN"/>
        </w:rPr>
        <w:t>）</w:t>
      </w:r>
    </w:p>
    <w:p>
      <w:pPr>
        <w:spacing w:line="360" w:lineRule="auto"/>
        <w:rPr>
          <w:rFonts w:ascii="宋体"/>
          <w:szCs w:val="21"/>
        </w:rPr>
      </w:pPr>
      <w:r>
        <w:rPr>
          <w:rFonts w:hint="eastAsia" w:ascii="宋体" w:hAnsi="宋体"/>
          <w:szCs w:val="21"/>
        </w:rPr>
        <w:t>乙方：</w:t>
      </w:r>
      <w:r>
        <w:rPr>
          <w:rFonts w:hint="eastAsia" w:ascii="宋体" w:hAnsi="宋体"/>
          <w:szCs w:val="21"/>
          <w:u w:val="single"/>
        </w:rPr>
        <w:t xml:space="preserve">   </w:t>
      </w:r>
    </w:p>
    <w:p>
      <w:pPr>
        <w:spacing w:line="360" w:lineRule="auto"/>
        <w:outlineLvl w:val="1"/>
        <w:rPr>
          <w:rFonts w:ascii="宋体"/>
          <w:b/>
          <w:szCs w:val="21"/>
        </w:rPr>
      </w:pPr>
      <w:r>
        <w:rPr>
          <w:rFonts w:ascii="宋体" w:hAnsi="宋体"/>
          <w:b/>
          <w:szCs w:val="21"/>
        </w:rPr>
        <w:t>1.</w:t>
      </w:r>
      <w:r>
        <w:rPr>
          <w:rFonts w:hint="eastAsia" w:ascii="宋体" w:hAnsi="宋体"/>
          <w:b/>
          <w:szCs w:val="21"/>
        </w:rPr>
        <w:t>定义</w:t>
      </w:r>
    </w:p>
    <w:p>
      <w:pPr>
        <w:spacing w:line="360" w:lineRule="auto"/>
        <w:ind w:firstLine="420" w:firstLineChars="200"/>
        <w:rPr>
          <w:rFonts w:ascii="宋体"/>
          <w:szCs w:val="21"/>
        </w:rPr>
      </w:pPr>
      <w:r>
        <w:rPr>
          <w:rFonts w:hint="eastAsia" w:ascii="宋体" w:hAnsi="宋体"/>
          <w:szCs w:val="21"/>
        </w:rPr>
        <w:t>本合同下列术语应解释为：</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）“合同”系指本合同，本合同的所有的附件、附录，招投标过程中的所有文件，甲乙双方根据本合同所达成的补充协议，以及其他构成合同的所有文件。</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）“项目”系指本合同项下的产品和服务。“项目现场”系指本合同项下工程安装、运行的现场</w:t>
      </w:r>
      <w:r>
        <w:rPr>
          <w:rFonts w:ascii="宋体"/>
          <w:szCs w:val="21"/>
        </w:rPr>
        <w:t>,</w:t>
      </w:r>
      <w:r>
        <w:rPr>
          <w:rFonts w:hint="eastAsia" w:ascii="宋体" w:hAnsi="宋体"/>
          <w:szCs w:val="21"/>
        </w:rPr>
        <w:t>施工地点为广州市白云区广从四路</w:t>
      </w:r>
      <w:r>
        <w:rPr>
          <w:rFonts w:ascii="宋体" w:hAnsi="宋体"/>
          <w:szCs w:val="21"/>
        </w:rPr>
        <w:t>52</w:t>
      </w:r>
      <w:r>
        <w:rPr>
          <w:rFonts w:hint="eastAsia" w:ascii="宋体" w:hAnsi="宋体"/>
          <w:szCs w:val="21"/>
        </w:rPr>
        <w:t>号。</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）“天、日”均指日历天数。</w:t>
      </w:r>
    </w:p>
    <w:p>
      <w:pPr>
        <w:spacing w:line="360" w:lineRule="auto"/>
        <w:outlineLvl w:val="1"/>
        <w:rPr>
          <w:rFonts w:ascii="宋体"/>
          <w:b/>
          <w:szCs w:val="21"/>
        </w:rPr>
      </w:pPr>
      <w:r>
        <w:rPr>
          <w:rFonts w:ascii="宋体" w:hAnsi="宋体"/>
          <w:b/>
          <w:szCs w:val="21"/>
        </w:rPr>
        <w:t>2.</w:t>
      </w:r>
      <w:r>
        <w:rPr>
          <w:rFonts w:hint="eastAsia" w:ascii="宋体" w:hAnsi="宋体"/>
          <w:b/>
          <w:szCs w:val="21"/>
        </w:rPr>
        <w:t>产品和服务</w:t>
      </w:r>
    </w:p>
    <w:p>
      <w:pPr>
        <w:spacing w:line="360" w:lineRule="auto"/>
        <w:ind w:left="420" w:hanging="420" w:hangingChars="200"/>
        <w:rPr>
          <w:rFonts w:ascii="宋体"/>
          <w:szCs w:val="21"/>
        </w:rPr>
      </w:pPr>
      <w:r>
        <w:rPr>
          <w:rFonts w:ascii="宋体" w:hAnsi="宋体"/>
          <w:szCs w:val="21"/>
        </w:rPr>
        <w:t xml:space="preserve">2.1 </w:t>
      </w:r>
      <w:r>
        <w:rPr>
          <w:rFonts w:hint="eastAsia" w:ascii="宋体" w:hAnsi="宋体"/>
          <w:szCs w:val="21"/>
        </w:rPr>
        <w:t xml:space="preserve">货物：货物的数量、质量、性能等，详见附件 </w:t>
      </w:r>
      <w:r>
        <w:rPr>
          <w:rFonts w:hint="eastAsia" w:ascii="宋体" w:hAnsi="宋体"/>
          <w:szCs w:val="21"/>
          <w:u w:val="single"/>
        </w:rPr>
        <w:t>设备清单</w:t>
      </w:r>
      <w:r>
        <w:rPr>
          <w:rFonts w:ascii="宋体" w:hAnsi="宋体"/>
          <w:szCs w:val="21"/>
          <w:u w:val="single"/>
        </w:rPr>
        <w:t xml:space="preserve"> </w:t>
      </w:r>
      <w:r>
        <w:rPr>
          <w:rFonts w:hint="eastAsia" w:ascii="宋体" w:hAnsi="宋体"/>
          <w:szCs w:val="21"/>
        </w:rPr>
        <w:t>。</w:t>
      </w:r>
    </w:p>
    <w:p>
      <w:pPr>
        <w:spacing w:line="360" w:lineRule="auto"/>
        <w:ind w:left="420" w:hanging="420" w:hangingChars="200"/>
        <w:rPr>
          <w:rFonts w:ascii="宋体"/>
          <w:szCs w:val="21"/>
        </w:rPr>
      </w:pPr>
      <w:r>
        <w:rPr>
          <w:rFonts w:ascii="宋体" w:hAnsi="宋体"/>
          <w:szCs w:val="21"/>
        </w:rPr>
        <w:t xml:space="preserve">2.2 </w:t>
      </w:r>
      <w:r>
        <w:rPr>
          <w:rFonts w:hint="eastAsia" w:ascii="宋体" w:hAnsi="宋体"/>
          <w:szCs w:val="21"/>
        </w:rPr>
        <w:t>服务：上列货物的安装、调试、拆卸、运输、保险、技术援助、培训以及其它的伴随服务。</w:t>
      </w:r>
    </w:p>
    <w:p>
      <w:pPr>
        <w:spacing w:line="360" w:lineRule="auto"/>
        <w:outlineLvl w:val="1"/>
        <w:rPr>
          <w:rFonts w:ascii="宋体"/>
          <w:b/>
          <w:szCs w:val="21"/>
        </w:rPr>
      </w:pPr>
      <w:r>
        <w:rPr>
          <w:rFonts w:ascii="宋体" w:hAnsi="宋体"/>
          <w:b/>
          <w:szCs w:val="21"/>
        </w:rPr>
        <w:t>3.</w:t>
      </w:r>
      <w:r>
        <w:rPr>
          <w:rFonts w:hint="eastAsia" w:ascii="宋体" w:hAnsi="宋体"/>
          <w:b/>
          <w:szCs w:val="21"/>
        </w:rPr>
        <w:t>保证</w:t>
      </w:r>
    </w:p>
    <w:p>
      <w:pPr>
        <w:spacing w:line="360" w:lineRule="auto"/>
        <w:ind w:left="420" w:hanging="420" w:hangingChars="200"/>
        <w:rPr>
          <w:rFonts w:ascii="宋体"/>
          <w:szCs w:val="21"/>
        </w:rPr>
      </w:pPr>
      <w:r>
        <w:rPr>
          <w:rFonts w:ascii="宋体" w:hAnsi="宋体"/>
          <w:szCs w:val="21"/>
        </w:rPr>
        <w:t xml:space="preserve">3.1 </w:t>
      </w:r>
      <w:r>
        <w:rPr>
          <w:rFonts w:hint="eastAsia" w:ascii="宋体" w:hAnsi="宋体"/>
          <w:szCs w:val="21"/>
        </w:rPr>
        <w:t>本合同项下所提供的货物及服务均应来自于中华人民共和国或是与中华人民共和国有正常贸易往来的国家和地区（以下简称“合格来源国”）。</w:t>
      </w:r>
    </w:p>
    <w:p>
      <w:pPr>
        <w:spacing w:line="360" w:lineRule="auto"/>
        <w:ind w:left="420" w:hanging="420" w:hangingChars="200"/>
        <w:rPr>
          <w:rFonts w:ascii="宋体"/>
          <w:szCs w:val="21"/>
        </w:rPr>
      </w:pPr>
      <w:r>
        <w:rPr>
          <w:rFonts w:ascii="宋体" w:hAnsi="宋体"/>
          <w:szCs w:val="21"/>
        </w:rPr>
        <w:t xml:space="preserve">3.2 </w:t>
      </w:r>
      <w:r>
        <w:rPr>
          <w:rFonts w:hint="eastAsia" w:ascii="宋体" w:hAnsi="宋体"/>
          <w:szCs w:val="21"/>
        </w:rPr>
        <w:t>“货物”是通过制造、加工或用重要的和主要元部件装配而成的，其基本特性、功能或效用应是商业上公认的与元部件有着实质性区别的产品。</w:t>
      </w:r>
    </w:p>
    <w:p>
      <w:pPr>
        <w:spacing w:line="360" w:lineRule="auto"/>
        <w:ind w:left="420" w:hanging="420" w:hangingChars="200"/>
        <w:rPr>
          <w:rFonts w:ascii="宋体"/>
          <w:szCs w:val="21"/>
        </w:rPr>
      </w:pPr>
      <w:r>
        <w:rPr>
          <w:rFonts w:ascii="宋体" w:hAnsi="宋体"/>
          <w:szCs w:val="21"/>
        </w:rPr>
        <w:t xml:space="preserve">3.3 </w:t>
      </w:r>
      <w:r>
        <w:rPr>
          <w:rFonts w:hint="eastAsia" w:ascii="宋体" w:hAnsi="宋体"/>
          <w:szCs w:val="21"/>
        </w:rPr>
        <w:t>“货物”及其所有的组成部分，必须是全新的、未使用过的，是用一流的工艺生产的，并完全符合合同规定的质量，规格和性能的要求。除非合同另有规定，货物应含有设计上和材料的全部最新改进。乙方进一步保证，合同项下提供的全部货物没有设计、材料或工艺上的缺陷（由于按甲方的要求设计或按甲方的规格提供的材料所产生的缺陷除外），或者没有因乙方的行为或疏忽而产生的缺陷，这些缺陷是所供货物在最终目的地国家现行条件下正常使用可能产生的，由于乙方的行为或疏忽而产生的缺陷而造成受保护设备损坏的乙方应进行赔偿。</w:t>
      </w:r>
    </w:p>
    <w:p>
      <w:pPr>
        <w:spacing w:line="360" w:lineRule="auto"/>
        <w:ind w:left="420" w:hanging="420" w:hangingChars="200"/>
        <w:rPr>
          <w:rFonts w:ascii="宋体"/>
          <w:szCs w:val="21"/>
        </w:rPr>
      </w:pPr>
      <w:r>
        <w:rPr>
          <w:rFonts w:ascii="宋体" w:hAnsi="宋体"/>
          <w:szCs w:val="21"/>
        </w:rPr>
        <w:t xml:space="preserve">3.4 </w:t>
      </w:r>
      <w:r>
        <w:rPr>
          <w:rFonts w:hint="eastAsia" w:ascii="宋体" w:hAnsi="宋体"/>
          <w:szCs w:val="21"/>
        </w:rPr>
        <w:t>乙方对其提供的“货物”及其所有的组成部分，应当属于乙方所有或者乙方有权处分，并且，不是法律、行政法规禁止或者限制转让的标的物。</w:t>
      </w:r>
    </w:p>
    <w:p>
      <w:pPr>
        <w:spacing w:line="360" w:lineRule="auto"/>
        <w:outlineLvl w:val="1"/>
        <w:rPr>
          <w:rFonts w:ascii="宋体"/>
          <w:b/>
          <w:szCs w:val="21"/>
        </w:rPr>
      </w:pPr>
      <w:r>
        <w:rPr>
          <w:rFonts w:ascii="宋体" w:hAnsi="宋体"/>
          <w:b/>
          <w:szCs w:val="21"/>
        </w:rPr>
        <w:t>4.</w:t>
      </w:r>
      <w:r>
        <w:rPr>
          <w:rFonts w:hint="eastAsia" w:ascii="宋体" w:hAnsi="宋体"/>
          <w:b/>
          <w:szCs w:val="21"/>
        </w:rPr>
        <w:t>知识产权</w:t>
      </w:r>
    </w:p>
    <w:p>
      <w:pPr>
        <w:spacing w:line="360" w:lineRule="auto"/>
        <w:ind w:left="420" w:hanging="420" w:hangingChars="200"/>
        <w:rPr>
          <w:rFonts w:ascii="宋体"/>
          <w:szCs w:val="21"/>
        </w:rPr>
      </w:pPr>
      <w:r>
        <w:rPr>
          <w:rFonts w:ascii="宋体" w:hAnsi="宋体"/>
          <w:szCs w:val="21"/>
        </w:rPr>
        <w:t xml:space="preserve">4.1 </w:t>
      </w:r>
      <w:r>
        <w:rPr>
          <w:rFonts w:hint="eastAsia" w:ascii="宋体" w:hAnsi="宋体"/>
          <w:szCs w:val="21"/>
        </w:rPr>
        <w:t>乙方保证，货物或货物的任何一部分，不会侵犯任何第三方的知识产权。</w:t>
      </w:r>
    </w:p>
    <w:p>
      <w:pPr>
        <w:spacing w:line="360" w:lineRule="auto"/>
        <w:ind w:left="420" w:hanging="420" w:hangingChars="200"/>
        <w:rPr>
          <w:rFonts w:ascii="宋体"/>
          <w:szCs w:val="21"/>
        </w:rPr>
      </w:pPr>
      <w:r>
        <w:rPr>
          <w:rFonts w:ascii="宋体" w:hAnsi="宋体"/>
          <w:szCs w:val="21"/>
        </w:rPr>
        <w:t xml:space="preserve">4.2 </w:t>
      </w:r>
      <w:r>
        <w:rPr>
          <w:rFonts w:hint="eastAsia" w:ascii="宋体" w:hAnsi="宋体"/>
          <w:szCs w:val="21"/>
        </w:rPr>
        <w:t>上述知识产权包括但不限于：专利权、商标权、工业设计权、著作权、技术秘密。</w:t>
      </w:r>
    </w:p>
    <w:p>
      <w:pPr>
        <w:spacing w:line="360" w:lineRule="auto"/>
        <w:ind w:left="420" w:hanging="420" w:hangingChars="200"/>
        <w:rPr>
          <w:rFonts w:ascii="宋体"/>
          <w:szCs w:val="21"/>
        </w:rPr>
      </w:pPr>
      <w:r>
        <w:rPr>
          <w:rFonts w:ascii="宋体" w:hAnsi="宋体"/>
          <w:szCs w:val="21"/>
        </w:rPr>
        <w:t xml:space="preserve">4.3 </w:t>
      </w:r>
      <w:r>
        <w:rPr>
          <w:rFonts w:hint="eastAsia" w:ascii="宋体" w:hAnsi="宋体"/>
          <w:szCs w:val="21"/>
        </w:rPr>
        <w:t>如果任何第三方对本合同标的的货物及其所有组成部分提出知识产权相关起诉，乙方应负责与之交涉并承担由此引起的一切法律责任及经济损失，包括但不限于甲方与第三方达成的和解协议，法院、仲裁机构作出的生效法律文书确定由甲方承担的责任和费用，及甲方自行处理所支出的合理费用（包括但不限于律师费、案件受理费、执行费、差旅费等）等，甲方有权在应付乙方的合同款项中直接扣减相应金额或另行向乙方进行追偿。</w:t>
      </w:r>
    </w:p>
    <w:p>
      <w:pPr>
        <w:spacing w:line="360" w:lineRule="auto"/>
        <w:outlineLvl w:val="1"/>
        <w:rPr>
          <w:rFonts w:ascii="宋体"/>
          <w:b/>
          <w:szCs w:val="21"/>
        </w:rPr>
      </w:pPr>
      <w:r>
        <w:rPr>
          <w:rFonts w:ascii="宋体" w:hAnsi="宋体"/>
          <w:b/>
          <w:szCs w:val="21"/>
        </w:rPr>
        <w:t>5.</w:t>
      </w:r>
      <w:r>
        <w:rPr>
          <w:rFonts w:hint="eastAsia" w:ascii="宋体" w:hAnsi="宋体"/>
          <w:b/>
          <w:szCs w:val="21"/>
        </w:rPr>
        <w:t>合同文件和资料的使用</w:t>
      </w:r>
    </w:p>
    <w:p>
      <w:pPr>
        <w:spacing w:line="360" w:lineRule="auto"/>
        <w:ind w:left="420" w:hanging="420" w:hangingChars="200"/>
        <w:rPr>
          <w:rFonts w:ascii="宋体"/>
          <w:szCs w:val="21"/>
        </w:rPr>
      </w:pPr>
      <w:r>
        <w:rPr>
          <w:rFonts w:ascii="宋体" w:hAnsi="宋体"/>
          <w:szCs w:val="21"/>
        </w:rPr>
        <w:t xml:space="preserve">5.1 </w:t>
      </w:r>
      <w:r>
        <w:rPr>
          <w:rFonts w:hint="eastAsia" w:ascii="宋体" w:hAnsi="宋体"/>
          <w:szCs w:val="21"/>
        </w:rPr>
        <w:t>未经甲方事先书面同意，乙方不得将由甲方或代表甲方提供的有关合同或合同任何条文、规定、计划、图纸、模型、样品或资料等提供给与履行本合同无关的其他任何单位和个人，否则乙方要承担相应的保密责任及由此产生的一切经济损失等。</w:t>
      </w:r>
    </w:p>
    <w:p>
      <w:pPr>
        <w:spacing w:line="360" w:lineRule="auto"/>
        <w:ind w:left="420" w:hanging="420" w:hangingChars="200"/>
        <w:rPr>
          <w:rFonts w:ascii="宋体"/>
          <w:szCs w:val="21"/>
        </w:rPr>
      </w:pPr>
      <w:r>
        <w:rPr>
          <w:rFonts w:ascii="宋体" w:hAnsi="宋体"/>
          <w:szCs w:val="21"/>
        </w:rPr>
        <w:t xml:space="preserve">5.2 </w:t>
      </w:r>
      <w:r>
        <w:rPr>
          <w:rFonts w:hint="eastAsia" w:ascii="宋体" w:hAnsi="宋体"/>
          <w:szCs w:val="21"/>
        </w:rPr>
        <w:t>没有甲方事先书面同意，除了履行本合同之外，乙方不应使用第</w:t>
      </w:r>
      <w:r>
        <w:rPr>
          <w:rFonts w:ascii="宋体" w:hAnsi="宋体"/>
          <w:szCs w:val="21"/>
        </w:rPr>
        <w:t xml:space="preserve"> 5.1</w:t>
      </w:r>
      <w:r>
        <w:rPr>
          <w:rFonts w:hint="eastAsia" w:ascii="宋体" w:hAnsi="宋体"/>
          <w:szCs w:val="21"/>
        </w:rPr>
        <w:t>条所列举的任何文件和资料，否则，由乙方承担一切责任。</w:t>
      </w:r>
    </w:p>
    <w:p>
      <w:pPr>
        <w:spacing w:line="360" w:lineRule="auto"/>
        <w:ind w:left="420" w:hanging="420" w:hangingChars="200"/>
        <w:rPr>
          <w:rFonts w:ascii="宋体"/>
          <w:szCs w:val="21"/>
        </w:rPr>
      </w:pPr>
      <w:r>
        <w:rPr>
          <w:rFonts w:ascii="宋体" w:hAnsi="宋体"/>
          <w:szCs w:val="21"/>
        </w:rPr>
        <w:t xml:space="preserve">5.3 </w:t>
      </w:r>
      <w:r>
        <w:rPr>
          <w:rFonts w:hint="eastAsia" w:ascii="宋体" w:hAnsi="宋体"/>
          <w:szCs w:val="21"/>
        </w:rPr>
        <w:t>除了本合同外，第</w:t>
      </w:r>
      <w:r>
        <w:rPr>
          <w:rFonts w:ascii="宋体" w:hAnsi="宋体"/>
          <w:szCs w:val="21"/>
        </w:rPr>
        <w:t xml:space="preserve"> 5.1 </w:t>
      </w:r>
      <w:r>
        <w:rPr>
          <w:rFonts w:hint="eastAsia" w:ascii="宋体" w:hAnsi="宋体"/>
          <w:szCs w:val="21"/>
        </w:rPr>
        <w:t>条所列举的任何文件资料归甲方所有，在合同履行完毕后，乙方必须将文件资料的原件及所有复制件归还给甲方。</w:t>
      </w:r>
    </w:p>
    <w:p>
      <w:pPr>
        <w:spacing w:line="360" w:lineRule="auto"/>
        <w:outlineLvl w:val="1"/>
        <w:rPr>
          <w:rFonts w:ascii="宋体"/>
          <w:b/>
          <w:szCs w:val="21"/>
        </w:rPr>
      </w:pPr>
      <w:r>
        <w:rPr>
          <w:rFonts w:ascii="宋体" w:hAnsi="宋体"/>
          <w:b/>
          <w:szCs w:val="21"/>
        </w:rPr>
        <w:t>6.</w:t>
      </w:r>
      <w:r>
        <w:rPr>
          <w:rFonts w:hint="eastAsia" w:ascii="宋体" w:hAnsi="宋体"/>
          <w:b/>
          <w:szCs w:val="21"/>
        </w:rPr>
        <w:t>标准和技术规格</w:t>
      </w:r>
    </w:p>
    <w:p>
      <w:pPr>
        <w:spacing w:line="360" w:lineRule="auto"/>
        <w:ind w:left="420" w:hanging="420" w:hangingChars="200"/>
        <w:rPr>
          <w:rFonts w:ascii="宋体"/>
          <w:szCs w:val="21"/>
        </w:rPr>
      </w:pPr>
      <w:r>
        <w:rPr>
          <w:rFonts w:ascii="宋体" w:hAnsi="宋体"/>
          <w:szCs w:val="21"/>
        </w:rPr>
        <w:t xml:space="preserve">6.1 </w:t>
      </w:r>
      <w:r>
        <w:rPr>
          <w:rFonts w:hint="eastAsia" w:ascii="宋体" w:hAnsi="宋体"/>
          <w:szCs w:val="21"/>
        </w:rPr>
        <w:t>本合同下交付的货物应符合技术规格所述的标准。如果没有提及适用标准，则应符合货物来源国适用的官方标准。这些标准必须是有关机构发布的最新版本的标准。该标准在交货时由乙方与货物同时提供。</w:t>
      </w:r>
    </w:p>
    <w:p>
      <w:pPr>
        <w:spacing w:line="360" w:lineRule="auto"/>
        <w:ind w:left="420" w:hanging="420" w:hangingChars="200"/>
        <w:rPr>
          <w:rFonts w:ascii="宋体"/>
          <w:szCs w:val="21"/>
        </w:rPr>
      </w:pPr>
      <w:r>
        <w:rPr>
          <w:rFonts w:ascii="宋体" w:hAnsi="宋体"/>
          <w:szCs w:val="21"/>
        </w:rPr>
        <w:t xml:space="preserve">6.2 </w:t>
      </w:r>
      <w:r>
        <w:rPr>
          <w:rFonts w:hint="eastAsia" w:ascii="宋体" w:hAnsi="宋体"/>
          <w:szCs w:val="21"/>
        </w:rPr>
        <w:t>除非技术规格中另有规定，计量单位均采用中华人民共和国法定计量单位。</w:t>
      </w:r>
    </w:p>
    <w:p>
      <w:pPr>
        <w:spacing w:line="360" w:lineRule="auto"/>
        <w:ind w:left="420" w:hanging="420" w:hangingChars="200"/>
        <w:rPr>
          <w:rFonts w:ascii="宋体"/>
          <w:szCs w:val="21"/>
        </w:rPr>
      </w:pPr>
      <w:r>
        <w:rPr>
          <w:rFonts w:ascii="宋体" w:hAnsi="宋体"/>
          <w:szCs w:val="21"/>
        </w:rPr>
        <w:t xml:space="preserve">6.3 </w:t>
      </w:r>
      <w:r>
        <w:rPr>
          <w:rFonts w:hint="eastAsia" w:ascii="宋体" w:hAnsi="宋体"/>
          <w:szCs w:val="21"/>
        </w:rPr>
        <w:t>具体技术规格详见《用户需求书》。</w:t>
      </w:r>
    </w:p>
    <w:p>
      <w:pPr>
        <w:spacing w:line="360" w:lineRule="auto"/>
        <w:outlineLvl w:val="1"/>
        <w:rPr>
          <w:rFonts w:ascii="宋体"/>
          <w:b/>
          <w:szCs w:val="21"/>
        </w:rPr>
      </w:pPr>
      <w:r>
        <w:rPr>
          <w:rFonts w:ascii="宋体" w:hAnsi="宋体"/>
          <w:b/>
          <w:szCs w:val="21"/>
        </w:rPr>
        <w:t>7</w:t>
      </w:r>
      <w:r>
        <w:rPr>
          <w:rFonts w:hint="eastAsia" w:ascii="宋体" w:hAnsi="宋体"/>
          <w:b/>
          <w:szCs w:val="21"/>
        </w:rPr>
        <w:t>．装运标记</w:t>
      </w:r>
    </w:p>
    <w:p>
      <w:pPr>
        <w:spacing w:line="360" w:lineRule="auto"/>
        <w:ind w:left="420" w:hanging="420" w:hangingChars="200"/>
        <w:rPr>
          <w:rFonts w:ascii="宋体"/>
          <w:szCs w:val="21"/>
        </w:rPr>
      </w:pPr>
      <w:r>
        <w:rPr>
          <w:rFonts w:ascii="宋体" w:hAnsi="宋体"/>
          <w:szCs w:val="21"/>
        </w:rPr>
        <w:t xml:space="preserve">7.1 </w:t>
      </w:r>
      <w:r>
        <w:rPr>
          <w:rFonts w:hint="eastAsia" w:ascii="宋体" w:hAnsi="宋体"/>
          <w:szCs w:val="21"/>
        </w:rPr>
        <w:t>乙方应提供货物运至合同规定的最终目的地所需要的包装，</w:t>
      </w:r>
      <w:r>
        <w:rPr>
          <w:rFonts w:ascii="宋体" w:hAnsi="宋体"/>
          <w:szCs w:val="21"/>
        </w:rPr>
        <w:t xml:space="preserve"> </w:t>
      </w:r>
      <w:r>
        <w:rPr>
          <w:rFonts w:hint="eastAsia" w:ascii="宋体" w:hAnsi="宋体"/>
          <w:szCs w:val="21"/>
        </w:rPr>
        <w:t>以防止货物在转运中损坏或变质。这类包装应采取全新、防潮、防晒、防锈、防腐蚀、防震动及防止其它损坏的必要保护措施，从而保护货物能够以受多次搬运、装卸及远洋和内际的长途运输。乙方应承担由于其包装或其防护措施不妥而引起货物锈蚀、损坏和丢失的任何损失的责任或费用。</w:t>
      </w:r>
    </w:p>
    <w:p>
      <w:pPr>
        <w:spacing w:line="360" w:lineRule="auto"/>
        <w:ind w:left="420" w:hanging="420" w:hangingChars="200"/>
        <w:rPr>
          <w:rFonts w:ascii="宋体"/>
          <w:szCs w:val="21"/>
        </w:rPr>
      </w:pPr>
      <w:r>
        <w:rPr>
          <w:rFonts w:ascii="宋体" w:hAnsi="宋体"/>
          <w:szCs w:val="21"/>
        </w:rPr>
        <w:t xml:space="preserve">7.2 </w:t>
      </w:r>
      <w:r>
        <w:rPr>
          <w:rFonts w:hint="eastAsia" w:ascii="宋体" w:hAnsi="宋体"/>
          <w:szCs w:val="21"/>
        </w:rPr>
        <w:t>每件包装箱内应附有详细的装箱单、使用说明、技术资料等。</w:t>
      </w:r>
    </w:p>
    <w:p>
      <w:pPr>
        <w:spacing w:line="360" w:lineRule="auto"/>
        <w:ind w:left="420" w:hanging="420" w:hangingChars="200"/>
        <w:rPr>
          <w:rFonts w:ascii="宋体"/>
          <w:szCs w:val="21"/>
        </w:rPr>
      </w:pPr>
      <w:r>
        <w:rPr>
          <w:rFonts w:ascii="宋体" w:hAnsi="宋体"/>
          <w:szCs w:val="21"/>
        </w:rPr>
        <w:t xml:space="preserve">7.3 </w:t>
      </w:r>
      <w:r>
        <w:rPr>
          <w:rFonts w:hint="eastAsia" w:ascii="宋体" w:hAnsi="宋体"/>
          <w:szCs w:val="21"/>
        </w:rPr>
        <w:t>交货同时，乙方必须将货物的有关技术部分及技术资料一次性提交给甲方。</w:t>
      </w:r>
    </w:p>
    <w:p>
      <w:pPr>
        <w:spacing w:line="360" w:lineRule="auto"/>
        <w:ind w:left="420" w:hanging="420" w:hangingChars="200"/>
        <w:rPr>
          <w:rFonts w:ascii="宋体"/>
          <w:szCs w:val="21"/>
        </w:rPr>
      </w:pPr>
      <w:r>
        <w:rPr>
          <w:rFonts w:ascii="宋体" w:hAnsi="宋体"/>
          <w:szCs w:val="21"/>
        </w:rPr>
        <w:t xml:space="preserve">7.4 </w:t>
      </w:r>
      <w:r>
        <w:rPr>
          <w:rFonts w:hint="eastAsia" w:ascii="宋体" w:hAnsi="宋体"/>
          <w:szCs w:val="21"/>
        </w:rPr>
        <w:t>乙方承担运费、装卸费、保费以及所有与交货相关的费用。</w:t>
      </w:r>
    </w:p>
    <w:p>
      <w:pPr>
        <w:spacing w:line="360" w:lineRule="auto"/>
        <w:ind w:left="420" w:hanging="420" w:hangingChars="200"/>
        <w:rPr>
          <w:rFonts w:ascii="宋体"/>
          <w:szCs w:val="21"/>
        </w:rPr>
      </w:pPr>
      <w:r>
        <w:rPr>
          <w:rFonts w:ascii="宋体" w:hAnsi="宋体"/>
          <w:szCs w:val="21"/>
        </w:rPr>
        <w:t xml:space="preserve">7.5 </w:t>
      </w:r>
      <w:r>
        <w:rPr>
          <w:rFonts w:hint="eastAsia" w:ascii="宋体" w:hAnsi="宋体"/>
          <w:szCs w:val="21"/>
        </w:rPr>
        <w:t>乙方应在货物装完启运后将全部装运细节，包括合同号、货物说明、数量、运输工具名称、提单号码及日期等通知甲方</w:t>
      </w:r>
      <w:r>
        <w:rPr>
          <w:rFonts w:ascii="宋体"/>
          <w:szCs w:val="21"/>
        </w:rPr>
        <w:t>,</w:t>
      </w:r>
      <w:r>
        <w:rPr>
          <w:rFonts w:hint="eastAsia" w:ascii="宋体" w:hAnsi="宋体"/>
          <w:szCs w:val="21"/>
        </w:rPr>
        <w:t>易燃品或危险品的细节还应另行注明。</w:t>
      </w:r>
    </w:p>
    <w:p>
      <w:pPr>
        <w:spacing w:line="360" w:lineRule="auto"/>
        <w:outlineLvl w:val="1"/>
        <w:rPr>
          <w:rFonts w:ascii="宋体"/>
          <w:b/>
          <w:szCs w:val="21"/>
        </w:rPr>
      </w:pPr>
      <w:r>
        <w:rPr>
          <w:rFonts w:ascii="宋体" w:hAnsi="宋体"/>
          <w:b/>
          <w:szCs w:val="21"/>
        </w:rPr>
        <w:t>8.</w:t>
      </w:r>
      <w:r>
        <w:rPr>
          <w:rFonts w:hint="eastAsia" w:ascii="宋体" w:hAnsi="宋体"/>
          <w:b/>
          <w:szCs w:val="21"/>
        </w:rPr>
        <w:t>交货时间和地点</w:t>
      </w:r>
    </w:p>
    <w:p>
      <w:pPr>
        <w:spacing w:line="360" w:lineRule="auto"/>
        <w:ind w:left="420" w:hanging="420" w:hangingChars="200"/>
        <w:rPr>
          <w:rFonts w:ascii="宋体"/>
          <w:szCs w:val="21"/>
        </w:rPr>
      </w:pPr>
      <w:r>
        <w:rPr>
          <w:rFonts w:ascii="宋体" w:hAnsi="宋体"/>
          <w:szCs w:val="21"/>
        </w:rPr>
        <w:t xml:space="preserve">8.1 </w:t>
      </w:r>
      <w:r>
        <w:rPr>
          <w:rFonts w:hint="eastAsia" w:ascii="宋体" w:hAnsi="宋体"/>
          <w:szCs w:val="21"/>
        </w:rPr>
        <w:t>概述：</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）乙方必须向甲方提交保密设计方案，在得到甲方同意后方可开始施工。</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）乙方应在合同签订后按以下工期完成工程（包括供货、安装、调试、验收）：</w:t>
      </w:r>
      <w:r>
        <w:rPr>
          <w:rFonts w:hint="eastAsia"/>
        </w:rPr>
        <w:t>本次项目工期在甲方信息技术科发出开工令后3个月内完成（包括供货、安装、调试、验收）。</w:t>
      </w:r>
      <w:r>
        <w:rPr>
          <w:rFonts w:hint="eastAsia" w:ascii="宋体" w:hAnsi="宋体"/>
          <w:szCs w:val="21"/>
        </w:rPr>
        <w:t>其中乙方必须在合同签订后</w:t>
      </w:r>
      <w:r>
        <w:rPr>
          <w:rFonts w:ascii="宋体" w:hAnsi="宋体"/>
          <w:szCs w:val="21"/>
        </w:rPr>
        <w:t xml:space="preserve"> 5 </w:t>
      </w:r>
      <w:r>
        <w:rPr>
          <w:rFonts w:hint="eastAsia" w:ascii="宋体" w:hAnsi="宋体"/>
          <w:szCs w:val="21"/>
        </w:rPr>
        <w:t>个工作日内提供合同项下主要设备（视频摄像机、交换机、CVR存储设备、广播设备、线缆线材等）的采购确认清单，并将主要设备在合同签订后的</w:t>
      </w:r>
      <w:r>
        <w:rPr>
          <w:rFonts w:ascii="宋体" w:hAnsi="宋体"/>
          <w:szCs w:val="21"/>
        </w:rPr>
        <w:t xml:space="preserve"> </w:t>
      </w:r>
      <w:r>
        <w:rPr>
          <w:rFonts w:hint="eastAsia" w:ascii="宋体" w:hAnsi="宋体"/>
          <w:szCs w:val="21"/>
        </w:rPr>
        <w:t>1个月内送到甲方指定地点。</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乙方应负责安排运输，并支付运费，该费用已包括在合同价中。货物交付给甲方前，货物损毁、灭失风险由乙方承担。</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一切税收已含在合同价格中。</w:t>
      </w:r>
    </w:p>
    <w:p>
      <w:pPr>
        <w:spacing w:line="360" w:lineRule="auto"/>
        <w:ind w:firstLine="420" w:firstLineChars="200"/>
        <w:rPr>
          <w:rFonts w:ascii="宋体"/>
          <w:szCs w:val="21"/>
        </w:rPr>
      </w:pPr>
      <w:r>
        <w:rPr>
          <w:rFonts w:ascii="宋体" w:hAnsi="宋体"/>
          <w:szCs w:val="21"/>
        </w:rPr>
        <w:t>5</w:t>
      </w:r>
      <w:r>
        <w:rPr>
          <w:rFonts w:hint="eastAsia" w:ascii="宋体" w:hAnsi="宋体"/>
          <w:szCs w:val="21"/>
        </w:rPr>
        <w:t>）</w:t>
      </w:r>
      <w:r>
        <w:rPr>
          <w:rFonts w:ascii="宋体" w:hAnsi="宋体"/>
          <w:szCs w:val="21"/>
        </w:rPr>
        <w:t xml:space="preserve"> </w:t>
      </w:r>
      <w:r>
        <w:rPr>
          <w:rFonts w:hint="eastAsia" w:ascii="宋体" w:hAnsi="宋体"/>
          <w:szCs w:val="21"/>
        </w:rPr>
        <w:t>甲方出具的收货证明上的日期为最终交货期，但若乙方交货后因甲方原因未予签发收货证明的，则乙方交付之日视为最终交货期。</w:t>
      </w:r>
    </w:p>
    <w:p>
      <w:pPr>
        <w:spacing w:line="360" w:lineRule="auto"/>
        <w:ind w:left="420" w:hanging="420" w:hangingChars="200"/>
        <w:rPr>
          <w:rFonts w:ascii="宋体"/>
          <w:szCs w:val="21"/>
        </w:rPr>
      </w:pPr>
      <w:r>
        <w:rPr>
          <w:rFonts w:ascii="宋体" w:hAnsi="宋体"/>
          <w:szCs w:val="21"/>
        </w:rPr>
        <w:t xml:space="preserve">8.2 </w:t>
      </w:r>
      <w:r>
        <w:rPr>
          <w:rFonts w:hint="eastAsia" w:ascii="宋体" w:hAnsi="宋体"/>
          <w:szCs w:val="21"/>
        </w:rPr>
        <w:t>乙方必须在合同签订后</w:t>
      </w:r>
      <w:r>
        <w:rPr>
          <w:rFonts w:ascii="宋体" w:hAnsi="宋体"/>
          <w:szCs w:val="21"/>
        </w:rPr>
        <w:t>7</w:t>
      </w:r>
      <w:r>
        <w:rPr>
          <w:rFonts w:hint="eastAsia" w:ascii="宋体" w:hAnsi="宋体"/>
          <w:szCs w:val="21"/>
        </w:rPr>
        <w:t>日内向甲方提供详细的施工组织设计、工程进度计划方案。</w:t>
      </w:r>
    </w:p>
    <w:p>
      <w:pPr>
        <w:spacing w:line="360" w:lineRule="auto"/>
        <w:ind w:left="420" w:hanging="420" w:hangingChars="200"/>
        <w:rPr>
          <w:rFonts w:ascii="宋体"/>
          <w:szCs w:val="21"/>
        </w:rPr>
      </w:pPr>
      <w:r>
        <w:rPr>
          <w:rFonts w:ascii="宋体" w:hAnsi="宋体"/>
          <w:szCs w:val="21"/>
        </w:rPr>
        <w:t xml:space="preserve">8.3 </w:t>
      </w:r>
      <w:r>
        <w:rPr>
          <w:rFonts w:hint="eastAsia" w:ascii="宋体" w:hAnsi="宋体"/>
          <w:szCs w:val="21"/>
        </w:rPr>
        <w:t>施工组织设计应当载明如下内容（包括但不限于）：</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本项工程的完整的施工方案；</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施工资源投入计划，包括：机械设备进场计划、工程材料、物料、主要货物设备进场计划、施工人员进场计划等；</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施工现场平面布置图、弱电布线平面图及本项目有关图纸等；</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保证工期、质量的措施；</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 xml:space="preserve"> </w:t>
      </w:r>
      <w:r>
        <w:rPr>
          <w:rFonts w:hint="eastAsia" w:ascii="宋体" w:hAnsi="宋体"/>
          <w:szCs w:val="21"/>
        </w:rPr>
        <w:t>保证安全作业，文明施工，减少扰民降低环境污染和噪音的措施；</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 xml:space="preserve"> </w:t>
      </w:r>
      <w:r>
        <w:rPr>
          <w:rFonts w:hint="eastAsia" w:ascii="宋体" w:hAnsi="宋体"/>
          <w:szCs w:val="21"/>
        </w:rPr>
        <w:t>妥善处理与相邻施工地作业现场关系的措施；</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 xml:space="preserve"> </w:t>
      </w:r>
      <w:r>
        <w:rPr>
          <w:rFonts w:hint="eastAsia" w:ascii="宋体" w:hAnsi="宋体"/>
          <w:szCs w:val="21"/>
        </w:rPr>
        <w:t>其他与工程施工有关的管理方案、措施。</w:t>
      </w:r>
    </w:p>
    <w:p>
      <w:pPr>
        <w:spacing w:line="360" w:lineRule="auto"/>
        <w:ind w:left="420" w:hanging="420" w:hangingChars="200"/>
        <w:rPr>
          <w:rFonts w:ascii="宋体"/>
          <w:szCs w:val="21"/>
        </w:rPr>
      </w:pPr>
      <w:r>
        <w:rPr>
          <w:rFonts w:ascii="宋体" w:hAnsi="宋体"/>
          <w:szCs w:val="21"/>
        </w:rPr>
        <w:t xml:space="preserve">8.4 </w:t>
      </w:r>
      <w:r>
        <w:rPr>
          <w:rFonts w:hint="eastAsia" w:ascii="宋体" w:hAnsi="宋体"/>
          <w:szCs w:val="21"/>
        </w:rPr>
        <w:t>工程进度计划应当内容全面详实，针对工程的全部或分项施工作业和特点提出施工方法、安排、顺序和时间表，并在各节点位置标注有相应的货物供货进度及材料消耗量。</w:t>
      </w:r>
    </w:p>
    <w:p>
      <w:pPr>
        <w:spacing w:line="360" w:lineRule="auto"/>
        <w:ind w:left="420" w:hanging="420" w:hangingChars="200"/>
        <w:rPr>
          <w:rFonts w:ascii="宋体"/>
          <w:szCs w:val="21"/>
        </w:rPr>
      </w:pPr>
      <w:r>
        <w:rPr>
          <w:rFonts w:ascii="宋体" w:hAnsi="宋体"/>
          <w:szCs w:val="21"/>
        </w:rPr>
        <w:t>8.5</w:t>
      </w:r>
      <w:r>
        <w:rPr>
          <w:rFonts w:hint="eastAsia" w:ascii="宋体" w:hAnsi="宋体"/>
          <w:szCs w:val="21"/>
        </w:rPr>
        <w:t>甲方确认的时间：施工组织设计、工程进度计划方案在</w:t>
      </w:r>
      <w:r>
        <w:rPr>
          <w:rFonts w:ascii="宋体" w:hAnsi="宋体"/>
          <w:szCs w:val="21"/>
        </w:rPr>
        <w:t xml:space="preserve"> 7 </w:t>
      </w:r>
      <w:r>
        <w:rPr>
          <w:rFonts w:hint="eastAsia" w:ascii="宋体" w:hAnsi="宋体"/>
          <w:szCs w:val="21"/>
        </w:rPr>
        <w:t>天内答复批准或要求修改（其中监理单位在</w:t>
      </w:r>
      <w:r>
        <w:rPr>
          <w:rFonts w:ascii="宋体" w:hAnsi="宋体"/>
          <w:szCs w:val="21"/>
        </w:rPr>
        <w:t xml:space="preserve"> 4 </w:t>
      </w:r>
      <w:r>
        <w:rPr>
          <w:rFonts w:hint="eastAsia" w:ascii="宋体" w:hAnsi="宋体"/>
          <w:szCs w:val="21"/>
        </w:rPr>
        <w:t>天内审核并签署意见，发包人在</w:t>
      </w:r>
      <w:r>
        <w:rPr>
          <w:rFonts w:ascii="宋体" w:hAnsi="宋体"/>
          <w:szCs w:val="21"/>
        </w:rPr>
        <w:t xml:space="preserve"> 3 </w:t>
      </w:r>
      <w:r>
        <w:rPr>
          <w:rFonts w:hint="eastAsia" w:ascii="宋体" w:hAnsi="宋体"/>
          <w:szCs w:val="21"/>
        </w:rPr>
        <w:t>天内审核并签署意见）。逾期不确认也不提出书面意见的，视为同意。</w:t>
      </w:r>
    </w:p>
    <w:p>
      <w:pPr>
        <w:spacing w:line="360" w:lineRule="auto"/>
        <w:ind w:left="420" w:hanging="420" w:hangingChars="200"/>
        <w:rPr>
          <w:rFonts w:ascii="宋体"/>
          <w:szCs w:val="21"/>
        </w:rPr>
      </w:pPr>
      <w:r>
        <w:rPr>
          <w:rFonts w:ascii="宋体" w:hAnsi="宋体"/>
          <w:szCs w:val="21"/>
        </w:rPr>
        <w:t xml:space="preserve">8.6 </w:t>
      </w:r>
      <w:r>
        <w:rPr>
          <w:rFonts w:hint="eastAsia" w:ascii="宋体" w:hAnsi="宋体"/>
          <w:szCs w:val="21"/>
        </w:rPr>
        <w:t>乙方应按经甲方单位批准的施工组织设计方案进行施工。</w:t>
      </w:r>
    </w:p>
    <w:p>
      <w:pPr>
        <w:spacing w:line="360" w:lineRule="auto"/>
        <w:outlineLvl w:val="1"/>
        <w:rPr>
          <w:rFonts w:ascii="宋体"/>
          <w:b/>
          <w:szCs w:val="21"/>
        </w:rPr>
      </w:pPr>
      <w:r>
        <w:rPr>
          <w:rFonts w:ascii="宋体" w:hAnsi="宋体"/>
          <w:b/>
          <w:szCs w:val="21"/>
        </w:rPr>
        <w:t xml:space="preserve">9. </w:t>
      </w:r>
      <w:r>
        <w:rPr>
          <w:rFonts w:hint="eastAsia" w:ascii="宋体" w:hAnsi="宋体"/>
          <w:b/>
          <w:szCs w:val="21"/>
        </w:rPr>
        <w:t>工程说明</w:t>
      </w:r>
    </w:p>
    <w:p>
      <w:pPr>
        <w:spacing w:line="360" w:lineRule="auto"/>
        <w:ind w:left="420" w:hanging="420" w:hangingChars="200"/>
        <w:rPr>
          <w:rFonts w:ascii="宋体"/>
          <w:szCs w:val="21"/>
        </w:rPr>
      </w:pPr>
      <w:r>
        <w:rPr>
          <w:rFonts w:ascii="宋体" w:hAnsi="宋体"/>
          <w:szCs w:val="21"/>
        </w:rPr>
        <w:t xml:space="preserve">9.1 </w:t>
      </w:r>
      <w:r>
        <w:rPr>
          <w:rFonts w:hint="eastAsia" w:ascii="宋体" w:hAnsi="宋体"/>
          <w:szCs w:val="21"/>
        </w:rPr>
        <w:t>乙方承诺接受甲方在工程实施过程中的监督管理。</w:t>
      </w:r>
    </w:p>
    <w:p>
      <w:pPr>
        <w:spacing w:line="360" w:lineRule="auto"/>
        <w:ind w:left="420" w:hanging="420" w:hangingChars="200"/>
        <w:rPr>
          <w:rFonts w:ascii="宋体"/>
          <w:szCs w:val="21"/>
        </w:rPr>
      </w:pPr>
      <w:r>
        <w:rPr>
          <w:rFonts w:ascii="宋体" w:hAnsi="宋体"/>
          <w:szCs w:val="21"/>
        </w:rPr>
        <w:t xml:space="preserve">9.2 </w:t>
      </w:r>
      <w:r>
        <w:rPr>
          <w:rFonts w:hint="eastAsia" w:ascii="宋体" w:hAnsi="宋体"/>
          <w:szCs w:val="21"/>
        </w:rPr>
        <w:t>乙方必须按照“先设计、后施工”的原则组织工程实施。</w:t>
      </w:r>
    </w:p>
    <w:p>
      <w:pPr>
        <w:spacing w:line="360" w:lineRule="auto"/>
        <w:ind w:left="420" w:hanging="420" w:hangingChars="200"/>
        <w:rPr>
          <w:rFonts w:ascii="宋体"/>
          <w:szCs w:val="21"/>
        </w:rPr>
      </w:pPr>
      <w:r>
        <w:rPr>
          <w:rFonts w:ascii="宋体" w:hAnsi="宋体"/>
          <w:szCs w:val="21"/>
        </w:rPr>
        <w:t xml:space="preserve">9.3 </w:t>
      </w:r>
      <w:r>
        <w:rPr>
          <w:rFonts w:hint="eastAsia" w:ascii="宋体" w:hAnsi="宋体"/>
          <w:szCs w:val="21"/>
        </w:rPr>
        <w:t>乙方必须按照甲方要求安装调试完成所有硬件和软件（含硬件、系统软件及备份设施等）。</w:t>
      </w:r>
    </w:p>
    <w:p>
      <w:pPr>
        <w:spacing w:line="360" w:lineRule="auto"/>
        <w:ind w:left="420" w:hanging="420" w:hangingChars="200"/>
        <w:rPr>
          <w:rFonts w:ascii="宋体"/>
          <w:szCs w:val="21"/>
        </w:rPr>
      </w:pPr>
      <w:r>
        <w:rPr>
          <w:rFonts w:ascii="宋体" w:hAnsi="宋体"/>
          <w:szCs w:val="21"/>
        </w:rPr>
        <w:t xml:space="preserve">9.4 </w:t>
      </w:r>
      <w:r>
        <w:rPr>
          <w:rFonts w:hint="eastAsia" w:ascii="宋体" w:hAnsi="宋体"/>
          <w:szCs w:val="21"/>
        </w:rPr>
        <w:t>甲方有权对乙方提供的证明材料进行审核。</w:t>
      </w:r>
    </w:p>
    <w:p>
      <w:pPr>
        <w:spacing w:line="360" w:lineRule="auto"/>
        <w:outlineLvl w:val="1"/>
        <w:rPr>
          <w:rFonts w:ascii="宋体"/>
          <w:b/>
          <w:szCs w:val="21"/>
        </w:rPr>
      </w:pPr>
      <w:r>
        <w:rPr>
          <w:rFonts w:ascii="宋体" w:hAnsi="宋体"/>
          <w:b/>
          <w:szCs w:val="21"/>
        </w:rPr>
        <w:t xml:space="preserve">10. </w:t>
      </w:r>
      <w:r>
        <w:rPr>
          <w:rFonts w:hint="eastAsia" w:ascii="宋体" w:hAnsi="宋体"/>
          <w:b/>
          <w:szCs w:val="21"/>
        </w:rPr>
        <w:t>项目管理</w:t>
      </w:r>
    </w:p>
    <w:p>
      <w:pPr>
        <w:spacing w:line="360" w:lineRule="auto"/>
        <w:ind w:left="420" w:hanging="420" w:hangingChars="200"/>
        <w:rPr>
          <w:rFonts w:ascii="宋体"/>
          <w:szCs w:val="21"/>
        </w:rPr>
      </w:pPr>
      <w:r>
        <w:rPr>
          <w:rFonts w:ascii="宋体" w:hAnsi="宋体"/>
          <w:szCs w:val="21"/>
        </w:rPr>
        <w:t>10.1</w:t>
      </w:r>
      <w:r>
        <w:rPr>
          <w:rFonts w:hint="eastAsia" w:ascii="宋体" w:hAnsi="宋体"/>
          <w:szCs w:val="21"/>
        </w:rPr>
        <w:t>乙方工程项目管理必须保证配备一名常驻施工现场的项目负责人。</w:t>
      </w:r>
    </w:p>
    <w:p>
      <w:pPr>
        <w:spacing w:line="360" w:lineRule="auto"/>
        <w:ind w:left="420" w:hanging="420" w:hangingChars="200"/>
        <w:rPr>
          <w:rFonts w:ascii="宋体"/>
          <w:szCs w:val="21"/>
        </w:rPr>
      </w:pPr>
      <w:r>
        <w:rPr>
          <w:rFonts w:ascii="宋体" w:hAnsi="宋体"/>
          <w:szCs w:val="21"/>
        </w:rPr>
        <w:t>10.2</w:t>
      </w:r>
      <w:r>
        <w:rPr>
          <w:rFonts w:hint="eastAsia" w:ascii="宋体" w:hAnsi="宋体"/>
          <w:szCs w:val="21"/>
        </w:rPr>
        <w:t>常驻施工现场的项目负责人须全权负责该项目的商务和技术，必要时应指定各子项目负责人，当甲方检查该子项目施工或实施阶段验收时，相关负责人必须到现场配合。</w:t>
      </w:r>
    </w:p>
    <w:p>
      <w:pPr>
        <w:spacing w:line="360" w:lineRule="auto"/>
        <w:ind w:left="420" w:hanging="420" w:hangingChars="200"/>
        <w:rPr>
          <w:rFonts w:ascii="宋体"/>
          <w:szCs w:val="21"/>
        </w:rPr>
      </w:pPr>
      <w:r>
        <w:rPr>
          <w:rFonts w:ascii="宋体" w:hAnsi="宋体"/>
          <w:szCs w:val="21"/>
        </w:rPr>
        <w:t>10.3</w:t>
      </w:r>
      <w:r>
        <w:rPr>
          <w:rFonts w:hint="eastAsia" w:ascii="宋体" w:hAnsi="宋体"/>
          <w:szCs w:val="21"/>
        </w:rPr>
        <w:t>项目负责人能代表乙方接受甲方出具的相关工程管理文件。在项目负责人、子项目负责人工作不得力的情况下（如权力不够、技术不熟、管理不当等），甲方有权要求乙方更换项目负责人和相关人员。由此造成的工程进度的影响（延误），由乙方承担责任。</w:t>
      </w:r>
    </w:p>
    <w:p>
      <w:pPr>
        <w:spacing w:line="360" w:lineRule="auto"/>
        <w:outlineLvl w:val="1"/>
        <w:rPr>
          <w:rFonts w:ascii="宋体"/>
          <w:b/>
          <w:szCs w:val="21"/>
        </w:rPr>
      </w:pPr>
      <w:r>
        <w:rPr>
          <w:rFonts w:ascii="宋体" w:hAnsi="宋体"/>
          <w:b/>
          <w:szCs w:val="21"/>
        </w:rPr>
        <w:t xml:space="preserve">11. </w:t>
      </w:r>
      <w:r>
        <w:rPr>
          <w:rFonts w:hint="eastAsia" w:ascii="宋体" w:hAnsi="宋体"/>
          <w:b/>
          <w:szCs w:val="21"/>
        </w:rPr>
        <w:t>设计管理</w:t>
      </w:r>
    </w:p>
    <w:p>
      <w:pPr>
        <w:spacing w:line="360" w:lineRule="auto"/>
        <w:ind w:left="420" w:hanging="420" w:hangingChars="200"/>
        <w:rPr>
          <w:rFonts w:ascii="宋体"/>
          <w:szCs w:val="21"/>
        </w:rPr>
      </w:pPr>
      <w:r>
        <w:rPr>
          <w:rFonts w:ascii="宋体" w:hAnsi="宋体"/>
          <w:szCs w:val="21"/>
        </w:rPr>
        <w:t xml:space="preserve">11.1 </w:t>
      </w:r>
      <w:r>
        <w:rPr>
          <w:rFonts w:hint="eastAsia" w:ascii="宋体" w:hAnsi="宋体"/>
          <w:szCs w:val="21"/>
        </w:rPr>
        <w:t>乙方在实施施工前必须提供一套完整的工程实施方案。</w:t>
      </w:r>
    </w:p>
    <w:p>
      <w:pPr>
        <w:spacing w:line="360" w:lineRule="auto"/>
        <w:ind w:left="420" w:hanging="420" w:hangingChars="200"/>
        <w:rPr>
          <w:rFonts w:ascii="宋体"/>
          <w:szCs w:val="21"/>
        </w:rPr>
      </w:pPr>
      <w:r>
        <w:rPr>
          <w:rFonts w:ascii="宋体" w:hAnsi="宋体"/>
          <w:szCs w:val="21"/>
        </w:rPr>
        <w:t>11.2</w:t>
      </w:r>
      <w:r>
        <w:rPr>
          <w:rFonts w:hint="eastAsia" w:ascii="宋体" w:hAnsi="宋体"/>
          <w:szCs w:val="21"/>
        </w:rPr>
        <w:t>乙方必须详细地了解甲方需求，听取甲方的优化意见，并于收到甲方优化意见后</w:t>
      </w:r>
      <w:r>
        <w:rPr>
          <w:rFonts w:ascii="宋体" w:hAnsi="宋体"/>
          <w:szCs w:val="21"/>
        </w:rPr>
        <w:t xml:space="preserve"> 10 </w:t>
      </w:r>
      <w:r>
        <w:rPr>
          <w:rFonts w:hint="eastAsia" w:ascii="宋体" w:hAnsi="宋体"/>
          <w:szCs w:val="21"/>
        </w:rPr>
        <w:t>个工作日内在初步设计方案基础上制定详细的设计文件和工程进度计划。</w:t>
      </w:r>
    </w:p>
    <w:p>
      <w:pPr>
        <w:spacing w:line="360" w:lineRule="auto"/>
        <w:ind w:left="420" w:hanging="420" w:hangingChars="200"/>
        <w:rPr>
          <w:rFonts w:ascii="宋体"/>
          <w:szCs w:val="21"/>
        </w:rPr>
      </w:pPr>
      <w:r>
        <w:rPr>
          <w:rFonts w:ascii="宋体" w:hAnsi="宋体"/>
          <w:szCs w:val="21"/>
        </w:rPr>
        <w:t>11.3</w:t>
      </w:r>
      <w:r>
        <w:rPr>
          <w:rFonts w:hint="eastAsia" w:ascii="宋体" w:hAnsi="宋体"/>
          <w:szCs w:val="21"/>
        </w:rPr>
        <w:t>设计文件和工程进度计划制定完成后，立即送到甲方审核，在得到甲方认可并盖章以后，方可严格按照设计文件和工程进度计划进行施工。</w:t>
      </w:r>
    </w:p>
    <w:p>
      <w:pPr>
        <w:spacing w:line="360" w:lineRule="auto"/>
        <w:ind w:left="420" w:hanging="420" w:hangingChars="200"/>
        <w:rPr>
          <w:rFonts w:ascii="宋体"/>
          <w:szCs w:val="21"/>
        </w:rPr>
      </w:pPr>
      <w:r>
        <w:rPr>
          <w:rFonts w:ascii="宋体" w:hAnsi="宋体"/>
          <w:szCs w:val="21"/>
        </w:rPr>
        <w:t>11.4</w:t>
      </w:r>
      <w:r>
        <w:rPr>
          <w:rFonts w:hint="eastAsia" w:ascii="宋体" w:hAnsi="宋体"/>
          <w:szCs w:val="21"/>
        </w:rPr>
        <w:t>在工程施工过程中，甲方可根据需要对工程设计作出合理的修改，乙方应在时间允许且工程造价不超过预算的条件下服从甲方所提出的修改意见，并根据实际情况修改设计方案并重新送甲方审核，在得到确认以后再按照更改后的设计文件进行施工。若因甲方修改设计导致工程造价超出本合同约定金额的，乙方将增加部分报价提请甲方确认，甲方确认可行的，双方另行签订补充协议；否则，乙方将按原设计执行。</w:t>
      </w:r>
    </w:p>
    <w:p>
      <w:pPr>
        <w:spacing w:line="360" w:lineRule="auto"/>
        <w:ind w:left="420" w:hanging="420" w:hangingChars="200"/>
        <w:rPr>
          <w:rFonts w:ascii="宋体"/>
          <w:szCs w:val="21"/>
        </w:rPr>
      </w:pPr>
      <w:r>
        <w:rPr>
          <w:rFonts w:ascii="宋体" w:hAnsi="宋体"/>
          <w:szCs w:val="21"/>
        </w:rPr>
        <w:t>11.5</w:t>
      </w:r>
      <w:r>
        <w:rPr>
          <w:rFonts w:hint="eastAsia" w:ascii="宋体" w:hAnsi="宋体"/>
          <w:szCs w:val="21"/>
        </w:rPr>
        <w:t>在工程施工过程中，乙方需要对设计方案进行变更的，应先报甲方通过后方能实施。因设计缺陷需要变更，并导致工期延误的，由乙方承担其责任。</w:t>
      </w:r>
    </w:p>
    <w:p>
      <w:pPr>
        <w:spacing w:line="360" w:lineRule="auto"/>
        <w:outlineLvl w:val="1"/>
        <w:rPr>
          <w:rFonts w:ascii="宋体"/>
          <w:b/>
          <w:szCs w:val="21"/>
        </w:rPr>
      </w:pPr>
      <w:r>
        <w:rPr>
          <w:rFonts w:ascii="宋体" w:hAnsi="宋体"/>
          <w:b/>
          <w:szCs w:val="21"/>
        </w:rPr>
        <w:t xml:space="preserve">12. </w:t>
      </w:r>
      <w:r>
        <w:rPr>
          <w:rFonts w:hint="eastAsia" w:ascii="宋体" w:hAnsi="宋体"/>
          <w:b/>
          <w:szCs w:val="21"/>
        </w:rPr>
        <w:t>施工管理</w:t>
      </w:r>
    </w:p>
    <w:p>
      <w:pPr>
        <w:spacing w:line="360" w:lineRule="auto"/>
        <w:ind w:left="420" w:hanging="420" w:hangingChars="200"/>
        <w:rPr>
          <w:rFonts w:ascii="宋体"/>
          <w:szCs w:val="21"/>
        </w:rPr>
      </w:pPr>
      <w:r>
        <w:rPr>
          <w:rFonts w:ascii="宋体" w:hAnsi="宋体"/>
          <w:szCs w:val="21"/>
        </w:rPr>
        <w:t xml:space="preserve">12.1 </w:t>
      </w:r>
      <w:r>
        <w:rPr>
          <w:rFonts w:hint="eastAsia" w:ascii="宋体" w:hAnsi="宋体"/>
          <w:szCs w:val="21"/>
        </w:rPr>
        <w:t>对于需求文件、合同中未详尽的部分，乙方应征得甲方同意并签字后方可施工，否则产生的一切后果由乙方承担。</w:t>
      </w:r>
    </w:p>
    <w:p>
      <w:pPr>
        <w:spacing w:line="360" w:lineRule="auto"/>
        <w:ind w:left="420" w:hanging="420" w:hangingChars="200"/>
        <w:rPr>
          <w:rFonts w:ascii="宋体"/>
          <w:szCs w:val="21"/>
        </w:rPr>
      </w:pPr>
      <w:r>
        <w:rPr>
          <w:rFonts w:ascii="宋体" w:hAnsi="宋体"/>
          <w:szCs w:val="21"/>
        </w:rPr>
        <w:t>12.2</w:t>
      </w:r>
      <w:r>
        <w:rPr>
          <w:rFonts w:hint="eastAsia" w:ascii="宋体" w:hAnsi="宋体"/>
          <w:szCs w:val="21"/>
        </w:rPr>
        <w:t>对非本次采购范围内工程，乙方应无条件配合发包人另外选定的专业施工单位施工，若因配合第三方施工导致本合同工期延期的，不视为乙方违约，若因此导致乙方增加费用的，双方另行协商解决。建筑物已竣工验收，乙方在施工过程中应保护已完成工程的完整性，如发生损失或丢失现象，乙方负责进行修复或赔偿，费用由乙方承担。</w:t>
      </w:r>
    </w:p>
    <w:p>
      <w:pPr>
        <w:spacing w:line="360" w:lineRule="auto"/>
        <w:ind w:left="420" w:hanging="420" w:hangingChars="200"/>
        <w:rPr>
          <w:rFonts w:ascii="宋体"/>
          <w:szCs w:val="21"/>
        </w:rPr>
      </w:pPr>
      <w:r>
        <w:rPr>
          <w:rFonts w:ascii="宋体" w:hAnsi="宋体"/>
          <w:szCs w:val="21"/>
        </w:rPr>
        <w:t>12.3</w:t>
      </w:r>
      <w:r>
        <w:rPr>
          <w:rFonts w:hint="eastAsia" w:ascii="宋体" w:hAnsi="宋体"/>
          <w:szCs w:val="21"/>
        </w:rPr>
        <w:t>乙方应建立并健全全面的质量管理体系，严格按照操作工艺流程，技术要求施工，设置各级技术管理和质量检查人员，并严格按照技术标准进行检查，对不符合合同要求的，乙方须返工修补，直至达到要求为止。</w:t>
      </w:r>
    </w:p>
    <w:p>
      <w:pPr>
        <w:spacing w:line="360" w:lineRule="auto"/>
        <w:ind w:left="420" w:hanging="420" w:hangingChars="200"/>
        <w:rPr>
          <w:rFonts w:ascii="宋体"/>
          <w:szCs w:val="21"/>
        </w:rPr>
      </w:pPr>
      <w:r>
        <w:rPr>
          <w:rFonts w:ascii="宋体" w:hAnsi="宋体"/>
          <w:szCs w:val="21"/>
        </w:rPr>
        <w:t xml:space="preserve">12.4 </w:t>
      </w:r>
      <w:r>
        <w:rPr>
          <w:rFonts w:hint="eastAsia" w:ascii="宋体" w:hAnsi="宋体"/>
          <w:szCs w:val="21"/>
        </w:rPr>
        <w:t>乙方应按照报价响应文件指定的项目小组组织架构，承担施工任务。</w:t>
      </w:r>
    </w:p>
    <w:p>
      <w:pPr>
        <w:spacing w:line="360" w:lineRule="auto"/>
        <w:ind w:left="420" w:hanging="420" w:hangingChars="200"/>
        <w:rPr>
          <w:rFonts w:ascii="宋体"/>
          <w:szCs w:val="21"/>
        </w:rPr>
      </w:pPr>
      <w:r>
        <w:rPr>
          <w:rFonts w:ascii="宋体" w:hAnsi="宋体"/>
          <w:szCs w:val="21"/>
        </w:rPr>
        <w:t>12.5</w:t>
      </w:r>
      <w:r>
        <w:rPr>
          <w:rFonts w:hint="eastAsia" w:ascii="宋体" w:hAnsi="宋体"/>
          <w:szCs w:val="21"/>
        </w:rPr>
        <w:t>合同要求提供的所有设备和材料必须在进场前两个工作日通知甲方，需同时提交原设备制造商的供货证明原件及原厂商产品质量承诺保证书原件（必须包含设备型号、序列号及数量等）。并在设备和材料进场时配合甲方和监理单位对设备和材料进行进场验收，在通过验收后，方可将其投入施工和安装。</w:t>
      </w:r>
    </w:p>
    <w:p>
      <w:pPr>
        <w:spacing w:line="360" w:lineRule="auto"/>
        <w:ind w:left="420" w:hanging="420" w:hangingChars="200"/>
        <w:rPr>
          <w:rFonts w:ascii="宋体"/>
          <w:szCs w:val="21"/>
        </w:rPr>
      </w:pPr>
      <w:r>
        <w:rPr>
          <w:rFonts w:ascii="宋体" w:hAnsi="宋体"/>
          <w:szCs w:val="21"/>
        </w:rPr>
        <w:t>12.6</w:t>
      </w:r>
      <w:r>
        <w:rPr>
          <w:rFonts w:hint="eastAsia" w:ascii="宋体" w:hAnsi="宋体"/>
          <w:szCs w:val="21"/>
        </w:rPr>
        <w:t>工程通过验收并移交给甲方前，甲方对与工程有关的所有材料、半成品、成品和配套设备装置不负保管责任，因保管不周或意外等原因而造成的任何材料及设备的损失由乙方自行承担。</w:t>
      </w:r>
    </w:p>
    <w:p>
      <w:pPr>
        <w:spacing w:line="360" w:lineRule="auto"/>
        <w:outlineLvl w:val="1"/>
        <w:rPr>
          <w:rFonts w:ascii="宋体"/>
          <w:b/>
          <w:szCs w:val="21"/>
        </w:rPr>
      </w:pPr>
      <w:r>
        <w:rPr>
          <w:rFonts w:ascii="宋体" w:hAnsi="宋体"/>
          <w:b/>
          <w:szCs w:val="21"/>
        </w:rPr>
        <w:t>13.</w:t>
      </w:r>
      <w:r>
        <w:rPr>
          <w:rFonts w:hint="eastAsia" w:ascii="宋体" w:hAnsi="宋体"/>
          <w:b/>
          <w:szCs w:val="21"/>
        </w:rPr>
        <w:t>工程进度管理</w:t>
      </w:r>
    </w:p>
    <w:p>
      <w:pPr>
        <w:spacing w:line="360" w:lineRule="auto"/>
        <w:ind w:left="420" w:hanging="420" w:hangingChars="200"/>
        <w:rPr>
          <w:rFonts w:ascii="宋体"/>
          <w:szCs w:val="21"/>
        </w:rPr>
      </w:pPr>
      <w:r>
        <w:rPr>
          <w:rFonts w:ascii="宋体" w:hAnsi="宋体"/>
          <w:szCs w:val="21"/>
        </w:rPr>
        <w:t xml:space="preserve">13.1 </w:t>
      </w:r>
      <w:r>
        <w:rPr>
          <w:rFonts w:hint="eastAsia" w:ascii="宋体" w:hAnsi="宋体"/>
          <w:szCs w:val="21"/>
        </w:rPr>
        <w:t>乙方应根据项目总体进度要求、设计方案和施工程序制定工程进度计划表，且满足竞价文件的时限规定，明确各节点的工程内容和考核指标。</w:t>
      </w:r>
    </w:p>
    <w:p>
      <w:pPr>
        <w:spacing w:line="360" w:lineRule="auto"/>
        <w:ind w:left="420" w:hanging="420" w:hangingChars="200"/>
        <w:rPr>
          <w:rFonts w:ascii="宋体"/>
          <w:szCs w:val="21"/>
        </w:rPr>
      </w:pPr>
      <w:r>
        <w:rPr>
          <w:rFonts w:ascii="宋体" w:hAnsi="宋体"/>
          <w:szCs w:val="21"/>
        </w:rPr>
        <w:t xml:space="preserve">13.2 </w:t>
      </w:r>
      <w:r>
        <w:rPr>
          <w:rFonts w:hint="eastAsia" w:ascii="宋体" w:hAnsi="宋体"/>
          <w:szCs w:val="21"/>
        </w:rPr>
        <w:t>乙方必须严格按照报价响应文件所制定的进度计划按期按质完成每一阶段的施工任务。</w:t>
      </w:r>
    </w:p>
    <w:p>
      <w:pPr>
        <w:spacing w:line="360" w:lineRule="auto"/>
        <w:ind w:left="420" w:hanging="420" w:hangingChars="200"/>
        <w:rPr>
          <w:rFonts w:ascii="宋体"/>
          <w:szCs w:val="21"/>
        </w:rPr>
      </w:pPr>
      <w:r>
        <w:rPr>
          <w:rFonts w:ascii="宋体" w:hAnsi="宋体"/>
          <w:szCs w:val="21"/>
        </w:rPr>
        <w:t xml:space="preserve">13.3 </w:t>
      </w:r>
      <w:r>
        <w:rPr>
          <w:rFonts w:hint="eastAsia" w:ascii="宋体" w:hAnsi="宋体"/>
          <w:szCs w:val="21"/>
        </w:rPr>
        <w:t>施工的每个阶段乙方都需要配合甲方进行节点验收。对于乙方自身原因造成的工期延误，甲方可根据合同要求追究乙方责任。</w:t>
      </w:r>
    </w:p>
    <w:p>
      <w:pPr>
        <w:spacing w:line="360" w:lineRule="auto"/>
        <w:ind w:left="420" w:hanging="420" w:hangingChars="200"/>
        <w:rPr>
          <w:rFonts w:ascii="宋体"/>
          <w:szCs w:val="21"/>
        </w:rPr>
      </w:pPr>
      <w:r>
        <w:rPr>
          <w:rFonts w:ascii="宋体" w:hAnsi="宋体"/>
          <w:szCs w:val="21"/>
        </w:rPr>
        <w:t xml:space="preserve">13.4 </w:t>
      </w:r>
      <w:r>
        <w:rPr>
          <w:rFonts w:hint="eastAsia" w:ascii="宋体" w:hAnsi="宋体"/>
          <w:szCs w:val="21"/>
        </w:rPr>
        <w:t>乙方因涉及与甲方协调导致工程工期延误的，应及时报监理备案，并提出补救措施。报甲方同意后，工期可顺延。</w:t>
      </w:r>
    </w:p>
    <w:p>
      <w:pPr>
        <w:spacing w:line="360" w:lineRule="auto"/>
        <w:ind w:left="420" w:hanging="420" w:hangingChars="200"/>
        <w:rPr>
          <w:rFonts w:ascii="宋体"/>
          <w:szCs w:val="21"/>
        </w:rPr>
      </w:pPr>
      <w:r>
        <w:rPr>
          <w:rFonts w:ascii="宋体" w:hAnsi="宋体"/>
          <w:szCs w:val="21"/>
        </w:rPr>
        <w:t xml:space="preserve">13.5 </w:t>
      </w:r>
      <w:r>
        <w:rPr>
          <w:rFonts w:hint="eastAsia" w:ascii="宋体" w:hAnsi="宋体"/>
          <w:szCs w:val="21"/>
        </w:rPr>
        <w:t>从批准乙方开工之日起，甲方应确保施工现场的路通、水通、强电供给和现场布线、安装测试条件，否则由此引起的工程延误由甲方负责，工程期限应予顺延。</w:t>
      </w:r>
    </w:p>
    <w:p>
      <w:pPr>
        <w:spacing w:line="360" w:lineRule="auto"/>
        <w:ind w:left="420" w:hanging="420" w:hangingChars="200"/>
        <w:rPr>
          <w:rFonts w:ascii="宋体"/>
          <w:szCs w:val="21"/>
        </w:rPr>
      </w:pPr>
      <w:r>
        <w:rPr>
          <w:rFonts w:ascii="宋体" w:hAnsi="宋体"/>
          <w:szCs w:val="21"/>
        </w:rPr>
        <w:t xml:space="preserve">13.6 </w:t>
      </w:r>
      <w:r>
        <w:rPr>
          <w:rFonts w:hint="eastAsia" w:ascii="宋体" w:hAnsi="宋体"/>
          <w:szCs w:val="21"/>
        </w:rPr>
        <w:t>因不可抗拒因素导致工程延缓的，应报监理备案，并提供相关文件说明。乙方预计工期将延时，应提早报告监理，并提出补救措施。</w:t>
      </w:r>
    </w:p>
    <w:p>
      <w:pPr>
        <w:spacing w:line="360" w:lineRule="auto"/>
        <w:ind w:left="420" w:hanging="420" w:hangingChars="200"/>
        <w:rPr>
          <w:rFonts w:ascii="宋体"/>
          <w:szCs w:val="21"/>
        </w:rPr>
      </w:pPr>
      <w:r>
        <w:rPr>
          <w:rFonts w:ascii="宋体" w:hAnsi="宋体"/>
          <w:szCs w:val="21"/>
        </w:rPr>
        <w:t xml:space="preserve">13.7 </w:t>
      </w:r>
      <w:r>
        <w:rPr>
          <w:rFonts w:hint="eastAsia" w:ascii="宋体" w:hAnsi="宋体"/>
          <w:szCs w:val="21"/>
        </w:rPr>
        <w:t>因工程质量原因需要（或造成）返工，导致工期延误的，其责任由乙方承担。</w:t>
      </w:r>
    </w:p>
    <w:p>
      <w:pPr>
        <w:spacing w:line="360" w:lineRule="auto"/>
        <w:outlineLvl w:val="1"/>
        <w:rPr>
          <w:rFonts w:ascii="宋体"/>
          <w:b/>
          <w:szCs w:val="21"/>
        </w:rPr>
      </w:pPr>
      <w:r>
        <w:rPr>
          <w:rFonts w:ascii="宋体" w:hAnsi="宋体"/>
          <w:b/>
          <w:szCs w:val="21"/>
        </w:rPr>
        <w:t>14</w:t>
      </w:r>
      <w:r>
        <w:rPr>
          <w:rFonts w:hint="eastAsia" w:ascii="宋体" w:hAnsi="宋体"/>
          <w:b/>
          <w:szCs w:val="21"/>
        </w:rPr>
        <w:t>．技术方案说明</w:t>
      </w:r>
    </w:p>
    <w:p>
      <w:pPr>
        <w:spacing w:line="360" w:lineRule="auto"/>
        <w:ind w:firstLine="420" w:firstLineChars="200"/>
        <w:rPr>
          <w:rFonts w:ascii="宋体"/>
          <w:szCs w:val="21"/>
        </w:rPr>
      </w:pPr>
      <w:r>
        <w:rPr>
          <w:rFonts w:ascii="宋体" w:hAnsi="宋体"/>
          <w:szCs w:val="21"/>
        </w:rPr>
        <w:t xml:space="preserve">14.1 </w:t>
      </w:r>
      <w:r>
        <w:rPr>
          <w:rFonts w:hint="eastAsia" w:ascii="宋体" w:hAnsi="宋体"/>
          <w:szCs w:val="21"/>
        </w:rPr>
        <w:t>在提供技术方案时，</w:t>
      </w:r>
      <w:r>
        <w:rPr>
          <w:rFonts w:ascii="宋体" w:hAnsi="宋体"/>
          <w:szCs w:val="21"/>
        </w:rPr>
        <w:t xml:space="preserve"> </w:t>
      </w:r>
      <w:r>
        <w:rPr>
          <w:rFonts w:hint="eastAsia" w:ascii="宋体" w:hAnsi="宋体"/>
          <w:szCs w:val="21"/>
        </w:rPr>
        <w:t>应从技术和应用方法的角度描述解决问题的思路、</w:t>
      </w:r>
      <w:r>
        <w:rPr>
          <w:rFonts w:ascii="宋体" w:hAnsi="宋体"/>
          <w:szCs w:val="21"/>
        </w:rPr>
        <w:t xml:space="preserve"> </w:t>
      </w:r>
      <w:r>
        <w:rPr>
          <w:rFonts w:hint="eastAsia" w:ascii="宋体" w:hAnsi="宋体"/>
          <w:szCs w:val="21"/>
        </w:rPr>
        <w:t>实现方法及其优点，重要的项目要进行优缺点比较，并简要叙述所选设备和软件的理由。成交方需对视频监控系统采取安全加固措施，消除“弱口令”、“内存溢出漏洞”等安全隐患，保修期内免费提供升级服务和更新版本，提高安全防护能力，确保系统安全稳定运行。</w:t>
      </w:r>
    </w:p>
    <w:p>
      <w:pPr>
        <w:spacing w:line="360" w:lineRule="auto"/>
        <w:ind w:firstLine="420" w:firstLineChars="200"/>
        <w:rPr>
          <w:rFonts w:ascii="宋体"/>
          <w:szCs w:val="21"/>
        </w:rPr>
      </w:pPr>
      <w:r>
        <w:rPr>
          <w:rFonts w:ascii="宋体" w:hAnsi="宋体"/>
          <w:szCs w:val="21"/>
        </w:rPr>
        <w:t xml:space="preserve">14.2 </w:t>
      </w:r>
      <w:r>
        <w:rPr>
          <w:rFonts w:hint="eastAsia" w:ascii="宋体" w:hAnsi="宋体"/>
          <w:szCs w:val="21"/>
        </w:rPr>
        <w:t>技术方案应包以下内容（包括但不限于）：</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系统设计方案（附拓扑图）；</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对竞价文件逐条进行的响应；</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产品选型；</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系统安装技术说明（包括：安防的路由协议、</w:t>
      </w:r>
      <w:r>
        <w:rPr>
          <w:rFonts w:ascii="宋体" w:hAnsi="宋体"/>
          <w:szCs w:val="21"/>
        </w:rPr>
        <w:t xml:space="preserve">IP </w:t>
      </w:r>
      <w:r>
        <w:rPr>
          <w:rFonts w:hint="eastAsia" w:ascii="宋体" w:hAnsi="宋体"/>
          <w:szCs w:val="21"/>
        </w:rPr>
        <w:t>地址分配方案、访问控制、系统安全与安全参数配置、安防系统安装技术参数等）</w:t>
      </w:r>
      <w:r>
        <w:rPr>
          <w:rFonts w:ascii="宋体" w:hAnsi="宋体"/>
          <w:szCs w:val="21"/>
        </w:rPr>
        <w:t>;</w:t>
      </w:r>
    </w:p>
    <w:p>
      <w:pPr>
        <w:spacing w:line="360" w:lineRule="auto"/>
        <w:ind w:firstLine="420" w:firstLineChars="200"/>
        <w:rPr>
          <w:rFonts w:ascii="宋体"/>
          <w:szCs w:val="21"/>
        </w:rPr>
      </w:pPr>
      <w:r>
        <w:rPr>
          <w:rFonts w:ascii="宋体" w:hAnsi="宋体"/>
          <w:szCs w:val="21"/>
        </w:rPr>
        <w:t xml:space="preserve">5) </w:t>
      </w:r>
      <w:r>
        <w:rPr>
          <w:rFonts w:hint="eastAsia" w:ascii="宋体" w:hAnsi="宋体"/>
          <w:szCs w:val="21"/>
        </w:rPr>
        <w:t>施工工序流程图</w:t>
      </w:r>
      <w:r>
        <w:rPr>
          <w:rFonts w:ascii="宋体" w:hAnsi="宋体"/>
          <w:szCs w:val="21"/>
        </w:rPr>
        <w:t>;</w:t>
      </w:r>
    </w:p>
    <w:p>
      <w:pPr>
        <w:spacing w:line="360" w:lineRule="auto"/>
        <w:ind w:firstLine="420" w:firstLineChars="200"/>
        <w:rPr>
          <w:rFonts w:ascii="宋体"/>
          <w:szCs w:val="21"/>
        </w:rPr>
      </w:pPr>
      <w:r>
        <w:rPr>
          <w:rFonts w:ascii="宋体" w:hAnsi="宋体"/>
          <w:szCs w:val="21"/>
        </w:rPr>
        <w:t xml:space="preserve">6) </w:t>
      </w:r>
      <w:r>
        <w:rPr>
          <w:rFonts w:hint="eastAsia" w:ascii="宋体" w:hAnsi="宋体"/>
          <w:szCs w:val="21"/>
        </w:rPr>
        <w:t>验收方案和实施办法</w:t>
      </w:r>
      <w:r>
        <w:rPr>
          <w:rFonts w:ascii="宋体" w:hAnsi="宋体"/>
          <w:szCs w:val="21"/>
        </w:rPr>
        <w:t>(</w:t>
      </w:r>
      <w:r>
        <w:rPr>
          <w:rFonts w:hint="eastAsia" w:ascii="宋体" w:hAnsi="宋体"/>
          <w:szCs w:val="21"/>
        </w:rPr>
        <w:t>乙方应给出系统建设详细的验收建议方案，包括验收项目、验收指标和标准，验收实施办法等</w:t>
      </w:r>
      <w:r>
        <w:rPr>
          <w:rFonts w:ascii="宋体" w:hAnsi="宋体"/>
          <w:szCs w:val="21"/>
        </w:rPr>
        <w:t>)</w:t>
      </w:r>
      <w:r>
        <w:rPr>
          <w:rFonts w:hint="eastAsia" w:ascii="宋体" w:hAnsi="宋体"/>
          <w:szCs w:val="21"/>
        </w:rPr>
        <w:t>；</w:t>
      </w:r>
    </w:p>
    <w:p>
      <w:pPr>
        <w:spacing w:line="360" w:lineRule="auto"/>
        <w:ind w:firstLine="420" w:firstLineChars="200"/>
        <w:rPr>
          <w:rFonts w:ascii="宋体"/>
          <w:szCs w:val="21"/>
        </w:rPr>
      </w:pPr>
      <w:r>
        <w:rPr>
          <w:rFonts w:ascii="宋体" w:hAnsi="宋体"/>
          <w:szCs w:val="21"/>
        </w:rPr>
        <w:t xml:space="preserve">7) </w:t>
      </w:r>
      <w:r>
        <w:rPr>
          <w:rFonts w:hint="eastAsia" w:ascii="宋体" w:hAnsi="宋体"/>
          <w:szCs w:val="21"/>
        </w:rPr>
        <w:t>项目管理方案。</w:t>
      </w:r>
    </w:p>
    <w:p>
      <w:pPr>
        <w:spacing w:line="360" w:lineRule="auto"/>
        <w:outlineLvl w:val="1"/>
        <w:rPr>
          <w:rFonts w:ascii="宋体"/>
          <w:b/>
          <w:szCs w:val="21"/>
        </w:rPr>
      </w:pPr>
      <w:r>
        <w:rPr>
          <w:rFonts w:ascii="宋体" w:hAnsi="宋体"/>
          <w:b/>
          <w:szCs w:val="21"/>
        </w:rPr>
        <w:t>15</w:t>
      </w:r>
      <w:r>
        <w:rPr>
          <w:rFonts w:hint="eastAsia" w:ascii="宋体" w:hAnsi="宋体"/>
          <w:b/>
          <w:szCs w:val="21"/>
        </w:rPr>
        <w:t>．质量保证</w:t>
      </w:r>
    </w:p>
    <w:p>
      <w:pPr>
        <w:spacing w:line="360" w:lineRule="auto"/>
        <w:ind w:firstLine="420" w:firstLineChars="200"/>
        <w:rPr>
          <w:rFonts w:ascii="宋体"/>
          <w:szCs w:val="21"/>
        </w:rPr>
      </w:pPr>
      <w:r>
        <w:rPr>
          <w:rFonts w:ascii="宋体" w:hAnsi="宋体"/>
          <w:szCs w:val="21"/>
        </w:rPr>
        <w:t xml:space="preserve">15.1 </w:t>
      </w:r>
      <w:r>
        <w:rPr>
          <w:rFonts w:hint="eastAsia" w:ascii="宋体" w:hAnsi="宋体"/>
          <w:szCs w:val="21"/>
        </w:rPr>
        <w:t>供应商提供的设备材料必须是全新的，且符合中华人民共和国有关标准、规范。</w:t>
      </w:r>
    </w:p>
    <w:p>
      <w:pPr>
        <w:spacing w:line="360" w:lineRule="auto"/>
        <w:ind w:firstLine="420" w:firstLineChars="200"/>
        <w:rPr>
          <w:rFonts w:ascii="宋体"/>
          <w:szCs w:val="21"/>
        </w:rPr>
      </w:pPr>
      <w:r>
        <w:rPr>
          <w:rFonts w:ascii="宋体" w:hAnsi="宋体"/>
          <w:szCs w:val="21"/>
        </w:rPr>
        <w:t xml:space="preserve">15.2 </w:t>
      </w:r>
      <w:r>
        <w:rPr>
          <w:rFonts w:hint="eastAsia" w:ascii="宋体" w:hAnsi="宋体"/>
          <w:szCs w:val="21"/>
        </w:rPr>
        <w:t>乙方提供至少1年的免费全系统保修服务及提供满足设备1年正常使用的备品备件；本项目的主要设备应提供1年乙方或厂家技术人员上门保修服务。</w:t>
      </w:r>
    </w:p>
    <w:p>
      <w:pPr>
        <w:spacing w:line="360" w:lineRule="auto"/>
        <w:ind w:firstLine="420" w:firstLineChars="200"/>
        <w:rPr>
          <w:rFonts w:ascii="宋体"/>
          <w:szCs w:val="21"/>
        </w:rPr>
      </w:pPr>
      <w:r>
        <w:rPr>
          <w:rFonts w:ascii="宋体" w:hAnsi="宋体"/>
          <w:szCs w:val="21"/>
        </w:rPr>
        <w:t>15.3</w:t>
      </w:r>
      <w:r>
        <w:rPr>
          <w:rFonts w:hint="eastAsia" w:ascii="宋体" w:hAnsi="宋体"/>
          <w:szCs w:val="21"/>
        </w:rPr>
        <w:t>乙方提供终身全系统维修服务。</w:t>
      </w:r>
    </w:p>
    <w:p>
      <w:pPr>
        <w:spacing w:line="360" w:lineRule="auto"/>
        <w:ind w:firstLine="420" w:firstLineChars="200"/>
        <w:rPr>
          <w:rFonts w:ascii="宋体"/>
          <w:szCs w:val="21"/>
        </w:rPr>
      </w:pPr>
      <w:r>
        <w:rPr>
          <w:rFonts w:ascii="宋体" w:hAnsi="宋体"/>
          <w:szCs w:val="21"/>
        </w:rPr>
        <w:t xml:space="preserve">15.4 </w:t>
      </w:r>
      <w:r>
        <w:rPr>
          <w:rFonts w:hint="eastAsia" w:ascii="宋体" w:hAnsi="宋体"/>
          <w:szCs w:val="21"/>
        </w:rPr>
        <w:t>设备各部分必须有相应的技术资料、使用说明资料和维护维修资料，除此之外，还应提供以下资料：</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甲方操作使用说明书（系统手册）；</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设备维护维修指南；</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设备安装手册。</w:t>
      </w:r>
    </w:p>
    <w:p>
      <w:pPr>
        <w:spacing w:line="360" w:lineRule="auto"/>
        <w:outlineLvl w:val="1"/>
        <w:rPr>
          <w:rFonts w:ascii="宋体"/>
          <w:b/>
          <w:szCs w:val="21"/>
        </w:rPr>
      </w:pPr>
      <w:r>
        <w:rPr>
          <w:rFonts w:ascii="宋体" w:hAnsi="宋体"/>
          <w:b/>
          <w:szCs w:val="21"/>
        </w:rPr>
        <w:t xml:space="preserve">16. </w:t>
      </w:r>
      <w:r>
        <w:rPr>
          <w:rFonts w:hint="eastAsia" w:ascii="宋体" w:hAnsi="宋体"/>
          <w:b/>
          <w:szCs w:val="21"/>
        </w:rPr>
        <w:t>检验和验收</w:t>
      </w:r>
    </w:p>
    <w:p>
      <w:pPr>
        <w:spacing w:line="360" w:lineRule="auto"/>
        <w:ind w:firstLine="420" w:firstLineChars="200"/>
        <w:rPr>
          <w:rFonts w:ascii="宋体"/>
          <w:szCs w:val="21"/>
        </w:rPr>
      </w:pPr>
      <w:r>
        <w:rPr>
          <w:rFonts w:ascii="宋体" w:hAnsi="宋体"/>
          <w:szCs w:val="21"/>
        </w:rPr>
        <w:t xml:space="preserve">16.1 </w:t>
      </w:r>
      <w:r>
        <w:rPr>
          <w:rFonts w:hint="eastAsia" w:ascii="宋体" w:hAnsi="宋体"/>
          <w:szCs w:val="21"/>
        </w:rPr>
        <w:t>概述</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合同项下所有项目（货物和服务）须通过合同文件规定的验收程序。</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所有项目及货物验收，乙方都应提交合乎甲方要求的报告。报告的主要内容应包括检验项目、检验目的、工作人员姓名、检验仪器和校准报告、检验方法、结论等。</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涉及货物质量的任何争议，由广东省质检部门进行质量鉴定。经鉴定，货物符合质量标准的，鉴定费由甲方承担；货物不符合质量标准的，鉴定费由乙方承担。</w:t>
      </w:r>
    </w:p>
    <w:p>
      <w:pPr>
        <w:spacing w:line="360" w:lineRule="auto"/>
        <w:ind w:firstLine="420" w:firstLineChars="200"/>
        <w:rPr>
          <w:rFonts w:ascii="宋体"/>
          <w:szCs w:val="21"/>
        </w:rPr>
      </w:pPr>
      <w:r>
        <w:rPr>
          <w:rFonts w:ascii="宋体" w:hAnsi="宋体"/>
          <w:szCs w:val="21"/>
        </w:rPr>
        <w:t xml:space="preserve">16.2 </w:t>
      </w:r>
      <w:r>
        <w:rPr>
          <w:rFonts w:hint="eastAsia" w:ascii="宋体" w:hAnsi="宋体"/>
          <w:szCs w:val="21"/>
        </w:rPr>
        <w:t>货到现场检验</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乙方发货前应对货物的质量、规格、性能和数量</w:t>
      </w:r>
      <w:r>
        <w:rPr>
          <w:rFonts w:ascii="宋体" w:hAnsi="宋体"/>
          <w:szCs w:val="21"/>
        </w:rPr>
        <w:t>/</w:t>
      </w:r>
      <w:r>
        <w:rPr>
          <w:rFonts w:hint="eastAsia" w:ascii="宋体" w:hAnsi="宋体"/>
          <w:szCs w:val="21"/>
        </w:rPr>
        <w:t>重量进行精确全面的检验，并出具证明书，证明货物与合同的规定相符。该证明书将成为向甲方要求付款的单据不可分割的组成部分。甲方认为需要到生产厂家进行出厂检验的，应在发货前</w:t>
      </w:r>
      <w:r>
        <w:rPr>
          <w:rFonts w:ascii="宋体" w:hAnsi="宋体"/>
          <w:szCs w:val="21"/>
        </w:rPr>
        <w:t>5</w:t>
      </w:r>
      <w:r>
        <w:rPr>
          <w:rFonts w:hint="eastAsia" w:ascii="宋体" w:hAnsi="宋体"/>
          <w:szCs w:val="21"/>
        </w:rPr>
        <w:t>日通知乙方，乙方应当作出安排并承担甲方人员的差旅费用。</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所有货物完整地到达甲方指定的交货地点后</w:t>
      </w:r>
      <w:r>
        <w:rPr>
          <w:rFonts w:ascii="宋体" w:hAnsi="宋体"/>
          <w:szCs w:val="21"/>
        </w:rPr>
        <w:t>3</w:t>
      </w:r>
      <w:r>
        <w:rPr>
          <w:rFonts w:hint="eastAsia" w:ascii="宋体" w:hAnsi="宋体"/>
          <w:szCs w:val="21"/>
        </w:rPr>
        <w:t>日，由甲乙方及监理方共同进行开箱检验。开箱检验前发现货物的包装破损的，应如实记录并由甲乙方及监理方签字确认。</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若开箱检验发现货物短缺、破损或与合同规定的数量，型号及外形不符，则甲乙方及监理方应作记录并签字确认。</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若现场检验发生或发现因乙方过失引起导致货物需修理、更换或补充，致使交货时间延迟的，则甲方有权向乙方索赔。由于延迟所造成的损失，有权要求乙方全额赔偿由于上述货物修理、更换或补充所引起甲方承担的额外开支以及工时。</w:t>
      </w:r>
    </w:p>
    <w:p>
      <w:pPr>
        <w:spacing w:line="360" w:lineRule="auto"/>
        <w:ind w:firstLine="420" w:firstLineChars="200"/>
        <w:rPr>
          <w:rFonts w:hint="eastAsia" w:ascii="宋体" w:hAnsi="宋体"/>
          <w:szCs w:val="21"/>
        </w:rPr>
      </w:pPr>
      <w:r>
        <w:rPr>
          <w:rFonts w:ascii="宋体" w:hAnsi="宋体"/>
          <w:szCs w:val="21"/>
        </w:rPr>
        <w:t>5</w:t>
      </w:r>
      <w:r>
        <w:rPr>
          <w:rFonts w:hint="eastAsia" w:ascii="宋体" w:hAnsi="宋体"/>
          <w:szCs w:val="21"/>
        </w:rPr>
        <w:t>）</w:t>
      </w:r>
      <w:r>
        <w:rPr>
          <w:rFonts w:ascii="宋体" w:hAnsi="宋体"/>
          <w:szCs w:val="21"/>
        </w:rPr>
        <w:t xml:space="preserve"> </w:t>
      </w:r>
      <w:r>
        <w:rPr>
          <w:rFonts w:hint="eastAsia" w:ascii="宋体" w:hAnsi="宋体"/>
          <w:szCs w:val="21"/>
        </w:rPr>
        <w:t>参加现场检验的甲</w:t>
      </w:r>
      <w:r>
        <w:rPr>
          <w:rFonts w:ascii="宋体" w:hAnsi="宋体"/>
          <w:szCs w:val="21"/>
        </w:rPr>
        <w:t>/</w:t>
      </w:r>
      <w:r>
        <w:rPr>
          <w:rFonts w:hint="eastAsia" w:ascii="宋体" w:hAnsi="宋体"/>
          <w:szCs w:val="21"/>
        </w:rPr>
        <w:t>乙方代表，必须持有甲</w:t>
      </w:r>
      <w:r>
        <w:rPr>
          <w:rFonts w:ascii="宋体" w:hAnsi="宋体"/>
          <w:szCs w:val="21"/>
        </w:rPr>
        <w:t>/</w:t>
      </w:r>
      <w:r>
        <w:rPr>
          <w:rFonts w:hint="eastAsia" w:ascii="宋体" w:hAnsi="宋体"/>
          <w:szCs w:val="21"/>
        </w:rPr>
        <w:t>乙方授权明确的授权委托书。</w:t>
      </w:r>
    </w:p>
    <w:p>
      <w:pPr>
        <w:spacing w:line="360" w:lineRule="auto"/>
        <w:ind w:firstLine="420" w:firstLineChars="200"/>
        <w:rPr>
          <w:rFonts w:ascii="宋体"/>
          <w:szCs w:val="21"/>
        </w:rPr>
      </w:pPr>
      <w:r>
        <w:rPr>
          <w:rFonts w:hint="eastAsia" w:ascii="宋体" w:hAnsi="宋体"/>
          <w:szCs w:val="21"/>
        </w:rPr>
        <w:t>6） 甲方在货物签收单上签字，仅证明货物包装、外观及设备数量符合合同约定，不能作为有关质量、性能的最终检验，也不免除乙方在安装调试过程中和质量保修期内所应承担的责任。</w:t>
      </w:r>
    </w:p>
    <w:p>
      <w:pPr>
        <w:spacing w:line="360" w:lineRule="auto"/>
        <w:ind w:firstLine="420" w:firstLineChars="200"/>
        <w:rPr>
          <w:rFonts w:ascii="宋体"/>
          <w:szCs w:val="21"/>
        </w:rPr>
      </w:pPr>
      <w:r>
        <w:rPr>
          <w:rFonts w:ascii="宋体" w:hAnsi="宋体"/>
          <w:szCs w:val="21"/>
        </w:rPr>
        <w:t xml:space="preserve">16.3 </w:t>
      </w:r>
      <w:r>
        <w:rPr>
          <w:rFonts w:hint="eastAsia" w:ascii="宋体" w:hAnsi="宋体"/>
          <w:szCs w:val="21"/>
        </w:rPr>
        <w:t>项目验收的具体方式及标准内容；</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采购软硬件产品原厂包装送货，货到甲方指定的安装地点。</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按照甲方要求安装调试完好。</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提供系统整体验收方案，提交完善的系统文档（纸质、磁介质）并提供咨询。</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系统验收要求对各个单项产品的测试和系统联机测试，均达到招报价响应文件要求的性能和产品技术规格中的性能，并实现系统正常运行后进行。</w:t>
      </w:r>
    </w:p>
    <w:p>
      <w:pPr>
        <w:spacing w:line="360" w:lineRule="auto"/>
        <w:ind w:firstLine="420" w:firstLineChars="200"/>
        <w:rPr>
          <w:rFonts w:ascii="宋体"/>
          <w:szCs w:val="21"/>
        </w:rPr>
      </w:pPr>
      <w:r>
        <w:rPr>
          <w:rFonts w:ascii="宋体" w:hAnsi="宋体"/>
          <w:szCs w:val="21"/>
        </w:rPr>
        <w:t>5</w:t>
      </w:r>
      <w:r>
        <w:rPr>
          <w:rFonts w:hint="eastAsia" w:ascii="宋体" w:hAnsi="宋体"/>
          <w:szCs w:val="21"/>
        </w:rPr>
        <w:t>）</w:t>
      </w:r>
      <w:r>
        <w:rPr>
          <w:rFonts w:ascii="宋体" w:hAnsi="宋体"/>
          <w:szCs w:val="21"/>
        </w:rPr>
        <w:t xml:space="preserve"> </w:t>
      </w:r>
      <w:r>
        <w:rPr>
          <w:rFonts w:hint="eastAsia" w:ascii="宋体" w:hAnsi="宋体"/>
          <w:szCs w:val="21"/>
        </w:rPr>
        <w:t>乙方应负责在项目验收前将系统的全部有关产品说明书、设备制造商安装手册、技术文件、资料、已购买承诺的设备制造商保修维护发票或证明、及安装、测试、验收报告等文档汇编成册交付甲方。</w:t>
      </w:r>
    </w:p>
    <w:p>
      <w:pPr>
        <w:spacing w:line="360" w:lineRule="auto"/>
        <w:ind w:firstLine="420" w:firstLineChars="200"/>
        <w:rPr>
          <w:rFonts w:ascii="宋体"/>
          <w:szCs w:val="21"/>
        </w:rPr>
      </w:pPr>
      <w:r>
        <w:rPr>
          <w:rFonts w:ascii="宋体" w:hAnsi="宋体"/>
          <w:szCs w:val="21"/>
        </w:rPr>
        <w:t>6</w:t>
      </w:r>
      <w:r>
        <w:rPr>
          <w:rFonts w:hint="eastAsia" w:ascii="宋体" w:hAnsi="宋体"/>
          <w:szCs w:val="21"/>
        </w:rPr>
        <w:t>）</w:t>
      </w:r>
      <w:r>
        <w:rPr>
          <w:rFonts w:ascii="宋体" w:hAnsi="宋体"/>
          <w:szCs w:val="21"/>
        </w:rPr>
        <w:t xml:space="preserve"> </w:t>
      </w:r>
      <w:r>
        <w:rPr>
          <w:rFonts w:hint="eastAsia" w:ascii="宋体" w:hAnsi="宋体"/>
          <w:szCs w:val="21"/>
        </w:rPr>
        <w:t>甲方在收到上述文档资料后，才予以项目验收，否则有权不予验收。</w:t>
      </w:r>
    </w:p>
    <w:p>
      <w:pPr>
        <w:spacing w:line="360" w:lineRule="auto"/>
        <w:ind w:firstLine="420" w:firstLineChars="200"/>
        <w:rPr>
          <w:rFonts w:ascii="宋体"/>
          <w:szCs w:val="21"/>
        </w:rPr>
      </w:pPr>
      <w:r>
        <w:rPr>
          <w:rFonts w:ascii="宋体" w:hAnsi="宋体"/>
          <w:szCs w:val="21"/>
        </w:rPr>
        <w:t>7</w:t>
      </w:r>
      <w:r>
        <w:rPr>
          <w:rFonts w:hint="eastAsia" w:ascii="宋体" w:hAnsi="宋体"/>
          <w:szCs w:val="21"/>
        </w:rPr>
        <w:t>）</w:t>
      </w:r>
      <w:r>
        <w:rPr>
          <w:rFonts w:ascii="宋体" w:hAnsi="宋体"/>
          <w:szCs w:val="21"/>
        </w:rPr>
        <w:t xml:space="preserve"> </w:t>
      </w:r>
      <w:r>
        <w:rPr>
          <w:rFonts w:hint="eastAsia" w:ascii="宋体" w:hAnsi="宋体"/>
          <w:szCs w:val="21"/>
        </w:rPr>
        <w:t>系统验收时，乙方对项目单位标书中所有设备、软件，应将与有关各制造商签约及有关技术合同、维护服务等文件以副本形式提供给项目单位一份并作为系统验收必要条件之一。</w:t>
      </w:r>
    </w:p>
    <w:p>
      <w:pPr>
        <w:spacing w:line="360" w:lineRule="auto"/>
        <w:ind w:firstLine="420" w:firstLineChars="200"/>
        <w:rPr>
          <w:rFonts w:ascii="宋体"/>
          <w:szCs w:val="21"/>
        </w:rPr>
      </w:pPr>
      <w:r>
        <w:rPr>
          <w:rFonts w:ascii="宋体" w:hAnsi="宋体"/>
          <w:szCs w:val="21"/>
        </w:rPr>
        <w:t>8</w:t>
      </w:r>
      <w:r>
        <w:rPr>
          <w:rFonts w:hint="eastAsia" w:ascii="宋体" w:hAnsi="宋体"/>
          <w:szCs w:val="21"/>
        </w:rPr>
        <w:t>）</w:t>
      </w:r>
      <w:r>
        <w:rPr>
          <w:rFonts w:ascii="宋体" w:hAnsi="宋体"/>
          <w:szCs w:val="21"/>
        </w:rPr>
        <w:t xml:space="preserve"> </w:t>
      </w:r>
      <w:r>
        <w:rPr>
          <w:rFonts w:hint="eastAsia" w:ascii="宋体" w:hAnsi="宋体"/>
          <w:szCs w:val="21"/>
        </w:rPr>
        <w:t>甲方在乙方按合同内容完成全部建设并提出验收申请与竣工文件后的</w:t>
      </w:r>
      <w:r>
        <w:rPr>
          <w:rFonts w:ascii="宋体" w:hAnsi="宋体"/>
          <w:szCs w:val="21"/>
        </w:rPr>
        <w:t xml:space="preserve"> 10 </w:t>
      </w:r>
      <w:r>
        <w:rPr>
          <w:rFonts w:hint="eastAsia" w:ascii="宋体" w:hAnsi="宋体"/>
          <w:szCs w:val="21"/>
        </w:rPr>
        <w:t>个工作日内进行验收。验收方案由甲方单位最终确定，验收工作由甲方共同负责，乙方配合。在验收时乙方自行组织验收测试用设备、测试所需的测试用例和人员，并在甲方的监查下现场进行测试和验收。</w:t>
      </w:r>
    </w:p>
    <w:p>
      <w:pPr>
        <w:spacing w:line="360" w:lineRule="auto"/>
        <w:ind w:firstLine="420" w:firstLineChars="200"/>
        <w:rPr>
          <w:rFonts w:ascii="宋体"/>
          <w:szCs w:val="21"/>
        </w:rPr>
      </w:pPr>
      <w:r>
        <w:rPr>
          <w:rFonts w:ascii="宋体" w:hAnsi="宋体"/>
          <w:szCs w:val="21"/>
        </w:rPr>
        <w:t>9</w:t>
      </w:r>
      <w:r>
        <w:rPr>
          <w:rFonts w:hint="eastAsia" w:ascii="宋体" w:hAnsi="宋体"/>
          <w:szCs w:val="21"/>
        </w:rPr>
        <w:t>）项目竣工验收工作，乙方必须做好验收准备工作，包括将有关产品说明书、安装手册、技术文件、资料、安装、测试报告等文档汇集成册交付甲方，验收方案和验收文档清单必须得到甲方确认。验收通过后进行试运行，试运行期为1个月。验收通过后系统正式启用。如在试运行期间出现非甲方原因造成的重大故障，导致试运行无法进行，试运行期自动中止，自乙方排除故障之日起继续计算试运行期。若甲方未在乙方提出验收申请之日起</w:t>
      </w:r>
      <w:r>
        <w:rPr>
          <w:rFonts w:ascii="宋体" w:hAnsi="宋体"/>
          <w:szCs w:val="21"/>
        </w:rPr>
        <w:t>10</w:t>
      </w:r>
      <w:r>
        <w:rPr>
          <w:rFonts w:hint="eastAsia" w:ascii="宋体" w:hAnsi="宋体"/>
          <w:szCs w:val="21"/>
        </w:rPr>
        <w:t>个工作日内办理组织验收的手续或提出异议的，期满则视为自动验收合格。</w:t>
      </w:r>
    </w:p>
    <w:p>
      <w:pPr>
        <w:spacing w:line="360" w:lineRule="auto"/>
        <w:ind w:firstLine="420" w:firstLineChars="200"/>
        <w:rPr>
          <w:rFonts w:ascii="宋体"/>
          <w:szCs w:val="21"/>
        </w:rPr>
      </w:pPr>
      <w:r>
        <w:rPr>
          <w:rFonts w:ascii="宋体" w:hAnsi="宋体"/>
          <w:szCs w:val="21"/>
        </w:rPr>
        <w:t>10</w:t>
      </w:r>
      <w:r>
        <w:rPr>
          <w:rFonts w:hint="eastAsia" w:ascii="宋体" w:hAnsi="宋体"/>
          <w:szCs w:val="21"/>
        </w:rPr>
        <w:t>）</w:t>
      </w:r>
      <w:r>
        <w:rPr>
          <w:rFonts w:ascii="宋体" w:hAnsi="宋体"/>
          <w:szCs w:val="21"/>
        </w:rPr>
        <w:t xml:space="preserve"> </w:t>
      </w:r>
      <w:r>
        <w:rPr>
          <w:rFonts w:hint="eastAsia" w:ascii="宋体" w:hAnsi="宋体"/>
          <w:szCs w:val="21"/>
        </w:rPr>
        <w:t>若验收不通过，乙方应：</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、对验收过程发现的问题进行整改；</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、复查系统中是否存在类似问题或相关问题，并进行相应的改进。</w:t>
      </w:r>
    </w:p>
    <w:p>
      <w:pPr>
        <w:spacing w:line="360" w:lineRule="auto"/>
        <w:ind w:firstLine="420" w:firstLineChars="200"/>
        <w:rPr>
          <w:rFonts w:ascii="宋体"/>
          <w:szCs w:val="21"/>
        </w:rPr>
      </w:pPr>
      <w:r>
        <w:rPr>
          <w:rFonts w:hint="eastAsia" w:ascii="宋体" w:hAnsi="宋体"/>
          <w:szCs w:val="21"/>
        </w:rPr>
        <w:t>完成整改后：</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、再次对系统实施检测。</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、修改竣工文件。</w:t>
      </w:r>
    </w:p>
    <w:p>
      <w:pPr>
        <w:spacing w:line="360" w:lineRule="auto"/>
        <w:ind w:firstLine="420" w:firstLineChars="200"/>
        <w:rPr>
          <w:rFonts w:ascii="宋体"/>
          <w:szCs w:val="21"/>
        </w:rPr>
      </w:pPr>
      <w:r>
        <w:rPr>
          <w:rFonts w:hint="eastAsia" w:ascii="宋体" w:hAnsi="宋体"/>
          <w:szCs w:val="21"/>
        </w:rPr>
        <w:t>再次提交验收申请和竣工文件，从第二次（包含第二次）验收起，乙方应为每次验收支付验收费。全部重新验收的每次费用为人民币</w:t>
      </w:r>
      <w:r>
        <w:rPr>
          <w:rFonts w:ascii="宋体" w:hAnsi="宋体"/>
          <w:szCs w:val="21"/>
        </w:rPr>
        <w:t xml:space="preserve"> 10000 </w:t>
      </w:r>
      <w:r>
        <w:rPr>
          <w:rFonts w:hint="eastAsia" w:ascii="宋体" w:hAnsi="宋体"/>
          <w:szCs w:val="21"/>
        </w:rPr>
        <w:t>元，部分验收的每次费用为人民币</w:t>
      </w:r>
      <w:r>
        <w:rPr>
          <w:rFonts w:ascii="宋体" w:hAnsi="宋体"/>
          <w:szCs w:val="21"/>
        </w:rPr>
        <w:t xml:space="preserve">5000 </w:t>
      </w:r>
      <w:r>
        <w:rPr>
          <w:rFonts w:hint="eastAsia" w:ascii="宋体" w:hAnsi="宋体"/>
          <w:szCs w:val="21"/>
        </w:rPr>
        <w:t>元。</w:t>
      </w:r>
    </w:p>
    <w:p>
      <w:pPr>
        <w:spacing w:line="360" w:lineRule="auto"/>
        <w:outlineLvl w:val="1"/>
        <w:rPr>
          <w:rFonts w:ascii="宋体"/>
          <w:b/>
          <w:szCs w:val="21"/>
        </w:rPr>
      </w:pPr>
      <w:r>
        <w:rPr>
          <w:rFonts w:ascii="宋体" w:hAnsi="宋体"/>
          <w:b/>
          <w:szCs w:val="21"/>
        </w:rPr>
        <w:t>17.</w:t>
      </w:r>
      <w:r>
        <w:rPr>
          <w:rFonts w:hint="eastAsia" w:ascii="宋体" w:hAnsi="宋体"/>
          <w:b/>
          <w:szCs w:val="21"/>
        </w:rPr>
        <w:t>合同价款</w:t>
      </w:r>
    </w:p>
    <w:p>
      <w:pPr>
        <w:spacing w:line="360" w:lineRule="auto"/>
        <w:rPr>
          <w:rFonts w:ascii="宋体"/>
          <w:szCs w:val="21"/>
        </w:rPr>
      </w:pPr>
      <w:r>
        <w:rPr>
          <w:rFonts w:hint="eastAsia" w:ascii="宋体" w:hAnsi="宋体"/>
          <w:szCs w:val="21"/>
        </w:rPr>
        <w:t>本合同总金额为人民币</w:t>
      </w:r>
      <w:r>
        <w:rPr>
          <w:rFonts w:hint="eastAsia" w:ascii="宋体" w:hAnsi="宋体"/>
          <w:b/>
          <w:szCs w:val="21"/>
          <w:u w:val="single"/>
        </w:rPr>
        <w:t xml:space="preserve">     （小写</w:t>
      </w:r>
      <w:r>
        <w:rPr>
          <w:rFonts w:ascii="宋体" w:hAnsi="宋体"/>
          <w:b/>
          <w:szCs w:val="21"/>
          <w:u w:val="single"/>
        </w:rPr>
        <w:t>:</w:t>
      </w:r>
      <w:r>
        <w:rPr>
          <w:rFonts w:ascii="宋体" w:hAnsi="宋体" w:cs="宋体"/>
          <w:b/>
          <w:color w:val="000000"/>
          <w:szCs w:val="21"/>
          <w:u w:val="single"/>
        </w:rPr>
        <w:t xml:space="preserve"> </w:t>
      </w:r>
      <w:r>
        <w:rPr>
          <w:rFonts w:hint="eastAsia" w:ascii="宋体" w:hAnsi="宋体" w:cs="宋体"/>
          <w:b/>
          <w:color w:val="000000"/>
          <w:szCs w:val="21"/>
          <w:u w:val="single"/>
        </w:rPr>
        <w:t>￥</w:t>
      </w:r>
      <w:r>
        <w:rPr>
          <w:rFonts w:hint="eastAsia" w:ascii="宋体" w:hAnsi="宋体"/>
          <w:b/>
          <w:szCs w:val="21"/>
          <w:u w:val="single"/>
        </w:rPr>
        <w:t xml:space="preserve"> 元）</w:t>
      </w:r>
      <w:r>
        <w:rPr>
          <w:rFonts w:hint="eastAsia" w:ascii="宋体" w:hAnsi="宋体"/>
          <w:szCs w:val="21"/>
        </w:rPr>
        <w:t>。该合同总金额为乙方完成本合同服务内容的总费用，已包含安装、调试、拆卸、运输、保险、技术援助、培训以及其它的伴随服务费用，和税费等，在合同执行期间，合同价格不作任何调整。</w:t>
      </w:r>
    </w:p>
    <w:p>
      <w:pPr>
        <w:spacing w:line="360" w:lineRule="auto"/>
        <w:rPr>
          <w:rFonts w:ascii="宋体"/>
          <w:b/>
          <w:szCs w:val="21"/>
        </w:rPr>
      </w:pPr>
      <w:r>
        <w:rPr>
          <w:rFonts w:ascii="宋体" w:hAnsi="宋体"/>
          <w:b/>
          <w:szCs w:val="21"/>
        </w:rPr>
        <w:t>18.</w:t>
      </w:r>
      <w:r>
        <w:rPr>
          <w:rFonts w:hint="eastAsia" w:ascii="宋体" w:hAnsi="宋体"/>
          <w:b/>
          <w:szCs w:val="21"/>
        </w:rPr>
        <w:t>付款</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）合同签订后，乙方按合同规定向甲方提交履约保证金，提出付款申请，甲方审核同意支付并收到乙方交付的履约保证金和等额有效发票后</w:t>
      </w:r>
      <w:r>
        <w:rPr>
          <w:rFonts w:ascii="宋体" w:hAnsi="宋体"/>
          <w:szCs w:val="21"/>
        </w:rPr>
        <w:t xml:space="preserve">10 </w:t>
      </w:r>
      <w:r>
        <w:rPr>
          <w:rFonts w:hint="eastAsia" w:ascii="宋体" w:hAnsi="宋体"/>
          <w:szCs w:val="21"/>
        </w:rPr>
        <w:t>个工作日内，甲方办理支付合同金额3</w:t>
      </w:r>
      <w:r>
        <w:rPr>
          <w:rFonts w:ascii="宋体" w:hAnsi="宋体"/>
          <w:szCs w:val="21"/>
        </w:rPr>
        <w:t>0%</w:t>
      </w:r>
      <w:r>
        <w:rPr>
          <w:rFonts w:hint="eastAsia" w:ascii="宋体" w:hAnsi="宋体"/>
          <w:szCs w:val="21"/>
        </w:rPr>
        <w:t>（共计人民币</w:t>
      </w:r>
      <w:r>
        <w:rPr>
          <w:rFonts w:hint="eastAsia" w:ascii="宋体" w:hAnsi="宋体"/>
          <w:szCs w:val="21"/>
          <w:u w:val="single"/>
        </w:rPr>
        <w:t xml:space="preserve">      </w:t>
      </w:r>
      <w:r>
        <w:rPr>
          <w:rFonts w:hint="eastAsia" w:ascii="宋体" w:hAnsi="宋体"/>
          <w:szCs w:val="21"/>
        </w:rPr>
        <w:t>元）的款项给乙方的手续；</w:t>
      </w:r>
    </w:p>
    <w:p>
      <w:pPr>
        <w:spacing w:line="360" w:lineRule="auto"/>
        <w:ind w:firstLine="420" w:firstLineChars="200"/>
        <w:rPr>
          <w:rFonts w:ascii="宋体"/>
          <w:szCs w:val="21"/>
        </w:rPr>
      </w:pPr>
      <w:r>
        <w:rPr>
          <w:rFonts w:hint="eastAsia" w:ascii="宋体" w:hAnsi="宋体"/>
          <w:szCs w:val="21"/>
        </w:rPr>
        <w:t>2）项目通过最终验收及结算审核后，乙方提出付款申请，甲方审核同意支付并收到乙方交付的等额有效发票后</w:t>
      </w:r>
      <w:r>
        <w:rPr>
          <w:rFonts w:ascii="宋体" w:hAnsi="宋体"/>
          <w:szCs w:val="21"/>
        </w:rPr>
        <w:t>10</w:t>
      </w:r>
      <w:r>
        <w:rPr>
          <w:rFonts w:hint="eastAsia" w:ascii="宋体" w:hAnsi="宋体"/>
          <w:szCs w:val="21"/>
        </w:rPr>
        <w:t>个工作日内，甲方办理将款项支付至结算审定后合同结算总金额的</w:t>
      </w:r>
      <w:r>
        <w:rPr>
          <w:rFonts w:ascii="宋体" w:hAnsi="宋体"/>
          <w:szCs w:val="21"/>
        </w:rPr>
        <w:t>100%</w:t>
      </w:r>
      <w:r>
        <w:rPr>
          <w:rFonts w:hint="eastAsia" w:ascii="宋体" w:hAnsi="宋体"/>
          <w:szCs w:val="21"/>
        </w:rPr>
        <w:t>的手续；</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3）</w:t>
      </w:r>
      <w:r>
        <w:rPr>
          <w:rFonts w:hint="eastAsia"/>
        </w:rPr>
        <w:t>待项目通过最终验收并正常使用1年，且乙方于此一年内依约全面履行合同约定的各项义务</w:t>
      </w:r>
      <w:r>
        <w:rPr>
          <w:rFonts w:hint="eastAsia" w:ascii="宋体" w:hAnsi="宋体"/>
          <w:szCs w:val="21"/>
        </w:rPr>
        <w:t>，无发生重大质量问题，到期后乙方提出退款申请并经甲方审核同意后的</w:t>
      </w:r>
      <w:r>
        <w:rPr>
          <w:rFonts w:ascii="宋体" w:hAnsi="宋体"/>
          <w:szCs w:val="21"/>
        </w:rPr>
        <w:t xml:space="preserve">10 </w:t>
      </w:r>
      <w:r>
        <w:rPr>
          <w:rFonts w:hint="eastAsia" w:ascii="宋体" w:hAnsi="宋体"/>
          <w:szCs w:val="21"/>
        </w:rPr>
        <w:t>个工作日内，甲方办理将履约保证金无息退还给乙方的支付手续；</w:t>
      </w:r>
    </w:p>
    <w:p>
      <w:pPr>
        <w:spacing w:line="360" w:lineRule="auto"/>
        <w:ind w:firstLine="420" w:firstLineChars="200"/>
        <w:rPr>
          <w:rFonts w:hint="eastAsia" w:ascii="宋体" w:hAnsi="宋体" w:cs="Times New Roman"/>
          <w:szCs w:val="21"/>
        </w:rPr>
      </w:pPr>
      <w:r>
        <w:rPr>
          <w:rFonts w:hint="eastAsia" w:ascii="宋体" w:hAnsi="宋体"/>
          <w:szCs w:val="21"/>
        </w:rPr>
        <w:t>4）上述时间不包括甲方正常办理支付报批手续的时间，待甲方项目建设财政资金到位后再予以办理各</w:t>
      </w:r>
      <w:r>
        <w:rPr>
          <w:rFonts w:hint="eastAsia" w:ascii="宋体" w:hAnsi="宋体" w:cs="Times New Roman"/>
          <w:szCs w:val="21"/>
        </w:rPr>
        <w:t>笔合同进度款的支付手续。甲方应督促监理方在乙方提供付款申请后10个工作日内完成审核，无故逾期未审核的，视为同意付款。</w:t>
      </w:r>
    </w:p>
    <w:p>
      <w:pPr>
        <w:spacing w:line="360" w:lineRule="auto"/>
        <w:ind w:firstLine="420" w:firstLineChars="200"/>
        <w:rPr>
          <w:rFonts w:hint="eastAsia" w:ascii="宋体" w:hAnsi="宋体" w:cs="Times New Roman"/>
          <w:szCs w:val="21"/>
        </w:rPr>
      </w:pPr>
      <w:r>
        <w:rPr>
          <w:rFonts w:hint="eastAsia" w:ascii="宋体" w:hAnsi="宋体" w:cs="Times New Roman"/>
          <w:szCs w:val="21"/>
        </w:rPr>
        <w:t>5）因乙方过错造成无法按合同约定的时间安排进行有关工作，甲方有权在相应的付款时间段推迟付款，直至乙方完成此时间段的工作为止。</w:t>
      </w:r>
    </w:p>
    <w:p>
      <w:pPr>
        <w:spacing w:line="360" w:lineRule="auto"/>
        <w:outlineLvl w:val="1"/>
        <w:rPr>
          <w:rFonts w:ascii="宋体"/>
          <w:b/>
          <w:szCs w:val="21"/>
        </w:rPr>
      </w:pPr>
      <w:r>
        <w:rPr>
          <w:rFonts w:ascii="宋体" w:hAnsi="宋体"/>
          <w:b/>
          <w:szCs w:val="21"/>
        </w:rPr>
        <w:t>19</w:t>
      </w:r>
      <w:r>
        <w:rPr>
          <w:rFonts w:hint="eastAsia" w:ascii="宋体" w:hAnsi="宋体"/>
          <w:b/>
          <w:szCs w:val="21"/>
        </w:rPr>
        <w:t>．</w:t>
      </w:r>
      <w:r>
        <w:rPr>
          <w:rFonts w:ascii="宋体" w:hAnsi="宋体"/>
          <w:b/>
          <w:szCs w:val="21"/>
        </w:rPr>
        <w:t xml:space="preserve"> </w:t>
      </w:r>
      <w:r>
        <w:rPr>
          <w:rFonts w:hint="eastAsia" w:ascii="宋体" w:hAnsi="宋体"/>
          <w:b/>
          <w:szCs w:val="21"/>
        </w:rPr>
        <w:t>售后服务和培训要求</w:t>
      </w:r>
    </w:p>
    <w:p>
      <w:pPr>
        <w:spacing w:line="360" w:lineRule="auto"/>
        <w:ind w:firstLine="420" w:firstLineChars="200"/>
        <w:rPr>
          <w:rFonts w:ascii="宋体"/>
          <w:szCs w:val="21"/>
        </w:rPr>
      </w:pPr>
      <w:r>
        <w:rPr>
          <w:rFonts w:ascii="宋体" w:hAnsi="宋体"/>
          <w:szCs w:val="21"/>
        </w:rPr>
        <w:t xml:space="preserve">19.1 </w:t>
      </w:r>
      <w:r>
        <w:rPr>
          <w:rFonts w:hint="eastAsia" w:ascii="宋体" w:hAnsi="宋体"/>
          <w:szCs w:val="21"/>
        </w:rPr>
        <w:t>售后服务</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本工程的所有设备乙方必须提供1年的质量保证承诺；软件需提供厂家售后服务，厂家承诺免费升级服务不少于1年；涉及有关综合布线材料和工艺，保修期为十五年。质量保证期自甲、乙方在项目最终验收通过的有关单证上签字盖章之日起开始计算。质量保证期内保修费用由乙方负责，不得再向甲方收取任何费用。因甲方原因未及时在验收通过的单证上签字盖章的，自乙方在申请验收的单证上签字盖章之日起满</w:t>
      </w:r>
      <w:r>
        <w:rPr>
          <w:rFonts w:ascii="宋体" w:hAnsi="宋体"/>
          <w:szCs w:val="21"/>
        </w:rPr>
        <w:t>10</w:t>
      </w:r>
      <w:r>
        <w:rPr>
          <w:rFonts w:hint="eastAsia" w:ascii="宋体" w:hAnsi="宋体"/>
          <w:szCs w:val="21"/>
        </w:rPr>
        <w:t>个工作日后，开始计算质量保证期。</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质量保证期内非甲方的人为原因而出现产品质量问题不能在规定时间内修复的，由乙方负责在</w:t>
      </w:r>
      <w:r>
        <w:rPr>
          <w:rFonts w:ascii="宋体" w:hAnsi="宋体"/>
          <w:szCs w:val="21"/>
        </w:rPr>
        <w:t xml:space="preserve"> 5 </w:t>
      </w:r>
      <w:r>
        <w:rPr>
          <w:rFonts w:hint="eastAsia" w:ascii="宋体" w:hAnsi="宋体"/>
          <w:szCs w:val="21"/>
        </w:rPr>
        <w:t>个工作日内更换，并承担因此而产生的一切费用。</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维修、保养服务需保证以上设备需更换的常用备（配）件有充足的库存在甲方指定的地点。如果设备故障在检修</w:t>
      </w:r>
      <w:r>
        <w:rPr>
          <w:rFonts w:ascii="宋体" w:hAnsi="宋体"/>
          <w:szCs w:val="21"/>
        </w:rPr>
        <w:t xml:space="preserve"> 8 </w:t>
      </w:r>
      <w:r>
        <w:rPr>
          <w:rFonts w:hint="eastAsia" w:ascii="宋体" w:hAnsi="宋体"/>
          <w:szCs w:val="21"/>
        </w:rPr>
        <w:t>小时后仍无法排除，乙方必须在</w:t>
      </w:r>
      <w:r>
        <w:rPr>
          <w:rFonts w:ascii="宋体" w:hAnsi="宋体"/>
          <w:szCs w:val="21"/>
        </w:rPr>
        <w:t xml:space="preserve"> 48 </w:t>
      </w:r>
      <w:r>
        <w:rPr>
          <w:rFonts w:hint="eastAsia" w:ascii="宋体" w:hAnsi="宋体"/>
          <w:szCs w:val="21"/>
        </w:rPr>
        <w:t>小时内提供不低于故障设备规格型号档次的备用设备供用户单位免费使用，直至故障设备修复。</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乙方应提供技术更新方面的服务，甲方如有需要，必须对所提供的软件提供终身维护和技术支持（不涉及硬件的更换）。</w:t>
      </w:r>
    </w:p>
    <w:p>
      <w:pPr>
        <w:spacing w:line="360" w:lineRule="auto"/>
        <w:ind w:firstLine="420" w:firstLineChars="200"/>
        <w:rPr>
          <w:rFonts w:ascii="宋体"/>
          <w:szCs w:val="21"/>
        </w:rPr>
      </w:pPr>
      <w:r>
        <w:rPr>
          <w:rFonts w:ascii="宋体" w:hAnsi="宋体"/>
          <w:szCs w:val="21"/>
        </w:rPr>
        <w:t>5</w:t>
      </w:r>
      <w:r>
        <w:rPr>
          <w:rFonts w:hint="eastAsia" w:ascii="宋体" w:hAnsi="宋体"/>
          <w:szCs w:val="21"/>
        </w:rPr>
        <w:t>）</w:t>
      </w:r>
      <w:r>
        <w:rPr>
          <w:rFonts w:ascii="宋体" w:hAnsi="宋体"/>
          <w:szCs w:val="21"/>
        </w:rPr>
        <w:t xml:space="preserve"> </w:t>
      </w:r>
      <w:r>
        <w:rPr>
          <w:rFonts w:hint="eastAsia" w:ascii="宋体" w:hAnsi="宋体"/>
          <w:szCs w:val="21"/>
        </w:rPr>
        <w:t>下列情况乙方不负责免费保修：</w:t>
      </w:r>
    </w:p>
    <w:p>
      <w:pPr>
        <w:spacing w:line="360" w:lineRule="auto"/>
        <w:ind w:firstLine="420" w:firstLineChars="200"/>
        <w:rPr>
          <w:rFonts w:ascii="宋体"/>
          <w:szCs w:val="21"/>
        </w:rPr>
      </w:pPr>
      <w:r>
        <w:rPr>
          <w:rFonts w:ascii="宋体" w:hAnsi="宋体"/>
          <w:szCs w:val="21"/>
        </w:rPr>
        <w:t>A</w:t>
      </w:r>
      <w:r>
        <w:rPr>
          <w:rFonts w:hint="eastAsia" w:ascii="宋体" w:hAnsi="宋体"/>
          <w:szCs w:val="21"/>
        </w:rPr>
        <w:t>）</w:t>
      </w:r>
      <w:r>
        <w:rPr>
          <w:rFonts w:ascii="宋体" w:hAnsi="宋体"/>
          <w:szCs w:val="21"/>
        </w:rPr>
        <w:t xml:space="preserve"> </w:t>
      </w:r>
      <w:r>
        <w:rPr>
          <w:rFonts w:hint="eastAsia" w:ascii="宋体" w:hAnsi="宋体"/>
          <w:szCs w:val="21"/>
        </w:rPr>
        <w:t>甲方不按照乙方提供的正确使用方法而引致货物故障损坏；</w:t>
      </w:r>
    </w:p>
    <w:p>
      <w:pPr>
        <w:spacing w:line="360" w:lineRule="auto"/>
        <w:ind w:firstLine="420" w:firstLineChars="200"/>
        <w:rPr>
          <w:rFonts w:ascii="宋体"/>
          <w:szCs w:val="21"/>
        </w:rPr>
      </w:pPr>
      <w:r>
        <w:rPr>
          <w:rFonts w:ascii="宋体" w:hAnsi="宋体"/>
          <w:szCs w:val="21"/>
        </w:rPr>
        <w:t>B</w:t>
      </w:r>
      <w:r>
        <w:rPr>
          <w:rFonts w:hint="eastAsia" w:ascii="宋体" w:hAnsi="宋体"/>
          <w:szCs w:val="21"/>
        </w:rPr>
        <w:t>）</w:t>
      </w:r>
      <w:r>
        <w:rPr>
          <w:rFonts w:ascii="宋体" w:hAnsi="宋体"/>
          <w:szCs w:val="21"/>
        </w:rPr>
        <w:t xml:space="preserve"> </w:t>
      </w:r>
      <w:r>
        <w:rPr>
          <w:rFonts w:hint="eastAsia" w:ascii="宋体" w:hAnsi="宋体"/>
          <w:szCs w:val="21"/>
        </w:rPr>
        <w:t>擅自改装货物；</w:t>
      </w:r>
    </w:p>
    <w:p>
      <w:pPr>
        <w:spacing w:line="360" w:lineRule="auto"/>
        <w:ind w:firstLine="420" w:firstLineChars="200"/>
        <w:rPr>
          <w:rFonts w:ascii="宋体"/>
          <w:szCs w:val="21"/>
        </w:rPr>
      </w:pPr>
      <w:r>
        <w:rPr>
          <w:rFonts w:ascii="宋体" w:hAnsi="宋体"/>
          <w:szCs w:val="21"/>
        </w:rPr>
        <w:t>C</w:t>
      </w:r>
      <w:r>
        <w:rPr>
          <w:rFonts w:hint="eastAsia" w:ascii="宋体" w:hAnsi="宋体"/>
          <w:szCs w:val="21"/>
        </w:rPr>
        <w:t>）</w:t>
      </w:r>
      <w:r>
        <w:rPr>
          <w:rFonts w:ascii="宋体" w:hAnsi="宋体"/>
          <w:szCs w:val="21"/>
        </w:rPr>
        <w:t xml:space="preserve"> </w:t>
      </w:r>
      <w:r>
        <w:rPr>
          <w:rFonts w:hint="eastAsia" w:ascii="宋体" w:hAnsi="宋体"/>
          <w:szCs w:val="21"/>
        </w:rPr>
        <w:t>各种人为因素或不可抗力因素造成的损坏。</w:t>
      </w:r>
    </w:p>
    <w:p>
      <w:pPr>
        <w:spacing w:line="360" w:lineRule="auto"/>
        <w:ind w:firstLine="420" w:firstLineChars="200"/>
        <w:rPr>
          <w:rFonts w:ascii="宋体"/>
          <w:szCs w:val="21"/>
        </w:rPr>
      </w:pPr>
      <w:r>
        <w:rPr>
          <w:rFonts w:ascii="宋体" w:hAnsi="宋体"/>
          <w:szCs w:val="21"/>
        </w:rPr>
        <w:t>6</w:t>
      </w:r>
      <w:r>
        <w:rPr>
          <w:rFonts w:hint="eastAsia" w:ascii="宋体" w:hAnsi="宋体"/>
          <w:szCs w:val="21"/>
        </w:rPr>
        <w:t>）</w:t>
      </w:r>
      <w:r>
        <w:rPr>
          <w:rFonts w:ascii="宋体" w:hAnsi="宋体"/>
          <w:szCs w:val="21"/>
        </w:rPr>
        <w:t xml:space="preserve"> </w:t>
      </w:r>
      <w:r>
        <w:rPr>
          <w:rFonts w:hint="eastAsia" w:ascii="宋体" w:hAnsi="宋体"/>
          <w:szCs w:val="21"/>
        </w:rPr>
        <w:t>存储设备如需要返修的，须对存储的资料进行备份并作保密处理方可带离，防止泄密。乙方有责任和义务对存储的资料进行保密。</w:t>
      </w:r>
    </w:p>
    <w:p>
      <w:pPr>
        <w:spacing w:line="360" w:lineRule="auto"/>
        <w:ind w:firstLine="420" w:firstLineChars="200"/>
        <w:rPr>
          <w:rFonts w:ascii="宋体"/>
          <w:szCs w:val="21"/>
        </w:rPr>
      </w:pPr>
      <w:r>
        <w:rPr>
          <w:rFonts w:ascii="宋体" w:hAnsi="宋体"/>
          <w:szCs w:val="21"/>
        </w:rPr>
        <w:t>7</w:t>
      </w:r>
      <w:r>
        <w:rPr>
          <w:rFonts w:hint="eastAsia" w:ascii="宋体" w:hAnsi="宋体"/>
          <w:szCs w:val="21"/>
        </w:rPr>
        <w:t>）</w:t>
      </w:r>
      <w:r>
        <w:rPr>
          <w:rFonts w:ascii="宋体" w:hAnsi="宋体"/>
          <w:szCs w:val="21"/>
        </w:rPr>
        <w:t xml:space="preserve"> </w:t>
      </w:r>
      <w:r>
        <w:rPr>
          <w:rFonts w:hint="eastAsia" w:ascii="宋体" w:hAnsi="宋体"/>
          <w:szCs w:val="21"/>
        </w:rPr>
        <w:t>如果乙方不能提供以上质保期内的售后服务，交换机、视频监控、对讲监听、报警、公共广播、存储阵列等设备故障在</w:t>
      </w:r>
      <w:r>
        <w:rPr>
          <w:rFonts w:ascii="宋体" w:hAnsi="宋体"/>
          <w:szCs w:val="21"/>
        </w:rPr>
        <w:t xml:space="preserve"> 48 </w:t>
      </w:r>
      <w:r>
        <w:rPr>
          <w:rFonts w:hint="eastAsia" w:ascii="宋体" w:hAnsi="宋体"/>
          <w:szCs w:val="21"/>
        </w:rPr>
        <w:t>小时内不能解决的，</w:t>
      </w:r>
      <w:r>
        <w:rPr>
          <w:rFonts w:hint="eastAsia" w:ascii="宋体" w:hAnsi="宋体" w:cs="仿宋_GB2312"/>
          <w:szCs w:val="21"/>
        </w:rPr>
        <w:t>每延误一天扣除履约金的</w:t>
      </w:r>
      <w:r>
        <w:rPr>
          <w:rFonts w:ascii="宋体" w:hAnsi="宋体" w:cs="仿宋_GB2312"/>
          <w:szCs w:val="21"/>
        </w:rPr>
        <w:t xml:space="preserve"> 20%</w:t>
      </w:r>
      <w:r>
        <w:rPr>
          <w:rFonts w:hint="eastAsia" w:ascii="宋体" w:hAnsi="宋体" w:cs="仿宋_GB2312"/>
          <w:szCs w:val="21"/>
        </w:rPr>
        <w:t>，其它设备的故障在</w:t>
      </w:r>
      <w:r>
        <w:rPr>
          <w:rFonts w:ascii="宋体" w:hAnsi="宋体" w:cs="仿宋_GB2312"/>
          <w:szCs w:val="21"/>
        </w:rPr>
        <w:t xml:space="preserve"> 48 </w:t>
      </w:r>
      <w:r>
        <w:rPr>
          <w:rFonts w:hint="eastAsia" w:ascii="宋体" w:hAnsi="宋体" w:cs="仿宋_GB2312"/>
          <w:szCs w:val="21"/>
        </w:rPr>
        <w:t>小时内不能解决的，每延误一天扣除</w:t>
      </w:r>
      <w:r>
        <w:rPr>
          <w:rFonts w:ascii="宋体" w:hAnsi="宋体" w:cs="仿宋_GB2312"/>
          <w:szCs w:val="21"/>
        </w:rPr>
        <w:t xml:space="preserve"> 200 </w:t>
      </w:r>
      <w:r>
        <w:rPr>
          <w:rFonts w:hint="eastAsia" w:ascii="宋体" w:hAnsi="宋体" w:cs="仿宋_GB2312"/>
          <w:szCs w:val="21"/>
        </w:rPr>
        <w:t>元的履约金，履约金扣完为止，即最高扣除金额为履约金金额</w:t>
      </w:r>
      <w:r>
        <w:rPr>
          <w:rFonts w:hint="eastAsia" w:ascii="宋体" w:hAnsi="宋体"/>
          <w:szCs w:val="21"/>
        </w:rPr>
        <w:t>，如果乙方因此给甲方造成实际损失的，则一并赔偿所造成的一切直接损失及间接损失。</w:t>
      </w:r>
    </w:p>
    <w:p>
      <w:pPr>
        <w:spacing w:line="360" w:lineRule="auto"/>
        <w:ind w:firstLine="420" w:firstLineChars="200"/>
        <w:rPr>
          <w:rFonts w:hint="eastAsia" w:ascii="宋体" w:hAnsi="宋体"/>
          <w:szCs w:val="21"/>
        </w:rPr>
      </w:pPr>
      <w:r>
        <w:rPr>
          <w:rFonts w:ascii="宋体" w:hAnsi="宋体"/>
          <w:szCs w:val="21"/>
        </w:rPr>
        <w:t>8</w:t>
      </w:r>
      <w:r>
        <w:rPr>
          <w:rFonts w:hint="eastAsia" w:ascii="宋体" w:hAnsi="宋体"/>
          <w:szCs w:val="21"/>
        </w:rPr>
        <w:t>）经甲方催告后，乙方仍未及时履行维修义务的，甲方可以聘请第三方单位提供服务，因此产生的费用由乙方承担，且甲方有权从履约保证金中予以扣减。履约保证金不足以抵扣第三方费用的，乙方应另行支付给甲方。</w:t>
      </w:r>
    </w:p>
    <w:p>
      <w:pPr>
        <w:spacing w:line="360" w:lineRule="auto"/>
        <w:ind w:firstLine="420" w:firstLineChars="200"/>
        <w:rPr>
          <w:rFonts w:ascii="宋体"/>
          <w:szCs w:val="21"/>
        </w:rPr>
      </w:pPr>
      <w:r>
        <w:rPr>
          <w:rFonts w:hint="eastAsia" w:ascii="宋体" w:hAnsi="宋体"/>
          <w:szCs w:val="21"/>
        </w:rPr>
        <w:t>9）</w:t>
      </w:r>
      <w:r>
        <w:rPr>
          <w:rFonts w:ascii="宋体" w:hAnsi="宋体"/>
          <w:szCs w:val="21"/>
        </w:rPr>
        <w:t xml:space="preserve"> </w:t>
      </w:r>
      <w:r>
        <w:rPr>
          <w:rFonts w:hint="eastAsia" w:ascii="宋体" w:hAnsi="宋体"/>
          <w:szCs w:val="21"/>
        </w:rPr>
        <w:t>乙方有义务配合甲方如期完成该项目保密设计方案的申报及工程保密验收。</w:t>
      </w:r>
    </w:p>
    <w:p>
      <w:pPr>
        <w:spacing w:line="360" w:lineRule="auto"/>
        <w:ind w:firstLine="420" w:firstLineChars="200"/>
        <w:rPr>
          <w:rFonts w:ascii="宋体"/>
          <w:szCs w:val="21"/>
        </w:rPr>
      </w:pPr>
      <w:r>
        <w:rPr>
          <w:rFonts w:ascii="宋体" w:hAnsi="宋体"/>
          <w:szCs w:val="21"/>
        </w:rPr>
        <w:t>19</w:t>
      </w:r>
      <w:r>
        <w:rPr>
          <w:rFonts w:hint="eastAsia" w:ascii="宋体" w:hAnsi="宋体"/>
          <w:szCs w:val="21"/>
        </w:rPr>
        <w:t>．</w:t>
      </w:r>
      <w:r>
        <w:rPr>
          <w:rFonts w:ascii="宋体" w:hAnsi="宋体"/>
          <w:szCs w:val="21"/>
        </w:rPr>
        <w:t xml:space="preserve">2 </w:t>
      </w:r>
      <w:r>
        <w:rPr>
          <w:rFonts w:hint="eastAsia" w:ascii="宋体" w:hAnsi="宋体"/>
          <w:szCs w:val="21"/>
        </w:rPr>
        <w:t>免费培训</w:t>
      </w:r>
    </w:p>
    <w:p>
      <w:pPr>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乙方必须根据竞价文件采购的设备及采用的相关技术，在投标书中提出全面的培训计划（包括培训时间、培训内容、人员安排等），并在合同签订后实施。</w:t>
      </w:r>
    </w:p>
    <w:p>
      <w:pPr>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乙方需提供主要设备的厂家培训计划，教员必须用中文授课，或提供同声中文翻译</w:t>
      </w:r>
      <w:r>
        <w:rPr>
          <w:rFonts w:ascii="宋体" w:hAnsi="宋体"/>
          <w:szCs w:val="21"/>
        </w:rPr>
        <w:t xml:space="preserve">, </w:t>
      </w:r>
      <w:r>
        <w:rPr>
          <w:rFonts w:hint="eastAsia" w:ascii="宋体" w:hAnsi="宋体"/>
          <w:szCs w:val="21"/>
        </w:rPr>
        <w:t>除非有其它的协议规定。</w:t>
      </w:r>
    </w:p>
    <w:p>
      <w:pPr>
        <w:spacing w:line="360" w:lineRule="auto"/>
        <w:ind w:firstLine="420" w:firstLineChars="200"/>
        <w:rPr>
          <w:rFonts w:hint="eastAsia" w:ascii="宋体" w:hAnsi="宋体"/>
          <w:szCs w:val="21"/>
        </w:rPr>
      </w:pPr>
      <w:r>
        <w:rPr>
          <w:rFonts w:ascii="宋体" w:hAnsi="宋体"/>
          <w:szCs w:val="21"/>
        </w:rPr>
        <w:t xml:space="preserve">3) </w:t>
      </w:r>
      <w:r>
        <w:rPr>
          <w:rFonts w:hint="eastAsia" w:ascii="宋体" w:hAnsi="宋体"/>
          <w:szCs w:val="21"/>
        </w:rPr>
        <w:t>乙方必须根据本次系统维护管理的需要，免费提供包含对甲方相关系统维护管理人员的</w:t>
      </w:r>
      <w:r>
        <w:rPr>
          <w:rFonts w:hint="eastAsia" w:ascii="宋体" w:hAnsi="宋体"/>
          <w:szCs w:val="21"/>
          <w:lang w:val="en-GB"/>
        </w:rPr>
        <w:t>视频监控、存储阵列、网络传输</w:t>
      </w:r>
      <w:r>
        <w:rPr>
          <w:rFonts w:hint="eastAsia" w:ascii="宋体" w:hAnsi="宋体"/>
          <w:szCs w:val="21"/>
        </w:rPr>
        <w:t>等系统的原厂技术培训。</w:t>
      </w:r>
    </w:p>
    <w:p>
      <w:pPr>
        <w:spacing w:line="360" w:lineRule="auto"/>
        <w:ind w:firstLine="420" w:firstLineChars="200"/>
        <w:rPr>
          <w:rFonts w:ascii="宋体"/>
          <w:szCs w:val="21"/>
        </w:rPr>
      </w:pPr>
      <w:r>
        <w:rPr>
          <w:rFonts w:ascii="宋体" w:hAnsi="宋体"/>
          <w:szCs w:val="21"/>
        </w:rPr>
        <w:t xml:space="preserve">4) </w:t>
      </w:r>
      <w:r>
        <w:rPr>
          <w:rFonts w:hint="eastAsia" w:ascii="宋体" w:hAnsi="宋体"/>
          <w:szCs w:val="21"/>
        </w:rPr>
        <w:t>培训工作必须在合同生效且系统安装完成之后，工程验收合格后，交付使用前完成。</w:t>
      </w:r>
    </w:p>
    <w:p>
      <w:pPr>
        <w:spacing w:line="360" w:lineRule="auto"/>
        <w:ind w:firstLine="420" w:firstLineChars="200"/>
        <w:rPr>
          <w:rFonts w:ascii="宋体"/>
          <w:szCs w:val="21"/>
        </w:rPr>
      </w:pPr>
      <w:r>
        <w:rPr>
          <w:rFonts w:ascii="宋体" w:hAnsi="宋体"/>
          <w:szCs w:val="21"/>
        </w:rPr>
        <w:t xml:space="preserve">5) </w:t>
      </w:r>
      <w:r>
        <w:rPr>
          <w:rFonts w:hint="eastAsia" w:ascii="宋体" w:hAnsi="宋体"/>
          <w:szCs w:val="21"/>
        </w:rPr>
        <w:t>系统培训要达到如下效果：监狱信息技术部门系统管理员必须切实掌握各信息系统的实操、运维技术（包括整理齐全系统拓扑图、结构图、原理图、走线图、软件架构等系统技术资料，熟练掌握基本系统配置技术及故障排除处理技术）。</w:t>
      </w:r>
    </w:p>
    <w:p>
      <w:pPr>
        <w:spacing w:line="360" w:lineRule="auto"/>
        <w:outlineLvl w:val="1"/>
        <w:rPr>
          <w:rFonts w:ascii="宋体"/>
          <w:b/>
          <w:szCs w:val="21"/>
        </w:rPr>
      </w:pPr>
      <w:r>
        <w:rPr>
          <w:rFonts w:ascii="宋体" w:hAnsi="宋体"/>
          <w:b/>
          <w:szCs w:val="21"/>
        </w:rPr>
        <w:t>20</w:t>
      </w:r>
      <w:r>
        <w:rPr>
          <w:rFonts w:hint="eastAsia" w:ascii="宋体" w:hAnsi="宋体"/>
          <w:b/>
          <w:szCs w:val="21"/>
        </w:rPr>
        <w:t>．违约责任</w:t>
      </w:r>
    </w:p>
    <w:p>
      <w:pPr>
        <w:spacing w:line="360" w:lineRule="auto"/>
        <w:ind w:left="420" w:hanging="420" w:hangingChars="200"/>
        <w:rPr>
          <w:rFonts w:ascii="宋体"/>
          <w:szCs w:val="21"/>
        </w:rPr>
      </w:pPr>
      <w:r>
        <w:rPr>
          <w:rFonts w:ascii="宋体" w:hAnsi="宋体"/>
          <w:szCs w:val="21"/>
        </w:rPr>
        <w:t xml:space="preserve">20.1 </w:t>
      </w:r>
      <w:r>
        <w:rPr>
          <w:rFonts w:hint="eastAsia" w:ascii="宋体" w:hAnsi="宋体"/>
          <w:szCs w:val="21"/>
        </w:rPr>
        <w:t>如果乙方提供的产品不符合合同规定，</w:t>
      </w:r>
      <w:r>
        <w:rPr>
          <w:rFonts w:ascii="宋体" w:hAnsi="宋体"/>
          <w:szCs w:val="21"/>
        </w:rPr>
        <w:t xml:space="preserve"> </w:t>
      </w:r>
      <w:r>
        <w:rPr>
          <w:rFonts w:hint="eastAsia" w:ascii="宋体" w:hAnsi="宋体"/>
          <w:szCs w:val="21"/>
        </w:rPr>
        <w:t>乙方须经甲方同意按以下一个或多个综合的方法来处理该项索赔：</w:t>
      </w:r>
    </w:p>
    <w:p>
      <w:pPr>
        <w:spacing w:line="360" w:lineRule="auto"/>
        <w:ind w:left="42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同意拒收货物并用合同规定的相同货币归还拒收货物部分的货款，并应承担与此相关的所有直接损失和费用，包括由此产生的利息、银行费用、运费、保险费、检验费、储存费、装卸费、以及其它所有保管和维护被拒收货物所必需的费用。</w:t>
      </w:r>
    </w:p>
    <w:p>
      <w:pPr>
        <w:spacing w:line="360" w:lineRule="auto"/>
        <w:ind w:left="420" w:hanging="420" w:hangingChars="200"/>
        <w:rPr>
          <w:rFonts w:asci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根据货物劣质、损害程度及甲方所受损失的范围降低货物的价格。</w:t>
      </w:r>
    </w:p>
    <w:p>
      <w:pPr>
        <w:spacing w:line="360" w:lineRule="auto"/>
        <w:ind w:left="420" w:hanging="420" w:hangingChars="200"/>
        <w:rPr>
          <w:rFonts w:ascii="宋体"/>
          <w:szCs w:val="21"/>
        </w:rPr>
      </w:pP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将不符部分换成与合同规定的规格、质量、性能相符的新部件或产品，乙方应承担甲方所承受的一切费用和损失。</w:t>
      </w:r>
    </w:p>
    <w:p>
      <w:pPr>
        <w:spacing w:line="360" w:lineRule="auto"/>
        <w:ind w:left="420" w:hanging="420" w:hangingChars="200"/>
        <w:rPr>
          <w:rFonts w:ascii="宋体"/>
          <w:szCs w:val="21"/>
        </w:rPr>
      </w:pPr>
      <w:r>
        <w:rPr>
          <w:rFonts w:ascii="宋体" w:hAnsi="宋体"/>
          <w:szCs w:val="21"/>
        </w:rPr>
        <w:t xml:space="preserve">20.2 </w:t>
      </w:r>
      <w:r>
        <w:rPr>
          <w:rFonts w:hint="eastAsia" w:ascii="宋体" w:hAnsi="宋体"/>
          <w:szCs w:val="21"/>
        </w:rPr>
        <w:t>对于上述索赔事项，如果乙方在收到甲方索赔要求后</w:t>
      </w:r>
      <w:r>
        <w:rPr>
          <w:rFonts w:ascii="宋体" w:hAnsi="宋体"/>
          <w:szCs w:val="21"/>
        </w:rPr>
        <w:t xml:space="preserve"> 5 </w:t>
      </w:r>
      <w:r>
        <w:rPr>
          <w:rFonts w:hint="eastAsia" w:ascii="宋体" w:hAnsi="宋体"/>
          <w:szCs w:val="21"/>
        </w:rPr>
        <w:t>天内不能作出答复时，视为乙方接受了甲方的索赔要求。如果乙方在</w:t>
      </w:r>
      <w:r>
        <w:rPr>
          <w:rFonts w:ascii="宋体" w:hAnsi="宋体"/>
          <w:szCs w:val="21"/>
        </w:rPr>
        <w:t xml:space="preserve"> 5 </w:t>
      </w:r>
      <w:r>
        <w:rPr>
          <w:rFonts w:hint="eastAsia" w:ascii="宋体" w:hAnsi="宋体"/>
          <w:szCs w:val="21"/>
        </w:rPr>
        <w:t>天内不予解决，那么甲方有权从货款中或履约保证金中扣款。</w:t>
      </w:r>
    </w:p>
    <w:p>
      <w:pPr>
        <w:spacing w:line="360" w:lineRule="auto"/>
        <w:ind w:left="420" w:hanging="420" w:hangingChars="200"/>
        <w:rPr>
          <w:rFonts w:ascii="宋体"/>
          <w:szCs w:val="21"/>
        </w:rPr>
      </w:pPr>
      <w:r>
        <w:rPr>
          <w:rFonts w:ascii="宋体" w:hAnsi="宋体"/>
          <w:szCs w:val="21"/>
        </w:rPr>
        <w:t xml:space="preserve">20.3 </w:t>
      </w:r>
      <w:r>
        <w:rPr>
          <w:rFonts w:hint="eastAsia" w:ascii="宋体" w:hAnsi="宋体"/>
          <w:szCs w:val="21"/>
        </w:rPr>
        <w:t>如果乙方未按照合同规定的期限提供的产品和服务，乙方应及时以书面形式将延误的原因、可能逾期的时间通知甲方。甲方在收到乙方通知后，应尽快对情况进行评价，并确定是否同意延长交货时间以及是否收取误期赔偿费。延期交货（含服务）应通过补充协议的方式由双方认可。</w:t>
      </w:r>
    </w:p>
    <w:p>
      <w:pPr>
        <w:spacing w:line="360" w:lineRule="auto"/>
        <w:ind w:left="420" w:hanging="420" w:hangingChars="200"/>
        <w:rPr>
          <w:rFonts w:ascii="宋体"/>
          <w:szCs w:val="21"/>
        </w:rPr>
      </w:pPr>
      <w:r>
        <w:rPr>
          <w:rFonts w:ascii="宋体" w:hAnsi="宋体"/>
          <w:szCs w:val="21"/>
        </w:rPr>
        <w:t xml:space="preserve">20.4 </w:t>
      </w:r>
      <w:r>
        <w:rPr>
          <w:rFonts w:hint="eastAsia" w:ascii="宋体" w:hAnsi="宋体"/>
          <w:szCs w:val="21"/>
        </w:rPr>
        <w:t>乙方未按照合同规定的期限履行义务，违约金每日按迟延履行部分的金额的百分之零点二（</w:t>
      </w:r>
      <w:r>
        <w:rPr>
          <w:rFonts w:ascii="宋体" w:hAnsi="宋体"/>
          <w:szCs w:val="21"/>
        </w:rPr>
        <w:t>0.2%</w:t>
      </w:r>
      <w:r>
        <w:rPr>
          <w:rFonts w:hint="eastAsia" w:ascii="宋体" w:hAnsi="宋体"/>
          <w:szCs w:val="21"/>
        </w:rPr>
        <w:t>）计收，违约日期按合同中就乙方履行义务的规定期限到期之日起开始计算，直至义务履行或合同终止之日为止。违约金的最高限额为合同总价的百分之二十（</w:t>
      </w:r>
      <w:r>
        <w:rPr>
          <w:rFonts w:ascii="宋体" w:hAnsi="宋体"/>
          <w:szCs w:val="21"/>
        </w:rPr>
        <w:t>20%</w:t>
      </w:r>
      <w:r>
        <w:rPr>
          <w:rFonts w:hint="eastAsia" w:ascii="宋体" w:hAnsi="宋体"/>
          <w:szCs w:val="21"/>
        </w:rPr>
        <w:t>）。违约金达到最高限额时，甲方有权单方解除合同，扣除全部履约保证金，乙方还需赔偿甲方因此产生的全部损失。本合同中有其他约定的按其他约定执行。</w:t>
      </w:r>
    </w:p>
    <w:p>
      <w:pPr>
        <w:spacing w:line="360" w:lineRule="auto"/>
        <w:ind w:left="420" w:hanging="420" w:hangingChars="200"/>
        <w:rPr>
          <w:rFonts w:ascii="宋体"/>
          <w:szCs w:val="21"/>
        </w:rPr>
      </w:pPr>
      <w:r>
        <w:rPr>
          <w:rFonts w:ascii="宋体" w:hAnsi="宋体"/>
          <w:szCs w:val="21"/>
        </w:rPr>
        <w:t xml:space="preserve">20.5 </w:t>
      </w:r>
      <w:r>
        <w:rPr>
          <w:rFonts w:hint="eastAsia" w:ascii="宋体" w:hAnsi="宋体"/>
          <w:szCs w:val="21"/>
        </w:rPr>
        <w:t>甲方不按合同规定办理支付货款给乙方的支付手续，甲方除继续支付货款外，还应当按商业银行同期贷款利率上浮</w:t>
      </w:r>
      <w:r>
        <w:rPr>
          <w:rFonts w:ascii="宋体" w:hAnsi="宋体"/>
          <w:szCs w:val="21"/>
        </w:rPr>
        <w:t xml:space="preserve"> 20%</w:t>
      </w:r>
      <w:r>
        <w:rPr>
          <w:rFonts w:hint="eastAsia" w:ascii="宋体" w:hAnsi="宋体"/>
          <w:szCs w:val="21"/>
        </w:rPr>
        <w:t>后的利率支付违约金。</w:t>
      </w:r>
    </w:p>
    <w:p>
      <w:pPr>
        <w:spacing w:line="360" w:lineRule="auto"/>
        <w:ind w:left="420" w:hanging="420" w:hangingChars="200"/>
        <w:rPr>
          <w:rFonts w:hint="eastAsia" w:ascii="宋体" w:hAnsi="宋体" w:cs="仿宋_GB2312"/>
          <w:szCs w:val="21"/>
        </w:rPr>
      </w:pPr>
      <w:r>
        <w:rPr>
          <w:rFonts w:ascii="宋体" w:hAnsi="宋体"/>
          <w:szCs w:val="21"/>
        </w:rPr>
        <w:t xml:space="preserve">20.6 </w:t>
      </w:r>
      <w:r>
        <w:rPr>
          <w:rFonts w:hint="eastAsia" w:ascii="宋体" w:hAnsi="宋体" w:cs="仿宋_GB2312"/>
          <w:szCs w:val="21"/>
        </w:rPr>
        <w:t>乙方如果不能按进度计划规定的节点完成阶段任务，</w:t>
      </w:r>
      <w:r>
        <w:rPr>
          <w:rFonts w:ascii="宋体" w:hAnsi="宋体" w:cs="仿宋_GB2312"/>
          <w:szCs w:val="21"/>
        </w:rPr>
        <w:t xml:space="preserve"> </w:t>
      </w:r>
      <w:r>
        <w:rPr>
          <w:rFonts w:hint="eastAsia" w:ascii="宋体" w:hAnsi="宋体" w:cs="仿宋_GB2312"/>
          <w:szCs w:val="21"/>
        </w:rPr>
        <w:t>每逾期一天必须付给甲方人民币</w:t>
      </w:r>
      <w:r>
        <w:rPr>
          <w:rFonts w:ascii="宋体" w:hAnsi="宋体" w:cs="仿宋_GB2312"/>
          <w:szCs w:val="21"/>
        </w:rPr>
        <w:t>2000</w:t>
      </w:r>
      <w:r>
        <w:rPr>
          <w:rFonts w:hint="eastAsia" w:ascii="宋体" w:hAnsi="宋体" w:cs="仿宋_GB2312"/>
          <w:szCs w:val="21"/>
        </w:rPr>
        <w:t>元的违约金，违约金在项目工程</w:t>
      </w:r>
      <w:r>
        <w:rPr>
          <w:rFonts w:hint="eastAsia" w:ascii="宋体" w:hAnsi="宋体"/>
          <w:szCs w:val="21"/>
        </w:rPr>
        <w:t>结算审核时予以</w:t>
      </w:r>
      <w:r>
        <w:rPr>
          <w:rFonts w:hint="eastAsia" w:ascii="宋体" w:hAnsi="宋体" w:cs="仿宋_GB2312"/>
          <w:szCs w:val="21"/>
        </w:rPr>
        <w:t>扣除。</w:t>
      </w:r>
    </w:p>
    <w:p>
      <w:pPr>
        <w:spacing w:line="360" w:lineRule="auto"/>
        <w:ind w:left="420" w:hanging="420" w:hangingChars="200"/>
      </w:pPr>
      <w:r>
        <w:rPr>
          <w:rFonts w:hint="eastAsia" w:ascii="宋体" w:hAnsi="宋体" w:cs="仿宋_GB2312"/>
          <w:szCs w:val="21"/>
        </w:rPr>
        <w:t>20.7 本合同所称损失包括但不限于实际损失、支付给第三方的费用、重新采购与合同价款差价、鉴定评估费、公证费、担保费、律师费、保全费用以及因履行合同而支付的其他合理费用。</w:t>
      </w:r>
    </w:p>
    <w:p>
      <w:pPr>
        <w:spacing w:line="360" w:lineRule="auto"/>
        <w:outlineLvl w:val="1"/>
        <w:rPr>
          <w:rFonts w:ascii="宋体"/>
          <w:b/>
          <w:szCs w:val="21"/>
        </w:rPr>
      </w:pPr>
      <w:r>
        <w:rPr>
          <w:rFonts w:ascii="宋体" w:hAnsi="宋体"/>
          <w:b/>
          <w:szCs w:val="21"/>
        </w:rPr>
        <w:t>21.</w:t>
      </w:r>
      <w:r>
        <w:rPr>
          <w:rFonts w:hint="eastAsia" w:ascii="宋体" w:hAnsi="宋体"/>
          <w:b/>
          <w:szCs w:val="21"/>
        </w:rPr>
        <w:t>履约保证金</w:t>
      </w:r>
    </w:p>
    <w:p>
      <w:pPr>
        <w:spacing w:line="360" w:lineRule="auto"/>
        <w:ind w:left="420" w:hanging="420" w:hangingChars="200"/>
        <w:rPr>
          <w:rFonts w:ascii="宋体"/>
          <w:szCs w:val="21"/>
        </w:rPr>
      </w:pPr>
      <w:r>
        <w:rPr>
          <w:rFonts w:ascii="宋体" w:hAnsi="宋体"/>
          <w:szCs w:val="21"/>
        </w:rPr>
        <w:t xml:space="preserve">21.1 </w:t>
      </w:r>
      <w:r>
        <w:rPr>
          <w:rFonts w:hint="eastAsia" w:ascii="宋体" w:hAnsi="宋体"/>
          <w:szCs w:val="21"/>
        </w:rPr>
        <w:t>乙方应在合同签订后三日内，向甲方提交合同总金额的</w:t>
      </w:r>
      <w:r>
        <w:rPr>
          <w:rFonts w:ascii="宋体" w:hAnsi="宋体"/>
          <w:szCs w:val="21"/>
        </w:rPr>
        <w:t xml:space="preserve"> </w:t>
      </w:r>
      <w:r>
        <w:rPr>
          <w:rFonts w:hint="eastAsia" w:ascii="宋体" w:hAnsi="宋体"/>
          <w:szCs w:val="21"/>
        </w:rPr>
        <w:t>5</w:t>
      </w:r>
      <w:r>
        <w:rPr>
          <w:rFonts w:ascii="宋体" w:hAnsi="宋体"/>
          <w:szCs w:val="21"/>
        </w:rPr>
        <w:t>%</w:t>
      </w:r>
      <w:r>
        <w:rPr>
          <w:rFonts w:hint="eastAsia" w:ascii="宋体" w:hAnsi="宋体"/>
          <w:szCs w:val="21"/>
        </w:rPr>
        <w:t>作为履约保证金。</w:t>
      </w:r>
    </w:p>
    <w:p>
      <w:pPr>
        <w:spacing w:line="360" w:lineRule="auto"/>
        <w:ind w:left="420" w:hanging="420" w:hangingChars="200"/>
        <w:rPr>
          <w:rFonts w:hint="eastAsia" w:ascii="宋体" w:hAnsi="宋体"/>
          <w:szCs w:val="21"/>
        </w:rPr>
      </w:pPr>
      <w:r>
        <w:rPr>
          <w:rFonts w:ascii="宋体" w:hAnsi="宋体"/>
          <w:szCs w:val="21"/>
        </w:rPr>
        <w:t xml:space="preserve">21.2 </w:t>
      </w:r>
      <w:r>
        <w:rPr>
          <w:rFonts w:hint="eastAsia" w:ascii="宋体" w:hAnsi="宋体"/>
          <w:szCs w:val="21"/>
        </w:rPr>
        <w:t>若乙方违反合同义务，且经甲方或监理方书面催告后仍不予整改的，则视为乙方自动放弃对履约保证金的所有权，并归甲方所有。履约保证金在乙方完成项目</w:t>
      </w:r>
      <w:r>
        <w:rPr>
          <w:rFonts w:hint="eastAsia" w:ascii="宋体" w:hAnsi="宋体"/>
          <w:szCs w:val="21"/>
          <w:lang w:val="en-GB"/>
        </w:rPr>
        <w:t>所有建设内容</w:t>
      </w:r>
      <w:r>
        <w:rPr>
          <w:rFonts w:hint="eastAsia" w:ascii="宋体" w:hAnsi="宋体"/>
          <w:szCs w:val="21"/>
          <w:highlight w:val="none"/>
          <w:lang w:val="en-GB"/>
        </w:rPr>
        <w:t>，</w:t>
      </w:r>
      <w:r>
        <w:rPr>
          <w:rFonts w:hint="eastAsia" w:ascii="宋体" w:hAnsi="宋体"/>
          <w:szCs w:val="21"/>
          <w:lang w:val="en-GB"/>
        </w:rPr>
        <w:t>且</w:t>
      </w:r>
      <w:r>
        <w:rPr>
          <w:rFonts w:hint="eastAsia" w:ascii="宋体" w:hAnsi="宋体"/>
          <w:szCs w:val="21"/>
          <w:highlight w:val="none"/>
          <w:lang w:val="en-GB"/>
        </w:rPr>
        <w:t>履约保证金退还条件成就</w:t>
      </w:r>
      <w:r>
        <w:rPr>
          <w:rFonts w:hint="eastAsia" w:ascii="宋体" w:hAnsi="宋体"/>
          <w:szCs w:val="21"/>
          <w:lang w:val="en-GB"/>
        </w:rPr>
        <w:t>后</w:t>
      </w:r>
      <w:r>
        <w:rPr>
          <w:rFonts w:hint="eastAsia" w:ascii="宋体" w:hAnsi="宋体"/>
          <w:szCs w:val="21"/>
          <w:highlight w:val="none"/>
          <w:lang w:val="en-GB"/>
        </w:rPr>
        <w:t>，</w:t>
      </w:r>
      <w:r>
        <w:rPr>
          <w:rFonts w:hint="eastAsia" w:ascii="宋体" w:hAnsi="宋体"/>
          <w:szCs w:val="21"/>
          <w:highlight w:val="none"/>
        </w:rPr>
        <w:t>甲方于1</w:t>
      </w:r>
      <w:r>
        <w:rPr>
          <w:rFonts w:ascii="宋体" w:hAnsi="宋体"/>
          <w:szCs w:val="21"/>
          <w:highlight w:val="none"/>
        </w:rPr>
        <w:t>0</w:t>
      </w:r>
      <w:r>
        <w:rPr>
          <w:rFonts w:hint="eastAsia" w:ascii="宋体" w:hAnsi="宋体"/>
          <w:szCs w:val="21"/>
          <w:highlight w:val="none"/>
        </w:rPr>
        <w:t>个工作日</w:t>
      </w:r>
      <w:r>
        <w:rPr>
          <w:rFonts w:hint="eastAsia" w:ascii="宋体" w:hAnsi="宋体"/>
          <w:szCs w:val="21"/>
        </w:rPr>
        <w:t>内</w:t>
      </w:r>
      <w:r>
        <w:rPr>
          <w:rFonts w:hint="eastAsia" w:ascii="宋体" w:hAnsi="宋体"/>
          <w:szCs w:val="21"/>
          <w:highlight w:val="none"/>
        </w:rPr>
        <w:t>办理支付手续</w:t>
      </w:r>
      <w:r>
        <w:rPr>
          <w:rFonts w:hint="eastAsia" w:ascii="宋体" w:hAnsi="宋体"/>
          <w:szCs w:val="21"/>
        </w:rPr>
        <w:t>无息退还乙方。乙方违约导致合同终止的，履约保证金不予退还。</w:t>
      </w:r>
    </w:p>
    <w:p>
      <w:pPr>
        <w:spacing w:line="360" w:lineRule="auto"/>
        <w:ind w:left="420" w:hanging="420" w:hangingChars="200"/>
        <w:rPr>
          <w:rFonts w:hint="eastAsia" w:ascii="宋体"/>
          <w:szCs w:val="21"/>
        </w:rPr>
      </w:pPr>
      <w:r>
        <w:rPr>
          <w:rFonts w:hint="eastAsia" w:ascii="宋体"/>
          <w:szCs w:val="21"/>
        </w:rPr>
        <w:t>21.3 乙方可通过任何市级以上银行出具履约保函，以代替履约保证金。履约保函的格式采用招标文件提供的格式或其他甲方可接受的格式，开具保函费用由乙方承担。在乙方完成</w:t>
      </w:r>
      <w:r>
        <w:rPr>
          <w:rFonts w:hint="eastAsia" w:ascii="宋体" w:hAnsi="宋体"/>
          <w:szCs w:val="21"/>
        </w:rPr>
        <w:t>项目</w:t>
      </w:r>
      <w:r>
        <w:rPr>
          <w:rFonts w:hint="eastAsia" w:ascii="宋体" w:hAnsi="宋体"/>
          <w:szCs w:val="21"/>
          <w:lang w:val="en-GB"/>
        </w:rPr>
        <w:t>所有建设内容且项目</w:t>
      </w:r>
      <w:r>
        <w:rPr>
          <w:rFonts w:hint="eastAsia" w:ascii="宋体"/>
          <w:szCs w:val="21"/>
        </w:rPr>
        <w:t>最终验收合格之日</w:t>
      </w:r>
      <w:r>
        <w:rPr>
          <w:rFonts w:hint="eastAsia" w:ascii="宋体" w:hAnsi="宋体"/>
          <w:szCs w:val="21"/>
        </w:rPr>
        <w:t>起</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年后</w:t>
      </w:r>
      <w:r>
        <w:rPr>
          <w:rFonts w:hint="eastAsia" w:ascii="宋体"/>
          <w:szCs w:val="21"/>
        </w:rPr>
        <w:t>，履约保函自动失效。</w:t>
      </w:r>
    </w:p>
    <w:p>
      <w:pPr>
        <w:spacing w:line="360" w:lineRule="auto"/>
        <w:outlineLvl w:val="1"/>
        <w:rPr>
          <w:rFonts w:ascii="宋体"/>
          <w:b/>
          <w:szCs w:val="21"/>
        </w:rPr>
      </w:pPr>
      <w:r>
        <w:rPr>
          <w:rFonts w:ascii="宋体" w:hAnsi="宋体"/>
          <w:b/>
          <w:szCs w:val="21"/>
        </w:rPr>
        <w:t>22</w:t>
      </w:r>
      <w:r>
        <w:rPr>
          <w:rFonts w:hint="eastAsia" w:ascii="宋体" w:hAnsi="宋体"/>
          <w:b/>
          <w:szCs w:val="21"/>
        </w:rPr>
        <w:t>．变更指令</w:t>
      </w:r>
    </w:p>
    <w:p>
      <w:pPr>
        <w:spacing w:line="360" w:lineRule="auto"/>
        <w:ind w:left="420" w:hanging="420" w:hangingChars="200"/>
        <w:rPr>
          <w:rFonts w:ascii="宋体"/>
          <w:szCs w:val="21"/>
        </w:rPr>
      </w:pPr>
      <w:r>
        <w:rPr>
          <w:rFonts w:ascii="宋体" w:hAnsi="宋体"/>
          <w:szCs w:val="21"/>
        </w:rPr>
        <w:t xml:space="preserve">22.1 </w:t>
      </w:r>
      <w:r>
        <w:rPr>
          <w:rFonts w:hint="eastAsia" w:ascii="宋体" w:hAnsi="宋体"/>
          <w:szCs w:val="21"/>
        </w:rPr>
        <w:t>甲方可以在任何时候书面向乙方发出指令，在本合同的一般范围内变更下述一项或几项：</w:t>
      </w:r>
    </w:p>
    <w:p>
      <w:pPr>
        <w:spacing w:line="360" w:lineRule="auto"/>
        <w:ind w:left="42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本合同项下提供的货物是专为甲方制造时，变更图纸、设计或规格；</w:t>
      </w:r>
    </w:p>
    <w:p>
      <w:pPr>
        <w:spacing w:line="360" w:lineRule="auto"/>
        <w:ind w:left="420" w:hanging="420" w:hangingChars="200"/>
        <w:rPr>
          <w:rFonts w:asci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运输或包装的方法；</w:t>
      </w:r>
    </w:p>
    <w:p>
      <w:pPr>
        <w:spacing w:line="360" w:lineRule="auto"/>
        <w:ind w:left="420" w:hanging="420" w:hangingChars="200"/>
        <w:rPr>
          <w:rFonts w:ascii="宋体"/>
          <w:szCs w:val="21"/>
        </w:rPr>
      </w:pP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交货地点：</w:t>
      </w:r>
    </w:p>
    <w:p>
      <w:pPr>
        <w:spacing w:line="360" w:lineRule="auto"/>
        <w:ind w:left="420" w:hanging="420" w:hangingChars="200"/>
        <w:rPr>
          <w:rFonts w:ascii="宋体"/>
          <w:szCs w:val="21"/>
        </w:rPr>
      </w:pP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乙方提供的服务。</w:t>
      </w:r>
    </w:p>
    <w:p>
      <w:pPr>
        <w:spacing w:line="360" w:lineRule="auto"/>
        <w:ind w:left="420" w:hanging="420" w:hangingChars="200"/>
        <w:rPr>
          <w:rFonts w:ascii="宋体"/>
          <w:szCs w:val="21"/>
        </w:rPr>
      </w:pPr>
      <w:r>
        <w:rPr>
          <w:rFonts w:ascii="宋体" w:hAnsi="宋体"/>
          <w:szCs w:val="21"/>
        </w:rPr>
        <w:t xml:space="preserve">22.2 </w:t>
      </w:r>
      <w:r>
        <w:rPr>
          <w:rFonts w:hint="eastAsia" w:ascii="宋体" w:hAnsi="宋体"/>
          <w:szCs w:val="21"/>
        </w:rPr>
        <w:t>如果上述变更使乙方履行合同义务的费用或时间增加或减少，</w:t>
      </w:r>
      <w:r>
        <w:rPr>
          <w:rFonts w:ascii="宋体" w:hAnsi="宋体"/>
          <w:szCs w:val="21"/>
        </w:rPr>
        <w:t xml:space="preserve"> </w:t>
      </w:r>
      <w:r>
        <w:rPr>
          <w:rFonts w:hint="eastAsia" w:ascii="宋体" w:hAnsi="宋体"/>
          <w:szCs w:val="21"/>
        </w:rPr>
        <w:t>将对合同价或交货时间或两者进行公平的等量调整，并另行签订补充协议。乙方根据本条进行调整的要求必须在收到甲方的变更指令后</w:t>
      </w:r>
      <w:r>
        <w:rPr>
          <w:rFonts w:ascii="宋体" w:hAnsi="宋体"/>
          <w:szCs w:val="21"/>
        </w:rPr>
        <w:t xml:space="preserve"> 14 </w:t>
      </w:r>
      <w:r>
        <w:rPr>
          <w:rFonts w:hint="eastAsia" w:ascii="宋体" w:hAnsi="宋体"/>
          <w:szCs w:val="21"/>
        </w:rPr>
        <w:t>天内提出。</w:t>
      </w:r>
    </w:p>
    <w:p>
      <w:pPr>
        <w:spacing w:line="360" w:lineRule="auto"/>
        <w:outlineLvl w:val="1"/>
        <w:rPr>
          <w:rFonts w:ascii="宋体"/>
          <w:b/>
          <w:szCs w:val="21"/>
        </w:rPr>
      </w:pPr>
      <w:r>
        <w:rPr>
          <w:rFonts w:ascii="宋体" w:hAnsi="宋体"/>
          <w:b/>
          <w:szCs w:val="21"/>
        </w:rPr>
        <w:t>23.</w:t>
      </w:r>
      <w:r>
        <w:rPr>
          <w:rFonts w:hint="eastAsia" w:ascii="宋体" w:hAnsi="宋体"/>
          <w:b/>
          <w:szCs w:val="21"/>
        </w:rPr>
        <w:t>合同义务的转让、分包、转包</w:t>
      </w:r>
    </w:p>
    <w:p>
      <w:pPr>
        <w:spacing w:line="360" w:lineRule="auto"/>
        <w:ind w:firstLine="420" w:firstLineChars="200"/>
        <w:rPr>
          <w:rFonts w:ascii="宋体"/>
          <w:szCs w:val="21"/>
        </w:rPr>
      </w:pPr>
      <w:r>
        <w:rPr>
          <w:rFonts w:hint="eastAsia" w:ascii="宋体" w:hAnsi="宋体"/>
          <w:szCs w:val="21"/>
        </w:rPr>
        <w:t>除竞价文件中有明确的可以转包的工程内容外，乙方不得将合同项下的产品和服务等应由乙方履行的义务通过转让、分包、转包等任何方式，交由其他人代为履行。</w:t>
      </w:r>
    </w:p>
    <w:p>
      <w:pPr>
        <w:spacing w:line="360" w:lineRule="auto"/>
        <w:outlineLvl w:val="1"/>
        <w:rPr>
          <w:rFonts w:ascii="宋体"/>
          <w:b/>
          <w:szCs w:val="21"/>
        </w:rPr>
      </w:pPr>
      <w:r>
        <w:rPr>
          <w:rFonts w:ascii="宋体" w:hAnsi="宋体"/>
          <w:b/>
          <w:szCs w:val="21"/>
        </w:rPr>
        <w:t>24.</w:t>
      </w:r>
      <w:r>
        <w:rPr>
          <w:rFonts w:hint="eastAsia" w:ascii="宋体" w:hAnsi="宋体"/>
          <w:b/>
          <w:szCs w:val="21"/>
        </w:rPr>
        <w:t>合同的解除</w:t>
      </w:r>
    </w:p>
    <w:p>
      <w:pPr>
        <w:spacing w:line="360" w:lineRule="auto"/>
        <w:ind w:left="420" w:hanging="420" w:hangingChars="200"/>
        <w:rPr>
          <w:rFonts w:ascii="宋体"/>
          <w:szCs w:val="21"/>
        </w:rPr>
      </w:pPr>
      <w:r>
        <w:rPr>
          <w:rFonts w:ascii="宋体" w:hAnsi="宋体"/>
          <w:szCs w:val="21"/>
        </w:rPr>
        <w:t>24.1</w:t>
      </w:r>
      <w:r>
        <w:rPr>
          <w:rFonts w:hint="eastAsia" w:ascii="宋体" w:hAnsi="宋体"/>
          <w:szCs w:val="21"/>
        </w:rPr>
        <w:t>在下列情况下，甲方有权向乙方发出书面通知书，部分或全部解除合同：</w:t>
      </w:r>
    </w:p>
    <w:p>
      <w:pPr>
        <w:spacing w:line="360" w:lineRule="auto"/>
        <w:ind w:left="42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 xml:space="preserve"> </w:t>
      </w:r>
      <w:r>
        <w:rPr>
          <w:rFonts w:hint="eastAsia" w:ascii="宋体" w:hAnsi="宋体"/>
          <w:szCs w:val="21"/>
        </w:rPr>
        <w:t>如果乙方未能在合同规定的期限内或甲方同意延长的期限内，提供部分或全部货物，在超过上述期限的十五（</w:t>
      </w:r>
      <w:r>
        <w:rPr>
          <w:rFonts w:ascii="宋体" w:hAnsi="宋体"/>
          <w:szCs w:val="21"/>
        </w:rPr>
        <w:t>15</w:t>
      </w:r>
      <w:r>
        <w:rPr>
          <w:rFonts w:hint="eastAsia" w:ascii="宋体" w:hAnsi="宋体"/>
          <w:szCs w:val="21"/>
        </w:rPr>
        <w:t>）日内仍未履行；</w:t>
      </w:r>
    </w:p>
    <w:p>
      <w:pPr>
        <w:spacing w:line="360" w:lineRule="auto"/>
        <w:ind w:left="420" w:hanging="420" w:hangingChars="200"/>
        <w:rPr>
          <w:rFonts w:asci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如果乙方未能履行合同规定的其它任何义务，在超过上述期限的十五（</w:t>
      </w:r>
      <w:r>
        <w:rPr>
          <w:rFonts w:ascii="宋体" w:hAnsi="宋体"/>
          <w:szCs w:val="21"/>
        </w:rPr>
        <w:t>15</w:t>
      </w:r>
      <w:r>
        <w:rPr>
          <w:rFonts w:hint="eastAsia" w:ascii="宋体" w:hAnsi="宋体"/>
          <w:szCs w:val="21"/>
        </w:rPr>
        <w:t>）日内仍未履行；</w:t>
      </w:r>
    </w:p>
    <w:p>
      <w:pPr>
        <w:spacing w:line="360" w:lineRule="auto"/>
        <w:ind w:left="420" w:hanging="420" w:hangingChars="200"/>
        <w:rPr>
          <w:rFonts w:ascii="宋体"/>
          <w:szCs w:val="21"/>
        </w:rPr>
      </w:pPr>
      <w:r>
        <w:rPr>
          <w:rFonts w:ascii="宋体" w:hAnsi="宋体"/>
          <w:szCs w:val="21"/>
        </w:rPr>
        <w:t>3</w:t>
      </w:r>
      <w:r>
        <w:rPr>
          <w:rFonts w:hint="eastAsia" w:ascii="宋体" w:hAnsi="宋体"/>
          <w:szCs w:val="21"/>
        </w:rPr>
        <w:t>）</w:t>
      </w:r>
      <w:r>
        <w:rPr>
          <w:rFonts w:ascii="宋体" w:hAnsi="宋体"/>
          <w:szCs w:val="21"/>
        </w:rPr>
        <w:t xml:space="preserve"> </w:t>
      </w:r>
      <w:r>
        <w:rPr>
          <w:rFonts w:hint="eastAsia" w:ascii="宋体" w:hAnsi="宋体"/>
          <w:szCs w:val="21"/>
        </w:rPr>
        <w:t>如甲方验证该合同标的货物的技术指标和功能未符合乙方在报价响应文件中对竞价文件规定的技术要求和质量要求的全部相应内容，或者，乙方在本合同的竞争和实施过程中有违法行为；</w:t>
      </w:r>
    </w:p>
    <w:p>
      <w:pPr>
        <w:spacing w:line="360" w:lineRule="auto"/>
        <w:ind w:left="420" w:hanging="420" w:hangingChars="200"/>
        <w:rPr>
          <w:rFonts w:ascii="宋体"/>
          <w:szCs w:val="21"/>
        </w:rPr>
      </w:pPr>
      <w:r>
        <w:rPr>
          <w:rFonts w:ascii="宋体" w:hAnsi="宋体"/>
          <w:szCs w:val="21"/>
        </w:rPr>
        <w:t>4</w:t>
      </w:r>
      <w:r>
        <w:rPr>
          <w:rFonts w:hint="eastAsia" w:ascii="宋体" w:hAnsi="宋体"/>
          <w:szCs w:val="21"/>
        </w:rPr>
        <w:t>）</w:t>
      </w:r>
      <w:r>
        <w:rPr>
          <w:rFonts w:ascii="宋体" w:hAnsi="宋体"/>
          <w:szCs w:val="21"/>
        </w:rPr>
        <w:t xml:space="preserve"> </w:t>
      </w:r>
      <w:r>
        <w:rPr>
          <w:rFonts w:hint="eastAsia" w:ascii="宋体" w:hAnsi="宋体"/>
          <w:szCs w:val="21"/>
        </w:rPr>
        <w:t>如果乙方破产，或甲方有证据证明乙方丧失履约能力。</w:t>
      </w:r>
    </w:p>
    <w:p>
      <w:pPr>
        <w:spacing w:line="360" w:lineRule="auto"/>
        <w:ind w:left="420" w:hanging="420" w:hangingChars="200"/>
        <w:rPr>
          <w:rFonts w:ascii="宋体"/>
          <w:szCs w:val="21"/>
        </w:rPr>
      </w:pPr>
      <w:r>
        <w:rPr>
          <w:rFonts w:ascii="宋体" w:hAnsi="宋体"/>
          <w:szCs w:val="21"/>
        </w:rPr>
        <w:t xml:space="preserve">24.2 </w:t>
      </w:r>
      <w:r>
        <w:rPr>
          <w:rFonts w:hint="eastAsia" w:ascii="宋体" w:hAnsi="宋体"/>
          <w:szCs w:val="21"/>
        </w:rPr>
        <w:t>如果甲方根据上述条款的规定，解除了全部或部分合同，甲方可以依其认为适当的条件和方法购买与未交货物部分类似的货物或服务，</w:t>
      </w:r>
      <w:r>
        <w:rPr>
          <w:rFonts w:hint="eastAsia" w:ascii="宋体" w:hAnsi="宋体" w:cs="仿宋_GB2312"/>
          <w:szCs w:val="21"/>
        </w:rPr>
        <w:t>乙方应承担甲方因购买类似货物或服务而产生的差额费用支出及经济损失</w:t>
      </w:r>
      <w:r>
        <w:rPr>
          <w:rFonts w:hint="eastAsia" w:ascii="宋体" w:hAnsi="宋体"/>
          <w:szCs w:val="21"/>
        </w:rPr>
        <w:t>。</w:t>
      </w:r>
    </w:p>
    <w:p>
      <w:pPr>
        <w:spacing w:line="360" w:lineRule="auto"/>
        <w:ind w:left="420" w:hanging="420" w:hangingChars="200"/>
        <w:rPr>
          <w:rFonts w:ascii="宋体"/>
          <w:szCs w:val="21"/>
        </w:rPr>
      </w:pPr>
      <w:r>
        <w:rPr>
          <w:rFonts w:ascii="宋体" w:hAnsi="宋体"/>
          <w:szCs w:val="21"/>
        </w:rPr>
        <w:t xml:space="preserve">24.3 </w:t>
      </w:r>
      <w:r>
        <w:rPr>
          <w:rFonts w:hint="eastAsia" w:ascii="宋体" w:hAnsi="宋体"/>
          <w:szCs w:val="21"/>
        </w:rPr>
        <w:t>在合同部分解除的情况下，乙方仍应继续履行合同未解除的部分。</w:t>
      </w:r>
    </w:p>
    <w:p>
      <w:pPr>
        <w:spacing w:line="360" w:lineRule="auto"/>
        <w:ind w:left="420" w:hanging="420" w:hangingChars="200"/>
        <w:rPr>
          <w:rFonts w:ascii="宋体"/>
          <w:szCs w:val="21"/>
        </w:rPr>
      </w:pPr>
      <w:r>
        <w:rPr>
          <w:rFonts w:ascii="宋体" w:hAnsi="宋体"/>
          <w:szCs w:val="21"/>
        </w:rPr>
        <w:t xml:space="preserve">24.4 </w:t>
      </w:r>
      <w:r>
        <w:rPr>
          <w:rFonts w:hint="eastAsia" w:ascii="宋体" w:hAnsi="宋体"/>
          <w:szCs w:val="21"/>
        </w:rPr>
        <w:t>合同的解除，</w:t>
      </w:r>
      <w:r>
        <w:rPr>
          <w:rFonts w:ascii="宋体" w:hAnsi="宋体"/>
          <w:szCs w:val="21"/>
        </w:rPr>
        <w:t xml:space="preserve"> </w:t>
      </w:r>
      <w:r>
        <w:rPr>
          <w:rFonts w:hint="eastAsia" w:ascii="宋体" w:hAnsi="宋体"/>
          <w:szCs w:val="21"/>
        </w:rPr>
        <w:t>不损害或影响甲方对乙方违约已经采取或将要采取的任何救济行动或索赔的权力。</w:t>
      </w:r>
    </w:p>
    <w:p>
      <w:pPr>
        <w:spacing w:line="360" w:lineRule="auto"/>
        <w:outlineLvl w:val="1"/>
        <w:rPr>
          <w:rFonts w:ascii="宋体"/>
          <w:b/>
          <w:szCs w:val="21"/>
        </w:rPr>
      </w:pPr>
      <w:r>
        <w:rPr>
          <w:rFonts w:ascii="宋体" w:hAnsi="宋体"/>
          <w:b/>
          <w:szCs w:val="21"/>
        </w:rPr>
        <w:t>25</w:t>
      </w:r>
      <w:r>
        <w:rPr>
          <w:rFonts w:hint="eastAsia" w:ascii="宋体" w:hAnsi="宋体"/>
          <w:b/>
          <w:szCs w:val="21"/>
        </w:rPr>
        <w:t>．不可抗力</w:t>
      </w:r>
    </w:p>
    <w:p>
      <w:pPr>
        <w:spacing w:line="360" w:lineRule="auto"/>
        <w:ind w:left="420" w:hanging="420" w:hangingChars="200"/>
        <w:rPr>
          <w:rFonts w:ascii="宋体"/>
          <w:szCs w:val="21"/>
        </w:rPr>
      </w:pPr>
      <w:r>
        <w:rPr>
          <w:rFonts w:ascii="宋体" w:hAnsi="宋体"/>
          <w:szCs w:val="21"/>
        </w:rPr>
        <w:t>25.1</w:t>
      </w:r>
      <w:r>
        <w:rPr>
          <w:rFonts w:hint="eastAsia" w:ascii="宋体" w:hAnsi="宋体"/>
          <w:szCs w:val="21"/>
        </w:rPr>
        <w:t>“不可抗力”系指那些双方在订立合同时无法控制、不可预见的事件。这些事件包括：战争、严重火灾、洪水、台风、地震以及双方同意的事件。签约双方任何一方由于不可抗力事件的影响而不能执行合同时，履行合同的期限应予以延长，其延长的期限应相当于事件所影响的时间。</w:t>
      </w:r>
    </w:p>
    <w:p>
      <w:pPr>
        <w:spacing w:line="360" w:lineRule="auto"/>
        <w:ind w:left="420" w:hanging="420" w:hangingChars="200"/>
        <w:rPr>
          <w:rFonts w:ascii="宋体"/>
          <w:szCs w:val="21"/>
        </w:rPr>
      </w:pPr>
      <w:r>
        <w:rPr>
          <w:rFonts w:ascii="宋体" w:hAnsi="宋体"/>
          <w:szCs w:val="21"/>
        </w:rPr>
        <w:t xml:space="preserve">25.2 </w:t>
      </w:r>
      <w:r>
        <w:rPr>
          <w:rFonts w:hint="eastAsia" w:ascii="宋体" w:hAnsi="宋体"/>
          <w:szCs w:val="21"/>
        </w:rPr>
        <w:t>在不可抗力事件发生时，乙方应立即告知甲方，并尽快以书面形式将不可抗力的情况和原因通知甲方。同时必须在</w:t>
      </w:r>
      <w:r>
        <w:rPr>
          <w:rFonts w:ascii="宋体" w:hAnsi="宋体"/>
          <w:szCs w:val="21"/>
        </w:rPr>
        <w:t xml:space="preserve"> 14 </w:t>
      </w:r>
      <w:r>
        <w:rPr>
          <w:rFonts w:hint="eastAsia" w:ascii="宋体" w:hAnsi="宋体"/>
          <w:szCs w:val="21"/>
        </w:rPr>
        <w:t>个日历日内，向甲方递交有关政府部门出具的证明。</w:t>
      </w:r>
      <w:r>
        <w:rPr>
          <w:rFonts w:ascii="宋体" w:hAnsi="宋体"/>
          <w:szCs w:val="21"/>
        </w:rPr>
        <w:t xml:space="preserve"> </w:t>
      </w:r>
      <w:r>
        <w:rPr>
          <w:rFonts w:hint="eastAsia" w:ascii="宋体" w:hAnsi="宋体"/>
          <w:szCs w:val="21"/>
        </w:rPr>
        <w:t>如果不可抗力超过</w:t>
      </w:r>
      <w:r>
        <w:rPr>
          <w:rFonts w:ascii="宋体" w:hAnsi="宋体"/>
          <w:szCs w:val="21"/>
        </w:rPr>
        <w:t xml:space="preserve"> 120</w:t>
      </w:r>
      <w:r>
        <w:rPr>
          <w:rFonts w:hint="eastAsia" w:ascii="宋体" w:hAnsi="宋体"/>
          <w:szCs w:val="21"/>
        </w:rPr>
        <w:t>天，双方将通过协商就合同的履行另行达成协议。</w:t>
      </w:r>
    </w:p>
    <w:p>
      <w:pPr>
        <w:spacing w:line="360" w:lineRule="auto"/>
        <w:outlineLvl w:val="1"/>
        <w:rPr>
          <w:rFonts w:ascii="宋体"/>
          <w:b/>
          <w:szCs w:val="21"/>
        </w:rPr>
      </w:pPr>
      <w:r>
        <w:rPr>
          <w:rFonts w:ascii="宋体" w:hAnsi="宋体"/>
          <w:b/>
          <w:szCs w:val="21"/>
        </w:rPr>
        <w:t>26</w:t>
      </w:r>
      <w:r>
        <w:rPr>
          <w:rFonts w:hint="eastAsia" w:ascii="宋体" w:hAnsi="宋体"/>
          <w:b/>
          <w:szCs w:val="21"/>
        </w:rPr>
        <w:t>．争端的解决</w:t>
      </w:r>
    </w:p>
    <w:p>
      <w:pPr>
        <w:spacing w:line="360" w:lineRule="auto"/>
        <w:ind w:left="420" w:hanging="420" w:hangingChars="200"/>
        <w:rPr>
          <w:rFonts w:ascii="宋体"/>
          <w:szCs w:val="21"/>
        </w:rPr>
      </w:pPr>
      <w:r>
        <w:rPr>
          <w:rFonts w:ascii="宋体" w:hAnsi="宋体"/>
          <w:szCs w:val="21"/>
        </w:rPr>
        <w:t xml:space="preserve">26.1 </w:t>
      </w:r>
      <w:r>
        <w:rPr>
          <w:rFonts w:hint="eastAsia" w:ascii="宋体" w:hAnsi="宋体"/>
          <w:szCs w:val="21"/>
        </w:rPr>
        <w:t>合同实施或与合同有关的一切争议应通过双方友好协商解决。</w:t>
      </w:r>
    </w:p>
    <w:p>
      <w:pPr>
        <w:spacing w:line="360" w:lineRule="auto"/>
        <w:ind w:left="420" w:hanging="420" w:hangingChars="200"/>
        <w:rPr>
          <w:rFonts w:ascii="宋体"/>
          <w:szCs w:val="21"/>
        </w:rPr>
      </w:pPr>
      <w:r>
        <w:rPr>
          <w:rFonts w:ascii="宋体" w:hAnsi="宋体"/>
          <w:szCs w:val="21"/>
        </w:rPr>
        <w:t>26.2</w:t>
      </w:r>
      <w:r>
        <w:rPr>
          <w:rFonts w:hint="eastAsia" w:ascii="宋体" w:hAnsi="宋体"/>
          <w:szCs w:val="21"/>
        </w:rPr>
        <w:t>如果协商不能解决，合同任何一方可以向甲方所在地有管辖权的人民法院提起诉讼。</w:t>
      </w:r>
    </w:p>
    <w:p>
      <w:pPr>
        <w:spacing w:line="360" w:lineRule="auto"/>
        <w:outlineLvl w:val="1"/>
        <w:rPr>
          <w:rFonts w:ascii="宋体"/>
          <w:b/>
          <w:szCs w:val="21"/>
        </w:rPr>
      </w:pPr>
      <w:r>
        <w:rPr>
          <w:rFonts w:ascii="宋体" w:hAnsi="宋体"/>
          <w:b/>
          <w:szCs w:val="21"/>
        </w:rPr>
        <w:t>27</w:t>
      </w:r>
      <w:r>
        <w:rPr>
          <w:rFonts w:hint="eastAsia" w:ascii="宋体" w:hAnsi="宋体"/>
          <w:b/>
          <w:szCs w:val="21"/>
        </w:rPr>
        <w:t>．通知</w:t>
      </w:r>
    </w:p>
    <w:p>
      <w:pPr>
        <w:spacing w:line="360" w:lineRule="auto"/>
        <w:ind w:left="420" w:hanging="420" w:hangingChars="200"/>
        <w:rPr>
          <w:rFonts w:ascii="宋体"/>
          <w:szCs w:val="21"/>
        </w:rPr>
      </w:pPr>
      <w:r>
        <w:rPr>
          <w:rFonts w:ascii="宋体" w:hAnsi="宋体"/>
          <w:szCs w:val="21"/>
        </w:rPr>
        <w:t xml:space="preserve">27.1 </w:t>
      </w:r>
      <w:r>
        <w:rPr>
          <w:rFonts w:hint="eastAsia" w:ascii="宋体" w:hAnsi="宋体"/>
          <w:szCs w:val="21"/>
        </w:rPr>
        <w:t>本合同载明地址、联系方式系双方送达各类通知、函件、法律文书的送达地址，如一方地址、电话发生变更，应当在变更当日书面通知对方，否则文书发出之日视为送达之日。</w:t>
      </w:r>
    </w:p>
    <w:p>
      <w:pPr>
        <w:spacing w:line="360" w:lineRule="auto"/>
        <w:ind w:left="420" w:hanging="420" w:hangingChars="200"/>
        <w:rPr>
          <w:rFonts w:ascii="宋体"/>
          <w:szCs w:val="21"/>
        </w:rPr>
      </w:pPr>
      <w:r>
        <w:rPr>
          <w:rFonts w:ascii="宋体" w:hAnsi="宋体"/>
          <w:szCs w:val="21"/>
        </w:rPr>
        <w:t xml:space="preserve">27.2 </w:t>
      </w:r>
      <w:r>
        <w:rPr>
          <w:rFonts w:hint="eastAsia" w:ascii="宋体" w:hAnsi="宋体"/>
          <w:szCs w:val="21"/>
        </w:rPr>
        <w:t>通知以送到日期或通知书的生效为生效日期，两者中以较晚的一个日期为准。</w:t>
      </w:r>
    </w:p>
    <w:p>
      <w:pPr>
        <w:spacing w:line="360" w:lineRule="auto"/>
        <w:outlineLvl w:val="1"/>
        <w:rPr>
          <w:rFonts w:ascii="宋体"/>
          <w:b/>
          <w:szCs w:val="21"/>
        </w:rPr>
      </w:pPr>
      <w:r>
        <w:rPr>
          <w:rFonts w:ascii="宋体" w:hAnsi="宋体"/>
          <w:b/>
          <w:szCs w:val="21"/>
        </w:rPr>
        <w:t>28</w:t>
      </w:r>
      <w:r>
        <w:rPr>
          <w:rFonts w:hint="eastAsia" w:ascii="宋体" w:hAnsi="宋体"/>
          <w:b/>
          <w:szCs w:val="21"/>
        </w:rPr>
        <w:t>．税</w:t>
      </w:r>
    </w:p>
    <w:p>
      <w:pPr>
        <w:spacing w:line="360" w:lineRule="auto"/>
        <w:ind w:left="420" w:hanging="420" w:hangingChars="200"/>
        <w:rPr>
          <w:rFonts w:ascii="宋体"/>
          <w:szCs w:val="21"/>
        </w:rPr>
      </w:pPr>
      <w:r>
        <w:rPr>
          <w:rFonts w:ascii="宋体" w:hAnsi="宋体"/>
          <w:szCs w:val="21"/>
        </w:rPr>
        <w:t xml:space="preserve">28.1 </w:t>
      </w:r>
      <w:r>
        <w:rPr>
          <w:rFonts w:hint="eastAsia" w:ascii="宋体" w:hAnsi="宋体"/>
          <w:szCs w:val="21"/>
        </w:rPr>
        <w:t>中国政府根据现行税法对乙方征收的与本合同有关的一切税费均应由乙方负担。</w:t>
      </w:r>
    </w:p>
    <w:p>
      <w:pPr>
        <w:spacing w:line="360" w:lineRule="auto"/>
        <w:ind w:left="420" w:hanging="420" w:hangingChars="200"/>
        <w:rPr>
          <w:rFonts w:ascii="宋体"/>
          <w:szCs w:val="21"/>
        </w:rPr>
      </w:pPr>
      <w:r>
        <w:rPr>
          <w:rFonts w:ascii="宋体" w:hAnsi="宋体"/>
          <w:szCs w:val="21"/>
        </w:rPr>
        <w:t xml:space="preserve">28.2 </w:t>
      </w:r>
      <w:r>
        <w:rPr>
          <w:rFonts w:hint="eastAsia" w:ascii="宋体" w:hAnsi="宋体"/>
          <w:szCs w:val="21"/>
        </w:rPr>
        <w:t>中国政府根据现行税法对甲方征收的与本合同有关的一切税费均应由甲方负担。</w:t>
      </w:r>
    </w:p>
    <w:p>
      <w:pPr>
        <w:spacing w:line="360" w:lineRule="auto"/>
        <w:outlineLvl w:val="1"/>
        <w:rPr>
          <w:rFonts w:ascii="宋体"/>
          <w:b/>
          <w:szCs w:val="21"/>
        </w:rPr>
      </w:pPr>
      <w:r>
        <w:rPr>
          <w:rFonts w:ascii="宋体" w:hAnsi="宋体"/>
          <w:b/>
          <w:szCs w:val="21"/>
        </w:rPr>
        <w:t>29</w:t>
      </w:r>
      <w:r>
        <w:rPr>
          <w:rFonts w:hint="eastAsia" w:ascii="宋体" w:hAnsi="宋体"/>
          <w:b/>
          <w:szCs w:val="21"/>
        </w:rPr>
        <w:t>．其它</w:t>
      </w:r>
    </w:p>
    <w:p>
      <w:pPr>
        <w:spacing w:line="360" w:lineRule="auto"/>
        <w:ind w:left="420" w:hanging="420" w:hangingChars="200"/>
        <w:rPr>
          <w:rFonts w:ascii="宋体"/>
          <w:szCs w:val="21"/>
        </w:rPr>
      </w:pPr>
      <w:r>
        <w:rPr>
          <w:rFonts w:ascii="宋体" w:hAnsi="宋体"/>
          <w:szCs w:val="21"/>
        </w:rPr>
        <w:t xml:space="preserve">29.1 </w:t>
      </w:r>
      <w:r>
        <w:rPr>
          <w:rFonts w:hint="eastAsia" w:ascii="宋体" w:hAnsi="宋体"/>
          <w:szCs w:val="21"/>
        </w:rPr>
        <w:t>本合同所有附件、竞价文件、报价响应文件、成交通知书均为合同的有效组成部分，与本合同有同等法律效力。</w:t>
      </w:r>
    </w:p>
    <w:p>
      <w:pPr>
        <w:spacing w:line="360" w:lineRule="auto"/>
        <w:ind w:left="420" w:hanging="420" w:hangingChars="200"/>
        <w:rPr>
          <w:rFonts w:ascii="宋体"/>
          <w:szCs w:val="21"/>
        </w:rPr>
      </w:pPr>
      <w:r>
        <w:rPr>
          <w:rFonts w:ascii="宋体" w:hAnsi="宋体"/>
          <w:szCs w:val="21"/>
        </w:rPr>
        <w:t xml:space="preserve">29.2 </w:t>
      </w:r>
      <w:r>
        <w:rPr>
          <w:rFonts w:hint="eastAsia" w:ascii="宋体" w:hAnsi="宋体"/>
          <w:szCs w:val="21"/>
        </w:rPr>
        <w:t>在执行本合同的过程中，所有经双方签署确认的文件（包括会议纪要、补充协议、往来信函）即成为本合同的有效组成部分。</w:t>
      </w:r>
    </w:p>
    <w:p>
      <w:pPr>
        <w:spacing w:line="360" w:lineRule="auto"/>
        <w:ind w:left="420" w:hanging="420" w:hangingChars="200"/>
        <w:rPr>
          <w:rFonts w:ascii="宋体"/>
          <w:szCs w:val="21"/>
        </w:rPr>
      </w:pPr>
      <w:r>
        <w:rPr>
          <w:rFonts w:ascii="宋体" w:hAnsi="宋体"/>
          <w:szCs w:val="21"/>
        </w:rPr>
        <w:t xml:space="preserve">29.3 </w:t>
      </w:r>
      <w:r>
        <w:rPr>
          <w:rFonts w:hint="eastAsia" w:ascii="宋体" w:hAnsi="宋体"/>
          <w:szCs w:val="21"/>
        </w:rPr>
        <w:t>如一方地址、电话、传真号码有变更，应在变更当日内书面通知对方，否则，应承担相应责任。</w:t>
      </w:r>
    </w:p>
    <w:p>
      <w:pPr>
        <w:spacing w:line="360" w:lineRule="auto"/>
        <w:ind w:left="420" w:hanging="420" w:hangingChars="200"/>
        <w:rPr>
          <w:rFonts w:ascii="宋体"/>
          <w:szCs w:val="21"/>
        </w:rPr>
      </w:pPr>
      <w:r>
        <w:rPr>
          <w:rFonts w:ascii="宋体" w:hAnsi="宋体"/>
          <w:szCs w:val="21"/>
        </w:rPr>
        <w:t xml:space="preserve">29.4 </w:t>
      </w:r>
      <w:r>
        <w:rPr>
          <w:rFonts w:hint="eastAsia" w:ascii="宋体" w:hAnsi="宋体"/>
          <w:szCs w:val="21"/>
        </w:rPr>
        <w:t>乙方在签订合同的同时应与甲方签订保密协议。</w:t>
      </w:r>
    </w:p>
    <w:p>
      <w:pPr>
        <w:spacing w:line="360" w:lineRule="auto"/>
        <w:ind w:left="420" w:hanging="420" w:hangingChars="200"/>
        <w:rPr>
          <w:rFonts w:ascii="宋体"/>
          <w:szCs w:val="21"/>
        </w:rPr>
      </w:pPr>
      <w:r>
        <w:rPr>
          <w:rFonts w:ascii="宋体" w:hAnsi="宋体"/>
          <w:szCs w:val="21"/>
        </w:rPr>
        <w:t xml:space="preserve">29.5 </w:t>
      </w:r>
      <w:r>
        <w:rPr>
          <w:rFonts w:hint="eastAsia" w:ascii="宋体" w:hAnsi="宋体"/>
          <w:szCs w:val="21"/>
        </w:rPr>
        <w:t>施工期间，乙方必须严格按照安全文明施工操作规范，凡发生施工安全事故、劳资纠纷等均由乙方负全责，甲方不负任何责任。</w:t>
      </w:r>
    </w:p>
    <w:p>
      <w:pPr>
        <w:spacing w:line="360" w:lineRule="auto"/>
        <w:ind w:left="420" w:hanging="420" w:hangingChars="200"/>
        <w:rPr>
          <w:rFonts w:ascii="宋体"/>
          <w:szCs w:val="21"/>
        </w:rPr>
      </w:pPr>
      <w:r>
        <w:rPr>
          <w:rFonts w:ascii="宋体" w:hAnsi="宋体"/>
          <w:szCs w:val="21"/>
        </w:rPr>
        <w:t xml:space="preserve">29.6 </w:t>
      </w:r>
      <w:r>
        <w:rPr>
          <w:rFonts w:hint="eastAsia" w:ascii="宋体" w:hAnsi="宋体"/>
          <w:szCs w:val="21"/>
        </w:rPr>
        <w:t>施工期间，乙方必须管理好施工队伍，严格遵守甲方的有关管理规定，甲方有权视违反情节进行处理，造成严重后果的，送公安机关追究有关责任。</w:t>
      </w:r>
    </w:p>
    <w:p>
      <w:pPr>
        <w:spacing w:line="360" w:lineRule="auto"/>
        <w:ind w:left="420" w:hanging="420" w:hangingChars="200"/>
        <w:rPr>
          <w:rFonts w:ascii="宋体"/>
          <w:szCs w:val="21"/>
        </w:rPr>
      </w:pPr>
      <w:r>
        <w:rPr>
          <w:rFonts w:ascii="宋体" w:hAnsi="宋体"/>
          <w:szCs w:val="21"/>
        </w:rPr>
        <w:t xml:space="preserve">29.7 </w:t>
      </w:r>
      <w:r>
        <w:rPr>
          <w:rFonts w:hint="eastAsia" w:ascii="宋体" w:hAnsi="宋体"/>
          <w:szCs w:val="21"/>
        </w:rPr>
        <w:t>如果本合同的货物在其所在国需要进出口许可证，</w:t>
      </w:r>
      <w:r>
        <w:rPr>
          <w:rFonts w:ascii="宋体" w:hAnsi="宋体"/>
          <w:szCs w:val="21"/>
        </w:rPr>
        <w:t xml:space="preserve"> </w:t>
      </w:r>
      <w:r>
        <w:rPr>
          <w:rFonts w:hint="eastAsia" w:ascii="宋体" w:hAnsi="宋体"/>
          <w:szCs w:val="21"/>
        </w:rPr>
        <w:t>乙方应负责办理进出口许可证，</w:t>
      </w:r>
      <w:r>
        <w:rPr>
          <w:rFonts w:ascii="宋体" w:hAnsi="宋体"/>
          <w:szCs w:val="21"/>
        </w:rPr>
        <w:t xml:space="preserve"> </w:t>
      </w:r>
      <w:r>
        <w:rPr>
          <w:rFonts w:hint="eastAsia" w:ascii="宋体" w:hAnsi="宋体"/>
          <w:szCs w:val="21"/>
        </w:rPr>
        <w:t>费用自理。进口的货物必须向甲方提供报关单原件。</w:t>
      </w:r>
    </w:p>
    <w:p>
      <w:pPr>
        <w:spacing w:line="360" w:lineRule="auto"/>
        <w:ind w:left="420" w:hanging="420" w:hangingChars="200"/>
        <w:rPr>
          <w:rFonts w:ascii="宋体"/>
          <w:szCs w:val="21"/>
        </w:rPr>
      </w:pPr>
      <w:r>
        <w:rPr>
          <w:rFonts w:ascii="宋体" w:hAnsi="宋体"/>
          <w:szCs w:val="21"/>
        </w:rPr>
        <w:t xml:space="preserve">29.8 </w:t>
      </w:r>
      <w:r>
        <w:rPr>
          <w:rFonts w:hint="eastAsia" w:ascii="宋体" w:hAnsi="宋体"/>
          <w:szCs w:val="21"/>
        </w:rPr>
        <w:t>施工期间乙方所需的办公场地、用水、用电以及人员的食宿等，甲方负责协调解决，费用由乙方支付。</w:t>
      </w:r>
    </w:p>
    <w:p>
      <w:pPr>
        <w:spacing w:line="360" w:lineRule="auto"/>
        <w:ind w:left="420" w:hanging="420" w:hangingChars="200"/>
        <w:rPr>
          <w:rFonts w:ascii="宋体"/>
          <w:szCs w:val="21"/>
        </w:rPr>
      </w:pPr>
      <w:r>
        <w:rPr>
          <w:rFonts w:ascii="宋体" w:hAnsi="宋体"/>
          <w:szCs w:val="21"/>
        </w:rPr>
        <w:t xml:space="preserve">29.9 </w:t>
      </w:r>
      <w:r>
        <w:rPr>
          <w:rFonts w:hint="eastAsia" w:ascii="宋体" w:hAnsi="宋体"/>
          <w:szCs w:val="21"/>
        </w:rPr>
        <w:t>工程通过验收后，乙方必须交回所有相关的施工资料。</w:t>
      </w:r>
    </w:p>
    <w:p>
      <w:pPr>
        <w:spacing w:line="360" w:lineRule="auto"/>
        <w:ind w:left="420" w:hanging="420" w:hangingChars="200"/>
        <w:rPr>
          <w:rFonts w:ascii="宋体"/>
          <w:szCs w:val="21"/>
        </w:rPr>
      </w:pPr>
      <w:r>
        <w:rPr>
          <w:rFonts w:ascii="宋体" w:hAnsi="宋体"/>
          <w:szCs w:val="21"/>
        </w:rPr>
        <w:t xml:space="preserve">29.10 </w:t>
      </w:r>
      <w:r>
        <w:rPr>
          <w:rFonts w:hint="eastAsia" w:ascii="宋体" w:hAnsi="宋体"/>
          <w:szCs w:val="21"/>
        </w:rPr>
        <w:t>对甲方自行购买的货物或服务，乙方有全力配合，完成设备及技术对接等服务的义务。</w:t>
      </w:r>
    </w:p>
    <w:p>
      <w:pPr>
        <w:spacing w:line="360" w:lineRule="auto"/>
        <w:ind w:left="420" w:hanging="420" w:hangingChars="200"/>
        <w:rPr>
          <w:rFonts w:ascii="宋体"/>
          <w:szCs w:val="21"/>
        </w:rPr>
      </w:pPr>
      <w:r>
        <w:rPr>
          <w:rFonts w:ascii="宋体" w:hAnsi="宋体"/>
          <w:szCs w:val="21"/>
        </w:rPr>
        <w:t>29.11</w:t>
      </w:r>
      <w:r>
        <w:rPr>
          <w:rFonts w:hint="eastAsia" w:ascii="宋体" w:hAnsi="宋体"/>
          <w:szCs w:val="21"/>
        </w:rPr>
        <w:t>因履行本合同所产生的研究成果及其相关知识产权权利归属：甲方拥有全部知识产权、源代码及密钥等。“源代码”指项目相关软件、平台及系统的源代码。其必须可为熟练的程序员理解和使用，可打印以及被机器阅读或具备其它合理而必要的形式，包括对该软件、平台及系统的评估、测试或其它技术文件。</w:t>
      </w:r>
    </w:p>
    <w:p>
      <w:pPr>
        <w:spacing w:line="360" w:lineRule="auto"/>
        <w:ind w:left="420" w:hanging="420" w:hangingChars="200"/>
        <w:rPr>
          <w:rFonts w:ascii="宋体"/>
          <w:szCs w:val="21"/>
        </w:rPr>
      </w:pPr>
      <w:r>
        <w:rPr>
          <w:rFonts w:ascii="宋体" w:hAnsi="宋体"/>
          <w:szCs w:val="21"/>
        </w:rPr>
        <w:t xml:space="preserve">29.12 </w:t>
      </w:r>
      <w:r>
        <w:rPr>
          <w:rFonts w:hint="eastAsia" w:ascii="宋体" w:hAnsi="宋体"/>
          <w:szCs w:val="21"/>
        </w:rPr>
        <w:t>本合同未明确的事宜以甲方的招标需求为准。</w:t>
      </w:r>
    </w:p>
    <w:p>
      <w:pPr>
        <w:spacing w:line="360" w:lineRule="auto"/>
        <w:outlineLvl w:val="1"/>
        <w:rPr>
          <w:rFonts w:ascii="宋体"/>
          <w:b/>
          <w:szCs w:val="21"/>
        </w:rPr>
      </w:pPr>
      <w:r>
        <w:rPr>
          <w:rFonts w:ascii="宋体" w:hAnsi="宋体"/>
          <w:b/>
          <w:szCs w:val="21"/>
        </w:rPr>
        <w:t>30</w:t>
      </w:r>
      <w:r>
        <w:rPr>
          <w:rFonts w:hint="eastAsia" w:ascii="宋体" w:hAnsi="宋体"/>
          <w:b/>
          <w:szCs w:val="21"/>
        </w:rPr>
        <w:t>．合同生效</w:t>
      </w:r>
    </w:p>
    <w:p>
      <w:pPr>
        <w:spacing w:line="360" w:lineRule="auto"/>
        <w:ind w:left="420" w:hanging="420" w:hangingChars="200"/>
        <w:rPr>
          <w:rFonts w:ascii="宋体"/>
          <w:szCs w:val="21"/>
        </w:rPr>
      </w:pPr>
      <w:r>
        <w:rPr>
          <w:rFonts w:ascii="宋体" w:hAnsi="宋体"/>
          <w:szCs w:val="21"/>
        </w:rPr>
        <w:t xml:space="preserve">30.1 </w:t>
      </w:r>
      <w:r>
        <w:rPr>
          <w:rFonts w:hint="eastAsia" w:ascii="宋体" w:hAnsi="宋体"/>
          <w:szCs w:val="21"/>
        </w:rPr>
        <w:t>本合同在双方签字盖章后生效。</w:t>
      </w:r>
    </w:p>
    <w:p>
      <w:pPr>
        <w:spacing w:line="360" w:lineRule="auto"/>
        <w:ind w:left="420" w:hanging="420" w:hangingChars="200"/>
        <w:rPr>
          <w:rFonts w:ascii="宋体"/>
          <w:szCs w:val="21"/>
        </w:rPr>
      </w:pPr>
      <w:r>
        <w:rPr>
          <w:rFonts w:ascii="宋体" w:hAnsi="宋体"/>
          <w:szCs w:val="21"/>
        </w:rPr>
        <w:t>30.2</w:t>
      </w:r>
      <w:r>
        <w:rPr>
          <w:rFonts w:hint="eastAsia" w:ascii="宋体" w:hAnsi="宋体"/>
          <w:szCs w:val="21"/>
        </w:rPr>
        <w:t>本合同正本壹式</w:t>
      </w:r>
      <w:r>
        <w:rPr>
          <w:rFonts w:ascii="宋体" w:hAnsi="宋体"/>
          <w:szCs w:val="21"/>
          <w:u w:val="single"/>
        </w:rPr>
        <w:t xml:space="preserve"> </w:t>
      </w:r>
      <w:r>
        <w:rPr>
          <w:rFonts w:hint="eastAsia" w:ascii="宋体" w:hAnsi="宋体"/>
          <w:szCs w:val="21"/>
          <w:u w:val="single"/>
        </w:rPr>
        <w:t>伍</w:t>
      </w:r>
      <w:r>
        <w:rPr>
          <w:rFonts w:ascii="宋体" w:hAnsi="宋体"/>
          <w:szCs w:val="21"/>
          <w:u w:val="single"/>
        </w:rPr>
        <w:t xml:space="preserve"> </w:t>
      </w:r>
      <w:r>
        <w:rPr>
          <w:rFonts w:hint="eastAsia" w:ascii="宋体" w:hAnsi="宋体"/>
          <w:szCs w:val="21"/>
        </w:rPr>
        <w:t>份，副本壹式</w:t>
      </w:r>
      <w:r>
        <w:rPr>
          <w:rFonts w:ascii="宋体" w:hAnsi="宋体"/>
          <w:szCs w:val="21"/>
          <w:u w:val="single"/>
        </w:rPr>
        <w:t xml:space="preserve"> </w:t>
      </w:r>
      <w:r>
        <w:rPr>
          <w:rFonts w:hint="eastAsia" w:ascii="宋体" w:hAnsi="宋体"/>
          <w:szCs w:val="21"/>
          <w:u w:val="single"/>
        </w:rPr>
        <w:t>肆</w:t>
      </w:r>
      <w:r>
        <w:rPr>
          <w:rFonts w:ascii="宋体" w:hAnsi="宋体"/>
          <w:szCs w:val="21"/>
          <w:u w:val="single"/>
        </w:rPr>
        <w:t xml:space="preserve"> </w:t>
      </w:r>
      <w:r>
        <w:rPr>
          <w:rFonts w:hint="eastAsia" w:ascii="宋体" w:hAnsi="宋体"/>
          <w:szCs w:val="21"/>
        </w:rPr>
        <w:t>份，均具有同等法律效力。其中甲方执正本</w:t>
      </w:r>
      <w:r>
        <w:rPr>
          <w:rFonts w:hint="eastAsia" w:ascii="宋体" w:hAnsi="宋体"/>
          <w:szCs w:val="21"/>
          <w:u w:val="single"/>
        </w:rPr>
        <w:t>叁</w:t>
      </w:r>
      <w:r>
        <w:rPr>
          <w:rFonts w:hint="eastAsia" w:ascii="宋体" w:hAnsi="宋体"/>
          <w:szCs w:val="21"/>
        </w:rPr>
        <w:t>份、副本</w:t>
      </w:r>
      <w:r>
        <w:rPr>
          <w:rFonts w:hint="eastAsia" w:ascii="宋体" w:hAnsi="宋体"/>
          <w:szCs w:val="21"/>
          <w:u w:val="single"/>
        </w:rPr>
        <w:t>壹</w:t>
      </w:r>
      <w:r>
        <w:rPr>
          <w:rFonts w:hint="eastAsia" w:ascii="宋体" w:hAnsi="宋体"/>
          <w:szCs w:val="21"/>
        </w:rPr>
        <w:t>份，乙方执正本</w:t>
      </w:r>
      <w:r>
        <w:rPr>
          <w:rFonts w:hint="eastAsia" w:ascii="宋体" w:hAnsi="宋体"/>
          <w:szCs w:val="21"/>
          <w:u w:val="single"/>
        </w:rPr>
        <w:t>贰</w:t>
      </w:r>
      <w:r>
        <w:rPr>
          <w:rFonts w:hint="eastAsia" w:ascii="宋体" w:hAnsi="宋体"/>
          <w:szCs w:val="21"/>
        </w:rPr>
        <w:t>份、副本</w:t>
      </w:r>
      <w:r>
        <w:rPr>
          <w:rFonts w:hint="eastAsia" w:ascii="宋体" w:hAnsi="宋体"/>
          <w:szCs w:val="21"/>
          <w:u w:val="single"/>
        </w:rPr>
        <w:t>贰</w:t>
      </w:r>
      <w:r>
        <w:rPr>
          <w:rFonts w:hint="eastAsia" w:ascii="宋体" w:hAnsi="宋体"/>
          <w:szCs w:val="21"/>
        </w:rPr>
        <w:t>份，监理方执副本</w:t>
      </w:r>
      <w:r>
        <w:rPr>
          <w:rFonts w:hint="eastAsia" w:ascii="宋体" w:hAnsi="宋体"/>
          <w:szCs w:val="21"/>
          <w:u w:val="single"/>
        </w:rPr>
        <w:t>壹</w:t>
      </w:r>
      <w:r>
        <w:rPr>
          <w:rFonts w:hint="eastAsia" w:ascii="宋体" w:hAnsi="宋体"/>
          <w:szCs w:val="21"/>
        </w:rPr>
        <w:t>份。</w:t>
      </w:r>
    </w:p>
    <w:p>
      <w:pPr>
        <w:spacing w:line="360" w:lineRule="auto"/>
        <w:ind w:left="422" w:hanging="422" w:hangingChars="200"/>
        <w:rPr>
          <w:rFonts w:hint="eastAsia" w:ascii="宋体"/>
          <w:b/>
          <w:szCs w:val="21"/>
        </w:rPr>
      </w:pPr>
      <w:r>
        <w:rPr>
          <w:rFonts w:ascii="宋体" w:hAnsi="宋体"/>
          <w:b/>
          <w:szCs w:val="21"/>
        </w:rPr>
        <w:t xml:space="preserve"> 31.</w:t>
      </w:r>
      <w:r>
        <w:rPr>
          <w:rFonts w:hint="eastAsia" w:ascii="宋体" w:hAnsi="宋体"/>
          <w:b/>
          <w:szCs w:val="21"/>
        </w:rPr>
        <w:t>合同附件</w:t>
      </w:r>
    </w:p>
    <w:p>
      <w:pPr>
        <w:pStyle w:val="35"/>
        <w:spacing w:line="360" w:lineRule="auto"/>
        <w:ind w:firstLine="400"/>
        <w:rPr>
          <w:rFonts w:ascii="宋体" w:hAnsi="宋体"/>
          <w:szCs w:val="21"/>
        </w:rPr>
      </w:pPr>
      <w:r>
        <w:rPr>
          <w:rFonts w:ascii="宋体" w:hAnsi="宋体"/>
          <w:szCs w:val="21"/>
        </w:rPr>
        <w:t xml:space="preserve">    31.1</w:t>
      </w:r>
      <w:r>
        <w:rPr>
          <w:rFonts w:hint="eastAsia" w:ascii="宋体" w:hAnsi="宋体"/>
          <w:szCs w:val="21"/>
        </w:rPr>
        <w:t>附件</w:t>
      </w:r>
      <w:r>
        <w:rPr>
          <w:rFonts w:ascii="宋体" w:hAnsi="宋体"/>
          <w:szCs w:val="21"/>
        </w:rPr>
        <w:t>1-</w:t>
      </w:r>
      <w:r>
        <w:rPr>
          <w:rFonts w:hint="eastAsia" w:ascii="宋体" w:hAnsi="宋体"/>
          <w:szCs w:val="21"/>
        </w:rPr>
        <w:t>设备清单</w:t>
      </w:r>
    </w:p>
    <w:p>
      <w:pPr>
        <w:pStyle w:val="35"/>
        <w:spacing w:line="360" w:lineRule="auto"/>
        <w:ind w:firstLine="840" w:firstLineChars="400"/>
        <w:rPr>
          <w:rFonts w:ascii="宋体"/>
          <w:szCs w:val="21"/>
        </w:rPr>
      </w:pPr>
      <w:r>
        <w:rPr>
          <w:rFonts w:hint="eastAsia" w:ascii="宋体" w:hAnsi="宋体"/>
          <w:szCs w:val="21"/>
        </w:rPr>
        <w:t>3</w:t>
      </w:r>
      <w:r>
        <w:rPr>
          <w:rFonts w:ascii="宋体" w:hAnsi="宋体"/>
          <w:szCs w:val="21"/>
        </w:rPr>
        <w:t>2.2</w:t>
      </w:r>
      <w:r>
        <w:rPr>
          <w:rFonts w:hint="eastAsia" w:ascii="宋体" w:hAnsi="宋体"/>
          <w:szCs w:val="21"/>
        </w:rPr>
        <w:t>附件</w:t>
      </w:r>
      <w:r>
        <w:rPr>
          <w:rFonts w:ascii="宋体" w:hAnsi="宋体"/>
          <w:szCs w:val="21"/>
        </w:rPr>
        <w:t>2-</w:t>
      </w:r>
      <w:r>
        <w:rPr>
          <w:rFonts w:hint="eastAsia" w:ascii="宋体" w:hAnsi="宋体"/>
          <w:szCs w:val="21"/>
        </w:rPr>
        <w:t>《保密协议书》</w:t>
      </w:r>
    </w:p>
    <w:tbl>
      <w:tblPr>
        <w:tblStyle w:val="25"/>
        <w:tblW w:w="9018" w:type="dxa"/>
        <w:tblInd w:w="0" w:type="dxa"/>
        <w:tblLayout w:type="fixed"/>
        <w:tblCellMar>
          <w:top w:w="0" w:type="dxa"/>
          <w:left w:w="108" w:type="dxa"/>
          <w:bottom w:w="0" w:type="dxa"/>
          <w:right w:w="108" w:type="dxa"/>
        </w:tblCellMar>
      </w:tblPr>
      <w:tblGrid>
        <w:gridCol w:w="3978"/>
        <w:gridCol w:w="5040"/>
      </w:tblGrid>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szCs w:val="21"/>
              </w:rPr>
            </w:pPr>
            <w:r>
              <w:rPr>
                <w:rFonts w:hint="eastAsia" w:ascii="宋体" w:hAnsi="宋体"/>
                <w:szCs w:val="21"/>
              </w:rPr>
              <w:t>甲方（盖章）：</w:t>
            </w:r>
          </w:p>
        </w:tc>
        <w:tc>
          <w:tcPr>
            <w:tcW w:w="5040" w:type="dxa"/>
            <w:vAlign w:val="top"/>
          </w:tcPr>
          <w:p>
            <w:pPr>
              <w:spacing w:line="360" w:lineRule="auto"/>
              <w:ind w:firstLine="210"/>
              <w:rPr>
                <w:rFonts w:ascii="宋体"/>
                <w:szCs w:val="21"/>
              </w:rPr>
            </w:pPr>
            <w:r>
              <w:rPr>
                <w:rFonts w:hint="eastAsia" w:ascii="宋体" w:hAnsi="宋体"/>
                <w:szCs w:val="21"/>
              </w:rPr>
              <w:t xml:space="preserve">乙方（盖章）：  </w:t>
            </w:r>
          </w:p>
        </w:tc>
      </w:tr>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szCs w:val="21"/>
              </w:rPr>
            </w:pPr>
            <w:r>
              <w:rPr>
                <w:rFonts w:hint="eastAsia" w:ascii="宋体" w:hAnsi="宋体"/>
                <w:szCs w:val="21"/>
              </w:rPr>
              <w:t>法定代表人：</w:t>
            </w:r>
          </w:p>
        </w:tc>
        <w:tc>
          <w:tcPr>
            <w:tcW w:w="5040" w:type="dxa"/>
            <w:vAlign w:val="top"/>
          </w:tcPr>
          <w:p>
            <w:pPr>
              <w:spacing w:line="360" w:lineRule="auto"/>
              <w:ind w:firstLine="210"/>
              <w:rPr>
                <w:rFonts w:ascii="宋体"/>
                <w:szCs w:val="21"/>
              </w:rPr>
            </w:pPr>
            <w:r>
              <w:rPr>
                <w:rFonts w:hint="eastAsia" w:ascii="宋体" w:hAnsi="宋体"/>
                <w:szCs w:val="21"/>
              </w:rPr>
              <w:t>法定代表人：</w:t>
            </w:r>
          </w:p>
        </w:tc>
      </w:tr>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szCs w:val="21"/>
              </w:rPr>
            </w:pPr>
            <w:r>
              <w:rPr>
                <w:rFonts w:hint="eastAsia" w:ascii="宋体" w:hAnsi="宋体"/>
                <w:szCs w:val="21"/>
              </w:rPr>
              <w:t>委托代理人（签字）：</w:t>
            </w:r>
          </w:p>
        </w:tc>
        <w:tc>
          <w:tcPr>
            <w:tcW w:w="5040" w:type="dxa"/>
            <w:vAlign w:val="top"/>
          </w:tcPr>
          <w:p>
            <w:pPr>
              <w:spacing w:line="360" w:lineRule="auto"/>
              <w:ind w:firstLine="210"/>
              <w:rPr>
                <w:rFonts w:ascii="宋体"/>
                <w:szCs w:val="21"/>
              </w:rPr>
            </w:pPr>
            <w:r>
              <w:rPr>
                <w:rFonts w:hint="eastAsia" w:ascii="宋体" w:hAnsi="宋体"/>
                <w:szCs w:val="21"/>
              </w:rPr>
              <w:t>委托代理人（签字）：</w:t>
            </w:r>
          </w:p>
        </w:tc>
      </w:tr>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szCs w:val="21"/>
              </w:rPr>
            </w:pPr>
            <w:r>
              <w:rPr>
                <w:rFonts w:hint="eastAsia" w:ascii="宋体" w:hAnsi="宋体"/>
                <w:szCs w:val="21"/>
              </w:rPr>
              <w:t>签订日期：</w:t>
            </w:r>
          </w:p>
        </w:tc>
        <w:tc>
          <w:tcPr>
            <w:tcW w:w="5040" w:type="dxa"/>
            <w:vAlign w:val="top"/>
          </w:tcPr>
          <w:p>
            <w:pPr>
              <w:spacing w:line="360" w:lineRule="auto"/>
              <w:ind w:firstLine="210"/>
              <w:rPr>
                <w:rFonts w:ascii="宋体"/>
                <w:szCs w:val="21"/>
              </w:rPr>
            </w:pPr>
            <w:r>
              <w:rPr>
                <w:rFonts w:hint="eastAsia" w:ascii="宋体" w:hAnsi="宋体"/>
                <w:szCs w:val="21"/>
              </w:rPr>
              <w:t>签订日期：</w:t>
            </w:r>
          </w:p>
        </w:tc>
      </w:tr>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szCs w:val="21"/>
              </w:rPr>
            </w:pPr>
            <w:r>
              <w:rPr>
                <w:rFonts w:hint="eastAsia" w:ascii="宋体" w:hAnsi="宋体"/>
                <w:szCs w:val="21"/>
              </w:rPr>
              <w:t>地址：广州市白云区广从四路</w:t>
            </w:r>
            <w:r>
              <w:rPr>
                <w:rFonts w:ascii="宋体" w:hAnsi="宋体"/>
                <w:szCs w:val="21"/>
              </w:rPr>
              <w:t>52</w:t>
            </w:r>
            <w:r>
              <w:rPr>
                <w:rFonts w:hint="eastAsia" w:ascii="宋体" w:hAnsi="宋体"/>
                <w:szCs w:val="21"/>
              </w:rPr>
              <w:t>号</w:t>
            </w:r>
          </w:p>
        </w:tc>
        <w:tc>
          <w:tcPr>
            <w:tcW w:w="5040" w:type="dxa"/>
            <w:vAlign w:val="top"/>
          </w:tcPr>
          <w:p>
            <w:pPr>
              <w:spacing w:line="360" w:lineRule="auto"/>
              <w:ind w:left="315" w:leftChars="100" w:hanging="105" w:hangingChars="50"/>
              <w:rPr>
                <w:rFonts w:ascii="宋体"/>
                <w:szCs w:val="21"/>
              </w:rPr>
            </w:pPr>
            <w:r>
              <w:rPr>
                <w:rFonts w:hint="eastAsia" w:ascii="宋体" w:hAnsi="宋体"/>
                <w:szCs w:val="21"/>
              </w:rPr>
              <w:t xml:space="preserve">地址： </w:t>
            </w:r>
          </w:p>
        </w:tc>
      </w:tr>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szCs w:val="21"/>
              </w:rPr>
            </w:pPr>
            <w:r>
              <w:rPr>
                <w:rFonts w:hint="eastAsia" w:ascii="宋体" w:hAnsi="宋体"/>
                <w:szCs w:val="21"/>
              </w:rPr>
              <w:t>邮政编码：</w:t>
            </w:r>
            <w:r>
              <w:rPr>
                <w:rFonts w:ascii="宋体" w:hAnsi="宋体"/>
                <w:szCs w:val="21"/>
              </w:rPr>
              <w:t xml:space="preserve"> </w:t>
            </w:r>
          </w:p>
        </w:tc>
        <w:tc>
          <w:tcPr>
            <w:tcW w:w="5040" w:type="dxa"/>
            <w:vAlign w:val="top"/>
          </w:tcPr>
          <w:p>
            <w:pPr>
              <w:spacing w:line="360" w:lineRule="auto"/>
              <w:ind w:firstLine="210"/>
              <w:rPr>
                <w:rFonts w:hint="eastAsia" w:ascii="宋体"/>
                <w:szCs w:val="21"/>
              </w:rPr>
            </w:pPr>
            <w:r>
              <w:rPr>
                <w:rFonts w:hint="eastAsia" w:ascii="宋体" w:hAnsi="宋体"/>
                <w:szCs w:val="21"/>
              </w:rPr>
              <w:t xml:space="preserve">邮政编码：  </w:t>
            </w:r>
          </w:p>
        </w:tc>
      </w:tr>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5040" w:type="dxa"/>
            <w:vAlign w:val="top"/>
          </w:tcPr>
          <w:p>
            <w:pPr>
              <w:spacing w:line="360" w:lineRule="auto"/>
              <w:ind w:firstLine="210"/>
              <w:rPr>
                <w:rFonts w:hint="eastAsia"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 xml:space="preserve">话： </w:t>
            </w:r>
          </w:p>
        </w:tc>
      </w:tr>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rPr>
            </w:pPr>
            <w:r>
              <w:rPr>
                <w:rFonts w:hint="eastAsia" w:ascii="宋体" w:hAnsi="宋体"/>
              </w:rPr>
              <w:t>开户银行：</w:t>
            </w:r>
          </w:p>
        </w:tc>
        <w:tc>
          <w:tcPr>
            <w:tcW w:w="5040" w:type="dxa"/>
            <w:vAlign w:val="top"/>
          </w:tcPr>
          <w:p>
            <w:pPr>
              <w:spacing w:line="360" w:lineRule="auto"/>
              <w:ind w:firstLine="210"/>
              <w:rPr>
                <w:rFonts w:ascii="宋体"/>
              </w:rPr>
            </w:pPr>
            <w:r>
              <w:rPr>
                <w:rFonts w:hint="eastAsia" w:ascii="宋体" w:hAnsi="宋体"/>
              </w:rPr>
              <w:t>开户名称：</w:t>
            </w:r>
            <w:r>
              <w:rPr>
                <w:rFonts w:hint="eastAsia" w:ascii="宋体" w:hAnsi="宋体"/>
                <w:szCs w:val="21"/>
              </w:rPr>
              <w:t xml:space="preserve"> </w:t>
            </w:r>
          </w:p>
        </w:tc>
      </w:tr>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hAnsi="宋体"/>
                <w:szCs w:val="21"/>
              </w:rPr>
            </w:pPr>
            <w:r>
              <w:rPr>
                <w:rFonts w:hint="eastAsia" w:ascii="宋体" w:hAnsi="宋体"/>
                <w:szCs w:val="21"/>
              </w:rPr>
              <w:t>开户账号：</w:t>
            </w:r>
          </w:p>
        </w:tc>
        <w:tc>
          <w:tcPr>
            <w:tcW w:w="5040" w:type="dxa"/>
            <w:vAlign w:val="center"/>
          </w:tcPr>
          <w:p>
            <w:pPr>
              <w:tabs>
                <w:tab w:val="left" w:pos="2422"/>
              </w:tabs>
              <w:ind w:firstLine="210" w:firstLineChars="100"/>
              <w:jc w:val="both"/>
              <w:rPr>
                <w:rFonts w:hint="eastAsia" w:ascii="宋体" w:hAnsi="宋体"/>
                <w:szCs w:val="21"/>
              </w:rPr>
            </w:pPr>
            <w:r>
              <w:rPr>
                <w:rFonts w:hint="eastAsia" w:ascii="宋体" w:hAnsi="宋体"/>
                <w:szCs w:val="21"/>
              </w:rPr>
              <w:t>开户银行：</w:t>
            </w:r>
          </w:p>
        </w:tc>
      </w:tr>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hAnsi="宋体"/>
                <w:szCs w:val="21"/>
              </w:rPr>
            </w:pPr>
          </w:p>
        </w:tc>
        <w:tc>
          <w:tcPr>
            <w:tcW w:w="5040" w:type="dxa"/>
            <w:vAlign w:val="top"/>
          </w:tcPr>
          <w:p>
            <w:pPr>
              <w:spacing w:line="360" w:lineRule="auto"/>
              <w:ind w:firstLine="210"/>
              <w:rPr>
                <w:rFonts w:ascii="宋体" w:hAnsi="宋体"/>
                <w:szCs w:val="21"/>
              </w:rPr>
            </w:pPr>
            <w:r>
              <w:rPr>
                <w:rFonts w:hint="eastAsia" w:ascii="宋体" w:hAnsi="宋体"/>
                <w:szCs w:val="21"/>
              </w:rPr>
              <w:t xml:space="preserve">开户账号： </w:t>
            </w:r>
          </w:p>
        </w:tc>
      </w:tr>
      <w:tr>
        <w:tblPrEx>
          <w:tblCellMar>
            <w:top w:w="0" w:type="dxa"/>
            <w:left w:w="108" w:type="dxa"/>
            <w:bottom w:w="0" w:type="dxa"/>
            <w:right w:w="108" w:type="dxa"/>
          </w:tblCellMar>
        </w:tblPrEx>
        <w:trPr>
          <w:trHeight w:val="503" w:hRule="atLeast"/>
        </w:trPr>
        <w:tc>
          <w:tcPr>
            <w:tcW w:w="3978" w:type="dxa"/>
            <w:vAlign w:val="top"/>
          </w:tcPr>
          <w:p>
            <w:pPr>
              <w:spacing w:line="360" w:lineRule="auto"/>
              <w:ind w:firstLine="210"/>
              <w:rPr>
                <w:rFonts w:ascii="宋体" w:hAnsi="宋体"/>
                <w:szCs w:val="21"/>
              </w:rPr>
            </w:pPr>
          </w:p>
        </w:tc>
        <w:tc>
          <w:tcPr>
            <w:tcW w:w="5040" w:type="dxa"/>
            <w:vAlign w:val="top"/>
          </w:tcPr>
          <w:p>
            <w:pPr>
              <w:spacing w:line="360" w:lineRule="auto"/>
              <w:ind w:firstLine="210"/>
              <w:rPr>
                <w:rFonts w:hint="eastAsia" w:ascii="宋体" w:hAnsi="宋体"/>
                <w:szCs w:val="21"/>
              </w:rPr>
            </w:pPr>
            <w:r>
              <w:rPr>
                <w:rFonts w:hint="eastAsia" w:ascii="宋体" w:hAnsi="宋体"/>
                <w:szCs w:val="21"/>
              </w:rPr>
              <w:t xml:space="preserve">开户银行行号： </w:t>
            </w:r>
          </w:p>
        </w:tc>
      </w:tr>
    </w:tbl>
    <w:p>
      <w:pPr>
        <w:rPr>
          <w:rFonts w:hint="eastAsia" w:ascii="宋体" w:hAnsi="宋体" w:cs="宋体"/>
          <w:b/>
          <w:bCs/>
          <w:sz w:val="32"/>
          <w:szCs w:val="32"/>
        </w:rPr>
      </w:pPr>
      <w:r>
        <w:rPr>
          <w:rFonts w:hint="eastAsia" w:ascii="宋体" w:hAnsi="宋体" w:cs="宋体"/>
          <w:b/>
          <w:bCs/>
          <w:sz w:val="32"/>
          <w:szCs w:val="32"/>
        </w:rPr>
        <w:br w:type="page"/>
      </w:r>
    </w:p>
    <w:p>
      <w:r>
        <w:rPr>
          <w:rFonts w:hint="eastAsia" w:ascii="宋体" w:hAnsi="宋体" w:cs="宋体"/>
          <w:b/>
          <w:bCs/>
          <w:sz w:val="32"/>
          <w:szCs w:val="32"/>
        </w:rPr>
        <w:t>附：设备清单</w:t>
      </w:r>
    </w:p>
    <w:p>
      <w:pPr>
        <w:pStyle w:val="2"/>
      </w:pPr>
    </w:p>
    <w:p>
      <w:pPr>
        <w:rPr>
          <w:rFonts w:hint="eastAsia" w:ascii="宋体" w:hAnsi="宋体" w:cs="宋体"/>
          <w:color w:val="000000"/>
          <w:sz w:val="32"/>
          <w:szCs w:val="32"/>
          <w:lang w:bidi="ar"/>
        </w:rPr>
      </w:pPr>
      <w:r>
        <w:rPr>
          <w:rFonts w:hint="eastAsia" w:ascii="宋体" w:hAnsi="宋体" w:cs="宋体"/>
          <w:color w:val="000000"/>
          <w:sz w:val="32"/>
          <w:szCs w:val="32"/>
          <w:lang w:bidi="ar"/>
        </w:rPr>
        <w:br w:type="page"/>
      </w:r>
    </w:p>
    <w:p>
      <w:pPr>
        <w:jc w:val="center"/>
        <w:rPr>
          <w:rFonts w:hint="eastAsia" w:ascii="宋体" w:hAnsi="宋体" w:cs="宋体"/>
          <w:color w:val="000000"/>
          <w:sz w:val="40"/>
          <w:szCs w:val="40"/>
          <w:lang w:bidi="ar"/>
        </w:rPr>
      </w:pPr>
    </w:p>
    <w:p>
      <w:pPr>
        <w:jc w:val="center"/>
        <w:rPr>
          <w:rFonts w:hint="eastAsia" w:ascii="宋体" w:hAnsi="宋体" w:cs="宋体"/>
          <w:color w:val="000000"/>
          <w:sz w:val="40"/>
          <w:szCs w:val="40"/>
          <w:lang w:bidi="ar"/>
        </w:rPr>
      </w:pPr>
    </w:p>
    <w:p>
      <w:pPr>
        <w:jc w:val="center"/>
        <w:rPr>
          <w:rFonts w:hint="eastAsia" w:ascii="宋体" w:hAnsi="宋体" w:cs="宋体"/>
          <w:color w:val="000000"/>
          <w:sz w:val="40"/>
          <w:szCs w:val="40"/>
          <w:lang w:bidi="ar"/>
        </w:rPr>
      </w:pPr>
    </w:p>
    <w:p>
      <w:pPr>
        <w:jc w:val="center"/>
        <w:textAlignment w:val="top"/>
        <w:rPr>
          <w:rFonts w:hint="eastAsia" w:ascii="宋体" w:hAnsi="宋体" w:cs="宋体"/>
          <w:color w:val="000000"/>
          <w:sz w:val="44"/>
          <w:szCs w:val="44"/>
          <w:lang w:eastAsia="zh-CN" w:bidi="ar"/>
        </w:rPr>
      </w:pPr>
      <w:r>
        <w:rPr>
          <w:rFonts w:hint="eastAsia" w:ascii="宋体" w:hAnsi="宋体" w:cs="宋体"/>
          <w:color w:val="000000"/>
          <w:sz w:val="40"/>
          <w:szCs w:val="40"/>
          <w:lang w:bidi="ar"/>
        </w:rPr>
        <w:t>广东省女子监狱罪犯伙房、垃圾场和三监区五楼视频监控系统完善项目</w:t>
      </w:r>
      <w:r>
        <w:rPr>
          <w:rFonts w:hint="eastAsia" w:ascii="宋体" w:hAnsi="宋体" w:cs="宋体"/>
          <w:color w:val="000000"/>
          <w:sz w:val="44"/>
          <w:szCs w:val="44"/>
          <w:lang w:eastAsia="zh-CN" w:bidi="ar"/>
        </w:rPr>
        <w:t>（或</w:t>
      </w:r>
      <w:r>
        <w:rPr>
          <w:rFonts w:hint="eastAsia" w:ascii="宋体" w:hAnsi="宋体" w:cs="宋体"/>
          <w:color w:val="000000"/>
          <w:sz w:val="44"/>
          <w:szCs w:val="44"/>
          <w:lang w:bidi="ar"/>
        </w:rPr>
        <w:t>广东省广裕集团嘉顺实业有限责任公司厂房锅炉房视频监控系统项</w:t>
      </w:r>
      <w:r>
        <w:rPr>
          <w:rFonts w:hint="eastAsia" w:ascii="宋体" w:hAnsi="宋体" w:cs="宋体"/>
          <w:color w:val="000000"/>
          <w:sz w:val="44"/>
          <w:szCs w:val="44"/>
          <w:lang w:eastAsia="zh-CN" w:bidi="ar"/>
        </w:rPr>
        <w:t>目）</w:t>
      </w:r>
    </w:p>
    <w:p>
      <w:pPr>
        <w:jc w:val="center"/>
        <w:rPr>
          <w:rFonts w:hint="eastAsia" w:ascii="宋体" w:hAnsi="宋体" w:cs="宋体"/>
          <w:b/>
          <w:snapToGrid w:val="0"/>
          <w:sz w:val="52"/>
          <w:szCs w:val="52"/>
        </w:rPr>
      </w:pPr>
    </w:p>
    <w:p>
      <w:pPr>
        <w:jc w:val="center"/>
        <w:rPr>
          <w:rFonts w:hint="eastAsia" w:ascii="宋体" w:hAnsi="宋体" w:cs="宋体"/>
          <w:sz w:val="44"/>
        </w:rPr>
      </w:pPr>
    </w:p>
    <w:p>
      <w:pPr>
        <w:jc w:val="center"/>
        <w:rPr>
          <w:rFonts w:hint="eastAsia" w:ascii="宋体" w:hAnsi="宋体" w:cs="宋体"/>
          <w:sz w:val="44"/>
        </w:rPr>
      </w:pPr>
    </w:p>
    <w:p>
      <w:pPr>
        <w:jc w:val="center"/>
        <w:rPr>
          <w:rFonts w:hint="eastAsia" w:ascii="宋体" w:hAnsi="宋体" w:cs="宋体"/>
          <w:sz w:val="44"/>
        </w:rPr>
      </w:pPr>
    </w:p>
    <w:p>
      <w:pPr>
        <w:jc w:val="center"/>
        <w:rPr>
          <w:rFonts w:hint="eastAsia" w:ascii="宋体" w:hAnsi="宋体" w:cs="宋体"/>
          <w:sz w:val="44"/>
          <w:szCs w:val="44"/>
        </w:rPr>
      </w:pPr>
      <w:r>
        <w:rPr>
          <w:rFonts w:hint="eastAsia" w:ascii="宋体" w:hAnsi="宋体" w:cs="宋体"/>
          <w:sz w:val="44"/>
          <w:szCs w:val="44"/>
        </w:rPr>
        <w:t>保密协议</w:t>
      </w:r>
    </w:p>
    <w:p>
      <w:pPr>
        <w:pStyle w:val="8"/>
        <w:rPr>
          <w:rFonts w:hint="eastAsia" w:ascii="宋体" w:hAnsi="宋体" w:cs="宋体"/>
          <w:sz w:val="44"/>
          <w:szCs w:val="44"/>
        </w:rPr>
      </w:pPr>
    </w:p>
    <w:p>
      <w:pPr>
        <w:pStyle w:val="8"/>
        <w:rPr>
          <w:rFonts w:hint="eastAsia" w:ascii="宋体" w:hAnsi="宋体" w:cs="宋体"/>
          <w:sz w:val="44"/>
          <w:szCs w:val="44"/>
        </w:rPr>
      </w:pPr>
    </w:p>
    <w:p>
      <w:pPr>
        <w:pStyle w:val="8"/>
        <w:rPr>
          <w:rFonts w:hint="eastAsia" w:ascii="宋体" w:hAnsi="宋体" w:cs="宋体"/>
          <w:sz w:val="44"/>
          <w:szCs w:val="44"/>
        </w:rPr>
      </w:pPr>
    </w:p>
    <w:p>
      <w:pPr>
        <w:rPr>
          <w:rFonts w:ascii="Verdana" w:hAnsi="Verdana"/>
        </w:rPr>
      </w:pPr>
    </w:p>
    <w:p>
      <w:pPr>
        <w:rPr>
          <w:rFonts w:ascii="宋体"/>
          <w:sz w:val="28"/>
        </w:rPr>
      </w:pPr>
    </w:p>
    <w:p>
      <w:pPr>
        <w:spacing w:line="360" w:lineRule="auto"/>
        <w:ind w:leftChars="200"/>
        <w:rPr>
          <w:rFonts w:hint="eastAsia" w:ascii="宋体" w:hAnsi="宋体" w:cs="宋体"/>
          <w:color w:val="000000"/>
          <w:sz w:val="24"/>
          <w:szCs w:val="24"/>
          <w:lang w:bidi="ar"/>
        </w:rPr>
      </w:pPr>
      <w:r>
        <w:rPr>
          <w:rFonts w:hint="eastAsia" w:ascii="宋体" w:hAnsi="宋体"/>
          <w:sz w:val="24"/>
          <w:szCs w:val="24"/>
        </w:rPr>
        <w:t>项目名称：</w:t>
      </w:r>
      <w:r>
        <w:rPr>
          <w:rFonts w:hint="eastAsia" w:ascii="宋体" w:hAnsi="宋体" w:cs="宋体"/>
          <w:color w:val="000000"/>
          <w:sz w:val="24"/>
          <w:szCs w:val="24"/>
          <w:lang w:bidi="ar"/>
        </w:rPr>
        <w:t>广东省女子监狱罪犯伙房、垃圾场和三监区五楼视频监控系统完善项目</w:t>
      </w:r>
      <w:r>
        <w:rPr>
          <w:rFonts w:hint="eastAsia" w:ascii="宋体" w:hAnsi="宋体" w:cs="宋体"/>
          <w:color w:val="000000"/>
          <w:sz w:val="24"/>
          <w:szCs w:val="24"/>
          <w:lang w:eastAsia="zh-CN" w:bidi="ar"/>
        </w:rPr>
        <w:t>（或</w:t>
      </w:r>
      <w:r>
        <w:rPr>
          <w:rFonts w:hint="eastAsia" w:ascii="宋体" w:hAnsi="宋体" w:cs="宋体"/>
          <w:color w:val="000000"/>
          <w:sz w:val="24"/>
          <w:szCs w:val="24"/>
          <w:lang w:bidi="ar"/>
        </w:rPr>
        <w:t>广东省广裕集团嘉顺实业有限责任公司厂房锅炉房视频监控系统项</w:t>
      </w:r>
      <w:r>
        <w:rPr>
          <w:rFonts w:hint="eastAsia" w:ascii="宋体" w:hAnsi="宋体" w:cs="宋体"/>
          <w:color w:val="000000"/>
          <w:sz w:val="24"/>
          <w:szCs w:val="24"/>
          <w:lang w:eastAsia="zh-CN" w:bidi="ar"/>
        </w:rPr>
        <w:t>目）</w:t>
      </w:r>
    </w:p>
    <w:p>
      <w:pPr>
        <w:spacing w:line="360" w:lineRule="auto"/>
        <w:ind w:leftChars="200"/>
        <w:rPr>
          <w:rFonts w:ascii="宋体"/>
          <w:sz w:val="24"/>
          <w:szCs w:val="24"/>
        </w:rPr>
      </w:pPr>
      <w:r>
        <w:rPr>
          <w:rFonts w:hint="eastAsia" w:ascii="宋体" w:hAnsi="宋体"/>
          <w:sz w:val="24"/>
          <w:szCs w:val="24"/>
        </w:rPr>
        <w:t>甲方：</w:t>
      </w:r>
      <w:r>
        <w:rPr>
          <w:rFonts w:hint="eastAsia" w:ascii="宋体" w:hAnsi="宋体"/>
          <w:sz w:val="24"/>
          <w:szCs w:val="24"/>
          <w:u w:val="single"/>
        </w:rPr>
        <w:t>广东省女子监狱</w:t>
      </w:r>
      <w:r>
        <w:rPr>
          <w:rFonts w:hint="eastAsia" w:ascii="宋体" w:hAnsi="宋体"/>
          <w:szCs w:val="21"/>
          <w:u w:val="single"/>
          <w:lang w:eastAsia="zh-CN"/>
        </w:rPr>
        <w:t>（或</w:t>
      </w:r>
      <w:r>
        <w:rPr>
          <w:rFonts w:hint="eastAsia" w:asciiTheme="minorEastAsia" w:hAnsiTheme="minorEastAsia" w:eastAsiaTheme="minorEastAsia" w:cstheme="minorEastAsia"/>
          <w:b/>
          <w:bCs/>
          <w:kern w:val="0"/>
          <w:sz w:val="21"/>
          <w:szCs w:val="21"/>
        </w:rPr>
        <w:t>广东省广裕集团嘉顺实业有限责任公司</w:t>
      </w:r>
      <w:r>
        <w:rPr>
          <w:rFonts w:hint="eastAsia" w:asciiTheme="minorEastAsia" w:hAnsiTheme="minorEastAsia" w:eastAsiaTheme="minorEastAsia" w:cstheme="minorEastAsia"/>
          <w:b/>
          <w:bCs/>
          <w:kern w:val="0"/>
          <w:sz w:val="21"/>
          <w:szCs w:val="21"/>
          <w:lang w:eastAsia="zh-CN"/>
        </w:rPr>
        <w:t>）</w:t>
      </w:r>
      <w:r>
        <w:rPr>
          <w:rFonts w:ascii="宋体" w:hAnsi="宋体"/>
          <w:sz w:val="24"/>
          <w:szCs w:val="24"/>
          <w:u w:val="single"/>
        </w:rPr>
        <w:t xml:space="preserve"> </w:t>
      </w:r>
    </w:p>
    <w:p>
      <w:pPr>
        <w:spacing w:line="360" w:lineRule="auto"/>
        <w:ind w:leftChars="200"/>
        <w:rPr>
          <w:rFonts w:hint="eastAsia"/>
          <w:b/>
          <w:sz w:val="24"/>
          <w:szCs w:val="24"/>
        </w:rPr>
      </w:pPr>
      <w:r>
        <w:rPr>
          <w:rFonts w:hint="eastAsia" w:ascii="宋体" w:hAnsi="宋体"/>
          <w:sz w:val="24"/>
          <w:szCs w:val="24"/>
        </w:rPr>
        <w:t>乙方（实施方）：</w:t>
      </w:r>
    </w:p>
    <w:p>
      <w:pPr>
        <w:spacing w:line="360" w:lineRule="auto"/>
        <w:jc w:val="center"/>
        <w:rPr>
          <w:rFonts w:hint="eastAsia" w:ascii="宋体" w:hAnsi="宋体" w:cs="宋体"/>
          <w:b/>
          <w:snapToGrid w:val="0"/>
          <w:sz w:val="44"/>
          <w:szCs w:val="44"/>
        </w:rPr>
      </w:pPr>
    </w:p>
    <w:p>
      <w:pPr>
        <w:spacing w:line="360" w:lineRule="auto"/>
        <w:jc w:val="center"/>
        <w:rPr>
          <w:rFonts w:hint="eastAsia" w:ascii="宋体" w:hAnsi="宋体" w:cs="宋体"/>
          <w:b/>
          <w:snapToGrid w:val="0"/>
          <w:sz w:val="44"/>
          <w:szCs w:val="44"/>
        </w:rPr>
      </w:pPr>
    </w:p>
    <w:p>
      <w:pPr>
        <w:pStyle w:val="8"/>
        <w:rPr>
          <w:rFonts w:hint="eastAsia" w:ascii="宋体" w:hAnsi="宋体" w:cs="宋体"/>
          <w:b/>
          <w:snapToGrid w:val="0"/>
          <w:sz w:val="44"/>
          <w:szCs w:val="44"/>
        </w:rPr>
      </w:pPr>
    </w:p>
    <w:p>
      <w:pPr>
        <w:pStyle w:val="8"/>
        <w:rPr>
          <w:rFonts w:hint="eastAsia" w:ascii="宋体" w:hAnsi="宋体" w:cs="宋体"/>
          <w:b/>
          <w:snapToGrid w:val="0"/>
          <w:sz w:val="44"/>
          <w:szCs w:val="44"/>
        </w:rPr>
      </w:pPr>
    </w:p>
    <w:p>
      <w:pPr>
        <w:pStyle w:val="8"/>
        <w:rPr>
          <w:rFonts w:hint="eastAsia" w:ascii="宋体" w:hAnsi="宋体" w:cs="宋体"/>
          <w:b/>
          <w:snapToGrid w:val="0"/>
          <w:sz w:val="44"/>
          <w:szCs w:val="44"/>
        </w:rPr>
      </w:pPr>
    </w:p>
    <w:p>
      <w:pPr>
        <w:rPr>
          <w:rFonts w:hint="eastAsia" w:ascii="宋体" w:hAnsi="宋体" w:cs="宋体"/>
          <w:color w:val="000000"/>
          <w:sz w:val="32"/>
          <w:szCs w:val="32"/>
          <w:lang w:bidi="ar"/>
        </w:rPr>
      </w:pPr>
      <w:r>
        <w:rPr>
          <w:rFonts w:hint="eastAsia" w:ascii="宋体" w:hAnsi="宋体" w:cs="宋体"/>
          <w:color w:val="000000"/>
          <w:sz w:val="32"/>
          <w:szCs w:val="32"/>
          <w:lang w:bidi="ar"/>
        </w:rPr>
        <w:br w:type="page"/>
      </w:r>
    </w:p>
    <w:p>
      <w:pPr>
        <w:jc w:val="center"/>
        <w:textAlignment w:val="top"/>
        <w:rPr>
          <w:rFonts w:hint="eastAsia" w:ascii="宋体" w:hAnsi="宋体" w:cs="宋体"/>
          <w:b/>
          <w:bCs/>
          <w:color w:val="000000"/>
          <w:sz w:val="28"/>
          <w:szCs w:val="28"/>
          <w:lang w:eastAsia="zh-CN" w:bidi="ar"/>
        </w:rPr>
      </w:pPr>
      <w:r>
        <w:rPr>
          <w:rFonts w:hint="eastAsia" w:ascii="宋体" w:hAnsi="宋体" w:cs="宋体"/>
          <w:b/>
          <w:bCs/>
          <w:color w:val="000000"/>
          <w:sz w:val="28"/>
          <w:szCs w:val="28"/>
          <w:lang w:bidi="ar"/>
        </w:rPr>
        <w:t>广东省女子监狱罪犯伙房、垃圾场和三监区五楼视频监控系统完善项目</w:t>
      </w:r>
      <w:r>
        <w:rPr>
          <w:rFonts w:hint="eastAsia" w:ascii="宋体" w:hAnsi="宋体" w:cs="宋体"/>
          <w:b/>
          <w:bCs/>
          <w:color w:val="000000"/>
          <w:sz w:val="28"/>
          <w:szCs w:val="28"/>
          <w:lang w:eastAsia="zh-CN" w:bidi="ar"/>
        </w:rPr>
        <w:t>（或</w:t>
      </w:r>
      <w:r>
        <w:rPr>
          <w:rFonts w:hint="eastAsia" w:ascii="宋体" w:hAnsi="宋体" w:cs="宋体"/>
          <w:b/>
          <w:bCs/>
          <w:color w:val="000000"/>
          <w:sz w:val="28"/>
          <w:szCs w:val="28"/>
          <w:lang w:bidi="ar"/>
        </w:rPr>
        <w:t>广东省广裕集团嘉顺实业有限责任公司厂房锅炉房视频监控系统项</w:t>
      </w:r>
      <w:r>
        <w:rPr>
          <w:rFonts w:hint="eastAsia" w:ascii="宋体" w:hAnsi="宋体" w:cs="宋体"/>
          <w:b/>
          <w:bCs/>
          <w:color w:val="000000"/>
          <w:sz w:val="28"/>
          <w:szCs w:val="28"/>
          <w:lang w:eastAsia="zh-CN" w:bidi="ar"/>
        </w:rPr>
        <w:t>目）</w:t>
      </w:r>
    </w:p>
    <w:p>
      <w:pPr>
        <w:spacing w:line="360" w:lineRule="auto"/>
        <w:jc w:val="center"/>
        <w:rPr>
          <w:b/>
          <w:bCs/>
          <w:sz w:val="28"/>
          <w:szCs w:val="28"/>
        </w:rPr>
      </w:pPr>
      <w:r>
        <w:rPr>
          <w:rFonts w:hint="eastAsia"/>
          <w:b/>
          <w:bCs/>
          <w:sz w:val="28"/>
          <w:szCs w:val="28"/>
        </w:rPr>
        <w:t>保密协议</w:t>
      </w:r>
    </w:p>
    <w:p>
      <w:pPr>
        <w:spacing w:line="360" w:lineRule="auto"/>
        <w:rPr>
          <w:b/>
          <w:sz w:val="28"/>
        </w:rPr>
      </w:pPr>
    </w:p>
    <w:p>
      <w:pPr>
        <w:spacing w:line="520" w:lineRule="exact"/>
        <w:ind w:firstLine="422" w:firstLineChars="200"/>
        <w:rPr>
          <w:rFonts w:hint="eastAsia" w:hAnsi="宋体" w:eastAsia="宋体"/>
          <w:b/>
          <w:lang w:eastAsia="zh-CN"/>
        </w:rPr>
      </w:pPr>
      <w:r>
        <w:rPr>
          <w:rFonts w:hint="eastAsia" w:hAnsi="宋体"/>
          <w:b/>
        </w:rPr>
        <w:t>甲方：广东省女子监狱</w:t>
      </w:r>
      <w:r>
        <w:rPr>
          <w:rFonts w:hint="eastAsia" w:hAnsi="宋体"/>
          <w:b/>
          <w:lang w:eastAsia="zh-CN"/>
        </w:rPr>
        <w:t>（或</w:t>
      </w:r>
      <w:r>
        <w:rPr>
          <w:rFonts w:hint="eastAsia" w:ascii="Times New Roman" w:hAnsi="Times New Roman" w:cs="Times New Roman"/>
        </w:rPr>
        <w:t>广东省广裕集团嘉顺实业有限责任公司</w:t>
      </w:r>
      <w:r>
        <w:rPr>
          <w:rFonts w:hint="eastAsia" w:cs="Times New Roman"/>
          <w:lang w:eastAsia="zh-CN"/>
        </w:rPr>
        <w:t>）</w:t>
      </w:r>
    </w:p>
    <w:p>
      <w:pPr>
        <w:spacing w:line="520" w:lineRule="exact"/>
        <w:ind w:firstLine="422" w:firstLineChars="200"/>
        <w:rPr>
          <w:b/>
          <w:sz w:val="30"/>
          <w:u w:val="single"/>
        </w:rPr>
      </w:pPr>
      <w:r>
        <w:rPr>
          <w:rFonts w:hint="eastAsia" w:hAnsi="宋体"/>
          <w:b/>
        </w:rPr>
        <w:t xml:space="preserve">乙方：  </w:t>
      </w:r>
    </w:p>
    <w:p>
      <w:pPr>
        <w:spacing w:line="520" w:lineRule="exact"/>
        <w:ind w:firstLine="420"/>
        <w:outlineLvl w:val="9"/>
        <w:rPr>
          <w:rFonts w:ascii="宋体"/>
          <w:b/>
          <w:u w:val="single"/>
        </w:rPr>
      </w:pPr>
      <w:r>
        <w:rPr>
          <w:rFonts w:hint="eastAsia" w:ascii="Times New Roman" w:hAnsi="Times New Roman" w:cs="Times New Roman"/>
        </w:rPr>
        <w:t>甲方与乙方签订</w:t>
      </w:r>
      <w:r>
        <w:rPr>
          <w:rFonts w:hint="eastAsia" w:ascii="Times New Roman" w:hAnsi="Times New Roman" w:cs="Times New Roman"/>
          <w:u w:val="single"/>
        </w:rPr>
        <w:t>广东省女子监狱罪犯伙房、垃圾场和三监区五楼视频监控系统完善项目</w:t>
      </w:r>
      <w:r>
        <w:rPr>
          <w:rFonts w:hint="eastAsia" w:ascii="Times New Roman" w:hAnsi="Times New Roman" w:cs="Times New Roman"/>
          <w:lang w:eastAsia="zh-CN"/>
        </w:rPr>
        <w:t>（或</w:t>
      </w:r>
      <w:r>
        <w:rPr>
          <w:rFonts w:hint="eastAsia" w:ascii="Times New Roman" w:hAnsi="Times New Roman" w:cs="Times New Roman"/>
        </w:rPr>
        <w:t>广东省广裕集团嘉顺实业有限责任公司厂房锅炉房视频监控系统项</w:t>
      </w:r>
      <w:r>
        <w:rPr>
          <w:rFonts w:hint="eastAsia" w:ascii="Times New Roman" w:hAnsi="Times New Roman" w:cs="Times New Roman"/>
          <w:lang w:eastAsia="zh-CN"/>
        </w:rPr>
        <w:t>目）</w:t>
      </w:r>
      <w:r>
        <w:rPr>
          <w:rFonts w:hint="eastAsia" w:ascii="Times New Roman" w:hAnsi="Times New Roman" w:cs="Times New Roman"/>
        </w:rPr>
        <w:t>合同，该项目内容涉及国家秘密和甲方工作秘密。根据《中华人民共和国保守国家秘密法》《中华人民共和国保守国家秘密法实施办法》和</w:t>
      </w:r>
      <w:r>
        <w:rPr>
          <w:rFonts w:hint="eastAsia"/>
        </w:rPr>
        <w:t>《广东省保守国家秘密实施细则》等有关法律法规，要求乙方在项目的施工和管理中严格遵守本协议，乙方承诺遵守以下协议：</w:t>
      </w:r>
    </w:p>
    <w:p>
      <w:pPr>
        <w:spacing w:line="520" w:lineRule="exact"/>
        <w:ind w:firstLine="420" w:firstLineChars="200"/>
        <w:rPr>
          <w:rFonts w:hAnsi="宋体"/>
        </w:rPr>
      </w:pPr>
      <w:r>
        <w:rPr>
          <w:rFonts w:hint="eastAsia" w:hAnsi="宋体"/>
        </w:rPr>
        <w:t>一、乙方保证在项目实施过程中保守所知悉的国家秘密和甲方工作秘密。</w:t>
      </w:r>
    </w:p>
    <w:p>
      <w:pPr>
        <w:spacing w:line="520" w:lineRule="exact"/>
        <w:ind w:firstLine="420" w:firstLineChars="200"/>
        <w:rPr>
          <w:rFonts w:hAnsi="宋体"/>
        </w:rPr>
      </w:pPr>
      <w:r>
        <w:rPr>
          <w:rFonts w:hint="eastAsia" w:hAnsi="宋体"/>
        </w:rPr>
        <w:t>二、明确项目中涉及的国家秘密和甲方工作秘密。</w:t>
      </w:r>
    </w:p>
    <w:p>
      <w:pPr>
        <w:spacing w:line="520" w:lineRule="exact"/>
        <w:ind w:firstLine="420" w:firstLineChars="200"/>
        <w:rPr>
          <w:rFonts w:hAnsi="宋体"/>
        </w:rPr>
      </w:pPr>
      <w:r>
        <w:rPr>
          <w:rFonts w:hint="eastAsia" w:hAnsi="宋体"/>
        </w:rPr>
        <w:t>由甲方对涉及国家秘密文件、资料、原始数据、各类报表、音像制品、安全设计方案和技术文档等进行分类、确定密级，并作出明确标识。</w:t>
      </w:r>
    </w:p>
    <w:p>
      <w:pPr>
        <w:spacing w:line="520" w:lineRule="exact"/>
        <w:ind w:firstLine="420" w:firstLineChars="200"/>
        <w:rPr>
          <w:rFonts w:hAnsi="宋体"/>
        </w:rPr>
      </w:pPr>
      <w:r>
        <w:rPr>
          <w:rFonts w:hint="eastAsia" w:hAnsi="宋体"/>
        </w:rPr>
        <w:t>工作秘密包括但不限于：警务工作、在工作中涉及的所有技术秘密（包括但不限于产品和技术成果的技术资料、技术方案、工程设计、技术指标、源代码等）、安全信息（包括但不限于账号、口令、密钥、授权等用于对网络、系统、进程等进行访问的身份与权限数据）及在工作中接触到的政府机关信息（包括但不限于政府数据信息、内部发文、各类通知及会议记录等）等甲方的各类不公开或未经公开的信息以及由此派生的相关资料。</w:t>
      </w:r>
    </w:p>
    <w:p>
      <w:pPr>
        <w:spacing w:line="520" w:lineRule="exact"/>
        <w:ind w:firstLine="420" w:firstLineChars="200"/>
        <w:rPr>
          <w:rFonts w:hAnsi="宋体"/>
        </w:rPr>
      </w:pPr>
      <w:r>
        <w:rPr>
          <w:rFonts w:hint="eastAsia" w:hAnsi="宋体"/>
        </w:rPr>
        <w:t>三、对涉密载体和设备管理的规定。</w:t>
      </w:r>
    </w:p>
    <w:p>
      <w:pPr>
        <w:spacing w:line="520" w:lineRule="exact"/>
        <w:ind w:firstLine="420" w:firstLineChars="200"/>
        <w:rPr>
          <w:rFonts w:hAnsi="宋体"/>
        </w:rPr>
      </w:pPr>
      <w:r>
        <w:rPr>
          <w:rFonts w:hint="eastAsia" w:hAnsi="宋体"/>
        </w:rPr>
        <w:t>所有涉密载体由甲方统一制作、发放和回收、销毁。乙方确因工作需要申领的，须履行审批、登记及签收手续，并且不得擅自复制和留存，所有涉密载体须存放在安全保密的环境和设备中，要指定专人负责，严格管理。</w:t>
      </w:r>
    </w:p>
    <w:p>
      <w:pPr>
        <w:spacing w:line="520" w:lineRule="exact"/>
        <w:ind w:firstLine="420" w:firstLineChars="200"/>
        <w:rPr>
          <w:rFonts w:hAnsi="宋体"/>
        </w:rPr>
      </w:pPr>
      <w:r>
        <w:rPr>
          <w:rFonts w:hint="eastAsia" w:hAnsi="宋体"/>
        </w:rPr>
        <w:t>严格执行保守国家秘密的有关规定，严禁携带涉密载体到公共场所，不得擅自记录、复制、拍照、摘抄及留存在工作中涉及的秘密，不得私自下载、拷贝计算机内的涉密信息，携带涉密载体离开工作场所。</w:t>
      </w:r>
    </w:p>
    <w:p>
      <w:pPr>
        <w:spacing w:line="520" w:lineRule="exact"/>
        <w:ind w:firstLine="420" w:firstLineChars="200"/>
        <w:rPr>
          <w:rFonts w:hAnsi="宋体"/>
        </w:rPr>
      </w:pPr>
      <w:r>
        <w:rPr>
          <w:rFonts w:hint="eastAsia" w:hAnsi="宋体"/>
        </w:rPr>
        <w:t>四、涉密信息管理的规定。</w:t>
      </w:r>
    </w:p>
    <w:p>
      <w:pPr>
        <w:spacing w:line="520" w:lineRule="exact"/>
        <w:ind w:firstLine="420" w:firstLineChars="200"/>
        <w:rPr>
          <w:rFonts w:hAnsi="宋体"/>
        </w:rPr>
      </w:pPr>
      <w:r>
        <w:rPr>
          <w:rFonts w:hint="eastAsia" w:hAnsi="宋体"/>
        </w:rPr>
        <w:t>建立涉密信息安全保密管理制度，包括：场地和设施安全管理、出入管理、设备管理、存储介质管理、涉密信息管理、数据备份管理、安全审计管理和应急措施等，并在项目实施前对涉密信息工作人员进行安全保密培训。</w:t>
      </w:r>
    </w:p>
    <w:p>
      <w:pPr>
        <w:spacing w:line="520" w:lineRule="exact"/>
        <w:ind w:firstLine="420" w:firstLineChars="200"/>
        <w:rPr>
          <w:rFonts w:hAnsi="宋体"/>
        </w:rPr>
      </w:pPr>
      <w:r>
        <w:rPr>
          <w:rFonts w:hint="eastAsia" w:hAnsi="宋体"/>
        </w:rPr>
        <w:t>乙方在提供软件现场安装、调试、维护、售后服务和电脑维修时，必须严格遵守甲方保密管理规定和有关保密程序进行。硬件和软件故障的排除，原则上必须在现场解决，无法现场解决的，应在报甲方审批后，经过信息数据保密备份和处理后，送保密部门指定的具备资质的单位维修。发生泄密事件时，应当迅速查明被泄露的秘密内容和密级、造成或者可能造成危害的范围和严重程度、事件的主要情节和有关责任者，及时采取补救措施，并同时向甲方报告。</w:t>
      </w:r>
    </w:p>
    <w:p>
      <w:pPr>
        <w:spacing w:line="520" w:lineRule="exact"/>
        <w:ind w:firstLine="420" w:firstLineChars="200"/>
        <w:rPr>
          <w:rFonts w:hAnsi="宋体"/>
        </w:rPr>
      </w:pPr>
      <w:r>
        <w:rPr>
          <w:rFonts w:hint="eastAsia" w:hAnsi="宋体"/>
        </w:rPr>
        <w:t>合同终止或履行完毕离场时，乙方应主动归还、清退项目全部资料及其载体。若甲方认为有必要时，可以要求乙方出具确认书，保证已将保密信息全数返还或销毁，乙方不得拒绝。</w:t>
      </w:r>
    </w:p>
    <w:p>
      <w:pPr>
        <w:spacing w:line="520" w:lineRule="exact"/>
        <w:ind w:firstLine="420" w:firstLineChars="200"/>
        <w:rPr>
          <w:rFonts w:hAnsi="宋体"/>
        </w:rPr>
      </w:pPr>
      <w:r>
        <w:rPr>
          <w:rFonts w:hint="eastAsia" w:hAnsi="宋体"/>
        </w:rPr>
        <w:t>五、乙方工作人员的保密权限。</w:t>
      </w:r>
    </w:p>
    <w:p>
      <w:pPr>
        <w:spacing w:line="520" w:lineRule="exact"/>
        <w:ind w:firstLine="420" w:firstLineChars="200"/>
        <w:rPr>
          <w:rFonts w:hAnsi="宋体"/>
        </w:rPr>
      </w:pPr>
      <w:r>
        <w:rPr>
          <w:rFonts w:hint="eastAsia" w:hAnsi="宋体"/>
        </w:rPr>
        <w:t>乙方工作人员严格按照具体的工作操作权限，在本项目的实施中建立有效的信息安全管理制度。</w:t>
      </w:r>
    </w:p>
    <w:p>
      <w:pPr>
        <w:spacing w:line="520" w:lineRule="exact"/>
        <w:ind w:firstLine="420" w:firstLineChars="200"/>
        <w:rPr>
          <w:rFonts w:hAnsi="宋体"/>
        </w:rPr>
      </w:pPr>
      <w:r>
        <w:rPr>
          <w:rFonts w:hint="eastAsia" w:hAnsi="宋体"/>
        </w:rPr>
        <w:t>在组织有关专家对项目进行论证、鉴定和评审工作时要切实做好保密工作。</w:t>
      </w:r>
    </w:p>
    <w:p>
      <w:pPr>
        <w:spacing w:line="520" w:lineRule="exact"/>
        <w:ind w:firstLine="420" w:firstLineChars="200"/>
        <w:rPr>
          <w:rFonts w:hAnsi="宋体"/>
        </w:rPr>
      </w:pPr>
      <w:r>
        <w:rPr>
          <w:rFonts w:hint="eastAsia" w:hAnsi="宋体"/>
        </w:rPr>
        <w:t>乙方驻点技术人员除遵守本协议有关规定外，还必需同时遵守甲方的有关工作制度和保密制度。</w:t>
      </w:r>
    </w:p>
    <w:p>
      <w:pPr>
        <w:spacing w:line="520" w:lineRule="exact"/>
        <w:ind w:firstLine="420" w:firstLineChars="200"/>
        <w:rPr>
          <w:rFonts w:hAnsi="宋体"/>
        </w:rPr>
      </w:pPr>
      <w:r>
        <w:rPr>
          <w:rFonts w:hint="eastAsia" w:hAnsi="宋体"/>
        </w:rPr>
        <w:t>六、乙方应承担的保密责任和违纪处罚。</w:t>
      </w:r>
    </w:p>
    <w:p>
      <w:pPr>
        <w:spacing w:line="520" w:lineRule="exact"/>
        <w:ind w:firstLine="420" w:firstLineChars="200"/>
        <w:rPr>
          <w:rFonts w:hAnsi="宋体"/>
        </w:rPr>
      </w:pPr>
      <w:r>
        <w:rPr>
          <w:rFonts w:hint="eastAsia" w:hAnsi="宋体"/>
        </w:rPr>
        <w:t>乙方不得有以下行为：在公开的对外交流中，涉及本项目的国家秘密和甲方工作秘密；使用本项目案例在社会场所演示或进行商务宣传；发表涉及甲方工作中的国家秘密和工作秘密的论文；在公众场所谈论本项目事项；在通信工具中谈论甲方涉密事项；使用传真机和电子邮件或网站中发送有关本项目中的涉密信息。</w:t>
      </w:r>
    </w:p>
    <w:p>
      <w:pPr>
        <w:spacing w:line="520" w:lineRule="exact"/>
        <w:ind w:firstLine="420" w:firstLineChars="200"/>
        <w:rPr>
          <w:rFonts w:hAnsi="宋体"/>
        </w:rPr>
      </w:pPr>
      <w:r>
        <w:rPr>
          <w:rFonts w:hint="eastAsia" w:hAnsi="宋体"/>
        </w:rPr>
        <w:t>因乙方故意或过失造成秘密泄露的，经查证属实，甲方可酌情中止或终止项目合同，依法追究乙方的泄密责任，同时可扣减项目合同总额</w:t>
      </w:r>
      <w:r>
        <w:rPr>
          <w:rFonts w:hAnsi="宋体"/>
        </w:rPr>
        <w:t>3%</w:t>
      </w:r>
      <w:r>
        <w:rPr>
          <w:rFonts w:hint="eastAsia" w:hAnsi="宋体"/>
        </w:rPr>
        <w:t>作为违约金；构成犯罪的，依法追究刑事责任。</w:t>
      </w:r>
    </w:p>
    <w:p>
      <w:pPr>
        <w:spacing w:line="520" w:lineRule="exact"/>
        <w:ind w:firstLine="420" w:firstLineChars="200"/>
        <w:rPr>
          <w:rFonts w:hAnsi="宋体"/>
        </w:rPr>
      </w:pPr>
      <w:r>
        <w:rPr>
          <w:rFonts w:hint="eastAsia" w:hAnsi="宋体"/>
        </w:rPr>
        <w:t>七、保密项目的有效时间。</w:t>
      </w:r>
    </w:p>
    <w:p>
      <w:pPr>
        <w:spacing w:line="520" w:lineRule="exact"/>
        <w:ind w:firstLine="420" w:firstLineChars="200"/>
        <w:rPr>
          <w:rFonts w:hAnsi="宋体"/>
        </w:rPr>
      </w:pPr>
      <w:r>
        <w:rPr>
          <w:rFonts w:hint="eastAsia" w:hAnsi="宋体"/>
        </w:rPr>
        <w:t>本协议所涉及国家秘密和甲方工作秘密的有效时间与《保密法》规定的各秘密事项密级的保密期限一致。</w:t>
      </w:r>
    </w:p>
    <w:p>
      <w:pPr>
        <w:spacing w:line="520" w:lineRule="exact"/>
        <w:ind w:firstLine="420" w:firstLineChars="200"/>
        <w:rPr>
          <w:rFonts w:hAnsi="宋体"/>
        </w:rPr>
      </w:pPr>
      <w:r>
        <w:rPr>
          <w:rFonts w:hint="eastAsia" w:hAnsi="宋体"/>
        </w:rPr>
        <w:t>八、涉密人员的资格审查和建立涉密人员档案。</w:t>
      </w:r>
    </w:p>
    <w:p>
      <w:pPr>
        <w:spacing w:line="520" w:lineRule="exact"/>
        <w:ind w:firstLine="420" w:firstLineChars="200"/>
        <w:rPr>
          <w:rFonts w:hAnsi="宋体"/>
        </w:rPr>
      </w:pPr>
      <w:r>
        <w:rPr>
          <w:rFonts w:hint="eastAsia" w:hAnsi="宋体"/>
        </w:rPr>
        <w:t>乙方必须向甲方提供参与本项目的开发人员、培训人员及其他售后服务人员的基本情况，经甲方审核后发给出入证。甲方有权提出人员变更要求，乙方应根据甲方要求调整人员安排，并将人员变更情况记录在案。</w:t>
      </w:r>
    </w:p>
    <w:p>
      <w:pPr>
        <w:spacing w:line="520" w:lineRule="exact"/>
        <w:ind w:firstLine="420" w:firstLineChars="200"/>
        <w:rPr>
          <w:rFonts w:hAnsi="宋体"/>
        </w:rPr>
      </w:pPr>
      <w:r>
        <w:rPr>
          <w:rFonts w:hint="eastAsia" w:hAnsi="宋体"/>
        </w:rPr>
        <w:t>九、乙方必须与参与本项目的涉密工作人员签订保密协议，要求该工作人员或雇员同样以谨慎的态度、方法进行保密工作，防止保密信息或相关信息泄露、公布和传播。</w:t>
      </w:r>
    </w:p>
    <w:p>
      <w:pPr>
        <w:spacing w:line="520" w:lineRule="exact"/>
        <w:ind w:firstLine="420" w:firstLineChars="200"/>
        <w:rPr>
          <w:rFonts w:hAnsi="宋体"/>
        </w:rPr>
      </w:pPr>
      <w:r>
        <w:rPr>
          <w:rFonts w:hint="eastAsia" w:hAnsi="宋体"/>
        </w:rPr>
        <w:t>乙方人员完成本项目或因故中途退出本工程的，均不得泄露所知悉该项目的国家秘密和甲方工作秘密。如因离职人员造成泄密的，由乙方和泄密人员共同承担泄密责任。</w:t>
      </w:r>
    </w:p>
    <w:p>
      <w:pPr>
        <w:spacing w:line="520" w:lineRule="exact"/>
        <w:ind w:firstLine="420" w:firstLineChars="200"/>
        <w:rPr>
          <w:rFonts w:hAnsi="宋体"/>
        </w:rPr>
      </w:pPr>
      <w:r>
        <w:rPr>
          <w:rFonts w:hint="eastAsia" w:hAnsi="宋体"/>
        </w:rPr>
        <w:t>十、本协议为主合同的附件。</w:t>
      </w:r>
    </w:p>
    <w:p>
      <w:pPr>
        <w:spacing w:line="520" w:lineRule="exact"/>
        <w:ind w:firstLine="420" w:firstLineChars="200"/>
        <w:rPr>
          <w:rFonts w:hAnsi="宋体"/>
        </w:rPr>
      </w:pPr>
      <w:r>
        <w:rPr>
          <w:rFonts w:hint="eastAsia" w:hAnsi="宋体"/>
        </w:rPr>
        <w:t>本协议未尽事宜，双方可签订补充协议。</w:t>
      </w:r>
    </w:p>
    <w:p>
      <w:pPr>
        <w:spacing w:line="520" w:lineRule="exact"/>
        <w:ind w:firstLine="420" w:firstLineChars="200"/>
        <w:rPr>
          <w:rFonts w:hAnsi="宋体"/>
        </w:rPr>
      </w:pPr>
      <w:r>
        <w:rPr>
          <w:rFonts w:hint="eastAsia" w:hAnsi="宋体"/>
        </w:rPr>
        <w:t>十一、协议的生效。</w:t>
      </w:r>
    </w:p>
    <w:p>
      <w:pPr>
        <w:spacing w:line="520" w:lineRule="exact"/>
        <w:ind w:firstLine="420" w:firstLineChars="200"/>
        <w:rPr>
          <w:rFonts w:hAnsi="宋体"/>
        </w:rPr>
      </w:pPr>
      <w:r>
        <w:rPr>
          <w:rFonts w:hint="eastAsia" w:hAnsi="宋体"/>
        </w:rPr>
        <w:t>本协议由双方（授权代表、法人）签名盖章后生效。</w:t>
      </w:r>
    </w:p>
    <w:p>
      <w:pPr>
        <w:spacing w:line="520" w:lineRule="exact"/>
        <w:ind w:firstLine="420" w:firstLineChars="200"/>
      </w:pPr>
      <w:r>
        <w:rPr>
          <w:rFonts w:hint="eastAsia" w:hAnsi="宋体"/>
        </w:rPr>
        <w:t>本协议每份具有同等的法律效力。</w:t>
      </w:r>
    </w:p>
    <w:p>
      <w:pPr>
        <w:spacing w:line="520" w:lineRule="exact"/>
        <w:ind w:firstLine="420" w:firstLineChars="200"/>
        <w:rPr>
          <w:rFonts w:hint="eastAsia"/>
        </w:rPr>
      </w:pPr>
      <w:r>
        <w:rPr>
          <w:rFonts w:hint="eastAsia"/>
        </w:rPr>
        <w:t>十二、协议签署</w:t>
      </w:r>
    </w:p>
    <w:p>
      <w:pPr>
        <w:spacing w:line="360" w:lineRule="auto"/>
        <w:ind w:firstLine="420" w:firstLineChars="200"/>
        <w:rPr>
          <w:rFonts w:ascii="宋体"/>
        </w:rPr>
      </w:pPr>
      <w:r>
        <w:rPr>
          <w:rFonts w:hint="eastAsia" w:ascii="宋体" w:hAnsi="宋体"/>
        </w:rPr>
        <w:t>甲方（盖章）：广东省女子监狱</w:t>
      </w:r>
      <w:r>
        <w:rPr>
          <w:rFonts w:ascii="宋体" w:hAnsi="宋体"/>
        </w:rPr>
        <w:t xml:space="preserve">        </w:t>
      </w:r>
      <w:r>
        <w:rPr>
          <w:rFonts w:hint="eastAsia" w:ascii="宋体" w:hAnsi="宋体"/>
        </w:rPr>
        <w:t xml:space="preserve">乙方（盖章）：  </w:t>
      </w:r>
    </w:p>
    <w:p>
      <w:pPr>
        <w:spacing w:line="360" w:lineRule="auto"/>
        <w:ind w:firstLine="420" w:firstLineChars="200"/>
        <w:rPr>
          <w:rFonts w:ascii="宋体"/>
          <w:u w:val="single"/>
        </w:rPr>
      </w:pPr>
      <w:r>
        <w:rPr>
          <w:rFonts w:hint="eastAsia" w:ascii="宋体" w:hAnsi="宋体"/>
        </w:rPr>
        <w:t>法人（委托代理人）：</w:t>
      </w:r>
      <w:r>
        <w:rPr>
          <w:rFonts w:ascii="宋体" w:hAnsi="宋体"/>
        </w:rPr>
        <w:t xml:space="preserve">                </w:t>
      </w:r>
      <w:r>
        <w:rPr>
          <w:rFonts w:hint="eastAsia" w:ascii="宋体" w:hAnsi="宋体"/>
        </w:rPr>
        <w:t>法人（委托代理人）：</w:t>
      </w:r>
    </w:p>
    <w:p>
      <w:pPr>
        <w:ind w:firstLine="420" w:firstLineChars="200"/>
        <w:rPr>
          <w:rFonts w:hint="eastAsia" w:ascii="宋体"/>
        </w:rPr>
      </w:pPr>
      <w:r>
        <w:rPr>
          <w:rFonts w:hint="eastAsia" w:ascii="宋体" w:hAnsi="宋体"/>
        </w:rPr>
        <w:t>签订日期：</w:t>
      </w:r>
      <w:r>
        <w:rPr>
          <w:rFonts w:ascii="宋体" w:hAnsi="宋体"/>
        </w:rPr>
        <w:t>______</w:t>
      </w:r>
      <w:r>
        <w:rPr>
          <w:rFonts w:hint="eastAsia" w:ascii="宋体" w:hAnsi="宋体"/>
        </w:rPr>
        <w:t>年</w:t>
      </w:r>
      <w:r>
        <w:rPr>
          <w:rFonts w:ascii="宋体" w:hAnsi="宋体"/>
        </w:rPr>
        <w:t>____</w:t>
      </w:r>
      <w:r>
        <w:rPr>
          <w:rFonts w:hint="eastAsia" w:ascii="宋体" w:hAnsi="宋体"/>
        </w:rPr>
        <w:t>月</w:t>
      </w:r>
      <w:r>
        <w:rPr>
          <w:rFonts w:ascii="宋体" w:hAnsi="宋体"/>
        </w:rPr>
        <w:t>____</w:t>
      </w:r>
      <w:r>
        <w:rPr>
          <w:rFonts w:hint="eastAsia" w:ascii="宋体" w:hAnsi="宋体"/>
        </w:rPr>
        <w:t>日</w:t>
      </w:r>
      <w:r>
        <w:rPr>
          <w:rFonts w:ascii="宋体" w:hAnsi="宋体"/>
        </w:rPr>
        <w:t xml:space="preserve">      </w:t>
      </w:r>
      <w:r>
        <w:rPr>
          <w:rFonts w:hint="eastAsia" w:ascii="宋体" w:hAnsi="宋体"/>
        </w:rPr>
        <w:t>签订日期：</w:t>
      </w:r>
      <w:r>
        <w:rPr>
          <w:rFonts w:ascii="宋体" w:hAnsi="宋体"/>
        </w:rPr>
        <w:t>______</w:t>
      </w:r>
      <w:r>
        <w:rPr>
          <w:rFonts w:hint="eastAsia" w:ascii="宋体" w:hAnsi="宋体"/>
        </w:rPr>
        <w:t>年</w:t>
      </w:r>
      <w:r>
        <w:rPr>
          <w:rFonts w:ascii="宋体" w:hAnsi="宋体"/>
        </w:rPr>
        <w:t>____</w:t>
      </w:r>
      <w:r>
        <w:rPr>
          <w:rFonts w:hint="eastAsia" w:ascii="宋体" w:hAnsi="宋体"/>
        </w:rPr>
        <w:t>月</w:t>
      </w:r>
      <w:r>
        <w:rPr>
          <w:rFonts w:ascii="宋体" w:hAnsi="宋体"/>
        </w:rPr>
        <w:t>____</w:t>
      </w:r>
      <w:r>
        <w:rPr>
          <w:rFonts w:hint="eastAsia" w:ascii="宋体" w:hAnsi="宋体"/>
        </w:rPr>
        <w:t>日</w:t>
      </w:r>
      <w:r>
        <w:rPr>
          <w:rFonts w:hint="eastAsia" w:ascii="宋体"/>
        </w:rPr>
        <w:t>。</w:t>
      </w:r>
    </w:p>
    <w:p>
      <w:pPr>
        <w:spacing w:line="480" w:lineRule="auto"/>
        <w:rPr>
          <w:color w:val="auto"/>
        </w:rPr>
      </w:pPr>
      <w:r>
        <w:rPr>
          <w:color w:val="auto"/>
        </w:rPr>
        <w:br w:type="page"/>
      </w:r>
    </w:p>
    <w:p>
      <w:pPr>
        <w:pStyle w:val="11"/>
        <w:rPr>
          <w:color w:val="auto"/>
        </w:rPr>
        <w:sectPr>
          <w:pgSz w:w="11906" w:h="16838"/>
          <w:pgMar w:top="1440" w:right="1080" w:bottom="1440" w:left="1080" w:header="851" w:footer="992" w:gutter="0"/>
          <w:cols w:space="720" w:num="1"/>
          <w:docGrid w:type="lines" w:linePitch="312" w:charSpace="0"/>
        </w:sectPr>
      </w:pPr>
    </w:p>
    <w:bookmarkEnd w:id="72"/>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pStyle w:val="3"/>
        <w:jc w:val="center"/>
        <w:rPr>
          <w:color w:val="auto"/>
        </w:rPr>
      </w:pPr>
      <w:bookmarkStart w:id="78" w:name="_Toc21084"/>
      <w:r>
        <w:rPr>
          <w:rFonts w:hint="eastAsia"/>
          <w:color w:val="auto"/>
        </w:rPr>
        <w:t>第五章</w:t>
      </w:r>
      <w:r>
        <w:rPr>
          <w:rFonts w:hint="eastAsia"/>
          <w:color w:val="auto"/>
          <w:lang w:val="en-US" w:eastAsia="zh-CN"/>
        </w:rPr>
        <w:t xml:space="preserve"> </w:t>
      </w:r>
      <w:r>
        <w:rPr>
          <w:rFonts w:hint="eastAsia"/>
          <w:color w:val="auto"/>
        </w:rPr>
        <w:t>报价文件格式</w:t>
      </w:r>
      <w:bookmarkEnd w:id="78"/>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rPr>
          <w:rFonts w:ascii="Cambria" w:hAnsi="Cambria" w:cs="宋体"/>
          <w:b/>
          <w:bCs/>
          <w:color w:val="auto"/>
          <w:sz w:val="32"/>
          <w:szCs w:val="32"/>
        </w:rPr>
      </w:pPr>
    </w:p>
    <w:p>
      <w:pPr>
        <w:pStyle w:val="8"/>
        <w:numPr>
          <w:ilvl w:val="0"/>
          <w:numId w:val="9"/>
        </w:numPr>
        <w:spacing w:line="360" w:lineRule="auto"/>
        <w:outlineLvl w:val="1"/>
        <w:rPr>
          <w:rFonts w:hint="eastAsia" w:ascii="宋体" w:hAnsi="宋体" w:cs="宋体"/>
          <w:b/>
          <w:bCs/>
        </w:rPr>
      </w:pPr>
      <w:r>
        <w:rPr>
          <w:rFonts w:hint="eastAsia" w:ascii="宋体" w:hAnsi="宋体" w:cs="宋体"/>
          <w:b/>
          <w:bCs/>
        </w:rPr>
        <w:t>报价表</w:t>
      </w:r>
    </w:p>
    <w:p>
      <w:pPr>
        <w:keepNext/>
        <w:keepLines/>
        <w:spacing w:before="260" w:after="260" w:line="416" w:lineRule="auto"/>
        <w:jc w:val="center"/>
        <w:rPr>
          <w:rFonts w:ascii="Cambria" w:hAnsi="Cambria" w:cs="宋体"/>
          <w:b/>
          <w:bCs/>
          <w:color w:val="auto"/>
          <w:sz w:val="32"/>
          <w:szCs w:val="32"/>
        </w:rPr>
      </w:pPr>
      <w:r>
        <w:rPr>
          <w:rFonts w:ascii="Cambria" w:hAnsi="Cambria" w:cs="宋体"/>
          <w:b/>
          <w:bCs/>
          <w:color w:val="auto"/>
          <w:sz w:val="32"/>
          <w:szCs w:val="32"/>
        </w:rPr>
        <w:t>报价表</w:t>
      </w: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GZGK23P309B1007J</w:t>
      </w:r>
    </w:p>
    <w:p>
      <w:pPr>
        <w:spacing w:line="360" w:lineRule="auto"/>
        <w:ind w:firstLine="210" w:firstLineChars="100"/>
      </w:pPr>
      <w:r>
        <w:rPr>
          <w:rFonts w:hint="eastAsia" w:ascii="宋体" w:hAnsi="宋体" w:cs="宋体"/>
          <w:color w:val="auto"/>
          <w:szCs w:val="21"/>
        </w:rPr>
        <w:t>项目名称：</w:t>
      </w: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p>
    <w:tbl>
      <w:tblPr>
        <w:tblStyle w:val="25"/>
        <w:tblW w:w="9772" w:type="dxa"/>
        <w:jc w:val="center"/>
        <w:tblLayout w:type="fixed"/>
        <w:tblCellMar>
          <w:top w:w="0" w:type="dxa"/>
          <w:left w:w="0" w:type="dxa"/>
          <w:bottom w:w="0" w:type="dxa"/>
          <w:right w:w="0" w:type="dxa"/>
        </w:tblCellMar>
      </w:tblPr>
      <w:tblGrid>
        <w:gridCol w:w="2212"/>
        <w:gridCol w:w="3356"/>
        <w:gridCol w:w="938"/>
        <w:gridCol w:w="1756"/>
        <w:gridCol w:w="1510"/>
      </w:tblGrid>
      <w:tr>
        <w:tblPrEx>
          <w:tblCellMar>
            <w:top w:w="0" w:type="dxa"/>
            <w:left w:w="0" w:type="dxa"/>
            <w:bottom w:w="0" w:type="dxa"/>
            <w:right w:w="0" w:type="dxa"/>
          </w:tblCellMar>
        </w:tblPrEx>
        <w:trPr>
          <w:trHeight w:val="570" w:hRule="atLeast"/>
          <w:jc w:val="center"/>
        </w:trPr>
        <w:tc>
          <w:tcPr>
            <w:tcW w:w="2212"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pStyle w:val="3"/>
              <w:pageBreakBefore w:val="0"/>
              <w:numPr>
                <w:ilvl w:val="0"/>
                <w:numId w:val="0"/>
              </w:numPr>
              <w:tabs>
                <w:tab w:val="left" w:pos="432"/>
              </w:tabs>
              <w:kinsoku/>
              <w:wordWrap/>
              <w:overflowPunct/>
              <w:topLinePunct w:val="0"/>
              <w:autoSpaceDE/>
              <w:autoSpaceDN/>
              <w:bidi w:val="0"/>
              <w:adjustRightInd/>
              <w:snapToGrid/>
              <w:spacing w:line="240" w:lineRule="auto"/>
              <w:jc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项目名称</w:t>
            </w:r>
          </w:p>
        </w:tc>
        <w:tc>
          <w:tcPr>
            <w:tcW w:w="3356" w:type="dxa"/>
            <w:tcBorders>
              <w:top w:val="single" w:color="000000" w:sz="12" w:space="0"/>
              <w:left w:val="nil"/>
              <w:bottom w:val="single" w:color="000000" w:sz="8" w:space="0"/>
              <w:right w:val="single" w:color="000000" w:sz="8" w:space="0"/>
            </w:tcBorders>
            <w:shd w:val="clear" w:color="auto" w:fill="auto"/>
            <w:tcMar>
              <w:top w:w="15" w:type="dxa"/>
              <w:left w:w="15" w:type="dxa"/>
              <w:right w:w="15" w:type="dxa"/>
            </w:tcMar>
            <w:vAlign w:val="center"/>
          </w:tcPr>
          <w:p>
            <w:pPr>
              <w:pStyle w:val="3"/>
              <w:pageBreakBefore w:val="0"/>
              <w:numPr>
                <w:ilvl w:val="0"/>
                <w:numId w:val="0"/>
              </w:numPr>
              <w:tabs>
                <w:tab w:val="left" w:pos="432"/>
              </w:tabs>
              <w:kinsoku/>
              <w:wordWrap/>
              <w:overflowPunct/>
              <w:topLinePunct w:val="0"/>
              <w:autoSpaceDE/>
              <w:autoSpaceDN/>
              <w:bidi w:val="0"/>
              <w:adjustRightInd/>
              <w:snapToGrid/>
              <w:spacing w:line="240" w:lineRule="auto"/>
              <w:jc w:val="center"/>
              <w:rPr>
                <w:rFonts w:hint="default"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分项工程内容</w:t>
            </w:r>
          </w:p>
        </w:tc>
        <w:tc>
          <w:tcPr>
            <w:tcW w:w="938"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3"/>
              <w:pageBreakBefore w:val="0"/>
              <w:numPr>
                <w:ilvl w:val="0"/>
                <w:numId w:val="0"/>
              </w:numPr>
              <w:tabs>
                <w:tab w:val="left" w:pos="432"/>
              </w:tabs>
              <w:kinsoku/>
              <w:wordWrap/>
              <w:overflowPunct/>
              <w:topLinePunct w:val="0"/>
              <w:autoSpaceDE/>
              <w:autoSpaceDN/>
              <w:bidi w:val="0"/>
              <w:adjustRightInd/>
              <w:snapToGrid/>
              <w:spacing w:line="240" w:lineRule="auto"/>
              <w:jc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数量</w:t>
            </w:r>
          </w:p>
        </w:tc>
        <w:tc>
          <w:tcPr>
            <w:tcW w:w="1756"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3"/>
              <w:pageBreakBefore w:val="0"/>
              <w:numPr>
                <w:ilvl w:val="0"/>
                <w:numId w:val="0"/>
              </w:numPr>
              <w:tabs>
                <w:tab w:val="left" w:pos="432"/>
              </w:tabs>
              <w:kinsoku/>
              <w:wordWrap/>
              <w:overflowPunct/>
              <w:topLinePunct w:val="0"/>
              <w:autoSpaceDE/>
              <w:autoSpaceDN/>
              <w:bidi w:val="0"/>
              <w:adjustRightInd/>
              <w:snapToGrid/>
              <w:spacing w:line="240" w:lineRule="auto"/>
              <w:jc w:val="center"/>
              <w:rPr>
                <w:rFonts w:hint="default"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响应单项报价（元）</w:t>
            </w:r>
          </w:p>
        </w:tc>
        <w:tc>
          <w:tcPr>
            <w:tcW w:w="1510"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3"/>
              <w:pageBreakBefore w:val="0"/>
              <w:numPr>
                <w:ilvl w:val="0"/>
                <w:numId w:val="0"/>
              </w:numPr>
              <w:tabs>
                <w:tab w:val="left" w:pos="432"/>
              </w:tabs>
              <w:kinsoku/>
              <w:wordWrap/>
              <w:overflowPunct/>
              <w:topLinePunct w:val="0"/>
              <w:autoSpaceDE/>
              <w:autoSpaceDN/>
              <w:bidi w:val="0"/>
              <w:adjustRightInd/>
              <w:snapToGrid/>
              <w:spacing w:line="240" w:lineRule="auto"/>
              <w:jc w:val="center"/>
              <w:rPr>
                <w:rFonts w:hint="default"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响应总报价（元）</w:t>
            </w:r>
          </w:p>
        </w:tc>
      </w:tr>
      <w:tr>
        <w:tblPrEx>
          <w:tblCellMar>
            <w:top w:w="0" w:type="dxa"/>
            <w:left w:w="0" w:type="dxa"/>
            <w:bottom w:w="0" w:type="dxa"/>
            <w:right w:w="0" w:type="dxa"/>
          </w:tblCellMar>
        </w:tblPrEx>
        <w:trPr>
          <w:trHeight w:val="1097" w:hRule="atLeast"/>
          <w:jc w:val="center"/>
        </w:trPr>
        <w:tc>
          <w:tcPr>
            <w:tcW w:w="2212" w:type="dxa"/>
            <w:vMerge w:val="restart"/>
            <w:tcBorders>
              <w:top w:val="single" w:color="000000" w:sz="8" w:space="0"/>
              <w:left w:val="single" w:color="000000" w:sz="12"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p>
        </w:tc>
        <w:tc>
          <w:tcPr>
            <w:tcW w:w="335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广东省广裕集团嘉顺实业有限责任公司厂房锅炉房视频监控系统项目</w:t>
            </w:r>
          </w:p>
        </w:tc>
        <w:tc>
          <w:tcPr>
            <w:tcW w:w="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1项</w:t>
            </w:r>
          </w:p>
        </w:tc>
        <w:tc>
          <w:tcPr>
            <w:tcW w:w="17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51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1365" w:hRule="atLeast"/>
          <w:jc w:val="center"/>
        </w:trPr>
        <w:tc>
          <w:tcPr>
            <w:tcW w:w="2212" w:type="dxa"/>
            <w:vMerge w:val="continue"/>
            <w:tcBorders>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1"/>
                <w:szCs w:val="21"/>
              </w:rPr>
            </w:pPr>
          </w:p>
        </w:tc>
        <w:tc>
          <w:tcPr>
            <w:tcW w:w="335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广东省女子监狱罪犯伙房、垃圾场和三监区五楼视频监控系统完善项目</w:t>
            </w:r>
          </w:p>
        </w:tc>
        <w:tc>
          <w:tcPr>
            <w:tcW w:w="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1项</w:t>
            </w:r>
          </w:p>
        </w:tc>
        <w:tc>
          <w:tcPr>
            <w:tcW w:w="17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p>
        </w:tc>
        <w:tc>
          <w:tcPr>
            <w:tcW w:w="151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1"/>
                <w:szCs w:val="21"/>
              </w:rPr>
            </w:pPr>
          </w:p>
        </w:tc>
      </w:tr>
    </w:tbl>
    <w:p>
      <w:pPr>
        <w:spacing w:line="360" w:lineRule="auto"/>
        <w:ind w:left="420"/>
        <w:rPr>
          <w:rFonts w:hint="eastAsia" w:ascii="宋体" w:hAnsi="宋体"/>
          <w:color w:val="auto"/>
          <w:spacing w:val="4"/>
          <w:szCs w:val="21"/>
        </w:rPr>
      </w:pPr>
    </w:p>
    <w:p>
      <w:pPr>
        <w:spacing w:line="360" w:lineRule="auto"/>
        <w:ind w:left="420"/>
        <w:rPr>
          <w:rFonts w:hint="eastAsia" w:ascii="宋体" w:hAnsi="宋体" w:eastAsia="宋体"/>
          <w:color w:val="auto"/>
          <w:szCs w:val="21"/>
          <w:u w:val="single"/>
          <w:lang w:eastAsia="zh-CN"/>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p>
    <w:p>
      <w:pPr>
        <w:spacing w:line="360" w:lineRule="auto"/>
        <w:ind w:left="420"/>
        <w:rPr>
          <w:rFonts w:ascii="宋体" w:hAnsi="宋体"/>
          <w:color w:val="auto"/>
          <w:spacing w:val="4"/>
          <w:szCs w:val="21"/>
          <w:u w:val="single"/>
        </w:rPr>
      </w:pPr>
      <w:r>
        <w:rPr>
          <w:rFonts w:hint="eastAsia" w:ascii="宋体" w:hAnsi="宋体"/>
          <w:color w:val="auto"/>
          <w:spacing w:val="4"/>
          <w:szCs w:val="21"/>
        </w:rPr>
        <w:t>日期：年月日</w:t>
      </w:r>
    </w:p>
    <w:p>
      <w:pPr>
        <w:tabs>
          <w:tab w:val="left" w:pos="7740"/>
        </w:tabs>
        <w:adjustRightInd w:val="0"/>
        <w:snapToGrid w:val="0"/>
        <w:spacing w:line="360" w:lineRule="auto"/>
        <w:rPr>
          <w:rFonts w:ascii="宋体" w:hAnsi="宋体"/>
          <w:color w:val="auto"/>
          <w:szCs w:val="21"/>
        </w:rPr>
      </w:pPr>
    </w:p>
    <w:p>
      <w:pPr>
        <w:spacing w:line="360" w:lineRule="auto"/>
        <w:rPr>
          <w:rFonts w:ascii="宋体" w:hAnsi="宋体"/>
          <w:b/>
          <w:color w:val="auto"/>
          <w:spacing w:val="4"/>
          <w:szCs w:val="21"/>
        </w:rPr>
      </w:pPr>
      <w:r>
        <w:rPr>
          <w:rFonts w:hint="eastAsia" w:ascii="宋体" w:hAnsi="宋体"/>
          <w:b/>
          <w:color w:val="auto"/>
          <w:spacing w:val="4"/>
          <w:szCs w:val="21"/>
        </w:rPr>
        <w:t>注：</w:t>
      </w:r>
    </w:p>
    <w:p>
      <w:pPr>
        <w:pStyle w:val="21"/>
        <w:numPr>
          <w:ilvl w:val="0"/>
          <w:numId w:val="10"/>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供应商必须按报价表的格式填写，不得增加或删除表格内容。除单价、金额或项目要求填写的内容外，不得擅自改动报价表内容，否则将有可能影响成交结果，不推荐为成交</w:t>
      </w:r>
      <w:r>
        <w:rPr>
          <w:rFonts w:hint="eastAsia" w:cs="Times New Roman"/>
          <w:b/>
          <w:color w:val="auto"/>
          <w:spacing w:val="4"/>
          <w:kern w:val="2"/>
          <w:sz w:val="21"/>
          <w:szCs w:val="21"/>
          <w:lang w:eastAsia="zh-CN"/>
        </w:rPr>
        <w:t>候选供应商</w:t>
      </w:r>
      <w:r>
        <w:rPr>
          <w:rFonts w:hint="eastAsia" w:cs="Times New Roman"/>
          <w:b/>
          <w:color w:val="auto"/>
          <w:spacing w:val="4"/>
          <w:kern w:val="2"/>
          <w:sz w:val="21"/>
          <w:szCs w:val="21"/>
        </w:rPr>
        <w:t>；</w:t>
      </w:r>
    </w:p>
    <w:p>
      <w:pPr>
        <w:pStyle w:val="21"/>
        <w:numPr>
          <w:ilvl w:val="0"/>
          <w:numId w:val="10"/>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所有价格均系用人民币表示，单位为元，均为含税价；</w:t>
      </w:r>
    </w:p>
    <w:p>
      <w:pPr>
        <w:pStyle w:val="21"/>
        <w:numPr>
          <w:ilvl w:val="0"/>
          <w:numId w:val="10"/>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平台上报价与报价表合计不一致的，以报价表合计（经价格核准后的价格）为准；</w:t>
      </w:r>
    </w:p>
    <w:p>
      <w:pPr>
        <w:widowControl/>
        <w:numPr>
          <w:ilvl w:val="0"/>
          <w:numId w:val="10"/>
        </w:numPr>
        <w:spacing w:line="340" w:lineRule="exact"/>
        <w:jc w:val="left"/>
        <w:rPr>
          <w:rFonts w:ascii="宋体" w:hAnsi="宋体" w:cs="宋体"/>
          <w:b/>
          <w:color w:val="auto"/>
          <w:kern w:val="0"/>
          <w:szCs w:val="21"/>
        </w:rPr>
      </w:pPr>
      <w:r>
        <w:rPr>
          <w:rFonts w:hint="eastAsia" w:ascii="宋体" w:hAnsi="宋体" w:cs="宋体"/>
          <w:b/>
          <w:color w:val="auto"/>
          <w:kern w:val="0"/>
          <w:szCs w:val="21"/>
        </w:rPr>
        <w:t>报价表必须加盖单位公章，否则视为无效报价。</w:t>
      </w:r>
    </w:p>
    <w:p>
      <w:pPr>
        <w:rPr>
          <w:rFonts w:ascii="宋体" w:hAnsi="宋体" w:cs="宋体"/>
          <w:b/>
          <w:color w:val="auto"/>
          <w:kern w:val="0"/>
          <w:szCs w:val="21"/>
        </w:rPr>
      </w:pPr>
      <w:r>
        <w:rPr>
          <w:rFonts w:ascii="宋体" w:hAnsi="宋体" w:cs="宋体"/>
          <w:b/>
          <w:color w:val="auto"/>
          <w:kern w:val="0"/>
          <w:szCs w:val="21"/>
        </w:rPr>
        <w:br w:type="page"/>
      </w:r>
    </w:p>
    <w:p>
      <w:pPr>
        <w:pStyle w:val="8"/>
        <w:numPr>
          <w:ilvl w:val="0"/>
          <w:numId w:val="9"/>
        </w:numPr>
        <w:spacing w:line="360" w:lineRule="auto"/>
        <w:outlineLvl w:val="1"/>
        <w:rPr>
          <w:rFonts w:hint="eastAsia" w:ascii="宋体" w:hAnsi="宋体" w:cs="宋体"/>
          <w:b/>
          <w:bCs/>
        </w:rPr>
      </w:pPr>
      <w:r>
        <w:rPr>
          <w:rFonts w:hint="eastAsia" w:ascii="宋体" w:hAnsi="宋体" w:cs="宋体"/>
          <w:b/>
          <w:bCs/>
        </w:rPr>
        <w:t>分项报价表</w:t>
      </w:r>
    </w:p>
    <w:p>
      <w:pPr>
        <w:pStyle w:val="8"/>
        <w:spacing w:line="360" w:lineRule="auto"/>
        <w:jc w:val="center"/>
        <w:rPr>
          <w:rFonts w:hint="eastAsia" w:ascii="宋体" w:hAnsi="宋体" w:cs="宋体"/>
          <w:b/>
          <w:bCs/>
          <w:sz w:val="32"/>
          <w:szCs w:val="32"/>
        </w:rPr>
      </w:pPr>
      <w:r>
        <w:rPr>
          <w:rFonts w:hint="eastAsia" w:ascii="宋体" w:hAnsi="宋体" w:cs="宋体"/>
          <w:b/>
          <w:bCs/>
          <w:sz w:val="32"/>
          <w:szCs w:val="32"/>
        </w:rPr>
        <w:t>分项报价表</w:t>
      </w:r>
    </w:p>
    <w:p>
      <w:pPr>
        <w:pStyle w:val="8"/>
        <w:jc w:val="center"/>
        <w:rPr>
          <w:rFonts w:hint="eastAsia" w:ascii="宋体" w:hAnsi="宋体" w:cs="宋体"/>
          <w:b/>
          <w:bCs/>
          <w:sz w:val="21"/>
          <w:szCs w:val="21"/>
        </w:rPr>
      </w:pP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GZGK23P309B1007J</w:t>
      </w:r>
    </w:p>
    <w:p>
      <w:pPr>
        <w:spacing w:line="360" w:lineRule="auto"/>
        <w:ind w:firstLine="210" w:firstLineChars="100"/>
      </w:pPr>
      <w:r>
        <w:rPr>
          <w:rFonts w:hint="eastAsia" w:ascii="宋体" w:hAnsi="宋体" w:cs="宋体"/>
          <w:color w:val="auto"/>
          <w:szCs w:val="21"/>
        </w:rPr>
        <w:t>项目名称：</w:t>
      </w: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p>
    <w:p>
      <w:pPr>
        <w:pStyle w:val="8"/>
        <w:jc w:val="center"/>
        <w:rPr>
          <w:rFonts w:hint="eastAsia"/>
        </w:rPr>
      </w:pPr>
      <w:r>
        <w:rPr>
          <w:rFonts w:hint="eastAsia"/>
        </w:rPr>
        <w:t>广东省女子监狱</w:t>
      </w:r>
      <w:r>
        <w:rPr>
          <w:rFonts w:hint="eastAsia"/>
          <w:lang w:val="en-US" w:eastAsia="zh-CN"/>
        </w:rPr>
        <w:t>/</w:t>
      </w:r>
      <w:r>
        <w:rPr>
          <w:rFonts w:hint="eastAsia"/>
        </w:rPr>
        <w:t>广东省广裕集团嘉顺实业有限责任公司视频监控系统完善项目设备清单</w:t>
      </w:r>
    </w:p>
    <w:tbl>
      <w:tblPr>
        <w:tblStyle w:val="25"/>
        <w:tblW w:w="10424" w:type="dxa"/>
        <w:tblInd w:w="0" w:type="dxa"/>
        <w:tblLayout w:type="fixed"/>
        <w:tblCellMar>
          <w:top w:w="0" w:type="dxa"/>
          <w:left w:w="108" w:type="dxa"/>
          <w:bottom w:w="0" w:type="dxa"/>
          <w:right w:w="108" w:type="dxa"/>
        </w:tblCellMar>
      </w:tblPr>
      <w:tblGrid>
        <w:gridCol w:w="387"/>
        <w:gridCol w:w="643"/>
        <w:gridCol w:w="988"/>
        <w:gridCol w:w="2972"/>
        <w:gridCol w:w="495"/>
        <w:gridCol w:w="450"/>
        <w:gridCol w:w="435"/>
        <w:gridCol w:w="450"/>
        <w:gridCol w:w="1395"/>
        <w:gridCol w:w="881"/>
        <w:gridCol w:w="799"/>
        <w:gridCol w:w="67"/>
        <w:gridCol w:w="462"/>
      </w:tblGrid>
      <w:tr>
        <w:tblPrEx>
          <w:tblCellMar>
            <w:top w:w="0" w:type="dxa"/>
            <w:left w:w="108" w:type="dxa"/>
            <w:bottom w:w="0" w:type="dxa"/>
            <w:right w:w="108" w:type="dxa"/>
          </w:tblCellMar>
        </w:tblPrEx>
        <w:trPr>
          <w:trHeight w:val="930" w:hRule="atLeast"/>
          <w:tblHeader/>
        </w:trPr>
        <w:tc>
          <w:tcPr>
            <w:tcW w:w="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6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货物</w:t>
            </w:r>
            <w:r>
              <w:rPr>
                <w:rFonts w:hint="eastAsia" w:asciiTheme="minorEastAsia" w:hAnsiTheme="minorEastAsia" w:eastAsiaTheme="minorEastAsia" w:cstheme="minorEastAsia"/>
                <w:b/>
                <w:bCs/>
                <w:kern w:val="0"/>
                <w:sz w:val="21"/>
                <w:szCs w:val="21"/>
              </w:rPr>
              <w:t>名称</w:t>
            </w:r>
          </w:p>
        </w:tc>
        <w:tc>
          <w:tcPr>
            <w:tcW w:w="39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技术规格</w:t>
            </w:r>
          </w:p>
        </w:tc>
        <w:tc>
          <w:tcPr>
            <w:tcW w:w="4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单位</w:t>
            </w:r>
          </w:p>
        </w:tc>
        <w:tc>
          <w:tcPr>
            <w:tcW w:w="4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数量</w:t>
            </w:r>
          </w:p>
        </w:tc>
        <w:tc>
          <w:tcPr>
            <w:tcW w:w="43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品牌</w:t>
            </w:r>
          </w:p>
        </w:tc>
        <w:tc>
          <w:tcPr>
            <w:tcW w:w="4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型号</w:t>
            </w:r>
          </w:p>
        </w:tc>
        <w:tc>
          <w:tcPr>
            <w:tcW w:w="13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最高</w:t>
            </w:r>
            <w:r>
              <w:rPr>
                <w:rFonts w:hint="eastAsia" w:asciiTheme="minorEastAsia" w:hAnsiTheme="minorEastAsia" w:eastAsiaTheme="minorEastAsia" w:cstheme="minorEastAsia"/>
                <w:b/>
                <w:bCs/>
                <w:kern w:val="0"/>
                <w:sz w:val="21"/>
                <w:szCs w:val="21"/>
              </w:rPr>
              <w:t>综合单价</w:t>
            </w:r>
            <w:r>
              <w:rPr>
                <w:rFonts w:hint="eastAsia" w:asciiTheme="minorEastAsia" w:hAnsiTheme="minorEastAsia" w:eastAsiaTheme="minorEastAsia" w:cstheme="minorEastAsia"/>
                <w:b/>
                <w:bCs/>
                <w:kern w:val="0"/>
                <w:sz w:val="21"/>
                <w:szCs w:val="21"/>
                <w:lang w:val="en-US" w:eastAsia="zh-CN"/>
              </w:rPr>
              <w:t>限价</w:t>
            </w:r>
            <w:r>
              <w:rPr>
                <w:rFonts w:hint="eastAsia" w:asciiTheme="minorEastAsia" w:hAnsiTheme="minorEastAsia" w:eastAsiaTheme="minorEastAsia" w:cstheme="minorEastAsia"/>
                <w:b/>
                <w:bCs/>
                <w:kern w:val="0"/>
                <w:sz w:val="21"/>
                <w:szCs w:val="21"/>
              </w:rPr>
              <w:t>含税安装施工（元）</w:t>
            </w:r>
          </w:p>
        </w:tc>
        <w:tc>
          <w:tcPr>
            <w:tcW w:w="88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单价</w:t>
            </w:r>
            <w:r>
              <w:rPr>
                <w:rFonts w:hint="eastAsia" w:asciiTheme="minorEastAsia" w:hAnsiTheme="minorEastAsia" w:eastAsiaTheme="minorEastAsia" w:cstheme="minorEastAsia"/>
                <w:b/>
                <w:bCs/>
                <w:kern w:val="0"/>
                <w:sz w:val="21"/>
                <w:szCs w:val="21"/>
              </w:rPr>
              <w:t>（元）</w:t>
            </w:r>
          </w:p>
        </w:tc>
        <w:tc>
          <w:tcPr>
            <w:tcW w:w="79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小计（数量×单价）</w:t>
            </w:r>
            <w:r>
              <w:rPr>
                <w:rFonts w:hint="eastAsia" w:asciiTheme="minorEastAsia" w:hAnsiTheme="minorEastAsia" w:eastAsiaTheme="minorEastAsia" w:cstheme="minorEastAsia"/>
                <w:b/>
                <w:bCs/>
                <w:kern w:val="0"/>
                <w:sz w:val="21"/>
                <w:szCs w:val="21"/>
              </w:rPr>
              <w:t>（元）</w:t>
            </w:r>
          </w:p>
        </w:tc>
        <w:tc>
          <w:tcPr>
            <w:tcW w:w="52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备注</w:t>
            </w:r>
          </w:p>
        </w:tc>
      </w:tr>
      <w:tr>
        <w:tblPrEx>
          <w:tblCellMar>
            <w:top w:w="0" w:type="dxa"/>
            <w:left w:w="108" w:type="dxa"/>
            <w:bottom w:w="0" w:type="dxa"/>
            <w:right w:w="108" w:type="dxa"/>
          </w:tblCellMar>
        </w:tblPrEx>
        <w:trPr>
          <w:trHeight w:val="78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10037" w:type="dxa"/>
            <w:gridSpan w:val="1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第一部分：广东省广裕集团嘉顺实业有限责任公司厂房锅炉房视频监控系统项目</w:t>
            </w:r>
          </w:p>
        </w:tc>
      </w:tr>
      <w:tr>
        <w:tblPrEx>
          <w:tblCellMar>
            <w:top w:w="0" w:type="dxa"/>
            <w:left w:w="108" w:type="dxa"/>
            <w:bottom w:w="0" w:type="dxa"/>
            <w:right w:w="108" w:type="dxa"/>
          </w:tblCellMar>
        </w:tblPrEx>
        <w:trPr>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10037" w:type="dxa"/>
            <w:gridSpan w:val="1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厂房锅炉房</w:t>
            </w:r>
          </w:p>
        </w:tc>
      </w:tr>
      <w:tr>
        <w:tblPrEx>
          <w:tblCellMar>
            <w:top w:w="0" w:type="dxa"/>
            <w:left w:w="108" w:type="dxa"/>
            <w:bottom w:w="0" w:type="dxa"/>
            <w:right w:w="108" w:type="dxa"/>
          </w:tblCellMar>
        </w:tblPrEx>
        <w:trPr>
          <w:trHeight w:val="14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室外高清红外枪式摄像机（POE)</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200万筒型网络摄像机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海康威视红外阵列筒型网络摄像机，最高分辨率可达200万像素，并在此分辨率下可输出25fps实时图像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支持1个RJ4510M/100M自适应以太网口，1个内置麦克风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移动侦测（支持人形检测）与异常侦测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适用于道路、仓库、地下停车场、酒吧、管道、园区等光线较暗或无光照环境且要求高清画质的场所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支持背光补偿，强光抑制，3D数字降噪，数字宽动态，适应不同环境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支持萤石平台，海康互联接入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支持ROI感兴趣区域增强编码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采用高效阵列红外灯，使用寿命长，红外照射最远可达50m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w:t>
            </w:r>
            <w:r>
              <w:rPr>
                <w:rFonts w:hint="eastAsia" w:asciiTheme="minorEastAsia" w:hAnsiTheme="minorEastAsia" w:eastAsiaTheme="minorEastAsia" w:cstheme="minorEastAsia"/>
                <w:kern w:val="0"/>
                <w:sz w:val="21"/>
                <w:szCs w:val="21"/>
              </w:rPr>
              <w:t>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最低照度：彩色：0.01Lux@（F1.2，AGCON），0LuxwithIR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宽动态：数字宽动态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焦距&amp;视场角：4mm，水平视场角：81.3°，垂直视场角：43.6°，对角视场角：96.9°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6mm，水平视场角：50.9°，垂直视场角：29.3°，对角视场角：58.1°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8mm，水平视场角：39.4°，垂直视场角：21.7°，对角视场角：45.6°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12mm，水平视场角：24.6°，垂直视场角：13.9°，对角视场角：28.1°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补光距离：最远可达50m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子码流：H.265/H.264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启动及工作温湿度：-30°C~60°C，湿度小于95%（无凝结）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存储温湿度：-30°C~60°C，湿度小于95%（无凝结）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PoE：IEEE802.3af，CLASS3</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电流及功耗：DC：12V，0.42A，最大功耗：5W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PoE：IEEE802.3af，CLASS3，最大功耗：6.5W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产品尺寸：87.1×83.7×171.7mm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恢复出厂设置：支持客户端或浏览器恢复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包装尺寸：216×121×118mm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设备重量：370g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带包装重量：525g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rPr>
              <w:t>防护：IP66</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DS-2CD2225GSS-I</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597</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41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室外高清红外枪式摄像机</w:t>
            </w:r>
          </w:p>
        </w:tc>
        <w:tc>
          <w:tcPr>
            <w:tcW w:w="3960" w:type="dxa"/>
            <w:gridSpan w:val="2"/>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200万筒型网络摄像机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海康威视红外阵列筒型网络摄像机，最高分辨率可达200万像素，并在此分辨率下可输出25fps实时图像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支持1个RJ4510M/100M自适应以太网口，1个内置麦克风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移动侦测（支持人形检测）与异常侦测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适用于道路、仓库、地下停车场、酒吧、管道、园区等光线较暗或无光照环境且要求高清画质的场所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支持背光补偿，强光抑制，3D数字降噪，数字宽动态，适应不同环境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支持萤石平台，海康互联接入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支持ROI感兴趣区域增强编码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采用高效阵列红外灯，使用寿命长，红外照射最远可达50m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最低照度：彩色：0.01Lux@（F1.2，AGCON），0LuxwithIR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宽动态：数字宽动态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焦距&amp;视场角：4mm，水平视场角：81.3°，垂直视场角：43.6°，对角视场角：96.9°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6mm，水平视场角：50.9°，垂直视场角：29.3°，对角视场角：58.1°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8mm，水平视场角：39.4°，垂直视场角：21.7°，对角视场角：45.6°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12mm，水平视场角：24.6°，垂直视场角：13.9°，对角视场角：28.1°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补光距离：最远可达50m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子码流：H.265/H.264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启动及工作温湿度：-30°C~60°C，湿度小于95%（无凝结）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存储温湿度：-30°C~60°C，湿度小于95%（无凝结）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电流及功耗：DC：12V，0.42A，最大功耗：5W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恢复出厂设置：支持客户端或浏览器恢复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产品尺寸：87.1×83.7×171.7mm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包装尺寸：216×121×118mm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设备重量：370g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带包装重量：525g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防护：IP66</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DS-2CD2225DGSS-I</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579</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84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支架</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壁装支架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适用范围适合枪型、筒型、一体型摄像机壁装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材料铝合金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调整角度水平：360°，垂直：-45°~45°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尺寸70×97.1×173.4mm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重量201g</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65</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5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5</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耐高温摄像机</w:t>
            </w:r>
          </w:p>
        </w:tc>
        <w:tc>
          <w:tcPr>
            <w:tcW w:w="3960" w:type="dxa"/>
            <w:gridSpan w:val="2"/>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200万耐高温摄像机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内置半导体制冷模块制冷有效寿命可达2万小时，专业制冷风道设计，有效降低设备内部温度，保证设备在70°C环境下7×24小时不间断稳定运行要求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支持P-iris自动光圈调节方式控制光圈大小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内嵌深度学习算法，以海量图片及视频资源为路基，通过机器自身提取目标特征，形成深层可供学习的人脸图像，极大的提升了目标人脸的检出率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人脸抓拍：支持对运动人脸进行检测、抓拍，输出最优的人脸抓拍，最多同时检测30张人脸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Smart录像：支持断网续传功能保证录像不丢失</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Smart编码：支持ROI感兴趣区域增强编码，支持Smart265/264编码，支持SVC自适应编码技术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Smart事件：区域入侵侦测，越界侦测，进入区域侦测，离开区域侦测，物品遗留侦测，物品拿取侦测，徘徊侦测，人员聚集侦测，快速运动侦测，停车侦测，场景变更侦测，虚焦侦测，音频异常侦测（低延时模式不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支持1920×1280@25fps，图像更流畅，支持透雾、电子防抖，支持宽动态120dB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支持3.8-16mm镜头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支持三码流技术，支持同时20路取流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支持标准的256GBMicroSD/MicroSDHC/MicroSDXC卡存储（选配）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支持10M/100M自适应网口，支持1路音频输入，1路音频输出；1路报警输入，1路报警输出和1路RS-485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支持开放型网络视频接口，ISAPI，GB28181和ISUP接入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支持AC100~240V宽压供电</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支持防雷、防浪涌、防静电，IP66防护等级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宽动态：120dB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传感器类型：1/1.8"ProgressiveScanCMOS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最低照度：彩色：0.0005Lux@（F1.2，AGCON）</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黑白：0.0001Lux@（F1.2，AGCON）</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焦距&amp;视场角：3.8~16mm：水平视场角：103.6°~28°，垂直视场角：58°~16°，对角视场角：120.3°~32.2°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视频压缩标准：H.265/H.264/MJPEG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SD卡扩展：内置MicroSD/MicroSDHC/MicroSDXC插槽，最大支持256GB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电源输出：DC12V，100mA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报警：2路输入，2路输出（报警输入支持开关量，报警输出最大支持AC/DC24V，1A）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复位：支持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RS-485：采用半双工模式，支持自适应HIKVISION，PELCO-P和PELCO-D协议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接口类型：内插式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音频：1路输入（Linein），1路输出（Lineout），1个内置麦克风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恢复出厂设置：支持RESET按键，客户端或浏览器恢复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设备重量：4410g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带包装重量：5375g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包装尺寸：597×231×223mm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产品尺寸：521.3×169.2×110mm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启动和工作温湿度：-30°C~70°C，70°C~85°C可支持1小时，湿度小于95%（无凝结）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电源接口类型：接线端子排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电流及功耗：AC：220V，0.323A，50/60Hz，</w:t>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最大功耗：22.71W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供电方式：AC：220V±20%</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DS-2XC8425GSS-ST0</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3080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14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6</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200万半球摄像机（POE)</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200万海螺型网络摄像机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海康威视红外阵列海螺型网络摄像机，最高分辨率可达200万像素，并在此分辨率下可输出25fps实时图像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支持1个RJ4510M/100M自适应以太网口，1个内置麦克风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移动侦测（支持人形检测）与异常侦测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适用于道路、仓库、地下停车场、酒吧、管道、园区等光线较暗或无光照环境且要求高清画质的场所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支持背光补偿，强光抑制，3D数字降噪，数字宽动态，适应不同环境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支持萤石平台，海康互联接入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支持ROI感兴趣区域增强编码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采用高效阵列红外灯，使用寿命长，红外照射最远可达30m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调节角度：水平：0°~360°，垂直：0°~75°，旋转：0°~360°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宽动态：数字宽动态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最低照度：彩色：0.01Lux@（F1.2，AGCON），0LuxwithIR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焦距&amp;视场角：2.8mm，水平视场角：104.9°，垂直视场角：58.2°，对角视场角：123.2°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4mm，水平视场角：81.3°，垂直视场角：43.6°，对角视场角：96.9°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6mm，水平视场角：50.9°，垂直视场角：29.3°，对角视场角：58.1°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8mm，水平视场角：39.4°，垂直视场角：21.7°，对角视场角：45.6°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补光距离：最远可达30m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子码流：H.265/H.264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启动和工作温湿度：-30°C~60°C，湿度小于95%（无凝结）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PoE：IEEE802.3af，CLASS3</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设备重量：285g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产品尺寸：Ø110×93mm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包装尺寸：145×145×128mm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带包装重量：450g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存储温湿度：-30°C~60°C，湿度小于95%（无凝结）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恢复出厂设置：支持客户端或浏览器恢复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电流及功耗：DC：12V，0.42A，最大功耗：5W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PoE：IEEE802.3af，CLASS3，最大功耗：6.5W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26.</w:t>
            </w:r>
            <w:r>
              <w:rPr>
                <w:rFonts w:hint="eastAsia" w:asciiTheme="minorEastAsia" w:hAnsiTheme="minorEastAsia" w:eastAsiaTheme="minorEastAsia" w:cstheme="minorEastAsia"/>
                <w:kern w:val="0"/>
                <w:sz w:val="21"/>
                <w:szCs w:val="21"/>
              </w:rPr>
              <w:t>防护：IP66</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DS-2CD2325EMB-I</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597</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7</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支架</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壁装支架</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84</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8</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12V集中供电源</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12V集中供电源</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213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9</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POE防雷器（前端）</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POE防雷器：电源电涌保护特性Un48VAC,Uc60VAC,Up(8/20μs)150V,In(8/20μs)5kA,Imax(8/20μs)10kA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插入损耗&lt;0.5dB，响应时间：≦1ns工作环境：温度－40～＋85℃，相对湿度≤95％(25℃)</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175</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228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二合一防雷器（前端）</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电源、网络二合一防雷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电源电涌保护特性Un12、24VAC,Uc40VACUp(8/20μs)120V、In(8/20μs)5kA,Imax(8/20μs)10kA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插入损耗&lt;0.5dB，响应时间：≦1ns工作环境：温度－40～＋85℃，相对湿度≤95％(25℃)</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205</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11</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室外防水盒</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76</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225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12</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8路POE防雷器（非机架式）</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numPr>
                <w:ilvl w:val="0"/>
                <w:numId w:val="6"/>
              </w:num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8路POE防雷器：电源电涌保护特性Un48VAC,Uc60VAC,Up(8/20μs)150V,In(8/20μs)5kA,Imax(8/20μs)10kA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插入损耗&lt;0.5dB，保护路数：8路，响应时间：≦1ns工作环境：温度－40～＋85℃，相对湿度≤95％(25℃)</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1064</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53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13</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24口POE三层交换机</w:t>
            </w:r>
          </w:p>
        </w:tc>
        <w:tc>
          <w:tcPr>
            <w:tcW w:w="3960" w:type="dxa"/>
            <w:gridSpan w:val="2"/>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交换容量336Gbps/3.36Tbps、包转发率：126Mpps；固定端口：24个10/100/1000BASE-T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以太网端口（PoE+），4个千兆SFP；</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华为</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S5735S-L24P4S-A2</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4000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14</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单模光纤模块</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千兆单模双纤LC光口1310nm,20km（需确定前后端交换机品牌进行订够）</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华为</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300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47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15</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3米光纤跳线</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单模双工2LC-2LC跳线3米(LSZH)</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LC-LC单模光纤跳线,OS2,双工,3米技术规格：插入损耗≤0.2dB,回波损耗≥50dB@单模。阻燃等级:符合IEC60332-1标准要求，LSZH产品特点：100%通过工厂测试，高质量陶瓷</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16</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四口光熔纤盘(含尾纤、藕合器、跳线）</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(含尾纤、藕合器、跳线）</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253</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17</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4芯室外单模光纤</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铠装4芯室外单模光纤</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334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18</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室外超五类屏蔽双绞线</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室外超五类网线,Cat5e屏蔽双绞线,24AWG,工作温度为-20~60℃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标准：符合ISO/IEC11801、TIA-568-C.2、GB/T18015.5要求,所用材料符合RoHS要求,性能指标优于现行超5类线缆100MHz标准；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标准装轴长度:305m±1.5m；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芯线规格:24AWG,无氧铜；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线缆结构：4对8芯双绞线,每芯均有颜色区分,外皮印有厂商标识及电缆编码，有撕裂绳；</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965</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19</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开挖回填</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开挖回填</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定制</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72</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20</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400*400手井</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400*400手井</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1179</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21</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MR100*100金属线槽</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MR100*100国标</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22</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电源线3*2.5</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室外使用电源线3*2.5</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12</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23</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电源线RVV3*1.5</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RVV3*1.5</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9</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24</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电源开关箱含10A空气开关</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129.00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25</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二三插电源插座</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65.00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26</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线槽管材</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线槽管材</w:t>
            </w:r>
            <w:r>
              <w:rPr>
                <w:rFonts w:hint="eastAsia" w:asciiTheme="minorEastAsia" w:hAnsiTheme="minorEastAsia" w:eastAsiaTheme="minorEastAsia" w:cstheme="minorEastAsia"/>
                <w:kern w:val="0"/>
                <w:sz w:val="21"/>
                <w:szCs w:val="21"/>
                <w:lang w:eastAsia="zh-CN"/>
              </w:rPr>
              <w:t>，国标</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10420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27</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配件辅料</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电源开关、排插、接线盒、防水箱、软管、螺丝、桥架、光纤熔接、RJ45水晶头、电源防雷等安装设备各种配件材料</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490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793"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28</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第一部分（合计）</w:t>
            </w:r>
          </w:p>
        </w:tc>
        <w:tc>
          <w:tcPr>
            <w:tcW w:w="9394" w:type="dxa"/>
            <w:gridSpan w:val="11"/>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trHeight w:val="5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10037" w:type="dxa"/>
            <w:gridSpan w:val="1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第二部分：</w:t>
            </w:r>
            <w:r>
              <w:rPr>
                <w:rFonts w:hint="eastAsia" w:asciiTheme="minorEastAsia" w:hAnsiTheme="minorEastAsia" w:eastAsiaTheme="minorEastAsia" w:cstheme="minorEastAsia"/>
                <w:color w:val="000000"/>
                <w:kern w:val="0"/>
                <w:sz w:val="21"/>
                <w:szCs w:val="21"/>
                <w:lang w:bidi="ar"/>
              </w:rPr>
              <w:t>广东省女子监狱罪犯伙房、垃圾场和三监区五楼视频监控系统完善项目</w:t>
            </w:r>
          </w:p>
        </w:tc>
      </w:tr>
      <w:tr>
        <w:tblPrEx>
          <w:tblCellMar>
            <w:top w:w="0" w:type="dxa"/>
            <w:left w:w="108" w:type="dxa"/>
            <w:bottom w:w="0" w:type="dxa"/>
            <w:right w:w="108" w:type="dxa"/>
          </w:tblCellMar>
        </w:tblPrEx>
        <w:trPr>
          <w:trHeight w:val="61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10037" w:type="dxa"/>
            <w:gridSpan w:val="1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一、伙房区</w:t>
            </w:r>
          </w:p>
        </w:tc>
      </w:tr>
      <w:tr>
        <w:tblPrEx>
          <w:tblCellMar>
            <w:top w:w="0" w:type="dxa"/>
            <w:left w:w="108" w:type="dxa"/>
            <w:bottom w:w="0" w:type="dxa"/>
            <w:right w:w="108" w:type="dxa"/>
          </w:tblCellMar>
        </w:tblPrEx>
        <w:trPr>
          <w:trHeight w:val="610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室外高清红外枪式摄像机</w:t>
            </w:r>
          </w:p>
        </w:tc>
        <w:tc>
          <w:tcPr>
            <w:tcW w:w="3960" w:type="dxa"/>
            <w:gridSpan w:val="2"/>
            <w:tcBorders>
              <w:top w:val="nil"/>
              <w:left w:val="nil"/>
              <w:bottom w:val="single" w:color="auto" w:sz="4" w:space="0"/>
              <w:right w:val="single" w:color="auto" w:sz="4" w:space="0"/>
            </w:tcBorders>
            <w:shd w:val="clear" w:color="000000" w:fill="FFFFFF"/>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200万筒型网络摄像机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海康威视红外阵列筒型网络摄像机，最高分辨率可达200万像素，并在此分辨率下可输出25fps实时图像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支持1个RJ4510M/100M自适应以太网口，1个内置麦克风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移动侦测（支持人形检测）与异常侦测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适用于道路、仓库、地下停车场、酒吧、管道、园区等光线较暗或无光照环境且要求高清画质的场所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支持背光补偿，强光抑制，3D数字降噪，数字宽动态，适应不同环境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支持萤石平台，海康互联接入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支持ROI感兴趣区域增强编码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采用高效阵列红外灯，使用寿命长，红外照射最远可达50m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最低照度：彩色：0.01Lux@（F1.2，AGCON），0LuxwithIR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宽动态：数字宽动态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焦距&amp;视场角：4mm，水平视场角：81.3°，垂直视场角：43.6°，对角视场角：96.9°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6mm，水平视场角：50.9°，垂直视场角：29.3°，对角视场角：58.1°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8mm，水平视场角：39.4°，垂直视场角：21.7°，对角视场角：45.6°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12mm，水平视场角：24.6°，垂直视场角：13.9°，对角视场角：28.1°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补光距离：最远可达50m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子码流：H.265/H.264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启动及工作温湿度：-30°C~60°C，湿度小于95%（无凝结）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存储温湿度：-30°C~60°C，湿度小于95%（无凝结）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电流及功耗：DC：12V，0.42A，最大功耗：5W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恢复出厂设置：支持客户端或浏览器恢复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产品尺寸：87.1×83.7×171.7mm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包装尺寸：216×121×118mm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设备重量：370g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带包装重量：525g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防护：IP66</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DS-2CD2225DGSS-I</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579</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38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室内枪式广角400万像素摄像机</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400万筒型广角网络摄像机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最高分辨率可达2688×1520@25fps，在该分辨率下可输出实时图像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Smart侦测：区域入侵侦测，越界侦测，进入区域侦测，离开区域侦测，物品遗留侦测，物品拿取侦测，徘徊侦测，停车侦测，人员聚集侦测，快速移动侦测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支持背光补偿，强光抑制，3D数字降噪，120dB宽动态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支持萤石平台接入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支持180°水平视场角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采用高效阵列红外灯，使用寿命长，红外照射距离最远可达10m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 xml:space="preserve">7. </w:t>
            </w:r>
            <w:r>
              <w:rPr>
                <w:rFonts w:hint="eastAsia" w:asciiTheme="minorEastAsia" w:hAnsiTheme="minorEastAsia" w:eastAsiaTheme="minorEastAsia" w:cstheme="minorEastAsia"/>
                <w:kern w:val="0"/>
                <w:sz w:val="21"/>
                <w:szCs w:val="21"/>
              </w:rPr>
              <w:t>1个内置麦克风，高清拾音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传感器类型：1/3"ProgressiveScanCMOS</w:t>
            </w:r>
            <w:r>
              <w:rPr>
                <w:rFonts w:hint="eastAsia" w:asciiTheme="minorEastAsia" w:hAnsiTheme="minorEastAsia" w:eastAsiaTheme="minorEastAsia" w:cstheme="minorEastAsia"/>
                <w:b/>
                <w:bCs/>
                <w:kern w:val="0"/>
                <w:sz w:val="21"/>
                <w:szCs w:val="21"/>
              </w:rPr>
              <w:br w:type="textWrapping"/>
            </w:r>
            <w:r>
              <w:rPr>
                <w:rFonts w:hint="eastAsia" w:asciiTheme="minorEastAsia" w:hAnsiTheme="minorEastAsia" w:eastAsiaTheme="minorEastAsia" w:cstheme="minorEastAsia"/>
                <w:b/>
                <w:bCs/>
                <w:kern w:val="0"/>
                <w:sz w:val="21"/>
                <w:szCs w:val="21"/>
                <w:lang w:val="en-US" w:eastAsia="zh-CN"/>
              </w:rPr>
              <w:t>1.</w:t>
            </w:r>
            <w:r>
              <w:rPr>
                <w:rFonts w:hint="eastAsia" w:asciiTheme="minorEastAsia" w:hAnsiTheme="minorEastAsia" w:eastAsiaTheme="minorEastAsia" w:cstheme="minorEastAsia"/>
                <w:kern w:val="0"/>
                <w:sz w:val="21"/>
                <w:szCs w:val="21"/>
              </w:rPr>
              <w:t>最低照度：0.005Lux @（F1.2，AGCON），0LuxwithIR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宽动态：120dB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焦距&amp;视场角：1.68mm，水平视场角：180°，垂直视场角：98°</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补光距离：最远可达10m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最大图像尺寸：2688×1520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子码流：H.265/H.264/MJPEG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第三码流：H.265/H.264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产品尺寸：85.1×90×169mm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包装尺寸：216×121×118mm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设备重量：545g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带包装重量：740g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启动和工作温湿度：-30℃~60℃，湿度小于95%（无凝结）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电流及功耗：DC：12V，0.46A，最大功耗：5.5W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PoE：802.3af，36V~57V，0.18A~0.11A，最大功耗：6.5W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PoE：802.3af，Class3</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防护：IP66</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DS-2CD2T46P1-I(1.68mm)</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794</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32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冷链专用监控红外变焦摄像机</w:t>
            </w:r>
          </w:p>
        </w:tc>
        <w:tc>
          <w:tcPr>
            <w:tcW w:w="3960" w:type="dxa"/>
            <w:gridSpan w:val="2"/>
            <w:tcBorders>
              <w:top w:val="nil"/>
              <w:left w:val="nil"/>
              <w:bottom w:val="single" w:color="auto" w:sz="4" w:space="0"/>
              <w:right w:val="single" w:color="auto" w:sz="4" w:space="0"/>
            </w:tcBorders>
            <w:shd w:val="clear" w:color="000000" w:fill="FFFFFF"/>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200W星光级冷链专用监控红外变焦摄像机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支持镜头视窗玻璃加热，通过智能感知硬件，感应视窗玻璃温度，自动调节加热功率，不惧穿堂风、凝霜等造成画面模糊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最高分辨率可达1920×1080@25fps，在该分辨率下可输出实时图像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支持Smart侦测：场景变更侦测，虚焦侦测，区域入侵侦测，越界侦测，进入区域侦测，离开区域侦测，物品遗留侦测，物品拿取侦测，徘徊侦测，停车侦测，人员聚集侦测，快速移动侦测，音频异常侦测，音频抖升侦测，音频抖降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内置加热模块，可对镜头前盖玻璃加热。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支持背光补偿，强光抑制，3D数字降噪，120dB宽动态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支持H.265/H.264/MJPEG视频压缩算法，支持多级别视频质量配置、编码复杂度设置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支持ROI感兴趣区域增强编码，支持Smart265/264编码，可根据场景情况自适应调整码率分配，有效节省存储成本</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支持红外补光，红外光最远可达50m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支持1路报警输入，1路报警输出（报警输出最大支持DC12V，30mA），1路音频输入，1路音频输出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支持1个RS-485，支持温湿度传感器接入，叠加OSD</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支持最大256GBMicroSD/MicroSDHC/MicroSDXC卡本地存储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符合IP67防尘防水设计，可靠性高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最低照度：彩色：0.002Lux@（F1.2，AGCON），0LuxwithLight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宽动态：120dB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焦距&amp;视场角：2.7~12mm，水平视场角：106.9°~32.3°，垂直视场角：56.4°~18.2°，对角视场角：127.9°~37°</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补光灯类型：红外补光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补光距离：红外光最远可达50m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子码流：H.265/H.264/MJPEG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第三码流：H.265/H.264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SD卡扩展：内置MicroSD/MicroSDHC/MicroSDXC插槽，最大支持256GB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 xml:space="preserve">14. </w:t>
            </w:r>
            <w:r>
              <w:rPr>
                <w:rFonts w:hint="eastAsia" w:asciiTheme="minorEastAsia" w:hAnsiTheme="minorEastAsia" w:eastAsiaTheme="minorEastAsia" w:cstheme="minorEastAsia"/>
                <w:kern w:val="0"/>
                <w:sz w:val="21"/>
                <w:szCs w:val="21"/>
              </w:rPr>
              <w:t>1路输入（Linein），最大输入幅值：3.3Vpp，输入阻抗：4.7kΩ，接口类型：非平衡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 xml:space="preserve">15. </w:t>
            </w:r>
            <w:r>
              <w:rPr>
                <w:rFonts w:hint="eastAsia" w:asciiTheme="minorEastAsia" w:hAnsiTheme="minorEastAsia" w:eastAsiaTheme="minorEastAsia" w:cstheme="minorEastAsia"/>
                <w:kern w:val="0"/>
                <w:sz w:val="21"/>
                <w:szCs w:val="21"/>
              </w:rPr>
              <w:t>1路输出（Lineout），最大输出幅值：3.3Vpp，输出阻抗：100Ω，接口类型：非平衡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报警：1路输入，1路输出（报警输出最大支持DC12V，30mA）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RS-485：1个RS-485（半双工，HIKVISION，Pelco-P，Pelco-D，自适应）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支持温湿度传感器接入，叠加OSD（推荐温湿度传感器外需要定制）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复位：支持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电源输出：DC12V，100mA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产品尺寸：94.9×100.1×195.9mm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包装尺寸：315×137×141mm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设备重量：750g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带包装重量：1090g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rPr>
              <w:t>启动和工作温湿度：-35°C~60°C，湿度小于95%（无凝结）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26.</w:t>
            </w:r>
            <w:r>
              <w:rPr>
                <w:rFonts w:hint="eastAsia" w:asciiTheme="minorEastAsia" w:hAnsiTheme="minorEastAsia" w:eastAsiaTheme="minorEastAsia" w:cstheme="minorEastAsia"/>
                <w:kern w:val="0"/>
                <w:sz w:val="21"/>
                <w:szCs w:val="21"/>
              </w:rPr>
              <w:t>电流及功耗：DC：12V,1.08A,Max：13W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27.</w:t>
            </w:r>
            <w:r>
              <w:rPr>
                <w:rFonts w:hint="eastAsia" w:asciiTheme="minorEastAsia" w:hAnsiTheme="minorEastAsia" w:eastAsiaTheme="minorEastAsia" w:cstheme="minorEastAsia"/>
                <w:kern w:val="0"/>
                <w:sz w:val="21"/>
                <w:szCs w:val="21"/>
              </w:rPr>
              <w:t>PoE：(802.3at,42.5V-57V),0.36Ato0.27A，Max：15W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28.</w:t>
            </w:r>
            <w:r>
              <w:rPr>
                <w:rFonts w:hint="eastAsia" w:asciiTheme="minorEastAsia" w:hAnsiTheme="minorEastAsia" w:eastAsiaTheme="minorEastAsia" w:cstheme="minorEastAsia"/>
                <w:kern w:val="0"/>
                <w:sz w:val="21"/>
                <w:szCs w:val="21"/>
              </w:rPr>
              <w:t>供电方式：DC：12V±25%；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29.</w:t>
            </w:r>
            <w:r>
              <w:rPr>
                <w:rFonts w:hint="eastAsia" w:asciiTheme="minorEastAsia" w:hAnsiTheme="minorEastAsia" w:eastAsiaTheme="minorEastAsia" w:cstheme="minorEastAsia"/>
                <w:kern w:val="0"/>
                <w:sz w:val="21"/>
                <w:szCs w:val="21"/>
              </w:rPr>
              <w:t>PoE：802.3at，Class4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30.</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31.</w:t>
            </w:r>
            <w:r>
              <w:rPr>
                <w:rFonts w:hint="eastAsia" w:asciiTheme="minorEastAsia" w:hAnsiTheme="minorEastAsia" w:eastAsiaTheme="minorEastAsia" w:cstheme="minorEastAsia"/>
                <w:kern w:val="0"/>
                <w:sz w:val="21"/>
                <w:szCs w:val="21"/>
              </w:rPr>
              <w:t>防护：IP67</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DS-2CD8T25GSS-IHZS</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933</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99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5</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支架</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壁装支架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外观白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适用范围适合枪型、筒型、一体型摄像机壁装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材料铝合金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调整角度水平：360°，垂直：-45°~45°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尺寸70×97.1×173.4mm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重量201g</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65</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99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6</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二合一防雷器（前端）</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电源、网络二合一防雷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电源电涌保护特性Un12、24VAC,Uc40VACUp(8/20μs)120V、In(8/20μs)5kA,Imax(8/20μs)10kA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插入损耗&lt;0.5dB，响应时间：≦1ns工作环境：温度－40～＋85℃，相对湿度≤95％(25℃)</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205</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3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7</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室外防水盒</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76</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14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8</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8口网络防雷器（非机架式）</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插入损耗&lt;0.5dB，响应时间：≦1ns，保护路数：8路，工作环境：温度－40～＋85℃，相对湿度≤95％(25℃)</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881</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84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9</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1U机架式16路集中供电开关</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1u电源机架式电源稳压直流12V24V供电数显电压可调安防监控电源</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1047</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76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MR100*100金属线槽</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MR100*100国标</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80</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58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11</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电源线RVV3*1.5</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RVV3*1.5</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1020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9</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87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12</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室外超五类屏蔽双绞线</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室外超五类网线,Cat5e屏蔽双绞线,24AWG,工作温度为-20~60℃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标准：符合ISO/IEC11801、TIA-568-C.2、GB/T18015.5要求,所用材料符合RoHS要求,性能指标优于现行超5类线缆100MHz标准；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标准装轴长度:305m±1.5m；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芯线规格:24AWG,无氧铜；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线缆结构：4对8芯双绞线,每芯均有颜色区分,外皮印有厂商标识及电缆编码，有撕裂绳；</w:t>
            </w:r>
            <w:r>
              <w:rPr>
                <w:rFonts w:hint="eastAsia" w:asciiTheme="minorEastAsia" w:hAnsiTheme="minorEastAsia" w:eastAsiaTheme="minorEastAsia" w:cstheme="minorEastAsia"/>
                <w:kern w:val="0"/>
                <w:sz w:val="21"/>
                <w:szCs w:val="21"/>
              </w:rPr>
              <w:br w:type="textWrapping"/>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1020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59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13</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线槽管材</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线槽管材</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6000</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包括迁移2个摄像机和2个对讲报警设备位置工作量。</w:t>
            </w:r>
          </w:p>
        </w:tc>
      </w:tr>
      <w:tr>
        <w:tblPrEx>
          <w:tblCellMar>
            <w:top w:w="0" w:type="dxa"/>
            <w:left w:w="108" w:type="dxa"/>
            <w:bottom w:w="0" w:type="dxa"/>
            <w:right w:w="108" w:type="dxa"/>
          </w:tblCellMar>
        </w:tblPrEx>
        <w:trPr>
          <w:trHeight w:val="75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14</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配件辅料</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电源开关、排插、接线盒、防水箱、软管、螺丝、桥架、电源防雷、RJ45水晶头等安装设备各种配件材料</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2350</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15</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小计</w:t>
            </w:r>
          </w:p>
        </w:tc>
        <w:tc>
          <w:tcPr>
            <w:tcW w:w="9394" w:type="dxa"/>
            <w:gridSpan w:val="11"/>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trHeight w:val="63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10037" w:type="dxa"/>
            <w:gridSpan w:val="1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二、禁闭区附近垃圾站</w:t>
            </w:r>
          </w:p>
        </w:tc>
      </w:tr>
      <w:tr>
        <w:tblPrEx>
          <w:tblCellMar>
            <w:top w:w="0" w:type="dxa"/>
            <w:left w:w="108" w:type="dxa"/>
            <w:bottom w:w="0" w:type="dxa"/>
            <w:right w:w="108" w:type="dxa"/>
          </w:tblCellMar>
        </w:tblPrEx>
        <w:trPr>
          <w:trHeight w:val="229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200万半球摄像机（POE)</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实配2.8mm镜头）</w:t>
            </w:r>
          </w:p>
        </w:tc>
        <w:tc>
          <w:tcPr>
            <w:tcW w:w="3960" w:type="dxa"/>
            <w:gridSpan w:val="2"/>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bCs/>
                <w:kern w:val="0"/>
                <w:sz w:val="21"/>
                <w:szCs w:val="21"/>
              </w:rPr>
              <w:t>200万海螺型网络摄像机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海康威视红外阵列海螺型网络摄像机，最高分辨率可达200万像素，并在此分辨率下可输出25fps实时图像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支持1个RJ4510M/100M自适应以太网口，1个内置麦克风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移动侦测（支持人形检测）与异常侦测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适用于道路、仓库、地下停车场、酒吧、管道、园区等光线较暗或无光照环境且要求高清画质的场所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支持背光补偿，强光抑制，3D数字降噪，数字宽动态，适应不同环境</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支持萤石平台，海康互联接入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支持ROI感兴趣区域增强编码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采用高效阵列红外灯，使用寿命长，红外照射最远可达30m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符合IP66防尘防水设计，可靠性高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b/>
                <w:bCs/>
                <w:kern w:val="0"/>
                <w:sz w:val="21"/>
                <w:szCs w:val="21"/>
              </w:rPr>
              <w:t>传感器类型：1/2.7"ProgressiveScanCMOS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调节角度：水平：0°~360°，垂直：0°~75°，旋转：0°~360°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宽动态：数字宽动态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最低照度：彩色：0.01Lux@（F1.2，AGCON），0LuxwithIR</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焦距&amp;视场角：2.8mm，水平视场角：104.9°，垂直视场角：58.2°，对角视场角：123.2°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4mm，水平视场角：81.3°，垂直视场角：43.6°，对角视场角：96.9°</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6mm，水平视场角：50.9°，垂直视场角：29.3°，对角视场角：58.1°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8mm，水平视场角：39.4°，垂直视场角：21.7°，对角视场角：45.6°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补光距离：最远可达30m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补光灯类型：红外灯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防补光过曝：支持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红外波长范围：850nm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最大图像尺寸：1920×1080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视频压缩标准：主码流：H.265/H.264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子码流：H.265/H.264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网络：1个RJ4510M/100M自适应以太网口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音频：1个内置麦克风</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启动和工作温湿度：-30°C~60°C，湿度小于95%（无凝结）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供电方式：DC：12V±25%，支持防反接保护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PoE：IEEE802.3af，CLASS3</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设备重量：285g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产品尺寸：Ø110×93mm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包装尺寸：145×145×128mm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带包装重量：450g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21.</w:t>
            </w:r>
            <w:r>
              <w:rPr>
                <w:rFonts w:hint="eastAsia" w:asciiTheme="minorEastAsia" w:hAnsiTheme="minorEastAsia" w:eastAsiaTheme="minorEastAsia" w:cstheme="minorEastAsia"/>
                <w:kern w:val="0"/>
                <w:sz w:val="21"/>
                <w:szCs w:val="21"/>
              </w:rPr>
              <w:t>存储温湿度：-30°C~60°C，湿度小于95%（无凝结）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22.</w:t>
            </w:r>
            <w:r>
              <w:rPr>
                <w:rFonts w:hint="eastAsia" w:asciiTheme="minorEastAsia" w:hAnsiTheme="minorEastAsia" w:eastAsiaTheme="minorEastAsia" w:cstheme="minorEastAsia"/>
                <w:kern w:val="0"/>
                <w:sz w:val="21"/>
                <w:szCs w:val="21"/>
              </w:rPr>
              <w:t>恢复出厂设置：支持客户端或浏览器恢复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电流及功耗：DC：12V，0.42A，最大功耗：5W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PoE：IEEE802.3af，CLASS3，最大功耗：6.5W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rPr>
              <w:t>电源接口类型：Ø5.5mm圆口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26.</w:t>
            </w:r>
            <w:r>
              <w:rPr>
                <w:rFonts w:hint="eastAsia" w:asciiTheme="minorEastAsia" w:hAnsiTheme="minorEastAsia" w:eastAsiaTheme="minorEastAsia" w:cstheme="minorEastAsia"/>
                <w:kern w:val="0"/>
                <w:sz w:val="21"/>
                <w:szCs w:val="21"/>
              </w:rPr>
              <w:t>防护：IP66</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DS-2CD2325EMB-I</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597</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根据业主实际需求安装具体位置和更换安装8个旧摄像机</w:t>
            </w:r>
          </w:p>
        </w:tc>
      </w:tr>
      <w:tr>
        <w:tblPrEx>
          <w:tblCellMar>
            <w:top w:w="0" w:type="dxa"/>
            <w:left w:w="108" w:type="dxa"/>
            <w:bottom w:w="0" w:type="dxa"/>
            <w:right w:w="108" w:type="dxa"/>
          </w:tblCellMar>
        </w:tblPrEx>
        <w:trPr>
          <w:trHeight w:val="121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枪式摄像机（POE)</w:t>
            </w:r>
          </w:p>
        </w:tc>
        <w:tc>
          <w:tcPr>
            <w:tcW w:w="3960" w:type="dxa"/>
            <w:gridSpan w:val="2"/>
            <w:tcBorders>
              <w:top w:val="nil"/>
              <w:left w:val="nil"/>
              <w:bottom w:val="single" w:color="auto" w:sz="4" w:space="0"/>
              <w:right w:val="single" w:color="auto" w:sz="4" w:space="0"/>
            </w:tcBorders>
            <w:shd w:val="clear" w:color="auto" w:fill="auto"/>
          </w:tcPr>
          <w:p>
            <w:pPr>
              <w:widowControl/>
              <w:numPr>
                <w:ilvl w:val="0"/>
                <w:numId w:val="7"/>
              </w:num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1/2.7''200万像素逐行扫描CMOS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分辨率不小于1920×1080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内置CPU、GPU、NPU一体化国产芯片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最低照度不低于彩色:0.002Lux(F1.6,AGCON),黑白:0.001Lux(F1.6,AGCON),0Lux(红外开启)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内置电动变焦镜头，焦距范围为2.8-12mm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红外灯补光距离为不小于50m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支持快速移动，越线检测，区域入侵，进入/离开区域，徘徊检测，人员集聚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具有1个RJ4510M/100M自适应以太网口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不少于2路报警输入，1路报警输出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不少于1路音频输入，1路音频输出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防护等级不低于IP67</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支持DC12V，PoE</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华为</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C2120-10-SIU</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1500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根据业主实际需求安装具体位置</w:t>
            </w:r>
          </w:p>
        </w:tc>
      </w:tr>
      <w:tr>
        <w:tblPrEx>
          <w:tblCellMar>
            <w:top w:w="0" w:type="dxa"/>
            <w:left w:w="108" w:type="dxa"/>
            <w:bottom w:w="0" w:type="dxa"/>
            <w:right w:w="108" w:type="dxa"/>
          </w:tblCellMar>
        </w:tblPrEx>
        <w:trPr>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支架</w:t>
            </w:r>
          </w:p>
        </w:tc>
        <w:tc>
          <w:tcPr>
            <w:tcW w:w="3960" w:type="dxa"/>
            <w:gridSpan w:val="2"/>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壁装支架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外观白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适用范围适合枪型、筒型、一体型摄像机壁装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材料铝合金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调整角度水平：360°，垂直：-45°~45°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尺寸70×97.1×173.4mm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重量201g</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65</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73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5</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24口POE三层交换机</w:t>
            </w:r>
          </w:p>
        </w:tc>
        <w:tc>
          <w:tcPr>
            <w:tcW w:w="3960" w:type="dxa"/>
            <w:gridSpan w:val="2"/>
            <w:tcBorders>
              <w:top w:val="nil"/>
              <w:left w:val="nil"/>
              <w:bottom w:val="single" w:color="auto" w:sz="4" w:space="0"/>
              <w:right w:val="single" w:color="auto" w:sz="4" w:space="0"/>
            </w:tcBorders>
            <w:shd w:val="clear" w:color="auto" w:fill="auto"/>
          </w:tcPr>
          <w:p>
            <w:pPr>
              <w:widowControl/>
              <w:spacing w:after="24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交换容量336Gbps/3.36Tbps、包转发率：126Mpps；固定端口：24个10/100/1000BASE-T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以太网端口（PoE+），4个千兆SFP；</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华为</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S5735S-L24P4S-A2</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4000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6</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单模光纤模块</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千兆单模双纤LC光口1310nm,20km（需确定前后端交换机品牌进行订够）</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华为</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300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47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7</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3米光纤跳线</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单模双工2LC-2LC跳线3米(LSZH)</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LC-LC单模光纤跳线,OS2,双工,3米技术规格：插入损耗≤0.2dB,回波损耗≥50dB@单模。阻燃等级:符合IEC60332-1标准要求</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50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8</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室外防水盒</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76</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202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9</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8路POE防雷器（非机架式）</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numPr>
                <w:ilvl w:val="0"/>
                <w:numId w:val="8"/>
              </w:num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8路POE防雷器：电源电涌保护特性Un48VAC,Uc60VAC,Up(8/20μs)150V,In(8/20μs)5kA,Imax(8/20μs)10kA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插入损耗&lt;0.5dB，保护路数：8路，响应时间：≦1ns工作环境：温度－40～＋85℃，相对湿度≤95％(25℃)</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1064</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87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POE防雷器（前端）</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POE防雷器：电源电涌保护特性Un48VAC,Uc60VAC,Up(8/20μs)150V,In(8/20μs)5kA,Imax(8/20μs)10kA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网络信号电涌保护特性Uc8V，Up≤25V，In(8/20μs)5KA，Imax(8/20μs)10KA，传输特性100Mbps</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插入损耗&lt;0.5dB，响应时间：≦1ns工作环境：温度－40～＋85℃，相对湿度≤95％(25℃)</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175</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70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11</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室外超五类屏蔽双绞线</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室外超五类网线,Cat5e屏蔽双绞线,24AWG,工作温度为-20~60℃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标准：符合ISO/IEC11801、TIA-568-C.2、GB/T18015.5要求,所用材料符合RoHS要求,性能指标优于现行超5类线缆100MHz标准；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标准装轴长度:305m±1.5m；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芯线规格:24AWG,无氧铜；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线缆结构：4对8芯双绞线,每芯均有颜色区分,外皮印有厂商标识及电缆编码，有撕裂绳；</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12</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开挖回填</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开挖土石方回填</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定制</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72</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13</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电源线RVV3*2.5</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RVV3*2.5</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12</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14</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线槽管材</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线槽管材</w:t>
            </w:r>
            <w:r>
              <w:rPr>
                <w:rFonts w:hint="eastAsia" w:asciiTheme="minorEastAsia" w:hAnsiTheme="minorEastAsia" w:eastAsiaTheme="minorEastAsia" w:cstheme="minorEastAsia"/>
                <w:kern w:val="0"/>
                <w:sz w:val="21"/>
                <w:szCs w:val="21"/>
                <w:lang w:eastAsia="zh-CN"/>
              </w:rPr>
              <w:t>，国标</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3013</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81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15</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配件辅料</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电源开关、排插、接线盒、防水箱、软管、螺丝、桥架、电源防雷、RJ45水晶头等安装设备各种配件材料</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800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16</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小计</w:t>
            </w:r>
          </w:p>
        </w:tc>
        <w:tc>
          <w:tcPr>
            <w:tcW w:w="9394" w:type="dxa"/>
            <w:gridSpan w:val="11"/>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9575" w:type="dxa"/>
            <w:gridSpan w:val="11"/>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rPr>
              <w:t>三、三监区五层</w:t>
            </w:r>
          </w:p>
        </w:tc>
        <w:tc>
          <w:tcPr>
            <w:tcW w:w="46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p>
        </w:tc>
      </w:tr>
      <w:tr>
        <w:tblPrEx>
          <w:tblCellMar>
            <w:top w:w="0" w:type="dxa"/>
            <w:left w:w="108" w:type="dxa"/>
            <w:bottom w:w="0" w:type="dxa"/>
            <w:right w:w="108" w:type="dxa"/>
          </w:tblCellMar>
        </w:tblPrEx>
        <w:trPr>
          <w:trHeight w:val="181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红外半球广角摄像机</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清红外半球型网络摄像机，2.0mm定焦镜头，40米红外。1/2.8"200W像素高性能传感器，0.0002Lux星光级超低照度，120dB超宽动态。H.265/H.264，1080P/720P/D1，30fps。基础智能。1×RS485，2×LineIN，1×LineOUT，1×告警输入输出，1×模拟视频输出，1×内置TF卡槽。功耗10W，DC12V/POE。IP67。</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科达</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IPC2233-FN-SIR40-L0200</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1476</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76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配件辅料</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电源开关、排插、接线盒、防水箱、软管、螺丝、桥架、电源防雷、RJ45水晶头等安装设备各种配件材料</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4206</w:t>
            </w:r>
          </w:p>
        </w:tc>
        <w:tc>
          <w:tcPr>
            <w:tcW w:w="8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529"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55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小计</w:t>
            </w:r>
          </w:p>
        </w:tc>
        <w:tc>
          <w:tcPr>
            <w:tcW w:w="9394" w:type="dxa"/>
            <w:gridSpan w:val="11"/>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trHeight w:val="49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10037" w:type="dxa"/>
            <w:gridSpan w:val="1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四、监控中心存储</w:t>
            </w:r>
          </w:p>
        </w:tc>
      </w:tr>
      <w:tr>
        <w:tblPrEx>
          <w:tblCellMar>
            <w:top w:w="0" w:type="dxa"/>
            <w:left w:w="108" w:type="dxa"/>
            <w:bottom w:w="0" w:type="dxa"/>
            <w:right w:w="108" w:type="dxa"/>
          </w:tblCellMar>
        </w:tblPrEx>
        <w:trPr>
          <w:trHeight w:val="310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本级视频接入通道数（平台升级迁移授权）</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本级监控点所接入的数量，1500个海康前端摄像头接入授权，无缝接入智能安防管理平台；</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路</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1500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InfovisionSPCC_CAMNUM</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SPCC平台扩容授权（接入先旧平台设备授权），扩容接入后，旧平台不再使用。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本级监控点所接入的数量，现有监控点位数量1300多路，扩容预留100多路</w:t>
            </w:r>
          </w:p>
        </w:tc>
      </w:tr>
      <w:tr>
        <w:tblPrEx>
          <w:tblCellMar>
            <w:top w:w="0" w:type="dxa"/>
            <w:left w:w="108" w:type="dxa"/>
            <w:bottom w:w="0" w:type="dxa"/>
            <w:right w:w="108" w:type="dxa"/>
          </w:tblCellMar>
        </w:tblPrEx>
        <w:trPr>
          <w:trHeight w:val="460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CVR存储设备（满配24*16TB硬盘）</w:t>
            </w:r>
          </w:p>
        </w:tc>
        <w:tc>
          <w:tcPr>
            <w:tcW w:w="396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机架式/4U24盘位/1536Mbps接入带宽/SATA硬盘/64位多核处理器/4GB缓存（可扩展至128GB）/4个千兆数据网口/1个千兆管理网口/冗余电源/网络协议：RTSP/ONVIF/PSIA/（GB/T28181）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满配定制的24个16TBIOT硬盘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支持查看硬盘体检报告、硬盘深度体检和磁盘档案；支持下载单个硬盘或批量硬盘的报告，支持按时间显示硬盘的坏扇区、温度、振动变化趋势的曲线图；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支持红灯/蓝灯报警，可根据故障紧急程度分级报警，不同级别闪烁不同颜色保养灯，保养灯闪烁时长、频率可设；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更换系统盘并配置好信息后，再次开机无需人工介入，可自动恢复业务，历史数据不应丢失；</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样机支持延时摄影功能，可将长时间录制的视频图像合成为短视频，并支持延时摄影视频预览及下载</w:t>
            </w: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DS-A71024R/16T（满配24*16TB硬盘)</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85500</w:t>
            </w:r>
          </w:p>
        </w:tc>
        <w:tc>
          <w:tcPr>
            <w:tcW w:w="88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1"/>
                <w:szCs w:val="21"/>
                <w:lang w:eastAsia="zh-CN"/>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1、含服务项:硬盘不返还-有</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年质保</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2、整机吞吐能力（2M-768、4M-384）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3、4个千兆口入网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4、满配24块16TB硬盘，可存储192路4M视频；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5、预计可以在120天（4*30天）左右完成1340路左右视频存储30天录像计划的整体迁移。</w:t>
            </w:r>
          </w:p>
        </w:tc>
      </w:tr>
      <w:tr>
        <w:tblPrEx>
          <w:tblCellMar>
            <w:top w:w="0" w:type="dxa"/>
            <w:left w:w="108" w:type="dxa"/>
            <w:bottom w:w="0" w:type="dxa"/>
            <w:right w:w="108" w:type="dxa"/>
          </w:tblCellMar>
        </w:tblPrEx>
        <w:trPr>
          <w:trHeight w:val="48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小计</w:t>
            </w:r>
          </w:p>
        </w:tc>
        <w:tc>
          <w:tcPr>
            <w:tcW w:w="9394" w:type="dxa"/>
            <w:gridSpan w:val="11"/>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51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w:t>
            </w:r>
          </w:p>
        </w:tc>
        <w:tc>
          <w:tcPr>
            <w:tcW w:w="10037" w:type="dxa"/>
            <w:gridSpan w:val="1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五、医院增加楼层广播设备</w:t>
            </w:r>
          </w:p>
        </w:tc>
      </w:tr>
      <w:tr>
        <w:tblPrEx>
          <w:tblCellMar>
            <w:top w:w="0" w:type="dxa"/>
            <w:left w:w="108" w:type="dxa"/>
            <w:bottom w:w="0" w:type="dxa"/>
            <w:right w:w="108" w:type="dxa"/>
          </w:tblCellMar>
        </w:tblPrEx>
        <w:trPr>
          <w:trHeight w:val="327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w:t>
            </w:r>
          </w:p>
        </w:tc>
        <w:tc>
          <w:tcPr>
            <w:tcW w:w="643"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IP网络功放终端</w:t>
            </w:r>
          </w:p>
        </w:tc>
        <w:tc>
          <w:tcPr>
            <w:tcW w:w="3960" w:type="dxa"/>
            <w:gridSpan w:val="2"/>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ITC-67120技术参数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1.网络接口：标准RJ45输入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2.支持协议：TCP/IP，UDP，IGMP(组播)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3.音频格式：MP3</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4.音频模式：16位CD音质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5.额定功率：120W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6.功耗：180W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7.待机功耗：＜10W</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8.频率响应：80Hz～16KHz</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9.输出方式：4~16Ω定阻输出、70V/100V定压输出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10.保护电路：直流输出、过载、过温、短路保护电路</w:t>
            </w:r>
          </w:p>
        </w:tc>
        <w:tc>
          <w:tcPr>
            <w:tcW w:w="4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43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ITCT-67120</w:t>
            </w:r>
          </w:p>
        </w:tc>
        <w:tc>
          <w:tcPr>
            <w:tcW w:w="13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4360</w:t>
            </w:r>
          </w:p>
        </w:tc>
        <w:tc>
          <w:tcPr>
            <w:tcW w:w="88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无缝兼容接入监狱现有ITC广播系统和海康安防综合管理平台。</w:t>
            </w: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w:t>
            </w:r>
          </w:p>
        </w:tc>
        <w:tc>
          <w:tcPr>
            <w:tcW w:w="643"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IP网络话筒</w:t>
            </w:r>
          </w:p>
        </w:tc>
        <w:tc>
          <w:tcPr>
            <w:tcW w:w="3960" w:type="dxa"/>
            <w:gridSpan w:val="2"/>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ITCT-6702AIP网络话筒</w:t>
            </w:r>
          </w:p>
        </w:tc>
        <w:tc>
          <w:tcPr>
            <w:tcW w:w="4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43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ITCT-6702A</w:t>
            </w:r>
          </w:p>
        </w:tc>
        <w:tc>
          <w:tcPr>
            <w:tcW w:w="13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2930</w:t>
            </w:r>
          </w:p>
        </w:tc>
        <w:tc>
          <w:tcPr>
            <w:tcW w:w="88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1275"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4</w:t>
            </w:r>
          </w:p>
        </w:tc>
        <w:tc>
          <w:tcPr>
            <w:tcW w:w="643"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壁挂音箱</w:t>
            </w:r>
          </w:p>
        </w:tc>
        <w:tc>
          <w:tcPr>
            <w:tcW w:w="3960" w:type="dxa"/>
            <w:gridSpan w:val="2"/>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设备概况：室内壁挂音箱，流线型外观，声音辐射角度大，采用全频设计。技术规格1.扬声器单元：1×6.5"。2.灵敏度：91dB±3dB。3.额定功率：3W,6W,10W；接入方式：COM，70V，100V6.阻抗：3.3KΩ/1.7KΩ/1KΩ7.频率响应：130-18KHz8.防护等级：IP5X</w:t>
            </w:r>
          </w:p>
        </w:tc>
        <w:tc>
          <w:tcPr>
            <w:tcW w:w="4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43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ITCT-601</w:t>
            </w:r>
          </w:p>
        </w:tc>
        <w:tc>
          <w:tcPr>
            <w:tcW w:w="13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730</w:t>
            </w:r>
          </w:p>
        </w:tc>
        <w:tc>
          <w:tcPr>
            <w:tcW w:w="88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5</w:t>
            </w:r>
          </w:p>
        </w:tc>
        <w:tc>
          <w:tcPr>
            <w:tcW w:w="643"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网络跳线</w:t>
            </w:r>
          </w:p>
        </w:tc>
        <w:tc>
          <w:tcPr>
            <w:tcW w:w="3960" w:type="dxa"/>
            <w:gridSpan w:val="2"/>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5米超五类屏蔽双绞线网线跳线</w:t>
            </w:r>
          </w:p>
        </w:tc>
        <w:tc>
          <w:tcPr>
            <w:tcW w:w="4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条</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88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6</w:t>
            </w:r>
          </w:p>
        </w:tc>
        <w:tc>
          <w:tcPr>
            <w:tcW w:w="643"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双绞线缆</w:t>
            </w:r>
          </w:p>
        </w:tc>
        <w:tc>
          <w:tcPr>
            <w:tcW w:w="3960" w:type="dxa"/>
            <w:gridSpan w:val="2"/>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超五类屏蔽双绞线网线</w:t>
            </w:r>
          </w:p>
        </w:tc>
        <w:tc>
          <w:tcPr>
            <w:tcW w:w="4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海康威视</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88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7</w:t>
            </w:r>
          </w:p>
        </w:tc>
        <w:tc>
          <w:tcPr>
            <w:tcW w:w="643"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广播音频线</w:t>
            </w:r>
          </w:p>
        </w:tc>
        <w:tc>
          <w:tcPr>
            <w:tcW w:w="3960" w:type="dxa"/>
            <w:gridSpan w:val="2"/>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广播音频线2*1.5MM、国标</w:t>
            </w:r>
          </w:p>
        </w:tc>
        <w:tc>
          <w:tcPr>
            <w:tcW w:w="4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米</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w:t>
            </w:r>
          </w:p>
        </w:tc>
        <w:tc>
          <w:tcPr>
            <w:tcW w:w="43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88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8</w:t>
            </w:r>
          </w:p>
        </w:tc>
        <w:tc>
          <w:tcPr>
            <w:tcW w:w="64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线槽管材</w:t>
            </w:r>
          </w:p>
        </w:tc>
        <w:tc>
          <w:tcPr>
            <w:tcW w:w="3960" w:type="dxa"/>
            <w:gridSpan w:val="2"/>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线槽管材</w:t>
            </w:r>
            <w:r>
              <w:rPr>
                <w:rFonts w:hint="eastAsia" w:asciiTheme="minorEastAsia" w:hAnsiTheme="minorEastAsia" w:eastAsiaTheme="minorEastAsia" w:cstheme="minorEastAsia"/>
                <w:kern w:val="0"/>
                <w:sz w:val="21"/>
                <w:szCs w:val="21"/>
                <w:lang w:eastAsia="zh-CN"/>
              </w:rPr>
              <w:t>，国标</w:t>
            </w:r>
          </w:p>
        </w:tc>
        <w:tc>
          <w:tcPr>
            <w:tcW w:w="4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rPr>
            </w:pPr>
          </w:p>
        </w:tc>
        <w:tc>
          <w:tcPr>
            <w:tcW w:w="4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2000</w:t>
            </w:r>
          </w:p>
        </w:tc>
        <w:tc>
          <w:tcPr>
            <w:tcW w:w="88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trHeight w:val="63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9</w:t>
            </w:r>
          </w:p>
        </w:tc>
        <w:tc>
          <w:tcPr>
            <w:tcW w:w="643" w:type="dxa"/>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辅材</w:t>
            </w:r>
          </w:p>
        </w:tc>
        <w:tc>
          <w:tcPr>
            <w:tcW w:w="3960" w:type="dxa"/>
            <w:gridSpan w:val="2"/>
            <w:tcBorders>
              <w:top w:val="nil"/>
              <w:left w:val="nil"/>
              <w:bottom w:val="single" w:color="auto" w:sz="4" w:space="0"/>
              <w:right w:val="single" w:color="auto" w:sz="4" w:space="0"/>
            </w:tcBorders>
            <w:shd w:val="clear" w:color="FFFFFF" w:fill="FFFFFF"/>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电源开关、排插、接线盒、防水箱、软管、螺丝、桥架、电源防雷、RJ45水晶头等安装设备各种配件材料</w:t>
            </w:r>
          </w:p>
        </w:tc>
        <w:tc>
          <w:tcPr>
            <w:tcW w:w="4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3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国产</w:t>
            </w:r>
          </w:p>
        </w:tc>
        <w:tc>
          <w:tcPr>
            <w:tcW w:w="45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lang w:eastAsia="zh-CN"/>
              </w:rPr>
            </w:pPr>
          </w:p>
        </w:tc>
        <w:tc>
          <w:tcPr>
            <w:tcW w:w="139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501</w:t>
            </w:r>
          </w:p>
        </w:tc>
        <w:tc>
          <w:tcPr>
            <w:tcW w:w="88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799" w:type="dxa"/>
            <w:tcBorders>
              <w:top w:val="nil"/>
              <w:left w:val="nil"/>
              <w:bottom w:val="single" w:color="auto" w:sz="4" w:space="0"/>
              <w:right w:val="single" w:color="auto" w:sz="4" w:space="0"/>
            </w:tcBorders>
            <w:shd w:val="clear" w:color="FFFFFF" w:fill="FFFFFF"/>
            <w:vAlign w:val="center"/>
          </w:tcPr>
          <w:p>
            <w:pPr>
              <w:widowControl/>
              <w:jc w:val="center"/>
              <w:rPr>
                <w:rFonts w:hint="eastAsia" w:asciiTheme="minorEastAsia" w:hAnsiTheme="minorEastAsia" w:eastAsiaTheme="minorEastAsia" w:cstheme="minorEastAsia"/>
                <w:kern w:val="0"/>
                <w:sz w:val="21"/>
                <w:szCs w:val="21"/>
              </w:rPr>
            </w:pPr>
          </w:p>
        </w:tc>
        <w:tc>
          <w:tcPr>
            <w:tcW w:w="529"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10</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小计</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元</w:t>
            </w:r>
            <w:r>
              <w:rPr>
                <w:rFonts w:hint="eastAsia" w:asciiTheme="minorEastAsia" w:hAnsiTheme="minorEastAsia" w:eastAsiaTheme="minorEastAsia" w:cstheme="minorEastAsia"/>
                <w:b/>
                <w:bCs/>
                <w:kern w:val="0"/>
                <w:sz w:val="21"/>
                <w:szCs w:val="21"/>
                <w:lang w:eastAsia="zh-CN"/>
              </w:rPr>
              <w:t>）</w:t>
            </w:r>
          </w:p>
        </w:tc>
        <w:tc>
          <w:tcPr>
            <w:tcW w:w="9394" w:type="dxa"/>
            <w:gridSpan w:val="11"/>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462"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（第二部分）合计</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元</w:t>
            </w:r>
            <w:r>
              <w:rPr>
                <w:rFonts w:hint="eastAsia" w:asciiTheme="minorEastAsia" w:hAnsiTheme="minorEastAsia" w:eastAsiaTheme="minorEastAsia" w:cstheme="minorEastAsia"/>
                <w:b/>
                <w:bCs/>
                <w:kern w:val="0"/>
                <w:sz w:val="21"/>
                <w:szCs w:val="21"/>
                <w:lang w:eastAsia="zh-CN"/>
              </w:rPr>
              <w:t>）</w:t>
            </w:r>
          </w:p>
        </w:tc>
        <w:tc>
          <w:tcPr>
            <w:tcW w:w="98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8406" w:type="dxa"/>
            <w:gridSpan w:val="10"/>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600" w:hRule="atLeast"/>
        </w:trPr>
        <w:tc>
          <w:tcPr>
            <w:tcW w:w="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64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综合总价（第一部分+第二部分）</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元</w:t>
            </w:r>
            <w:r>
              <w:rPr>
                <w:rFonts w:hint="eastAsia" w:asciiTheme="minorEastAsia" w:hAnsiTheme="minorEastAsia" w:eastAsiaTheme="minorEastAsia" w:cstheme="minorEastAsia"/>
                <w:b/>
                <w:bCs/>
                <w:kern w:val="0"/>
                <w:sz w:val="21"/>
                <w:szCs w:val="21"/>
                <w:lang w:eastAsia="zh-CN"/>
              </w:rPr>
              <w:t>）</w:t>
            </w:r>
          </w:p>
        </w:tc>
        <w:tc>
          <w:tcPr>
            <w:tcW w:w="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8406" w:type="dxa"/>
            <w:gridSpan w:val="10"/>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bl>
    <w:p>
      <w:pPr>
        <w:spacing w:line="360" w:lineRule="auto"/>
        <w:ind w:left="3570" w:leftChars="50" w:hanging="3465" w:hangingChars="1650"/>
        <w:rPr>
          <w:rFonts w:hint="eastAsia" w:ascii="宋体" w:hAnsi="宋体" w:cs="宋体"/>
          <w:u w:val="single"/>
        </w:rPr>
      </w:pPr>
      <w:r>
        <w:rPr>
          <w:rFonts w:hint="eastAsia" w:ascii="宋体" w:hAnsi="宋体" w:cs="宋体"/>
        </w:rPr>
        <w:t xml:space="preserve">                                响应供应商名称（盖公章）：</w:t>
      </w:r>
      <w:r>
        <w:rPr>
          <w:rFonts w:hint="eastAsia" w:ascii="宋体" w:hAnsi="宋体" w:cs="宋体"/>
          <w:u w:val="single"/>
        </w:rPr>
        <w:t xml:space="preserve">                             </w:t>
      </w:r>
    </w:p>
    <w:p>
      <w:pPr>
        <w:spacing w:line="360" w:lineRule="auto"/>
        <w:ind w:left="3570" w:leftChars="1650" w:hanging="105" w:hangingChars="50"/>
        <w:rPr>
          <w:rFonts w:hint="eastAsia" w:ascii="宋体" w:hAnsi="宋体" w:cs="宋体"/>
          <w:u w:val="single"/>
        </w:rPr>
      </w:pPr>
      <w:r>
        <w:rPr>
          <w:rFonts w:hint="eastAsia" w:ascii="宋体" w:hAnsi="宋体" w:cs="宋体"/>
        </w:rPr>
        <w:t>响应供应商授权代表（签字或盖章）：</w:t>
      </w:r>
      <w:r>
        <w:rPr>
          <w:rFonts w:hint="eastAsia" w:ascii="宋体" w:hAnsi="宋体" w:cs="宋体"/>
          <w:u w:val="single"/>
        </w:rPr>
        <w:t xml:space="preserve">                     </w:t>
      </w:r>
    </w:p>
    <w:p>
      <w:pPr>
        <w:spacing w:line="360" w:lineRule="auto"/>
        <w:ind w:firstLine="3465" w:firstLineChars="165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firstLine="4935" w:firstLineChars="2350"/>
        <w:rPr>
          <w:rFonts w:hint="eastAsia" w:ascii="宋体" w:hAnsi="宋体" w:cs="宋体"/>
        </w:rPr>
      </w:pPr>
    </w:p>
    <w:p>
      <w:pPr>
        <w:spacing w:line="360" w:lineRule="auto"/>
        <w:ind w:firstLine="210" w:firstLineChars="100"/>
        <w:rPr>
          <w:rFonts w:hint="eastAsia" w:ascii="宋体" w:hAnsi="宋体" w:cs="宋体"/>
        </w:rPr>
      </w:pPr>
      <w:r>
        <w:rPr>
          <w:rFonts w:hint="eastAsia" w:ascii="宋体" w:hAnsi="宋体" w:cs="宋体"/>
        </w:rPr>
        <w:t>注： 1.所有价格均以人民币作为货币单位填写及计算；</w:t>
      </w:r>
    </w:p>
    <w:p>
      <w:pPr>
        <w:pStyle w:val="8"/>
      </w:pPr>
    </w:p>
    <w:p>
      <w:pPr>
        <w:rPr>
          <w:rFonts w:ascii="宋体" w:hAnsi="宋体" w:cs="宋体"/>
          <w:b/>
          <w:color w:val="auto"/>
          <w:kern w:val="0"/>
          <w:szCs w:val="21"/>
        </w:rPr>
      </w:pPr>
      <w:r>
        <w:rPr>
          <w:rFonts w:ascii="宋体" w:hAnsi="宋体" w:cs="宋体"/>
          <w:b/>
          <w:color w:val="auto"/>
          <w:kern w:val="0"/>
          <w:szCs w:val="21"/>
        </w:rPr>
        <w:br w:type="page"/>
      </w:r>
    </w:p>
    <w:p>
      <w:pPr>
        <w:pStyle w:val="8"/>
        <w:numPr>
          <w:ilvl w:val="0"/>
          <w:numId w:val="9"/>
        </w:numPr>
        <w:spacing w:line="360" w:lineRule="auto"/>
        <w:outlineLvl w:val="1"/>
        <w:rPr>
          <w:rFonts w:hint="eastAsia" w:ascii="宋体" w:hAnsi="宋体" w:cs="宋体"/>
          <w:b/>
          <w:bCs/>
        </w:rPr>
      </w:pPr>
      <w:r>
        <w:rPr>
          <w:rFonts w:hint="eastAsia" w:ascii="宋体" w:hAnsi="宋体" w:cs="宋体"/>
          <w:b/>
          <w:bCs/>
        </w:rPr>
        <w:t>资格声明函</w:t>
      </w:r>
    </w:p>
    <w:p>
      <w:pPr>
        <w:pStyle w:val="21"/>
        <w:shd w:val="clear" w:color="auto" w:fill="FFFFFF"/>
        <w:spacing w:before="0" w:beforeAutospacing="0" w:after="0" w:afterAutospacing="0" w:line="276" w:lineRule="auto"/>
        <w:rPr>
          <w:rFonts w:cs="Times New Roman"/>
          <w:b/>
          <w:color w:val="auto"/>
          <w:spacing w:val="4"/>
          <w:kern w:val="2"/>
          <w:sz w:val="21"/>
          <w:szCs w:val="21"/>
        </w:rPr>
      </w:pPr>
    </w:p>
    <w:p>
      <w:pPr>
        <w:autoSpaceDE w:val="0"/>
        <w:autoSpaceDN w:val="0"/>
        <w:adjustRightInd w:val="0"/>
        <w:spacing w:line="360" w:lineRule="auto"/>
        <w:jc w:val="center"/>
        <w:rPr>
          <w:rFonts w:ascii="宋体" w:hAnsi="宋体"/>
          <w:b/>
          <w:bCs/>
          <w:color w:val="auto"/>
          <w:sz w:val="32"/>
        </w:rPr>
      </w:pPr>
      <w:r>
        <w:rPr>
          <w:rFonts w:hint="eastAsia" w:ascii="宋体" w:hAnsi="宋体"/>
          <w:b/>
          <w:bCs/>
          <w:color w:val="auto"/>
          <w:sz w:val="32"/>
        </w:rPr>
        <w:t>资格文件声明函</w:t>
      </w:r>
    </w:p>
    <w:p>
      <w:pPr>
        <w:spacing w:line="360" w:lineRule="auto"/>
        <w:jc w:val="center"/>
        <w:rPr>
          <w:rFonts w:ascii="宋体" w:hAnsi="宋体"/>
          <w:b/>
          <w:bCs/>
          <w:color w:val="auto"/>
        </w:rPr>
      </w:pPr>
    </w:p>
    <w:p>
      <w:pPr>
        <w:spacing w:line="360" w:lineRule="auto"/>
        <w:ind w:left="105" w:leftChars="50" w:firstLine="2"/>
        <w:rPr>
          <w:rFonts w:ascii="宋体" w:hAnsi="宋体"/>
          <w:color w:val="auto"/>
        </w:rPr>
      </w:pPr>
      <w:r>
        <w:rPr>
          <w:rFonts w:hint="eastAsia" w:ascii="宋体" w:hAnsi="宋体"/>
          <w:color w:val="auto"/>
        </w:rPr>
        <w:t>致：</w:t>
      </w:r>
      <w:r>
        <w:rPr>
          <w:rFonts w:hint="eastAsia"/>
          <w:color w:val="auto"/>
          <w:szCs w:val="21"/>
          <w:lang w:eastAsia="zh-CN"/>
        </w:rPr>
        <w:t>广东省女子监狱</w:t>
      </w:r>
      <w:r>
        <w:rPr>
          <w:rFonts w:hint="eastAsia" w:hAnsi="宋体"/>
          <w:color w:val="auto"/>
        </w:rPr>
        <w:t>/</w:t>
      </w:r>
      <w:r>
        <w:rPr>
          <w:rFonts w:hint="eastAsia" w:ascii="宋体" w:hAnsi="宋体"/>
          <w:color w:val="auto"/>
        </w:rPr>
        <w:t>广州市国科招标代理有限公司</w:t>
      </w:r>
    </w:p>
    <w:p>
      <w:pPr>
        <w:spacing w:line="360" w:lineRule="auto"/>
        <w:ind w:firstLine="420" w:firstLineChars="200"/>
        <w:rPr>
          <w:rFonts w:ascii="宋体" w:hAnsi="宋体"/>
          <w:color w:val="auto"/>
        </w:rPr>
      </w:pPr>
      <w:r>
        <w:rPr>
          <w:rFonts w:hint="eastAsia" w:ascii="宋体" w:hAnsi="宋体"/>
          <w:color w:val="auto"/>
        </w:rPr>
        <w:t>关于贵方采购项目名称：</w:t>
      </w: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r>
        <w:rPr>
          <w:rFonts w:hint="eastAsia"/>
          <w:color w:val="auto"/>
          <w:szCs w:val="21"/>
        </w:rPr>
        <w:t>（项目编号：</w:t>
      </w:r>
      <w:r>
        <w:rPr>
          <w:rFonts w:hint="eastAsia"/>
          <w:color w:val="auto"/>
          <w:szCs w:val="21"/>
          <w:lang w:eastAsia="zh-CN"/>
        </w:rPr>
        <w:t>GZGK23P309B1007J</w:t>
      </w:r>
      <w:r>
        <w:rPr>
          <w:rFonts w:hint="eastAsia"/>
          <w:color w:val="auto"/>
          <w:szCs w:val="21"/>
        </w:rPr>
        <w:t>）</w:t>
      </w:r>
      <w:r>
        <w:rPr>
          <w:rFonts w:hint="eastAsia" w:ascii="宋体" w:hAnsi="宋体"/>
          <w:color w:val="auto"/>
        </w:rPr>
        <w:t>项目，本公司（企业）愿意参加，提供竞价文件中规定的货物/服务，并声明本公司（企业）具备本项目要求的资格条件，并已清楚竞价文件的要求及有关文件规定。</w:t>
      </w:r>
      <w:r>
        <w:rPr>
          <w:rFonts w:hint="eastAsia" w:hAnsi="宋体"/>
          <w:color w:val="auto"/>
          <w:szCs w:val="21"/>
        </w:rPr>
        <w:t>我方非联合体参加竞标，我方承诺如获得成交，不会将本项目分包或转包。</w:t>
      </w:r>
      <w:r>
        <w:rPr>
          <w:rFonts w:hint="eastAsia" w:ascii="宋体" w:hAnsi="宋体"/>
          <w:color w:val="auto"/>
        </w:rPr>
        <w:t>我方承诺在本次采购活动中提交的所有资质文件是准确、真实、有效的，如有违法、违规、弄虚作假行为，所造成的一切损失、不良后果及法律责任，一律由我公司（企业）承担。</w:t>
      </w:r>
    </w:p>
    <w:p>
      <w:pPr>
        <w:spacing w:line="360" w:lineRule="auto"/>
        <w:rPr>
          <w:rFonts w:hint="eastAsia" w:ascii="宋体" w:hAnsi="宋体" w:eastAsia="宋体"/>
          <w:color w:val="auto"/>
          <w:lang w:eastAsia="zh-CN"/>
        </w:rPr>
      </w:pPr>
    </w:p>
    <w:p>
      <w:pPr>
        <w:spacing w:line="360" w:lineRule="auto"/>
        <w:rPr>
          <w:rFonts w:ascii="宋体" w:hAnsi="宋体"/>
          <w:color w:val="auto"/>
        </w:rPr>
      </w:pPr>
      <w:r>
        <w:rPr>
          <w:rFonts w:hint="eastAsia" w:ascii="宋体" w:hAnsi="宋体"/>
          <w:color w:val="auto"/>
        </w:rPr>
        <w:t>特此声明！</w:t>
      </w:r>
    </w:p>
    <w:p>
      <w:pPr>
        <w:spacing w:line="360" w:lineRule="auto"/>
        <w:rPr>
          <w:rFonts w:ascii="宋体" w:hAnsi="宋体"/>
          <w:color w:val="auto"/>
        </w:rPr>
      </w:pPr>
    </w:p>
    <w:p>
      <w:pPr>
        <w:spacing w:line="360" w:lineRule="auto"/>
        <w:ind w:left="3675" w:leftChars="1750" w:firstLine="945" w:firstLineChars="450"/>
        <w:rPr>
          <w:rFonts w:hint="eastAsia" w:ascii="宋体" w:hAnsi="宋体" w:eastAsia="宋体"/>
          <w:color w:val="auto"/>
          <w:u w:val="single"/>
          <w:lang w:eastAsia="zh-CN"/>
        </w:rPr>
      </w:pPr>
      <w:r>
        <w:rPr>
          <w:rFonts w:hint="eastAsia" w:ascii="宋体" w:hAnsi="宋体"/>
          <w:color w:val="auto"/>
        </w:rPr>
        <w:t>竞价供应商名称（盖公章）：</w:t>
      </w:r>
    </w:p>
    <w:p>
      <w:pPr>
        <w:spacing w:line="360" w:lineRule="auto"/>
        <w:ind w:firstLine="4628" w:firstLineChars="2204"/>
        <w:rPr>
          <w:rFonts w:hint="eastAsia" w:ascii="宋体" w:hAnsi="宋体" w:eastAsia="宋体"/>
          <w:color w:val="auto"/>
          <w:u w:val="single"/>
          <w:lang w:eastAsia="zh-CN"/>
        </w:rPr>
      </w:pPr>
      <w:r>
        <w:rPr>
          <w:rFonts w:hint="eastAsia" w:ascii="宋体" w:hAnsi="宋体"/>
          <w:color w:val="auto"/>
        </w:rPr>
        <w:t>竞价供应商授权代表（签字或盖章）：</w:t>
      </w:r>
    </w:p>
    <w:p>
      <w:pPr>
        <w:spacing w:line="360" w:lineRule="auto"/>
        <w:ind w:firstLine="4725" w:firstLineChars="2250"/>
        <w:rPr>
          <w:rFonts w:ascii="宋体" w:hAnsi="宋体"/>
          <w:color w:val="auto"/>
        </w:rPr>
      </w:pPr>
      <w:r>
        <w:rPr>
          <w:rFonts w:hint="eastAsia" w:ascii="宋体" w:hAnsi="宋体"/>
          <w:color w:val="auto"/>
        </w:rPr>
        <w:t>日期：年月日</w:t>
      </w: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rPr>
          <w:rFonts w:ascii="宋体" w:hAnsi="宋体"/>
          <w:color w:val="auto"/>
        </w:rPr>
      </w:pPr>
    </w:p>
    <w:p>
      <w:pPr>
        <w:pStyle w:val="8"/>
        <w:numPr>
          <w:ilvl w:val="0"/>
          <w:numId w:val="9"/>
        </w:numPr>
        <w:spacing w:line="360" w:lineRule="auto"/>
        <w:outlineLvl w:val="1"/>
        <w:rPr>
          <w:rFonts w:hint="eastAsia" w:ascii="宋体" w:hAnsi="宋体" w:cs="宋体"/>
          <w:b/>
          <w:bCs/>
        </w:rPr>
      </w:pPr>
      <w:r>
        <w:rPr>
          <w:rFonts w:hint="eastAsia" w:ascii="宋体" w:hAnsi="宋体" w:cs="宋体"/>
          <w:b/>
          <w:bCs/>
        </w:rPr>
        <w:t>法定代表人（负责人）证明书</w:t>
      </w:r>
    </w:p>
    <w:p>
      <w:pPr>
        <w:pStyle w:val="8"/>
        <w:jc w:val="center"/>
        <w:rPr>
          <w:b/>
          <w:bCs/>
          <w:color w:val="auto"/>
          <w:sz w:val="21"/>
          <w:szCs w:val="21"/>
        </w:rPr>
      </w:pPr>
    </w:p>
    <w:p>
      <w:pPr>
        <w:pStyle w:val="8"/>
        <w:spacing w:line="360" w:lineRule="auto"/>
        <w:jc w:val="center"/>
        <w:rPr>
          <w:b/>
          <w:bCs/>
          <w:color w:val="auto"/>
          <w:sz w:val="32"/>
          <w:szCs w:val="32"/>
        </w:rPr>
      </w:pPr>
      <w:bookmarkStart w:id="79" w:name="_Toc385940902"/>
      <w:r>
        <w:rPr>
          <w:rFonts w:hint="eastAsia"/>
          <w:b/>
          <w:bCs/>
          <w:color w:val="auto"/>
          <w:sz w:val="32"/>
          <w:szCs w:val="32"/>
        </w:rPr>
        <w:t>法定代表人（负责人）证明书</w:t>
      </w:r>
      <w:bookmarkEnd w:id="79"/>
    </w:p>
    <w:p>
      <w:pPr>
        <w:pStyle w:val="2"/>
        <w:spacing w:line="360" w:lineRule="auto"/>
        <w:rPr>
          <w:rFonts w:ascii="宋体" w:hAnsi="宋体"/>
          <w:bCs/>
          <w:color w:val="auto"/>
          <w:u w:val="single"/>
        </w:rPr>
      </w:pPr>
    </w:p>
    <w:p>
      <w:pPr>
        <w:pStyle w:val="2"/>
        <w:spacing w:line="360" w:lineRule="auto"/>
        <w:ind w:firstLine="840" w:firstLineChars="400"/>
        <w:rPr>
          <w:rFonts w:ascii="宋体" w:hAnsi="宋体"/>
          <w:bCs/>
          <w:color w:val="auto"/>
        </w:rPr>
      </w:pPr>
      <w:r>
        <w:rPr>
          <w:rFonts w:hint="eastAsia" w:ascii="宋体" w:hAnsi="宋体"/>
          <w:bCs/>
          <w:color w:val="auto"/>
        </w:rPr>
        <w:t>现任我单位职务，为法定代表人（负责人），特此证明。</w:t>
      </w:r>
    </w:p>
    <w:p>
      <w:pPr>
        <w:pStyle w:val="2"/>
        <w:spacing w:line="360" w:lineRule="auto"/>
        <w:rPr>
          <w:rFonts w:ascii="宋体" w:hAnsi="宋体"/>
          <w:bCs/>
          <w:color w:val="auto"/>
        </w:rPr>
      </w:pPr>
      <w:r>
        <w:rPr>
          <w:rFonts w:hint="eastAsia" w:ascii="宋体" w:hAnsi="宋体"/>
          <w:bCs/>
          <w:color w:val="auto"/>
        </w:rPr>
        <w:t>有效期限与本公司所提交的响应文件标注的响应有效期一致。签发日期：年月日</w:t>
      </w:r>
    </w:p>
    <w:p>
      <w:pPr>
        <w:pStyle w:val="2"/>
        <w:spacing w:line="360" w:lineRule="auto"/>
        <w:rPr>
          <w:rFonts w:ascii="宋体" w:hAnsi="宋体"/>
          <w:bCs/>
          <w:color w:val="auto"/>
        </w:rPr>
      </w:pPr>
      <w:r>
        <w:rPr>
          <w:rFonts w:hint="eastAsia" w:ascii="宋体" w:hAnsi="宋体"/>
          <w:bCs/>
          <w:color w:val="auto"/>
        </w:rPr>
        <w:t>附：</w:t>
      </w:r>
    </w:p>
    <w:p>
      <w:pPr>
        <w:pStyle w:val="2"/>
        <w:spacing w:line="360" w:lineRule="auto"/>
        <w:rPr>
          <w:rFonts w:hint="eastAsia" w:ascii="宋体" w:hAnsi="宋体" w:eastAsia="宋体"/>
          <w:bCs/>
          <w:color w:val="auto"/>
          <w:lang w:eastAsia="zh-CN"/>
        </w:rPr>
      </w:pPr>
      <w:r>
        <w:rPr>
          <w:rFonts w:hint="eastAsia" w:ascii="宋体" w:hAnsi="宋体"/>
          <w:bCs/>
          <w:color w:val="auto"/>
        </w:rPr>
        <w:t>代表人性别：年龄：身份证号码：</w:t>
      </w:r>
    </w:p>
    <w:p>
      <w:pPr>
        <w:pStyle w:val="2"/>
        <w:spacing w:line="360" w:lineRule="auto"/>
        <w:rPr>
          <w:rFonts w:hint="eastAsia" w:ascii="宋体" w:hAnsi="宋体" w:eastAsia="宋体"/>
          <w:bCs/>
          <w:color w:val="auto"/>
          <w:lang w:eastAsia="zh-CN"/>
        </w:rPr>
      </w:pPr>
      <w:r>
        <w:rPr>
          <w:rFonts w:hint="eastAsia" w:ascii="宋体" w:hAnsi="宋体"/>
          <w:bCs/>
          <w:color w:val="auto"/>
        </w:rPr>
        <w:t>营业执照注册号：企业类型：</w:t>
      </w:r>
    </w:p>
    <w:p>
      <w:pPr>
        <w:pStyle w:val="2"/>
        <w:spacing w:line="360" w:lineRule="auto"/>
        <w:rPr>
          <w:rFonts w:hint="eastAsia" w:ascii="宋体" w:hAnsi="宋体" w:eastAsia="宋体"/>
          <w:b/>
          <w:color w:val="auto"/>
          <w:u w:val="single"/>
          <w:lang w:eastAsia="zh-CN"/>
        </w:rPr>
      </w:pPr>
      <w:r>
        <w:rPr>
          <w:rFonts w:hint="eastAsia" w:ascii="宋体" w:hAnsi="宋体"/>
          <w:bCs/>
          <w:color w:val="auto"/>
        </w:rPr>
        <w:t>经营范围：</w:t>
      </w:r>
    </w:p>
    <w:p>
      <w:pPr>
        <w:pStyle w:val="2"/>
        <w:spacing w:line="360" w:lineRule="auto"/>
        <w:rPr>
          <w:rFonts w:hint="eastAsia" w:ascii="宋体" w:hAnsi="宋体" w:eastAsia="宋体"/>
          <w:b/>
          <w:color w:val="auto"/>
          <w:u w:val="single"/>
          <w:lang w:eastAsia="zh-CN"/>
        </w:rPr>
      </w:pPr>
    </w:p>
    <w:p>
      <w:pPr>
        <w:pStyle w:val="2"/>
        <w:spacing w:line="360" w:lineRule="auto"/>
        <w:rPr>
          <w:rFonts w:ascii="宋体" w:hAnsi="宋体"/>
          <w:color w:val="auto"/>
        </w:rPr>
      </w:pPr>
      <w:r>
        <w:rPr>
          <w:rFonts w:hint="eastAsia" w:ascii="宋体" w:hAnsi="宋体"/>
          <w:color w:val="auto"/>
        </w:rPr>
        <w:t>。</w:t>
      </w:r>
    </w:p>
    <w:p>
      <w:pPr>
        <w:pStyle w:val="2"/>
        <w:spacing w:line="360" w:lineRule="auto"/>
        <w:rPr>
          <w:rFonts w:ascii="宋体" w:hAnsi="宋体"/>
          <w:b/>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67"/>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67"/>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2"/>
        <w:spacing w:line="360" w:lineRule="auto"/>
        <w:rPr>
          <w:rFonts w:ascii="宋体" w:hAnsi="宋体"/>
          <w:b/>
          <w:color w:val="auto"/>
        </w:rPr>
      </w:pPr>
    </w:p>
    <w:p>
      <w:pPr>
        <w:spacing w:line="360" w:lineRule="auto"/>
        <w:ind w:left="3570" w:leftChars="50" w:hanging="3465" w:hangingChars="1650"/>
        <w:jc w:val="right"/>
        <w:rPr>
          <w:rFonts w:hint="eastAsia" w:ascii="宋体" w:hAnsi="宋体" w:eastAsia="宋体"/>
          <w:color w:val="auto"/>
          <w:u w:val="single"/>
          <w:lang w:eastAsia="zh-CN"/>
        </w:rPr>
      </w:pPr>
      <w:r>
        <w:rPr>
          <w:rFonts w:hint="eastAsia" w:ascii="宋体" w:hAnsi="宋体"/>
          <w:color w:val="auto"/>
        </w:rPr>
        <w:t>响应供应商名称（盖公章）：</w:t>
      </w:r>
    </w:p>
    <w:p>
      <w:pPr>
        <w:spacing w:line="360" w:lineRule="auto"/>
        <w:ind w:firstLine="3465" w:firstLineChars="1650"/>
        <w:jc w:val="right"/>
        <w:rPr>
          <w:rFonts w:ascii="宋体" w:hAnsi="宋体"/>
          <w:color w:val="auto"/>
        </w:rPr>
      </w:pPr>
      <w:r>
        <w:rPr>
          <w:rFonts w:hint="eastAsia" w:ascii="宋体" w:hAnsi="宋体"/>
          <w:color w:val="auto"/>
        </w:rPr>
        <w:t>日期：年月日</w:t>
      </w:r>
    </w:p>
    <w:p>
      <w:pPr>
        <w:spacing w:line="360" w:lineRule="auto"/>
        <w:ind w:left="2" w:firstLine="403" w:firstLineChars="192"/>
        <w:rPr>
          <w:rFonts w:ascii="宋体" w:hAnsi="宋体"/>
          <w:color w:val="auto"/>
        </w:rPr>
      </w:pPr>
    </w:p>
    <w:p>
      <w:pPr>
        <w:pStyle w:val="8"/>
        <w:numPr>
          <w:ilvl w:val="0"/>
          <w:numId w:val="9"/>
        </w:numPr>
        <w:spacing w:line="360" w:lineRule="auto"/>
        <w:outlineLvl w:val="1"/>
        <w:rPr>
          <w:rFonts w:ascii="宋体" w:hAnsi="宋体"/>
          <w:b/>
          <w:bCs/>
          <w:color w:val="auto"/>
        </w:rPr>
      </w:pPr>
      <w:r>
        <w:rPr>
          <w:rFonts w:ascii="宋体" w:hAnsi="宋体"/>
          <w:b/>
          <w:bCs/>
          <w:color w:val="auto"/>
        </w:rPr>
        <w:br w:type="page"/>
      </w:r>
      <w:r>
        <w:rPr>
          <w:rFonts w:hint="eastAsia" w:ascii="宋体" w:hAnsi="宋体" w:cs="宋体"/>
          <w:b/>
          <w:bCs/>
        </w:rPr>
        <w:t>法定代表人（负责人）授权委托书</w:t>
      </w:r>
    </w:p>
    <w:p>
      <w:pPr>
        <w:pStyle w:val="8"/>
        <w:jc w:val="center"/>
        <w:rPr>
          <w:b/>
          <w:bCs/>
          <w:color w:val="auto"/>
          <w:sz w:val="21"/>
          <w:szCs w:val="21"/>
        </w:rPr>
      </w:pPr>
      <w:bookmarkStart w:id="80" w:name="_Toc76354925"/>
      <w:bookmarkStart w:id="81" w:name="_Toc50737297"/>
      <w:bookmarkStart w:id="82" w:name="_Toc50737329"/>
      <w:bookmarkStart w:id="83" w:name="_Toc50736477"/>
      <w:bookmarkStart w:id="84" w:name="_Toc52165081"/>
    </w:p>
    <w:p>
      <w:pPr>
        <w:pStyle w:val="8"/>
        <w:spacing w:line="360" w:lineRule="auto"/>
        <w:jc w:val="center"/>
        <w:rPr>
          <w:b/>
          <w:bCs/>
          <w:color w:val="auto"/>
          <w:sz w:val="32"/>
          <w:szCs w:val="32"/>
        </w:rPr>
      </w:pPr>
      <w:bookmarkStart w:id="85" w:name="_Toc385940903"/>
      <w:r>
        <w:rPr>
          <w:rFonts w:hint="eastAsia"/>
          <w:b/>
          <w:bCs/>
          <w:color w:val="auto"/>
          <w:sz w:val="32"/>
          <w:szCs w:val="32"/>
        </w:rPr>
        <w:t>法定代表人（负责人）授权委托书</w:t>
      </w:r>
      <w:bookmarkEnd w:id="80"/>
      <w:bookmarkEnd w:id="81"/>
      <w:bookmarkEnd w:id="82"/>
      <w:bookmarkEnd w:id="83"/>
      <w:bookmarkEnd w:id="84"/>
      <w:bookmarkEnd w:id="85"/>
    </w:p>
    <w:p>
      <w:pPr>
        <w:spacing w:line="360" w:lineRule="auto"/>
        <w:rPr>
          <w:rFonts w:ascii="宋体" w:hAnsi="宋体"/>
          <w:color w:val="auto"/>
        </w:rPr>
      </w:pPr>
    </w:p>
    <w:p>
      <w:pPr>
        <w:spacing w:line="360" w:lineRule="auto"/>
        <w:ind w:left="2" w:firstLine="403" w:firstLineChars="192"/>
        <w:rPr>
          <w:rFonts w:ascii="宋体" w:hAnsi="宋体"/>
          <w:color w:val="auto"/>
        </w:rPr>
      </w:pPr>
      <w:r>
        <w:rPr>
          <w:rFonts w:hint="eastAsia" w:ascii="宋体" w:hAnsi="宋体"/>
          <w:color w:val="auto"/>
        </w:rPr>
        <w:t>本授权书声明：注册于</w:t>
      </w:r>
      <w:r>
        <w:rPr>
          <w:rFonts w:hint="eastAsia" w:ascii="宋体" w:hAnsi="宋体"/>
          <w:color w:val="auto"/>
          <w:u w:val="single"/>
        </w:rPr>
        <w:t>（公司地址）</w:t>
      </w:r>
      <w:r>
        <w:rPr>
          <w:rFonts w:hint="eastAsia" w:ascii="宋体" w:hAnsi="宋体"/>
          <w:color w:val="auto"/>
        </w:rPr>
        <w:t>的</w:t>
      </w:r>
      <w:r>
        <w:rPr>
          <w:rFonts w:hint="eastAsia" w:ascii="宋体" w:hAnsi="宋体"/>
          <w:color w:val="auto"/>
          <w:u w:val="single"/>
        </w:rPr>
        <w:t>（响应供应商名称）</w:t>
      </w:r>
      <w:r>
        <w:rPr>
          <w:rFonts w:hint="eastAsia" w:ascii="宋体" w:hAnsi="宋体"/>
          <w:color w:val="auto"/>
        </w:rPr>
        <w:t>在下面签字的</w:t>
      </w:r>
      <w:r>
        <w:rPr>
          <w:rFonts w:hint="eastAsia" w:ascii="宋体" w:hAnsi="宋体"/>
          <w:color w:val="auto"/>
          <w:u w:val="single"/>
        </w:rPr>
        <w:t>（法定代表人（负责人）姓名、职务）</w:t>
      </w:r>
      <w:r>
        <w:rPr>
          <w:rFonts w:hint="eastAsia" w:ascii="宋体" w:hAnsi="宋体"/>
          <w:color w:val="auto"/>
        </w:rPr>
        <w:t>代表本公司授权</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（授权代表姓名、职务）</w:t>
      </w:r>
      <w:r>
        <w:rPr>
          <w:rFonts w:hint="eastAsia" w:ascii="宋体" w:hAnsi="宋体"/>
          <w:color w:val="auto"/>
        </w:rPr>
        <w:t>为本公司的合法代理人，就广州市国科招标代理有限公司的项目编号为：</w:t>
      </w:r>
      <w:r>
        <w:rPr>
          <w:rFonts w:hint="eastAsia"/>
          <w:color w:val="auto"/>
          <w:szCs w:val="21"/>
          <w:lang w:eastAsia="zh-CN"/>
        </w:rPr>
        <w:t>GZGK23P309B1007J</w:t>
      </w:r>
      <w:r>
        <w:rPr>
          <w:rFonts w:hint="eastAsia" w:ascii="宋体" w:hAnsi="宋体"/>
          <w:color w:val="auto"/>
        </w:rPr>
        <w:t>的</w:t>
      </w: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r>
        <w:rPr>
          <w:rFonts w:hint="eastAsia" w:ascii="宋体" w:hAnsi="宋体"/>
          <w:color w:val="auto"/>
        </w:rPr>
        <w:t>活动，提交竞价文件及采购合同的签订、执行、完成和售后服务，作为竞价供应商授权代表以本公司的名义处理一切与之有关的事宜。</w:t>
      </w:r>
    </w:p>
    <w:p>
      <w:pPr>
        <w:spacing w:line="360" w:lineRule="auto"/>
        <w:ind w:left="2" w:firstLine="403" w:firstLineChars="192"/>
        <w:rPr>
          <w:rFonts w:ascii="宋体" w:hAnsi="宋体"/>
          <w:color w:val="auto"/>
        </w:rPr>
      </w:pPr>
      <w:r>
        <w:rPr>
          <w:rFonts w:hint="eastAsia" w:ascii="宋体" w:hAnsi="宋体"/>
          <w:color w:val="auto"/>
        </w:rPr>
        <w:t>被授权人（竞价供应商授权代表）无转委托权限。</w:t>
      </w:r>
    </w:p>
    <w:p>
      <w:pPr>
        <w:spacing w:line="360" w:lineRule="auto"/>
        <w:ind w:left="2" w:firstLine="403" w:firstLineChars="192"/>
        <w:rPr>
          <w:rFonts w:ascii="宋体" w:hAnsi="宋体"/>
          <w:color w:val="auto"/>
        </w:rPr>
      </w:pPr>
      <w:r>
        <w:rPr>
          <w:rFonts w:hint="eastAsia" w:ascii="宋体" w:hAnsi="宋体"/>
          <w:color w:val="auto"/>
        </w:rPr>
        <w:t>本授权书于年月日签字之日起生效，特此声明。</w:t>
      </w:r>
    </w:p>
    <w:p>
      <w:pPr>
        <w:spacing w:line="360" w:lineRule="auto"/>
        <w:rPr>
          <w:rFonts w:ascii="宋体" w:hAnsi="宋体"/>
          <w:color w:val="auto"/>
        </w:rPr>
      </w:pPr>
      <w:r>
        <w:rPr>
          <w:rFonts w:hint="eastAsia" w:ascii="宋体" w:hAnsi="宋体"/>
          <w:color w:val="auto"/>
        </w:rPr>
        <w:t>附：</w:t>
      </w:r>
    </w:p>
    <w:p>
      <w:pPr>
        <w:spacing w:line="360" w:lineRule="auto"/>
        <w:rPr>
          <w:rFonts w:hint="eastAsia" w:ascii="宋体" w:hAnsi="宋体" w:eastAsia="宋体"/>
          <w:color w:val="auto"/>
          <w:u w:val="single"/>
          <w:lang w:eastAsia="zh-CN"/>
        </w:rPr>
      </w:pPr>
      <w:r>
        <w:rPr>
          <w:rFonts w:hint="eastAsia" w:ascii="宋体" w:hAnsi="宋体"/>
          <w:color w:val="auto"/>
        </w:rPr>
        <w:t>竞价供应商名称（盖公章）：</w:t>
      </w:r>
    </w:p>
    <w:p>
      <w:pPr>
        <w:spacing w:line="360" w:lineRule="auto"/>
        <w:rPr>
          <w:rFonts w:hint="eastAsia" w:ascii="宋体" w:hAnsi="宋体" w:eastAsia="宋体"/>
          <w:color w:val="auto"/>
          <w:u w:val="single"/>
          <w:lang w:eastAsia="zh-CN"/>
        </w:rPr>
      </w:pPr>
      <w:r>
        <w:rPr>
          <w:rFonts w:hint="eastAsia" w:ascii="宋体" w:hAnsi="宋体"/>
          <w:color w:val="auto"/>
        </w:rPr>
        <w:t>地址：</w:t>
      </w:r>
    </w:p>
    <w:p>
      <w:pPr>
        <w:spacing w:line="360" w:lineRule="auto"/>
        <w:rPr>
          <w:rFonts w:hint="eastAsia" w:ascii="宋体" w:hAnsi="宋体" w:eastAsia="宋体"/>
          <w:color w:val="auto"/>
          <w:u w:val="single"/>
          <w:lang w:eastAsia="zh-CN"/>
        </w:rPr>
      </w:pPr>
      <w:r>
        <w:rPr>
          <w:rFonts w:hint="eastAsia" w:ascii="宋体" w:hAnsi="宋体"/>
          <w:color w:val="auto"/>
        </w:rPr>
        <w:t>法定代表人（负责人）签字或盖章：</w:t>
      </w:r>
    </w:p>
    <w:p>
      <w:pPr>
        <w:spacing w:line="360" w:lineRule="auto"/>
        <w:rPr>
          <w:rFonts w:ascii="宋体" w:hAnsi="宋体"/>
          <w:color w:val="auto"/>
        </w:rPr>
      </w:pPr>
    </w:p>
    <w:p>
      <w:pPr>
        <w:spacing w:line="360" w:lineRule="auto"/>
        <w:rPr>
          <w:rFonts w:hint="eastAsia" w:ascii="宋体" w:hAnsi="宋体" w:eastAsia="宋体"/>
          <w:color w:val="auto"/>
          <w:u w:val="single"/>
          <w:lang w:eastAsia="zh-CN"/>
        </w:rPr>
      </w:pPr>
      <w:r>
        <w:rPr>
          <w:rFonts w:hint="eastAsia" w:ascii="宋体" w:hAnsi="宋体"/>
          <w:color w:val="auto"/>
        </w:rPr>
        <w:t>竞价供应商授权代表签字或盖章：</w:t>
      </w:r>
    </w:p>
    <w:p>
      <w:pPr>
        <w:spacing w:line="360" w:lineRule="auto"/>
        <w:rPr>
          <w:rFonts w:hint="eastAsia" w:ascii="宋体" w:hAnsi="宋体" w:eastAsia="宋体"/>
          <w:color w:val="auto"/>
          <w:u w:val="single"/>
          <w:lang w:eastAsia="zh-CN"/>
        </w:rPr>
      </w:pPr>
      <w:r>
        <w:rPr>
          <w:rFonts w:hint="eastAsia" w:ascii="宋体" w:hAnsi="宋体"/>
          <w:color w:val="auto"/>
        </w:rPr>
        <w:t>职务：</w:t>
      </w:r>
    </w:p>
    <w:p>
      <w:pPr>
        <w:spacing w:line="360" w:lineRule="auto"/>
        <w:rPr>
          <w:rFonts w:ascii="宋体" w:hAnsi="宋体"/>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ind w:firstLine="4725" w:firstLineChars="2250"/>
        <w:rPr>
          <w:rFonts w:ascii="宋体" w:hAnsi="宋体"/>
          <w:color w:val="auto"/>
        </w:rPr>
      </w:pPr>
    </w:p>
    <w:p>
      <w:pPr>
        <w:spacing w:line="520" w:lineRule="exact"/>
        <w:rPr>
          <w:rFonts w:ascii="宋体" w:hAnsi="宋体"/>
          <w:color w:val="auto"/>
          <w:spacing w:val="4"/>
          <w:szCs w:val="21"/>
          <w:u w:val="single"/>
        </w:rPr>
      </w:pPr>
    </w:p>
    <w:p>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br w:type="page"/>
      </w:r>
    </w:p>
    <w:p>
      <w:pPr>
        <w:pStyle w:val="8"/>
        <w:numPr>
          <w:ilvl w:val="0"/>
          <w:numId w:val="9"/>
        </w:numPr>
        <w:spacing w:line="360" w:lineRule="auto"/>
        <w:outlineLvl w:val="1"/>
        <w:rPr>
          <w:rFonts w:hint="eastAsia" w:ascii="宋体" w:hAnsi="宋体" w:cs="宋体"/>
          <w:b/>
          <w:bCs/>
          <w:lang w:val="en-US" w:eastAsia="zh-CN"/>
        </w:rPr>
      </w:pPr>
      <w:r>
        <w:rPr>
          <w:rFonts w:hint="eastAsia" w:ascii="宋体" w:hAnsi="宋体" w:cs="宋体"/>
          <w:b/>
          <w:bCs/>
          <w:lang w:val="en-US" w:eastAsia="zh-CN"/>
        </w:rPr>
        <w:t>采购需求响应声明函</w:t>
      </w:r>
    </w:p>
    <w:p>
      <w:pPr>
        <w:bidi w:val="0"/>
        <w:rPr>
          <w:rFonts w:hint="eastAsia"/>
        </w:rPr>
      </w:pPr>
    </w:p>
    <w:p>
      <w:pPr>
        <w:autoSpaceDE w:val="0"/>
        <w:autoSpaceDN w:val="0"/>
        <w:adjustRightInd w:val="0"/>
        <w:spacing w:before="240" w:after="312" w:afterLines="100" w:line="360" w:lineRule="auto"/>
        <w:jc w:val="center"/>
        <w:rPr>
          <w:rFonts w:hint="eastAsia" w:ascii="宋体" w:hAnsi="宋体" w:cs="Times New Roman"/>
          <w:b/>
          <w:bCs w:val="0"/>
          <w:color w:val="auto"/>
          <w:kern w:val="0"/>
          <w:sz w:val="28"/>
          <w:szCs w:val="28"/>
        </w:rPr>
      </w:pPr>
      <w:r>
        <w:rPr>
          <w:rFonts w:hint="eastAsia" w:ascii="宋体" w:hAnsi="宋体" w:cs="Times New Roman"/>
          <w:b/>
          <w:bCs w:val="0"/>
          <w:color w:val="auto"/>
          <w:kern w:val="0"/>
          <w:sz w:val="28"/>
          <w:szCs w:val="28"/>
        </w:rPr>
        <w:t>采购需求响应声明函</w:t>
      </w:r>
    </w:p>
    <w:p>
      <w:pPr>
        <w:autoSpaceDE w:val="0"/>
        <w:autoSpaceDN w:val="0"/>
        <w:adjustRightInd w:val="0"/>
        <w:spacing w:before="240" w:after="312" w:afterLines="100" w:line="360" w:lineRule="auto"/>
        <w:jc w:val="left"/>
        <w:rPr>
          <w:rFonts w:hint="eastAsia" w:ascii="宋体" w:hAnsi="宋体" w:eastAsia="宋体"/>
          <w:b/>
          <w:color w:val="auto"/>
          <w:kern w:val="0"/>
          <w:szCs w:val="21"/>
          <w:lang w:eastAsia="zh-CN"/>
        </w:rPr>
      </w:pPr>
      <w:r>
        <w:rPr>
          <w:rFonts w:hint="eastAsia" w:ascii="宋体" w:hAnsi="宋体"/>
          <w:b/>
          <w:color w:val="auto"/>
          <w:kern w:val="0"/>
          <w:szCs w:val="21"/>
        </w:rPr>
        <w:t>致：广州市国科招标代理有限公司、</w:t>
      </w:r>
      <w:r>
        <w:rPr>
          <w:rFonts w:hint="eastAsia" w:ascii="宋体" w:hAnsi="宋体"/>
          <w:b/>
          <w:color w:val="auto"/>
          <w:kern w:val="0"/>
          <w:szCs w:val="21"/>
          <w:lang w:eastAsia="zh-CN"/>
        </w:rPr>
        <w:t>广东省女子监狱</w:t>
      </w:r>
    </w:p>
    <w:p>
      <w:pPr>
        <w:spacing w:line="360" w:lineRule="auto"/>
        <w:ind w:firstLine="420" w:firstLineChars="200"/>
        <w:jc w:val="left"/>
        <w:rPr>
          <w:rFonts w:ascii="宋体" w:hAnsi="宋体" w:cs="宋体"/>
          <w:b/>
          <w:bCs/>
          <w:color w:val="auto"/>
          <w:szCs w:val="21"/>
          <w:u w:val="single"/>
        </w:rPr>
      </w:pPr>
      <w:r>
        <w:rPr>
          <w:rFonts w:hint="eastAsia" w:ascii="宋体" w:hAnsi="宋体" w:cs="宋体"/>
          <w:color w:val="auto"/>
          <w:szCs w:val="21"/>
        </w:rPr>
        <w:t>关于贵单位、贵司发布</w:t>
      </w: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r>
        <w:rPr>
          <w:rFonts w:hint="eastAsia" w:ascii="宋体" w:hAnsi="宋体" w:cs="宋体"/>
          <w:color w:val="auto"/>
          <w:szCs w:val="21"/>
        </w:rPr>
        <w:t>（项目编号：</w:t>
      </w:r>
      <w:r>
        <w:rPr>
          <w:rFonts w:hint="eastAsia" w:ascii="宋体" w:hAnsi="宋体" w:cs="宋体"/>
          <w:color w:val="auto"/>
          <w:szCs w:val="21"/>
          <w:lang w:eastAsia="zh-CN"/>
        </w:rPr>
        <w:t>GZGK23P309B1007J</w:t>
      </w:r>
      <w:r>
        <w:rPr>
          <w:rFonts w:hint="eastAsia" w:ascii="宋体" w:hAnsi="宋体" w:cs="宋体"/>
          <w:color w:val="auto"/>
          <w:szCs w:val="21"/>
        </w:rPr>
        <w:t>）的竞价项目，本公司（企业）愿意参加采购活动，并作出如下声明：</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lang w:eastAsia="zh-CN"/>
        </w:rPr>
        <w:t>候选供应商</w:t>
      </w:r>
      <w:r>
        <w:rPr>
          <w:rFonts w:hint="eastAsia" w:ascii="宋体" w:hAnsi="宋体" w:cs="宋体"/>
          <w:color w:val="auto"/>
          <w:szCs w:val="21"/>
        </w:rPr>
        <w:t>的要求。</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color w:val="auto"/>
          <w:szCs w:val="21"/>
        </w:rPr>
      </w:pPr>
    </w:p>
    <w:p>
      <w:pPr>
        <w:tabs>
          <w:tab w:val="left" w:pos="426"/>
        </w:tabs>
        <w:snapToGrid w:val="0"/>
        <w:spacing w:line="360" w:lineRule="auto"/>
        <w:ind w:firstLine="420"/>
        <w:rPr>
          <w:rFonts w:ascii="宋体" w:hAnsi="宋体" w:cs="宋体"/>
          <w:color w:val="auto"/>
          <w:szCs w:val="21"/>
        </w:rPr>
      </w:pPr>
    </w:p>
    <w:p>
      <w:pPr>
        <w:widowControl/>
        <w:jc w:val="left"/>
        <w:rPr>
          <w:rFonts w:ascii="宋体" w:hAnsi="Calibri"/>
          <w:b/>
          <w:bCs/>
          <w:color w:val="auto"/>
          <w:kern w:val="0"/>
          <w:sz w:val="32"/>
          <w:szCs w:val="32"/>
        </w:rPr>
      </w:pPr>
    </w:p>
    <w:p>
      <w:pPr>
        <w:spacing w:line="360" w:lineRule="auto"/>
        <w:ind w:left="3570" w:leftChars="50" w:hanging="3465" w:hangingChars="1650"/>
        <w:rPr>
          <w:rFonts w:hint="eastAsia" w:ascii="宋体" w:hAnsi="宋体" w:eastAsia="宋体"/>
          <w:color w:val="auto"/>
          <w:u w:val="single"/>
          <w:lang w:eastAsia="zh-CN"/>
        </w:rPr>
      </w:pPr>
      <w:r>
        <w:rPr>
          <w:rFonts w:hint="eastAsia" w:ascii="宋体" w:hAnsi="宋体"/>
          <w:color w:val="auto"/>
        </w:rPr>
        <w:t>竞价供应商名称（盖公章）：</w:t>
      </w:r>
    </w:p>
    <w:p>
      <w:pPr>
        <w:spacing w:line="360" w:lineRule="auto"/>
        <w:ind w:left="3675" w:leftChars="1750" w:firstLine="2205" w:firstLineChars="1050"/>
        <w:rPr>
          <w:rFonts w:hint="eastAsia" w:ascii="宋体" w:hAnsi="宋体" w:eastAsia="宋体"/>
          <w:color w:val="auto"/>
          <w:u w:val="single"/>
          <w:lang w:eastAsia="zh-CN"/>
        </w:rPr>
      </w:pPr>
      <w:r>
        <w:rPr>
          <w:rFonts w:hint="eastAsia" w:ascii="宋体" w:hAnsi="宋体"/>
          <w:color w:val="auto"/>
        </w:rPr>
        <w:t>竞价供应商授权代表（签字或盖章）：</w:t>
      </w:r>
    </w:p>
    <w:p>
      <w:pPr>
        <w:spacing w:line="360" w:lineRule="auto"/>
        <w:ind w:firstLine="5880" w:firstLineChars="2800"/>
        <w:rPr>
          <w:rFonts w:ascii="宋体" w:hAnsi="宋体"/>
          <w:color w:val="auto"/>
        </w:rPr>
      </w:pPr>
      <w:r>
        <w:rPr>
          <w:rFonts w:hint="eastAsia" w:ascii="宋体" w:hAnsi="宋体"/>
          <w:color w:val="auto"/>
        </w:rPr>
        <w:t>日期：年月日</w:t>
      </w:r>
    </w:p>
    <w:p>
      <w:pPr>
        <w:wordWrap w:val="0"/>
        <w:jc w:val="center"/>
        <w:rPr>
          <w:rFonts w:ascii="宋体" w:hAnsi="宋体" w:cs="宋体"/>
          <w:color w:val="auto"/>
          <w:spacing w:val="4"/>
          <w:szCs w:val="21"/>
          <w:u w:val="single"/>
        </w:rPr>
      </w:pPr>
    </w:p>
    <w:p>
      <w:pPr>
        <w:spacing w:line="360" w:lineRule="auto"/>
        <w:jc w:val="left"/>
        <w:rPr>
          <w:rFonts w:hint="default" w:ascii="宋体" w:hAnsi="宋体" w:eastAsia="宋体" w:cs="宋体"/>
          <w:b/>
          <w:bCs/>
          <w:color w:val="auto"/>
          <w:spacing w:val="4"/>
          <w:szCs w:val="21"/>
          <w:u w:val="single"/>
          <w:lang w:val="en-US" w:eastAsia="zh-CN"/>
        </w:rPr>
      </w:pPr>
      <w:r>
        <w:rPr>
          <w:rFonts w:hint="eastAsia" w:ascii="宋体" w:hAnsi="宋体" w:cs="宋体"/>
          <w:b/>
          <w:bCs/>
          <w:color w:val="auto"/>
          <w:spacing w:val="4"/>
          <w:szCs w:val="21"/>
          <w:u w:val="single"/>
        </w:rPr>
        <w:t>注：①需补充以下相关内容：售后服务方案、</w:t>
      </w:r>
      <w:r>
        <w:rPr>
          <w:rFonts w:hint="eastAsia" w:ascii="宋体" w:hAnsi="宋体" w:cs="宋体"/>
          <w:b/>
          <w:bCs/>
          <w:color w:val="auto"/>
          <w:spacing w:val="4"/>
          <w:szCs w:val="21"/>
          <w:u w:val="single"/>
          <w:lang w:val="en-US" w:eastAsia="zh-CN"/>
        </w:rPr>
        <w:t>建设</w:t>
      </w:r>
      <w:r>
        <w:rPr>
          <w:rFonts w:hint="eastAsia" w:ascii="宋体" w:hAnsi="宋体" w:cs="宋体"/>
          <w:b/>
          <w:bCs/>
          <w:color w:val="auto"/>
          <w:spacing w:val="4"/>
          <w:szCs w:val="21"/>
          <w:u w:val="single"/>
        </w:rPr>
        <w:t>方案等等相关方案，格式自拟；②采购需求响应表</w:t>
      </w:r>
      <w:r>
        <w:rPr>
          <w:rFonts w:hint="eastAsia" w:ascii="宋体" w:hAnsi="宋体" w:cs="宋体"/>
          <w:b/>
          <w:bCs/>
          <w:color w:val="auto"/>
          <w:spacing w:val="4"/>
          <w:szCs w:val="21"/>
          <w:u w:val="single"/>
          <w:lang w:eastAsia="zh-CN"/>
        </w:rPr>
        <w:t>；</w:t>
      </w:r>
    </w:p>
    <w:p>
      <w:pPr>
        <w:pStyle w:val="8"/>
        <w:rPr>
          <w:color w:val="auto"/>
        </w:rPr>
      </w:pPr>
    </w:p>
    <w:p>
      <w:pPr>
        <w:wordWrap w:val="0"/>
        <w:jc w:val="right"/>
        <w:rPr>
          <w:rFonts w:ascii="宋体" w:hAnsi="宋体" w:cs="宋体"/>
          <w:color w:val="auto"/>
          <w:spacing w:val="4"/>
          <w:szCs w:val="21"/>
          <w:u w:val="single"/>
        </w:rPr>
      </w:pPr>
    </w:p>
    <w:p>
      <w:pPr>
        <w:wordWrap w:val="0"/>
        <w:jc w:val="right"/>
        <w:rPr>
          <w:rFonts w:ascii="宋体" w:hAnsi="宋体" w:cs="宋体"/>
          <w:color w:val="auto"/>
          <w:spacing w:val="4"/>
          <w:szCs w:val="21"/>
          <w:u w:val="single"/>
        </w:rPr>
      </w:pPr>
    </w:p>
    <w:p>
      <w:pPr>
        <w:rPr>
          <w:rFonts w:ascii="宋体" w:hAnsi="宋体" w:cs="宋体"/>
          <w:b/>
          <w:bCs/>
          <w:color w:val="auto"/>
          <w:sz w:val="32"/>
          <w:szCs w:val="32"/>
        </w:rPr>
      </w:pPr>
      <w:r>
        <w:rPr>
          <w:rFonts w:ascii="宋体" w:hAnsi="宋体" w:cs="宋体"/>
          <w:color w:val="auto"/>
          <w:szCs w:val="21"/>
        </w:rPr>
        <w:br w:type="page"/>
      </w:r>
    </w:p>
    <w:p>
      <w:pPr>
        <w:pStyle w:val="8"/>
        <w:spacing w:line="360" w:lineRule="auto"/>
        <w:jc w:val="center"/>
        <w:rPr>
          <w:rFonts w:ascii="宋体" w:hAnsi="宋体" w:cs="宋体"/>
          <w:b/>
          <w:bCs/>
          <w:color w:val="auto"/>
          <w:sz w:val="32"/>
          <w:szCs w:val="32"/>
        </w:rPr>
      </w:pPr>
      <w:r>
        <w:rPr>
          <w:rFonts w:hint="eastAsia" w:ascii="宋体" w:hAnsi="宋体" w:cs="宋体"/>
          <w:b/>
          <w:bCs/>
          <w:color w:val="auto"/>
          <w:sz w:val="32"/>
          <w:szCs w:val="32"/>
        </w:rPr>
        <w:t>采购需求响应表</w:t>
      </w: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GZGK23P309B1007J</w:t>
      </w:r>
    </w:p>
    <w:p>
      <w:pPr>
        <w:spacing w:line="360" w:lineRule="auto"/>
        <w:ind w:firstLine="210" w:firstLineChars="100"/>
        <w:rPr>
          <w:rFonts w:hint="eastAsia" w:ascii="宋体" w:hAnsi="宋体" w:eastAsia="宋体" w:cs="宋体"/>
          <w:color w:val="auto"/>
          <w:lang w:eastAsia="zh-CN"/>
        </w:rPr>
      </w:pPr>
      <w:r>
        <w:rPr>
          <w:rFonts w:hint="eastAsia" w:ascii="宋体" w:hAnsi="宋体" w:cs="宋体"/>
          <w:color w:val="auto"/>
          <w:szCs w:val="21"/>
        </w:rPr>
        <w:t>项目名称：</w:t>
      </w: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p>
    <w:tbl>
      <w:tblPr>
        <w:tblStyle w:val="2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序号</w:t>
            </w:r>
          </w:p>
        </w:tc>
        <w:tc>
          <w:tcPr>
            <w:tcW w:w="2556"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采购需求内容</w:t>
            </w:r>
          </w:p>
        </w:tc>
        <w:tc>
          <w:tcPr>
            <w:tcW w:w="221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响应供应商响应详细内容</w:t>
            </w:r>
          </w:p>
        </w:tc>
        <w:tc>
          <w:tcPr>
            <w:tcW w:w="1833"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1452" w:type="dxa"/>
            <w:tcBorders>
              <w:top w:val="single" w:color="auto" w:sz="12" w:space="0"/>
              <w:bottom w:val="single" w:color="auto" w:sz="2"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偏离说明</w:t>
            </w:r>
          </w:p>
        </w:tc>
        <w:tc>
          <w:tcPr>
            <w:tcW w:w="1080" w:type="dxa"/>
            <w:tcBorders>
              <w:top w:val="single" w:color="auto" w:sz="12" w:space="0"/>
              <w:bottom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响应文件</w:t>
            </w:r>
          </w:p>
          <w:p>
            <w:pPr>
              <w:jc w:val="center"/>
              <w:rPr>
                <w:rFonts w:ascii="宋体" w:hAnsi="宋体" w:cs="宋体"/>
                <w:color w:val="auto"/>
                <w:szCs w:val="21"/>
              </w:rPr>
            </w:pPr>
            <w:r>
              <w:rPr>
                <w:rFonts w:hint="eastAsia" w:ascii="宋体" w:hAnsi="宋体" w:cs="宋体"/>
                <w:color w:val="auto"/>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w:t>
            </w:r>
          </w:p>
        </w:tc>
        <w:tc>
          <w:tcPr>
            <w:tcW w:w="2556" w:type="dxa"/>
            <w:tcBorders>
              <w:top w:val="single" w:color="auto" w:sz="2" w:space="0"/>
            </w:tcBorders>
            <w:vAlign w:val="center"/>
          </w:tcPr>
          <w:p>
            <w:pPr>
              <w:spacing w:line="360" w:lineRule="auto"/>
              <w:jc w:val="center"/>
              <w:rPr>
                <w:rFonts w:ascii="宋体" w:hAnsi="宋体" w:cs="宋体"/>
                <w:color w:val="auto"/>
              </w:rPr>
            </w:pPr>
          </w:p>
        </w:tc>
        <w:tc>
          <w:tcPr>
            <w:tcW w:w="2214" w:type="dxa"/>
            <w:tcBorders>
              <w:top w:val="single" w:color="auto" w:sz="2" w:space="0"/>
            </w:tcBorders>
            <w:vAlign w:val="center"/>
          </w:tcPr>
          <w:p>
            <w:pPr>
              <w:autoSpaceDE w:val="0"/>
              <w:autoSpaceDN w:val="0"/>
              <w:adjustRightInd w:val="0"/>
              <w:spacing w:line="360" w:lineRule="auto"/>
              <w:ind w:right="84" w:rightChars="40"/>
              <w:rPr>
                <w:rFonts w:ascii="宋体" w:hAnsi="宋体" w:cs="宋体"/>
                <w:color w:val="auto"/>
              </w:rPr>
            </w:pPr>
          </w:p>
        </w:tc>
        <w:tc>
          <w:tcPr>
            <w:tcW w:w="1833"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452"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080"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2</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3</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4</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5</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6</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7</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8</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9</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10</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bl>
    <w:p>
      <w:pPr>
        <w:spacing w:line="360" w:lineRule="auto"/>
        <w:rPr>
          <w:rFonts w:ascii="宋体" w:hAnsi="宋体" w:cs="宋体"/>
          <w:color w:val="auto"/>
          <w:szCs w:val="21"/>
        </w:rPr>
      </w:pPr>
      <w:r>
        <w:rPr>
          <w:rFonts w:hint="eastAsia" w:ascii="宋体" w:hAnsi="宋体" w:cs="宋体"/>
          <w:color w:val="auto"/>
          <w:szCs w:val="21"/>
        </w:rPr>
        <w:t>备注：本表根据竞价文件采购需求，响应供应商须逐条详细响应并作出标注</w:t>
      </w:r>
      <w:r>
        <w:rPr>
          <w:rFonts w:hint="eastAsia" w:ascii="宋体" w:hAnsi="宋体" w:cs="宋体"/>
          <w:b/>
          <w:color w:val="auto"/>
          <w:szCs w:val="21"/>
        </w:rPr>
        <w:t>“正偏离/负偏离/无偏离”</w:t>
      </w:r>
      <w:r>
        <w:rPr>
          <w:rFonts w:hint="eastAsia" w:ascii="宋体" w:hAnsi="宋体" w:cs="宋体"/>
          <w:color w:val="auto"/>
          <w:szCs w:val="21"/>
        </w:rPr>
        <w:t>，“</w:t>
      </w:r>
      <w:r>
        <w:rPr>
          <w:rFonts w:hint="eastAsia" w:ascii="宋体" w:hAnsi="宋体" w:cs="宋体"/>
          <w:b/>
          <w:color w:val="auto"/>
          <w:szCs w:val="21"/>
        </w:rPr>
        <w:t>正/负偏离</w:t>
      </w:r>
      <w:r>
        <w:rPr>
          <w:rFonts w:hint="eastAsia" w:ascii="宋体" w:hAnsi="宋体" w:cs="宋体"/>
          <w:color w:val="auto"/>
          <w:szCs w:val="21"/>
        </w:rPr>
        <w:t>”的请在偏离说明栏目中具体说明及填写页码，响应供应商须提供响应产品</w:t>
      </w:r>
      <w:r>
        <w:rPr>
          <w:rFonts w:hint="eastAsia" w:ascii="宋体" w:hAnsi="宋体" w:cs="宋体"/>
          <w:color w:val="auto"/>
          <w:szCs w:val="21"/>
          <w:lang w:val="en-US" w:eastAsia="zh-CN"/>
        </w:rPr>
        <w:t>相关</w:t>
      </w:r>
      <w:r>
        <w:rPr>
          <w:rFonts w:hint="eastAsia" w:ascii="宋体" w:hAnsi="宋体" w:cs="宋体"/>
          <w:color w:val="auto"/>
          <w:szCs w:val="21"/>
        </w:rPr>
        <w:t>技术证明文件，否则视相应技术参数响应为负偏离，供应商响应表中有缺漏或条款</w:t>
      </w:r>
      <w:r>
        <w:rPr>
          <w:rFonts w:hint="eastAsia" w:ascii="宋体" w:hAnsi="宋体" w:cs="宋体"/>
          <w:b/>
          <w:bCs/>
          <w:color w:val="auto"/>
          <w:szCs w:val="21"/>
        </w:rPr>
        <w:t>负偏离，则资质审查不通过</w:t>
      </w:r>
      <w:r>
        <w:rPr>
          <w:rFonts w:hint="eastAsia" w:ascii="宋体" w:hAnsi="宋体" w:cs="宋体"/>
          <w:color w:val="auto"/>
          <w:szCs w:val="21"/>
        </w:rPr>
        <w:t>。</w:t>
      </w:r>
    </w:p>
    <w:p>
      <w:pPr>
        <w:pStyle w:val="8"/>
        <w:spacing w:line="360" w:lineRule="auto"/>
        <w:rPr>
          <w:rFonts w:ascii="宋体" w:hAnsi="宋体" w:cs="宋体"/>
          <w:b/>
          <w:bCs/>
          <w:color w:val="auto"/>
        </w:rPr>
      </w:pPr>
    </w:p>
    <w:p>
      <w:pPr>
        <w:rPr>
          <w:rFonts w:ascii="宋体" w:hAnsi="宋体" w:cs="宋体"/>
          <w:color w:val="auto"/>
          <w:szCs w:val="21"/>
        </w:rPr>
      </w:pPr>
      <w:r>
        <w:rPr>
          <w:rFonts w:ascii="宋体" w:hAnsi="宋体" w:cs="宋体"/>
          <w:color w:val="auto"/>
          <w:szCs w:val="21"/>
        </w:rPr>
        <w:br w:type="page"/>
      </w:r>
    </w:p>
    <w:p>
      <w:pPr>
        <w:pStyle w:val="8"/>
        <w:numPr>
          <w:ilvl w:val="0"/>
          <w:numId w:val="9"/>
        </w:numPr>
        <w:spacing w:line="360" w:lineRule="auto"/>
        <w:outlineLvl w:val="1"/>
        <w:rPr>
          <w:rFonts w:hint="eastAsia" w:ascii="宋体" w:hAnsi="宋体" w:cs="宋体"/>
          <w:b/>
          <w:bCs/>
          <w:lang w:val="en-US" w:eastAsia="zh-CN"/>
        </w:rPr>
      </w:pPr>
      <w:r>
        <w:rPr>
          <w:rFonts w:hint="eastAsia" w:ascii="宋体" w:hAnsi="宋体" w:cs="宋体"/>
          <w:b/>
          <w:bCs/>
          <w:lang w:val="en-US" w:eastAsia="zh-CN"/>
        </w:rPr>
        <w:t>采购代理服务费承诺书</w:t>
      </w:r>
    </w:p>
    <w:p>
      <w:pPr>
        <w:spacing w:line="360" w:lineRule="auto"/>
        <w:rPr>
          <w:rFonts w:ascii="宋体" w:hAnsi="宋体"/>
          <w:b/>
          <w:bCs/>
          <w:color w:val="auto"/>
          <w:szCs w:val="21"/>
        </w:rPr>
      </w:pPr>
    </w:p>
    <w:p>
      <w:pPr>
        <w:pStyle w:val="8"/>
        <w:spacing w:line="360" w:lineRule="auto"/>
        <w:jc w:val="center"/>
        <w:rPr>
          <w:b/>
          <w:bCs/>
          <w:color w:val="auto"/>
          <w:sz w:val="32"/>
          <w:szCs w:val="32"/>
        </w:rPr>
      </w:pPr>
      <w:bookmarkStart w:id="86" w:name="_Toc385940918"/>
      <w:r>
        <w:rPr>
          <w:rFonts w:hint="eastAsia"/>
          <w:b/>
          <w:bCs/>
          <w:color w:val="auto"/>
          <w:sz w:val="32"/>
          <w:szCs w:val="32"/>
        </w:rPr>
        <w:t>采购</w:t>
      </w:r>
      <w:r>
        <w:rPr>
          <w:b/>
          <w:bCs/>
          <w:color w:val="auto"/>
          <w:sz w:val="32"/>
          <w:szCs w:val="32"/>
        </w:rPr>
        <w:t>代理服务费承诺书</w:t>
      </w:r>
      <w:bookmarkEnd w:id="86"/>
    </w:p>
    <w:p>
      <w:pPr>
        <w:spacing w:before="240" w:line="360" w:lineRule="auto"/>
        <w:ind w:firstLine="540"/>
        <w:jc w:val="right"/>
        <w:rPr>
          <w:rFonts w:ascii="宋体" w:hAnsi="宋体"/>
          <w:i/>
          <w:color w:val="auto"/>
          <w:kern w:val="28"/>
          <w:u w:val="single"/>
        </w:rPr>
      </w:pPr>
    </w:p>
    <w:p>
      <w:pPr>
        <w:spacing w:line="360" w:lineRule="auto"/>
        <w:rPr>
          <w:rFonts w:ascii="宋体" w:hAnsi="宋体"/>
          <w:b/>
          <w:color w:val="auto"/>
        </w:rPr>
      </w:pPr>
      <w:r>
        <w:rPr>
          <w:rFonts w:hint="eastAsia" w:ascii="宋体" w:hAnsi="宋体"/>
          <w:b/>
          <w:color w:val="auto"/>
        </w:rPr>
        <w:t>致：广州市国科招标代理有限公司</w:t>
      </w:r>
    </w:p>
    <w:p>
      <w:pPr>
        <w:spacing w:before="240" w:line="360" w:lineRule="auto"/>
        <w:ind w:firstLine="540"/>
        <w:rPr>
          <w:rFonts w:ascii="宋体" w:hAnsi="宋体"/>
          <w:color w:val="auto"/>
        </w:rPr>
      </w:pPr>
      <w:r>
        <w:rPr>
          <w:rFonts w:hint="eastAsia" w:ascii="宋体" w:hAnsi="宋体"/>
          <w:color w:val="auto"/>
        </w:rPr>
        <w:t>如果我公司在贵公司组织的：</w:t>
      </w:r>
      <w:r>
        <w:rPr>
          <w:rFonts w:hint="eastAsia" w:ascii="宋体" w:hAnsi="宋体" w:cs="宋体"/>
          <w:color w:val="000000"/>
          <w:kern w:val="0"/>
          <w:sz w:val="21"/>
          <w:szCs w:val="21"/>
          <w:lang w:bidi="ar"/>
        </w:rPr>
        <w:t>广东省女子监狱</w:t>
      </w:r>
      <w:r>
        <w:rPr>
          <w:rFonts w:hint="eastAsia" w:ascii="宋体" w:hAnsi="宋体" w:cs="宋体"/>
          <w:color w:val="000000"/>
          <w:kern w:val="0"/>
          <w:sz w:val="21"/>
          <w:szCs w:val="21"/>
          <w:lang w:val="en-US" w:eastAsia="zh-CN" w:bidi="ar"/>
        </w:rPr>
        <w:t>/</w:t>
      </w:r>
      <w:r>
        <w:rPr>
          <w:rFonts w:hint="eastAsia" w:ascii="宋体" w:hAnsi="宋体" w:cs="宋体"/>
          <w:color w:val="000000"/>
          <w:kern w:val="0"/>
          <w:sz w:val="21"/>
          <w:szCs w:val="21"/>
          <w:lang w:bidi="ar"/>
        </w:rPr>
        <w:t>广东省广裕集团嘉顺实业有限责任公司视频监控系统完善项目</w:t>
      </w:r>
      <w:r>
        <w:rPr>
          <w:rFonts w:hint="eastAsia"/>
          <w:color w:val="auto"/>
          <w:szCs w:val="21"/>
        </w:rPr>
        <w:t>（项目编号：</w:t>
      </w:r>
      <w:r>
        <w:rPr>
          <w:rFonts w:hint="eastAsia"/>
          <w:color w:val="auto"/>
          <w:szCs w:val="21"/>
          <w:lang w:eastAsia="zh-CN"/>
        </w:rPr>
        <w:t>GZGK23P309B1007J</w:t>
      </w:r>
      <w:r>
        <w:rPr>
          <w:rFonts w:hint="eastAsia"/>
          <w:color w:val="auto"/>
          <w:szCs w:val="21"/>
        </w:rPr>
        <w:t>）</w:t>
      </w:r>
      <w:r>
        <w:rPr>
          <w:rFonts w:hint="eastAsia" w:ascii="宋体" w:hAnsi="宋体"/>
          <w:color w:val="auto"/>
        </w:rPr>
        <w:t>的项目采购中获成交，我公司保证按照竞价文件规定缴纳的“采购代理服务费”后，凭领取人身份证原件及招标代理服务费缴费凭证并加盖公章领取《成交通知书》。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color w:val="auto"/>
        </w:rPr>
      </w:pPr>
      <w:r>
        <w:rPr>
          <w:rFonts w:hint="eastAsia" w:ascii="宋体" w:hAnsi="宋体"/>
          <w:color w:val="auto"/>
        </w:rPr>
        <w:t>我公司如违反上款承诺，愿凭贵公司开出的相关通知，按上述承诺金额的200％支付，并按</w:t>
      </w:r>
      <w:r>
        <w:rPr>
          <w:rFonts w:hint="eastAsia" w:ascii="宋体" w:hAnsi="宋体"/>
          <w:bCs/>
          <w:color w:val="auto"/>
        </w:rPr>
        <w:t>广州市国科招标代理有限公司</w:t>
      </w:r>
      <w:r>
        <w:rPr>
          <w:rFonts w:hint="eastAsia" w:ascii="宋体" w:hAnsi="宋体"/>
          <w:color w:val="auto"/>
        </w:rPr>
        <w:t>的要求办理支付手续，并愿承担全部由此引起的法律责任。</w:t>
      </w:r>
    </w:p>
    <w:p>
      <w:pPr>
        <w:spacing w:line="360" w:lineRule="auto"/>
        <w:ind w:firstLine="540"/>
        <w:rPr>
          <w:rFonts w:ascii="宋体" w:hAnsi="宋体"/>
          <w:color w:val="auto"/>
        </w:rPr>
      </w:pPr>
    </w:p>
    <w:p>
      <w:pPr>
        <w:spacing w:line="360" w:lineRule="auto"/>
        <w:ind w:firstLine="540"/>
        <w:rPr>
          <w:rFonts w:ascii="宋体" w:hAnsi="宋体"/>
          <w:color w:val="auto"/>
        </w:rPr>
      </w:pPr>
      <w:r>
        <w:rPr>
          <w:rFonts w:hint="eastAsia" w:ascii="宋体" w:hAnsi="宋体"/>
          <w:color w:val="auto"/>
        </w:rPr>
        <w:t>特此承诺！</w:t>
      </w:r>
    </w:p>
    <w:p>
      <w:pPr>
        <w:spacing w:line="360" w:lineRule="auto"/>
        <w:ind w:firstLine="540"/>
        <w:rPr>
          <w:rFonts w:ascii="宋体" w:hAnsi="宋体"/>
          <w:color w:val="auto"/>
        </w:rPr>
      </w:pPr>
    </w:p>
    <w:p>
      <w:pPr>
        <w:spacing w:line="360" w:lineRule="auto"/>
        <w:ind w:firstLine="540"/>
        <w:rPr>
          <w:rFonts w:ascii="宋体" w:hAnsi="宋体"/>
          <w:color w:val="auto"/>
        </w:rPr>
      </w:pPr>
    </w:p>
    <w:p>
      <w:pPr>
        <w:spacing w:line="360" w:lineRule="auto"/>
        <w:ind w:left="6930" w:leftChars="1650" w:hanging="3465" w:hangingChars="1650"/>
        <w:rPr>
          <w:rFonts w:hint="eastAsia" w:ascii="宋体" w:hAnsi="宋体" w:eastAsia="宋体"/>
          <w:color w:val="auto"/>
          <w:u w:val="single"/>
          <w:lang w:eastAsia="zh-CN"/>
        </w:rPr>
      </w:pPr>
      <w:r>
        <w:rPr>
          <w:rFonts w:hint="eastAsia" w:ascii="宋体" w:hAnsi="宋体"/>
          <w:color w:val="auto"/>
        </w:rPr>
        <w:t>竞价供应商名称（盖公章）：</w:t>
      </w:r>
    </w:p>
    <w:p>
      <w:pPr>
        <w:spacing w:line="360" w:lineRule="auto"/>
        <w:ind w:left="3570" w:leftChars="1650" w:hanging="105" w:hangingChars="50"/>
        <w:rPr>
          <w:rFonts w:hint="eastAsia" w:ascii="宋体" w:hAnsi="宋体" w:eastAsia="宋体"/>
          <w:color w:val="auto"/>
          <w:u w:val="single"/>
          <w:lang w:eastAsia="zh-CN"/>
        </w:rPr>
      </w:pPr>
      <w:r>
        <w:rPr>
          <w:rFonts w:hint="eastAsia" w:ascii="宋体" w:hAnsi="宋体"/>
          <w:color w:val="auto"/>
        </w:rPr>
        <w:t>竞价供应商授权代表（签字或盖章）：</w:t>
      </w:r>
    </w:p>
    <w:p>
      <w:pPr>
        <w:spacing w:line="360" w:lineRule="auto"/>
        <w:ind w:firstLine="3465" w:firstLineChars="1650"/>
        <w:rPr>
          <w:rFonts w:ascii="宋体" w:hAnsi="宋体"/>
          <w:color w:val="auto"/>
        </w:rPr>
      </w:pPr>
      <w:r>
        <w:rPr>
          <w:rFonts w:hint="eastAsia" w:ascii="宋体" w:hAnsi="宋体"/>
          <w:color w:val="auto"/>
        </w:rPr>
        <w:t>日期：年月日</w:t>
      </w:r>
    </w:p>
    <w:p>
      <w:pPr>
        <w:spacing w:before="156" w:beforeLines="50" w:line="360" w:lineRule="auto"/>
        <w:rPr>
          <w:rFonts w:ascii="宋体" w:hAnsi="宋体"/>
          <w:color w:val="auto"/>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魏碑简体">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lang w:val="en-US" w:eastAsia="zh-CN"/>
      </w:rPr>
      <w:t xml:space="preserve">                                                          </w:t>
    </w:r>
    <w:r>
      <w:rPr>
        <w:rFonts w:hint="eastAsia" w:ascii="宋体" w:hAnsi="宋体"/>
        <w:bCs/>
        <w:color w:val="000000"/>
        <w:szCs w:val="21"/>
      </w:rPr>
      <w:t>项目编号：</w:t>
    </w:r>
    <w:r>
      <w:rPr>
        <w:rFonts w:hint="eastAsia"/>
        <w:szCs w:val="21"/>
        <w:lang w:eastAsia="zh-CN"/>
      </w:rPr>
      <w:t>GZGK23P309B1007J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086D4"/>
    <w:multiLevelType w:val="singleLevel"/>
    <w:tmpl w:val="9E8086D4"/>
    <w:lvl w:ilvl="0" w:tentative="0">
      <w:start w:val="1"/>
      <w:numFmt w:val="decimal"/>
      <w:suff w:val="space"/>
      <w:lvlText w:val="%1."/>
      <w:lvlJc w:val="left"/>
    </w:lvl>
  </w:abstractNum>
  <w:abstractNum w:abstractNumId="1">
    <w:nsid w:val="C7606408"/>
    <w:multiLevelType w:val="singleLevel"/>
    <w:tmpl w:val="C7606408"/>
    <w:lvl w:ilvl="0" w:tentative="0">
      <w:start w:val="4"/>
      <w:numFmt w:val="decimal"/>
      <w:suff w:val="space"/>
      <w:lvlText w:val="%1)"/>
      <w:lvlJc w:val="left"/>
    </w:lvl>
  </w:abstractNum>
  <w:abstractNum w:abstractNumId="2">
    <w:nsid w:val="12EF352E"/>
    <w:multiLevelType w:val="singleLevel"/>
    <w:tmpl w:val="12EF352E"/>
    <w:lvl w:ilvl="0" w:tentative="0">
      <w:start w:val="2"/>
      <w:numFmt w:val="decimal"/>
      <w:lvlText w:val="%1."/>
      <w:lvlJc w:val="left"/>
      <w:pPr>
        <w:tabs>
          <w:tab w:val="left" w:pos="312"/>
        </w:tabs>
      </w:pPr>
    </w:lvl>
  </w:abstractNum>
  <w:abstractNum w:abstractNumId="3">
    <w:nsid w:val="346A00BA"/>
    <w:multiLevelType w:val="singleLevel"/>
    <w:tmpl w:val="346A00BA"/>
    <w:lvl w:ilvl="0" w:tentative="0">
      <w:start w:val="1"/>
      <w:numFmt w:val="decimal"/>
      <w:suff w:val="space"/>
      <w:lvlText w:val="%1."/>
      <w:lvlJc w:val="left"/>
    </w:lvl>
  </w:abstractNum>
  <w:abstractNum w:abstractNumId="4">
    <w:nsid w:val="47969CEA"/>
    <w:multiLevelType w:val="singleLevel"/>
    <w:tmpl w:val="47969CEA"/>
    <w:lvl w:ilvl="0" w:tentative="0">
      <w:start w:val="1"/>
      <w:numFmt w:val="decimal"/>
      <w:suff w:val="space"/>
      <w:lvlText w:val="%1."/>
      <w:lvlJc w:val="left"/>
    </w:lvl>
  </w:abstractNum>
  <w:abstractNum w:abstractNumId="5">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6">
    <w:nsid w:val="51A31316"/>
    <w:multiLevelType w:val="multilevel"/>
    <w:tmpl w:val="51A31316"/>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4D873B"/>
    <w:multiLevelType w:val="singleLevel"/>
    <w:tmpl w:val="744D873B"/>
    <w:lvl w:ilvl="0" w:tentative="0">
      <w:start w:val="1"/>
      <w:numFmt w:val="bullet"/>
      <w:lvlText w:val=""/>
      <w:lvlJc w:val="left"/>
      <w:pPr>
        <w:ind w:left="420" w:hanging="420"/>
      </w:pPr>
      <w:rPr>
        <w:rFonts w:hint="default" w:ascii="Wingdings" w:hAnsi="Wingdings"/>
      </w:rPr>
    </w:lvl>
  </w:abstractNum>
  <w:abstractNum w:abstractNumId="9">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6"/>
  </w:num>
  <w:num w:numId="4">
    <w:abstractNumId w:val="1"/>
  </w:num>
  <w:num w:numId="5">
    <w:abstractNumId w:val="8"/>
  </w:num>
  <w:num w:numId="6">
    <w:abstractNumId w:val="0"/>
  </w:num>
  <w:num w:numId="7">
    <w:abstractNumId w:val="3"/>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comment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24623FA"/>
    <w:rsid w:val="03C45770"/>
    <w:rsid w:val="03F90AE6"/>
    <w:rsid w:val="041D47D5"/>
    <w:rsid w:val="0556642A"/>
    <w:rsid w:val="06190206"/>
    <w:rsid w:val="06BB2889"/>
    <w:rsid w:val="071023CF"/>
    <w:rsid w:val="078D33BB"/>
    <w:rsid w:val="07D458BB"/>
    <w:rsid w:val="07EF38BD"/>
    <w:rsid w:val="08AE43EE"/>
    <w:rsid w:val="093C74AB"/>
    <w:rsid w:val="097C3CDB"/>
    <w:rsid w:val="09E66E2C"/>
    <w:rsid w:val="0A8A36CD"/>
    <w:rsid w:val="0AC77248"/>
    <w:rsid w:val="0B022976"/>
    <w:rsid w:val="0B605F33"/>
    <w:rsid w:val="0BA8707A"/>
    <w:rsid w:val="0BE33A7C"/>
    <w:rsid w:val="0C001458"/>
    <w:rsid w:val="0E043D07"/>
    <w:rsid w:val="0E55794F"/>
    <w:rsid w:val="0FA5633E"/>
    <w:rsid w:val="10120F66"/>
    <w:rsid w:val="10960CAE"/>
    <w:rsid w:val="11DC3375"/>
    <w:rsid w:val="12A91E1C"/>
    <w:rsid w:val="130A686C"/>
    <w:rsid w:val="13F418A7"/>
    <w:rsid w:val="14B8521E"/>
    <w:rsid w:val="151E1520"/>
    <w:rsid w:val="15A87F7A"/>
    <w:rsid w:val="168E1562"/>
    <w:rsid w:val="16C80323"/>
    <w:rsid w:val="174D31CB"/>
    <w:rsid w:val="175956CC"/>
    <w:rsid w:val="1776002C"/>
    <w:rsid w:val="184E5E2A"/>
    <w:rsid w:val="18C33745"/>
    <w:rsid w:val="19EB59FF"/>
    <w:rsid w:val="19F214D6"/>
    <w:rsid w:val="1AE259D8"/>
    <w:rsid w:val="1AEB472E"/>
    <w:rsid w:val="1B051DE9"/>
    <w:rsid w:val="1B7D746D"/>
    <w:rsid w:val="1BAE3AB2"/>
    <w:rsid w:val="1D04432C"/>
    <w:rsid w:val="1E91665E"/>
    <w:rsid w:val="1FA6791C"/>
    <w:rsid w:val="1FF404D5"/>
    <w:rsid w:val="203D7516"/>
    <w:rsid w:val="20F06302"/>
    <w:rsid w:val="21454B01"/>
    <w:rsid w:val="21792688"/>
    <w:rsid w:val="21846654"/>
    <w:rsid w:val="21905DD5"/>
    <w:rsid w:val="229B6EB9"/>
    <w:rsid w:val="22F4274D"/>
    <w:rsid w:val="243A4DDE"/>
    <w:rsid w:val="249E2F1A"/>
    <w:rsid w:val="24F84B61"/>
    <w:rsid w:val="24FB2A70"/>
    <w:rsid w:val="24FC514F"/>
    <w:rsid w:val="25594B8D"/>
    <w:rsid w:val="2677627E"/>
    <w:rsid w:val="26903E73"/>
    <w:rsid w:val="26DF6988"/>
    <w:rsid w:val="270C721E"/>
    <w:rsid w:val="27637EA1"/>
    <w:rsid w:val="2769009E"/>
    <w:rsid w:val="27DA4607"/>
    <w:rsid w:val="283C7070"/>
    <w:rsid w:val="288A57AB"/>
    <w:rsid w:val="28D327C1"/>
    <w:rsid w:val="28D472A8"/>
    <w:rsid w:val="294A038A"/>
    <w:rsid w:val="29567CBD"/>
    <w:rsid w:val="2997617C"/>
    <w:rsid w:val="2A9C1ACF"/>
    <w:rsid w:val="2AFE23BA"/>
    <w:rsid w:val="2B0D713F"/>
    <w:rsid w:val="2B4A7605"/>
    <w:rsid w:val="2B560448"/>
    <w:rsid w:val="2C8660B4"/>
    <w:rsid w:val="2D74780B"/>
    <w:rsid w:val="2DF43282"/>
    <w:rsid w:val="2E3253B9"/>
    <w:rsid w:val="2ECB14E1"/>
    <w:rsid w:val="30152435"/>
    <w:rsid w:val="315855A0"/>
    <w:rsid w:val="317653A0"/>
    <w:rsid w:val="31A50157"/>
    <w:rsid w:val="325E7BE3"/>
    <w:rsid w:val="330B239B"/>
    <w:rsid w:val="33C70135"/>
    <w:rsid w:val="34077278"/>
    <w:rsid w:val="341449ED"/>
    <w:rsid w:val="34DA6081"/>
    <w:rsid w:val="35595446"/>
    <w:rsid w:val="35611EC4"/>
    <w:rsid w:val="35B75AE6"/>
    <w:rsid w:val="360615E7"/>
    <w:rsid w:val="36667733"/>
    <w:rsid w:val="368D4541"/>
    <w:rsid w:val="36F54FB9"/>
    <w:rsid w:val="37757EA8"/>
    <w:rsid w:val="37907C11"/>
    <w:rsid w:val="37E02B0B"/>
    <w:rsid w:val="380A0EEE"/>
    <w:rsid w:val="380E47D4"/>
    <w:rsid w:val="38570979"/>
    <w:rsid w:val="38B91EFB"/>
    <w:rsid w:val="3B293484"/>
    <w:rsid w:val="3B913751"/>
    <w:rsid w:val="3BC30828"/>
    <w:rsid w:val="3BDB01A9"/>
    <w:rsid w:val="3C152781"/>
    <w:rsid w:val="3C756255"/>
    <w:rsid w:val="3CEE07B1"/>
    <w:rsid w:val="3D613D22"/>
    <w:rsid w:val="3E0F1049"/>
    <w:rsid w:val="3E734A16"/>
    <w:rsid w:val="3EBE2135"/>
    <w:rsid w:val="3F542A99"/>
    <w:rsid w:val="3F80388E"/>
    <w:rsid w:val="3F9E5AC2"/>
    <w:rsid w:val="3FB13A48"/>
    <w:rsid w:val="3FDC4378"/>
    <w:rsid w:val="40875252"/>
    <w:rsid w:val="40D7705A"/>
    <w:rsid w:val="411D2452"/>
    <w:rsid w:val="41203D75"/>
    <w:rsid w:val="41B93E21"/>
    <w:rsid w:val="41FD4D22"/>
    <w:rsid w:val="426F4829"/>
    <w:rsid w:val="43016A94"/>
    <w:rsid w:val="432547A0"/>
    <w:rsid w:val="436B4A69"/>
    <w:rsid w:val="436C03B1"/>
    <w:rsid w:val="440E70F8"/>
    <w:rsid w:val="446F754A"/>
    <w:rsid w:val="45321617"/>
    <w:rsid w:val="45343D24"/>
    <w:rsid w:val="45980C2A"/>
    <w:rsid w:val="4615740E"/>
    <w:rsid w:val="461779EF"/>
    <w:rsid w:val="477535AD"/>
    <w:rsid w:val="478163F5"/>
    <w:rsid w:val="478F6B90"/>
    <w:rsid w:val="4A022408"/>
    <w:rsid w:val="4ABB7E76"/>
    <w:rsid w:val="4B3177E1"/>
    <w:rsid w:val="4B5E71F8"/>
    <w:rsid w:val="4BE13907"/>
    <w:rsid w:val="4C662C4F"/>
    <w:rsid w:val="4D092B01"/>
    <w:rsid w:val="4D4C3D1B"/>
    <w:rsid w:val="4DBE1315"/>
    <w:rsid w:val="4EA56E6D"/>
    <w:rsid w:val="4EFF4ED4"/>
    <w:rsid w:val="4FA205B5"/>
    <w:rsid w:val="50373DD5"/>
    <w:rsid w:val="50565114"/>
    <w:rsid w:val="50CA6717"/>
    <w:rsid w:val="50F12C02"/>
    <w:rsid w:val="51960FF6"/>
    <w:rsid w:val="51A6753D"/>
    <w:rsid w:val="51D91BE3"/>
    <w:rsid w:val="51F00AF1"/>
    <w:rsid w:val="52370A57"/>
    <w:rsid w:val="53A925E0"/>
    <w:rsid w:val="54334B61"/>
    <w:rsid w:val="545D2F57"/>
    <w:rsid w:val="547C5F7A"/>
    <w:rsid w:val="548F0226"/>
    <w:rsid w:val="549E0BB5"/>
    <w:rsid w:val="54E4442F"/>
    <w:rsid w:val="54E67898"/>
    <w:rsid w:val="56E3437D"/>
    <w:rsid w:val="57770BDF"/>
    <w:rsid w:val="57A547F7"/>
    <w:rsid w:val="58CE7A0E"/>
    <w:rsid w:val="59534486"/>
    <w:rsid w:val="5997341A"/>
    <w:rsid w:val="5B3A26EB"/>
    <w:rsid w:val="5B5B0FE0"/>
    <w:rsid w:val="5B632147"/>
    <w:rsid w:val="5B793214"/>
    <w:rsid w:val="5B9837FA"/>
    <w:rsid w:val="5B9F1014"/>
    <w:rsid w:val="5BA416FD"/>
    <w:rsid w:val="5BD47629"/>
    <w:rsid w:val="5BFE7BBD"/>
    <w:rsid w:val="5C0A1C4F"/>
    <w:rsid w:val="5C3F4A3A"/>
    <w:rsid w:val="5C98139D"/>
    <w:rsid w:val="5CA21DCC"/>
    <w:rsid w:val="5CDC5489"/>
    <w:rsid w:val="5D66335B"/>
    <w:rsid w:val="5DA87DE0"/>
    <w:rsid w:val="5E1611EE"/>
    <w:rsid w:val="5E451AD3"/>
    <w:rsid w:val="5F160389"/>
    <w:rsid w:val="5FC5624C"/>
    <w:rsid w:val="5FCF5AF8"/>
    <w:rsid w:val="60487659"/>
    <w:rsid w:val="605B715C"/>
    <w:rsid w:val="6093513E"/>
    <w:rsid w:val="615E35D8"/>
    <w:rsid w:val="617A6411"/>
    <w:rsid w:val="6193551B"/>
    <w:rsid w:val="61A540B7"/>
    <w:rsid w:val="63C65464"/>
    <w:rsid w:val="64033BB8"/>
    <w:rsid w:val="64E103F5"/>
    <w:rsid w:val="6561719A"/>
    <w:rsid w:val="66F10A4A"/>
    <w:rsid w:val="67670A09"/>
    <w:rsid w:val="678018FF"/>
    <w:rsid w:val="67F97ABA"/>
    <w:rsid w:val="67FB1C27"/>
    <w:rsid w:val="68072EA8"/>
    <w:rsid w:val="695E5204"/>
    <w:rsid w:val="69A92742"/>
    <w:rsid w:val="69C679D9"/>
    <w:rsid w:val="69D02B99"/>
    <w:rsid w:val="69DB153D"/>
    <w:rsid w:val="6A9040D6"/>
    <w:rsid w:val="6BDD1328"/>
    <w:rsid w:val="6D07017A"/>
    <w:rsid w:val="6E056B89"/>
    <w:rsid w:val="6E0B3D0D"/>
    <w:rsid w:val="6FCC5BB0"/>
    <w:rsid w:val="702726D6"/>
    <w:rsid w:val="705426F3"/>
    <w:rsid w:val="710674DA"/>
    <w:rsid w:val="71103F4B"/>
    <w:rsid w:val="71541250"/>
    <w:rsid w:val="725C121A"/>
    <w:rsid w:val="725E4985"/>
    <w:rsid w:val="72F84F0E"/>
    <w:rsid w:val="7355410F"/>
    <w:rsid w:val="7492281F"/>
    <w:rsid w:val="75BB5FFD"/>
    <w:rsid w:val="75E50A28"/>
    <w:rsid w:val="761936DA"/>
    <w:rsid w:val="764D5571"/>
    <w:rsid w:val="774E3616"/>
    <w:rsid w:val="7798281C"/>
    <w:rsid w:val="77D93560"/>
    <w:rsid w:val="785E543F"/>
    <w:rsid w:val="78FD327E"/>
    <w:rsid w:val="79292720"/>
    <w:rsid w:val="794118BF"/>
    <w:rsid w:val="797572B9"/>
    <w:rsid w:val="79B6362E"/>
    <w:rsid w:val="79E45B8E"/>
    <w:rsid w:val="79E7185E"/>
    <w:rsid w:val="79FC5F2C"/>
    <w:rsid w:val="7A1268B5"/>
    <w:rsid w:val="7A594827"/>
    <w:rsid w:val="7B1B2286"/>
    <w:rsid w:val="7B560A24"/>
    <w:rsid w:val="7B576862"/>
    <w:rsid w:val="7BD514F2"/>
    <w:rsid w:val="7BE354B1"/>
    <w:rsid w:val="7BFE652D"/>
    <w:rsid w:val="7C557666"/>
    <w:rsid w:val="7CC7607D"/>
    <w:rsid w:val="7D140544"/>
    <w:rsid w:val="7D3A5E62"/>
    <w:rsid w:val="7D3C6605"/>
    <w:rsid w:val="7DB42E2C"/>
    <w:rsid w:val="7E6B2A38"/>
    <w:rsid w:val="7EBE5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6">
    <w:name w:val="heading 4"/>
    <w:basedOn w:val="1"/>
    <w:next w:val="1"/>
    <w:link w:val="65"/>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rFonts w:ascii="Calibri" w:hAnsi="Calibri"/>
    </w:rPr>
  </w:style>
  <w:style w:type="paragraph" w:styleId="7">
    <w:name w:val="annotation text"/>
    <w:basedOn w:val="1"/>
    <w:link w:val="48"/>
    <w:autoRedefine/>
    <w:qFormat/>
    <w:uiPriority w:val="99"/>
    <w:pPr>
      <w:jc w:val="left"/>
    </w:pPr>
    <w:rPr>
      <w:kern w:val="0"/>
      <w:sz w:val="20"/>
    </w:rPr>
  </w:style>
  <w:style w:type="paragraph" w:styleId="8">
    <w:name w:val="Body Text"/>
    <w:basedOn w:val="1"/>
    <w:autoRedefine/>
    <w:qFormat/>
    <w:uiPriority w:val="0"/>
    <w:rPr>
      <w:sz w:val="24"/>
    </w:rPr>
  </w:style>
  <w:style w:type="paragraph" w:styleId="9">
    <w:name w:val="Body Text Indent"/>
    <w:basedOn w:val="1"/>
    <w:autoRedefine/>
    <w:qFormat/>
    <w:uiPriority w:val="0"/>
    <w:pPr>
      <w:ind w:left="420" w:leftChars="200" w:firstLine="420" w:firstLineChars="200"/>
    </w:pPr>
    <w:rPr>
      <w:rFonts w:ascii="Times New Roman" w:hAnsi="Times New Roman" w:eastAsia="宋体" w:cs="Times New Roman"/>
    </w:rPr>
  </w:style>
  <w:style w:type="paragraph" w:styleId="10">
    <w:name w:val="toc 3"/>
    <w:basedOn w:val="1"/>
    <w:next w:val="1"/>
    <w:autoRedefine/>
    <w:semiHidden/>
    <w:unhideWhenUsed/>
    <w:qFormat/>
    <w:uiPriority w:val="39"/>
    <w:pPr>
      <w:ind w:left="840" w:leftChars="400"/>
    </w:pPr>
  </w:style>
  <w:style w:type="paragraph" w:styleId="11">
    <w:name w:val="Plain Text"/>
    <w:basedOn w:val="1"/>
    <w:next w:val="2"/>
    <w:autoRedefine/>
    <w:qFormat/>
    <w:uiPriority w:val="0"/>
    <w:rPr>
      <w:rFonts w:ascii="宋体" w:hAnsi="Courier New"/>
      <w:szCs w:val="20"/>
    </w:rPr>
  </w:style>
  <w:style w:type="paragraph" w:styleId="12">
    <w:name w:val="Date"/>
    <w:basedOn w:val="1"/>
    <w:next w:val="1"/>
    <w:autoRedefine/>
    <w:qFormat/>
    <w:uiPriority w:val="0"/>
    <w:pPr>
      <w:ind w:left="100" w:leftChars="2500"/>
    </w:pPr>
    <w:rPr>
      <w:rFonts w:ascii="宋体" w:hAnsi="宋体"/>
      <w:b/>
      <w:bCs/>
      <w:color w:val="000000"/>
      <w:sz w:val="36"/>
    </w:rPr>
  </w:style>
  <w:style w:type="paragraph" w:styleId="13">
    <w:name w:val="Balloon Text"/>
    <w:basedOn w:val="1"/>
    <w:link w:val="49"/>
    <w:autoRedefine/>
    <w:qFormat/>
    <w:uiPriority w:val="0"/>
    <w:rPr>
      <w:kern w:val="0"/>
      <w:sz w:val="18"/>
      <w:szCs w:val="18"/>
    </w:rPr>
  </w:style>
  <w:style w:type="paragraph" w:styleId="14">
    <w:name w:val="footer"/>
    <w:basedOn w:val="1"/>
    <w:link w:val="31"/>
    <w:autoRedefine/>
    <w:qFormat/>
    <w:uiPriority w:val="99"/>
    <w:pPr>
      <w:tabs>
        <w:tab w:val="center" w:pos="4153"/>
        <w:tab w:val="right" w:pos="8306"/>
      </w:tabs>
      <w:snapToGrid w:val="0"/>
      <w:jc w:val="left"/>
    </w:pPr>
    <w:rPr>
      <w:kern w:val="0"/>
      <w:sz w:val="18"/>
      <w:szCs w:val="18"/>
    </w:rPr>
  </w:style>
  <w:style w:type="paragraph" w:styleId="15">
    <w:name w:val="header"/>
    <w:basedOn w:val="1"/>
    <w:link w:val="32"/>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semiHidden/>
    <w:unhideWhenUsed/>
    <w:qFormat/>
    <w:uiPriority w:val="39"/>
  </w:style>
  <w:style w:type="paragraph" w:styleId="17">
    <w:name w:val="index heading"/>
    <w:basedOn w:val="1"/>
    <w:next w:val="18"/>
    <w:autoRedefine/>
    <w:semiHidden/>
    <w:qFormat/>
    <w:uiPriority w:val="0"/>
    <w:rPr>
      <w:szCs w:val="20"/>
    </w:rPr>
  </w:style>
  <w:style w:type="paragraph" w:styleId="18">
    <w:name w:val="index 1"/>
    <w:basedOn w:val="1"/>
    <w:next w:val="1"/>
    <w:autoRedefine/>
    <w:semiHidden/>
    <w:qFormat/>
    <w:uiPriority w:val="0"/>
  </w:style>
  <w:style w:type="paragraph" w:styleId="19">
    <w:name w:val="Body Text Indent 3"/>
    <w:basedOn w:val="1"/>
    <w:autoRedefine/>
    <w:qFormat/>
    <w:uiPriority w:val="0"/>
    <w:pPr>
      <w:spacing w:line="360" w:lineRule="auto"/>
      <w:ind w:left="1260" w:leftChars="600"/>
    </w:pPr>
    <w:rPr>
      <w:rFonts w:ascii="宋体" w:hAnsi="宋体"/>
      <w:b/>
      <w:bCs/>
      <w:sz w:val="24"/>
    </w:rPr>
  </w:style>
  <w:style w:type="paragraph" w:styleId="20">
    <w:name w:val="toc 2"/>
    <w:basedOn w:val="1"/>
    <w:next w:val="1"/>
    <w:autoRedefine/>
    <w:semiHidden/>
    <w:unhideWhenUsed/>
    <w:qFormat/>
    <w:uiPriority w:val="39"/>
    <w:pPr>
      <w:ind w:left="420" w:leftChars="200"/>
    </w:p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37"/>
    <w:autoRedefine/>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3">
    <w:name w:val="annotation subject"/>
    <w:basedOn w:val="7"/>
    <w:next w:val="7"/>
    <w:link w:val="39"/>
    <w:autoRedefine/>
    <w:unhideWhenUsed/>
    <w:qFormat/>
    <w:uiPriority w:val="99"/>
    <w:rPr>
      <w:b/>
      <w:bCs/>
      <w:kern w:val="2"/>
      <w:sz w:val="21"/>
    </w:rPr>
  </w:style>
  <w:style w:type="paragraph" w:styleId="24">
    <w:name w:val="Body Text First Indent 2"/>
    <w:basedOn w:val="9"/>
    <w:autoRedefine/>
    <w:unhideWhenUsed/>
    <w:qFormat/>
    <w:uiPriority w:val="99"/>
    <w:pPr>
      <w:ind w:firstLine="420" w:firstLineChars="200"/>
    </w:pPr>
  </w:style>
  <w:style w:type="table" w:styleId="26">
    <w:name w:val="Table Grid"/>
    <w:basedOn w:val="25"/>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22"/>
    <w:rPr>
      <w:b/>
      <w:bCs/>
    </w:rPr>
  </w:style>
  <w:style w:type="character" w:styleId="29">
    <w:name w:val="Hyperlink"/>
    <w:basedOn w:val="27"/>
    <w:autoRedefine/>
    <w:semiHidden/>
    <w:unhideWhenUsed/>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页脚 Char"/>
    <w:link w:val="14"/>
    <w:autoRedefine/>
    <w:qFormat/>
    <w:uiPriority w:val="99"/>
    <w:rPr>
      <w:rFonts w:ascii="Times New Roman" w:hAnsi="Times New Roman" w:eastAsia="宋体" w:cs="Times New Roman"/>
      <w:sz w:val="18"/>
      <w:szCs w:val="18"/>
    </w:rPr>
  </w:style>
  <w:style w:type="character" w:customStyle="1" w:styleId="32">
    <w:name w:val="页眉 Char"/>
    <w:link w:val="15"/>
    <w:autoRedefine/>
    <w:qFormat/>
    <w:uiPriority w:val="0"/>
    <w:rPr>
      <w:rFonts w:ascii="Times New Roman" w:hAnsi="Times New Roman" w:eastAsia="宋体" w:cs="Times New Roman"/>
      <w:sz w:val="18"/>
      <w:szCs w:val="18"/>
    </w:rPr>
  </w:style>
  <w:style w:type="character" w:customStyle="1" w:styleId="33">
    <w:name w:val="标题 2 字符1"/>
    <w:autoRedefine/>
    <w:qFormat/>
    <w:uiPriority w:val="9"/>
    <w:rPr>
      <w:rFonts w:ascii="Arial" w:hAnsi="Arial" w:eastAsia="黑体"/>
      <w:b/>
      <w:bCs/>
      <w:kern w:val="2"/>
      <w:sz w:val="32"/>
      <w:szCs w:val="32"/>
    </w:rPr>
  </w:style>
  <w:style w:type="character" w:customStyle="1" w:styleId="34">
    <w:name w:val="列出段落 Char"/>
    <w:link w:val="35"/>
    <w:autoRedefine/>
    <w:qFormat/>
    <w:uiPriority w:val="34"/>
    <w:rPr>
      <w:rFonts w:ascii="Calibri" w:hAnsi="Calibri"/>
      <w:kern w:val="2"/>
      <w:sz w:val="21"/>
      <w:szCs w:val="22"/>
    </w:rPr>
  </w:style>
  <w:style w:type="paragraph" w:styleId="35">
    <w:name w:val="List Paragraph"/>
    <w:basedOn w:val="1"/>
    <w:link w:val="34"/>
    <w:autoRedefine/>
    <w:qFormat/>
    <w:uiPriority w:val="34"/>
    <w:pPr>
      <w:ind w:firstLine="420" w:firstLineChars="200"/>
    </w:pPr>
    <w:rPr>
      <w:rFonts w:ascii="Calibri" w:hAnsi="Calibri"/>
      <w:szCs w:val="22"/>
    </w:rPr>
  </w:style>
  <w:style w:type="character" w:customStyle="1" w:styleId="36">
    <w:name w:val="annotation reference1"/>
    <w:autoRedefine/>
    <w:qFormat/>
    <w:uiPriority w:val="0"/>
    <w:rPr>
      <w:sz w:val="21"/>
      <w:szCs w:val="21"/>
    </w:rPr>
  </w:style>
  <w:style w:type="character" w:customStyle="1" w:styleId="37">
    <w:name w:val="标题 Char"/>
    <w:link w:val="22"/>
    <w:autoRedefine/>
    <w:qFormat/>
    <w:uiPriority w:val="0"/>
    <w:rPr>
      <w:rFonts w:ascii="Cambria" w:hAnsi="Cambria"/>
      <w:b/>
      <w:bCs/>
      <w:sz w:val="32"/>
      <w:szCs w:val="32"/>
    </w:rPr>
  </w:style>
  <w:style w:type="character" w:customStyle="1" w:styleId="38">
    <w:name w:val="批注文字 字符"/>
    <w:autoRedefine/>
    <w:qFormat/>
    <w:uiPriority w:val="99"/>
  </w:style>
  <w:style w:type="character" w:customStyle="1" w:styleId="39">
    <w:name w:val="批注主题 Char"/>
    <w:link w:val="23"/>
    <w:autoRedefine/>
    <w:semiHidden/>
    <w:qFormat/>
    <w:uiPriority w:val="99"/>
    <w:rPr>
      <w:b/>
      <w:bCs/>
      <w:kern w:val="2"/>
      <w:sz w:val="21"/>
      <w:szCs w:val="24"/>
    </w:rPr>
  </w:style>
  <w:style w:type="character" w:customStyle="1" w:styleId="40">
    <w:name w:val="纯文本 Char1"/>
    <w:autoRedefine/>
    <w:qFormat/>
    <w:uiPriority w:val="0"/>
    <w:rPr>
      <w:rFonts w:ascii="宋体" w:hAnsi="Courier New" w:eastAsia="宋体" w:cs="Courier New"/>
      <w:szCs w:val="21"/>
    </w:rPr>
  </w:style>
  <w:style w:type="character" w:customStyle="1" w:styleId="41">
    <w:name w:val="纯文本 字符1"/>
    <w:autoRedefine/>
    <w:semiHidden/>
    <w:qFormat/>
    <w:uiPriority w:val="99"/>
    <w:rPr>
      <w:rFonts w:ascii="宋体" w:hAnsi="Courier New" w:cs="Courier New"/>
      <w:kern w:val="2"/>
      <w:sz w:val="21"/>
      <w:szCs w:val="21"/>
    </w:rPr>
  </w:style>
  <w:style w:type="character" w:customStyle="1" w:styleId="42">
    <w:name w:val="纯文本 Char"/>
    <w:link w:val="43"/>
    <w:autoRedefine/>
    <w:qFormat/>
    <w:uiPriority w:val="0"/>
    <w:rPr>
      <w:rFonts w:ascii="宋体" w:hAnsi="Courier New" w:eastAsia="宋体" w:cs="Courier New"/>
      <w:szCs w:val="21"/>
    </w:rPr>
  </w:style>
  <w:style w:type="paragraph" w:customStyle="1" w:styleId="43">
    <w:name w:val="Plain Text1"/>
    <w:basedOn w:val="1"/>
    <w:link w:val="42"/>
    <w:autoRedefine/>
    <w:qFormat/>
    <w:uiPriority w:val="0"/>
    <w:rPr>
      <w:rFonts w:ascii="宋体" w:hAnsi="Courier New"/>
      <w:kern w:val="0"/>
      <w:sz w:val="20"/>
      <w:szCs w:val="21"/>
    </w:rPr>
  </w:style>
  <w:style w:type="character" w:customStyle="1" w:styleId="44">
    <w:name w:val="标题 2 Char"/>
    <w:link w:val="4"/>
    <w:autoRedefine/>
    <w:qFormat/>
    <w:uiPriority w:val="9"/>
    <w:rPr>
      <w:rFonts w:ascii="Arial" w:hAnsi="Arial" w:eastAsia="黑体"/>
      <w:b/>
      <w:bCs/>
      <w:kern w:val="2"/>
      <w:sz w:val="32"/>
      <w:szCs w:val="32"/>
    </w:rPr>
  </w:style>
  <w:style w:type="character" w:customStyle="1" w:styleId="45">
    <w:name w:val="font41"/>
    <w:autoRedefine/>
    <w:qFormat/>
    <w:uiPriority w:val="0"/>
    <w:rPr>
      <w:rFonts w:hint="eastAsia" w:ascii="宋体" w:hAnsi="宋体" w:eastAsia="宋体" w:cs="宋体"/>
      <w:color w:val="000000"/>
      <w:sz w:val="18"/>
      <w:szCs w:val="18"/>
      <w:u w:val="none"/>
    </w:rPr>
  </w:style>
  <w:style w:type="character" w:customStyle="1" w:styleId="46">
    <w:name w:val="纯文本 Char2"/>
    <w:autoRedefine/>
    <w:qFormat/>
    <w:uiPriority w:val="0"/>
    <w:rPr>
      <w:rFonts w:ascii="宋体" w:hAnsi="Courier New" w:cs="Courier New"/>
      <w:szCs w:val="21"/>
    </w:rPr>
  </w:style>
  <w:style w:type="character" w:customStyle="1" w:styleId="47">
    <w:name w:val="批注文字 字符1"/>
    <w:autoRedefine/>
    <w:qFormat/>
    <w:uiPriority w:val="0"/>
    <w:rPr>
      <w:szCs w:val="24"/>
    </w:rPr>
  </w:style>
  <w:style w:type="character" w:customStyle="1" w:styleId="48">
    <w:name w:val="批注文字 Char"/>
    <w:link w:val="7"/>
    <w:autoRedefine/>
    <w:qFormat/>
    <w:uiPriority w:val="99"/>
    <w:rPr>
      <w:szCs w:val="24"/>
    </w:rPr>
  </w:style>
  <w:style w:type="character" w:customStyle="1" w:styleId="49">
    <w:name w:val="批注框文本 Char"/>
    <w:link w:val="13"/>
    <w:autoRedefine/>
    <w:qFormat/>
    <w:uiPriority w:val="0"/>
    <w:rPr>
      <w:rFonts w:ascii="Times New Roman" w:hAnsi="Times New Roman" w:eastAsia="宋体" w:cs="Times New Roman"/>
      <w:sz w:val="18"/>
      <w:szCs w:val="18"/>
    </w:rPr>
  </w:style>
  <w:style w:type="character" w:customStyle="1" w:styleId="50">
    <w:name w:val="标题 2 字符"/>
    <w:autoRedefine/>
    <w:qFormat/>
    <w:uiPriority w:val="0"/>
    <w:rPr>
      <w:rFonts w:ascii="等线 Light" w:hAnsi="等线 Light" w:eastAsia="等线 Light" w:cs="Times New Roman"/>
      <w:b/>
      <w:bCs/>
      <w:kern w:val="2"/>
      <w:sz w:val="32"/>
      <w:szCs w:val="32"/>
    </w:rPr>
  </w:style>
  <w:style w:type="character" w:customStyle="1" w:styleId="51">
    <w:name w:val="font21"/>
    <w:autoRedefine/>
    <w:qFormat/>
    <w:uiPriority w:val="0"/>
    <w:rPr>
      <w:rFonts w:hint="default" w:ascii="Times New Roman" w:hAnsi="Times New Roman" w:cs="Times New Roman"/>
      <w:color w:val="000000"/>
      <w:sz w:val="18"/>
      <w:szCs w:val="18"/>
      <w:u w:val="none"/>
    </w:rPr>
  </w:style>
  <w:style w:type="paragraph" w:customStyle="1" w:styleId="52">
    <w:name w:val="_Style 2"/>
    <w:basedOn w:val="1"/>
    <w:autoRedefine/>
    <w:qFormat/>
    <w:uiPriority w:val="34"/>
    <w:pPr>
      <w:ind w:firstLine="420" w:firstLineChars="200"/>
    </w:pPr>
    <w:rPr>
      <w:rFonts w:ascii="Calibri" w:hAnsi="Calibri"/>
      <w:szCs w:val="22"/>
    </w:rPr>
  </w:style>
  <w:style w:type="paragraph" w:styleId="53">
    <w:name w:val="No Spacing"/>
    <w:basedOn w:val="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4">
    <w:name w:val="_Style 1"/>
    <w:basedOn w:val="1"/>
    <w:autoRedefine/>
    <w:qFormat/>
    <w:uiPriority w:val="34"/>
    <w:pPr>
      <w:ind w:firstLine="420" w:firstLineChars="200"/>
    </w:pPr>
    <w:rPr>
      <w:rFonts w:ascii="Calibri" w:hAnsi="Calibri"/>
      <w:szCs w:val="22"/>
    </w:rPr>
  </w:style>
  <w:style w:type="paragraph" w:customStyle="1" w:styleId="55">
    <w:name w:val="列表段落1"/>
    <w:basedOn w:val="1"/>
    <w:autoRedefine/>
    <w:qFormat/>
    <w:uiPriority w:val="0"/>
    <w:pPr>
      <w:widowControl/>
      <w:ind w:left="720" w:firstLine="360"/>
      <w:jc w:val="left"/>
    </w:pPr>
    <w:rPr>
      <w:rFonts w:ascii="Calibri" w:hAnsi="Calibri"/>
      <w:kern w:val="0"/>
      <w:sz w:val="22"/>
      <w:szCs w:val="20"/>
      <w:lang w:val="zh-CN" w:eastAsia="en-US"/>
    </w:rPr>
  </w:style>
  <w:style w:type="paragraph" w:customStyle="1" w:styleId="56">
    <w:name w:val="正文_0"/>
    <w:autoRedefine/>
    <w:qFormat/>
    <w:uiPriority w:val="0"/>
    <w:pPr>
      <w:widowControl w:val="0"/>
      <w:jc w:val="both"/>
    </w:pPr>
    <w:rPr>
      <w:rFonts w:ascii="Times New Roman" w:hAnsi="Times New Roman" w:eastAsia="宋体" w:cs="Times New Roman"/>
      <w:lang w:val="en-US" w:eastAsia="zh-CN" w:bidi="ar-SA"/>
    </w:rPr>
  </w:style>
  <w:style w:type="paragraph" w:customStyle="1" w:styleId="57">
    <w:name w:val="List Paragraph1"/>
    <w:basedOn w:val="1"/>
    <w:autoRedefine/>
    <w:qFormat/>
    <w:uiPriority w:val="34"/>
    <w:pPr>
      <w:ind w:firstLine="420" w:firstLineChars="200"/>
    </w:pPr>
  </w:style>
  <w:style w:type="paragraph" w:customStyle="1" w:styleId="58">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0">
    <w:name w:val="_Style 30"/>
    <w:basedOn w:val="1"/>
    <w:next w:val="35"/>
    <w:autoRedefine/>
    <w:qFormat/>
    <w:uiPriority w:val="34"/>
    <w:pPr>
      <w:ind w:firstLine="420" w:firstLineChars="200"/>
    </w:pPr>
  </w:style>
  <w:style w:type="paragraph" w:customStyle="1" w:styleId="61">
    <w:name w:val="_Style 26"/>
    <w:basedOn w:val="1"/>
    <w:next w:val="35"/>
    <w:autoRedefine/>
    <w:qFormat/>
    <w:uiPriority w:val="34"/>
    <w:pPr>
      <w:adjustRightInd w:val="0"/>
      <w:spacing w:line="360" w:lineRule="atLeast"/>
      <w:ind w:firstLine="420" w:firstLineChars="200"/>
      <w:textAlignment w:val="baseline"/>
    </w:pPr>
    <w:rPr>
      <w:rFonts w:ascii="Calibri" w:hAnsi="Calibri"/>
      <w:szCs w:val="22"/>
    </w:rPr>
  </w:style>
  <w:style w:type="character" w:customStyle="1" w:styleId="62">
    <w:name w:val="font01"/>
    <w:basedOn w:val="27"/>
    <w:autoRedefine/>
    <w:qFormat/>
    <w:uiPriority w:val="0"/>
    <w:rPr>
      <w:rFonts w:hint="eastAsia" w:ascii="宋体" w:hAnsi="宋体" w:eastAsia="宋体" w:cs="宋体"/>
      <w:color w:val="000000"/>
      <w:sz w:val="24"/>
      <w:szCs w:val="24"/>
      <w:u w:val="none"/>
    </w:rPr>
  </w:style>
  <w:style w:type="character" w:customStyle="1" w:styleId="63">
    <w:name w:val="font11"/>
    <w:basedOn w:val="27"/>
    <w:autoRedefine/>
    <w:qFormat/>
    <w:uiPriority w:val="0"/>
    <w:rPr>
      <w:rFonts w:hint="default" w:ascii="Arial" w:hAnsi="Arial" w:cs="Arial"/>
      <w:color w:val="000000"/>
      <w:sz w:val="24"/>
      <w:szCs w:val="24"/>
      <w:u w:val="none"/>
    </w:rPr>
  </w:style>
  <w:style w:type="paragraph" w:customStyle="1" w:styleId="64">
    <w:name w:val="1"/>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65">
    <w:name w:val="标题 4 Char"/>
    <w:basedOn w:val="27"/>
    <w:link w:val="6"/>
    <w:autoRedefine/>
    <w:qFormat/>
    <w:uiPriority w:val="0"/>
    <w:rPr>
      <w:rFonts w:ascii="Arial" w:hAnsi="Arial" w:eastAsia="黑体"/>
      <w:b/>
      <w:bCs/>
      <w:kern w:val="2"/>
      <w:sz w:val="28"/>
      <w:szCs w:val="28"/>
    </w:rPr>
  </w:style>
  <w:style w:type="paragraph" w:customStyle="1" w:styleId="66">
    <w:name w:val="正文缩进1"/>
    <w:basedOn w:val="1"/>
    <w:autoRedefine/>
    <w:qFormat/>
    <w:uiPriority w:val="0"/>
    <w:pPr>
      <w:ind w:firstLine="420"/>
    </w:pPr>
    <w:rPr>
      <w:rFonts w:ascii="Calibri" w:hAnsi="Calibri"/>
    </w:rPr>
  </w:style>
  <w:style w:type="paragraph" w:customStyle="1" w:styleId="67">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68">
    <w:name w:val="_Style 3"/>
    <w:next w:val="1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方案正文"/>
    <w:basedOn w:val="1"/>
    <w:autoRedefine/>
    <w:qFormat/>
    <w:uiPriority w:val="0"/>
    <w:pPr>
      <w:widowControl/>
      <w:adjustRightInd w:val="0"/>
      <w:snapToGrid w:val="0"/>
      <w:spacing w:line="360" w:lineRule="auto"/>
      <w:ind w:firstLine="200" w:firstLineChars="200"/>
      <w:jc w:val="left"/>
    </w:pPr>
    <w:rPr>
      <w:rFonts w:ascii="仿宋" w:hAnsi="宋体" w:eastAsia="仿宋" w:cs="Times New Roman"/>
      <w:color w:val="000000"/>
      <w:kern w:val="0"/>
      <w:szCs w:val="24"/>
      <w:lang w:val="zh-CN"/>
    </w:rPr>
  </w:style>
  <w:style w:type="paragraph" w:customStyle="1" w:styleId="70">
    <w:name w:val="正文-段落"/>
    <w:autoRedefine/>
    <w:qFormat/>
    <w:uiPriority w:val="0"/>
    <w:pPr>
      <w:spacing w:line="360" w:lineRule="auto"/>
      <w:ind w:firstLine="200" w:firstLineChars="200"/>
    </w:pPr>
    <w:rPr>
      <w:rFonts w:ascii="Calibri" w:hAnsi="Calibri" w:eastAsia="宋体" w:cs="宋体"/>
      <w:sz w:val="24"/>
      <w:szCs w:val="24"/>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17351</Words>
  <Characters>19406</Characters>
  <Lines>163</Lines>
  <Paragraphs>46</Paragraphs>
  <TotalTime>1</TotalTime>
  <ScaleCrop>false</ScaleCrop>
  <LinksUpToDate>false</LinksUpToDate>
  <CharactersWithSpaces>21043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2023-06-01T08:05:00Z</dcterms:created>
  <dc:creator>NTKO</dc:creator>
  <cp:lastModifiedBy>国科GJX</cp:lastModifiedBy>
  <dcterms:modified xsi:type="dcterms:W3CDTF">2024-01-03T03:47:14Z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E3639F277F484BC79D9F78A12489554C</vt:lpwstr>
  </property>
</Properties>
</file>