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359" w:leftChars="171"/>
        <w:jc w:val="left"/>
        <w:rPr>
          <w:rFonts w:ascii="宋体" w:hAnsi="宋体" w:cs="宋体"/>
          <w:b/>
          <w:bCs/>
          <w:color w:val="auto"/>
          <w:spacing w:val="40"/>
          <w:sz w:val="44"/>
          <w:szCs w:val="44"/>
          <w:highlight w:val="none"/>
        </w:rPr>
      </w:pPr>
    </w:p>
    <w:p>
      <w:pPr>
        <w:spacing w:line="360" w:lineRule="auto"/>
        <w:rPr>
          <w:rFonts w:ascii="宋体" w:hAnsi="宋体" w:cs="宋体"/>
          <w:b/>
          <w:bCs/>
          <w:color w:val="auto"/>
          <w:spacing w:val="40"/>
          <w:sz w:val="44"/>
          <w:szCs w:val="44"/>
          <w:highlight w:val="none"/>
        </w:rPr>
      </w:pPr>
    </w:p>
    <w:p>
      <w:pPr>
        <w:spacing w:line="360" w:lineRule="auto"/>
        <w:jc w:val="center"/>
        <w:rPr>
          <w:rFonts w:ascii="宋体" w:hAnsi="宋体" w:cs="宋体"/>
          <w:color w:val="auto"/>
          <w:sz w:val="44"/>
          <w:szCs w:val="32"/>
          <w:highlight w:val="none"/>
          <w:u w:val="single"/>
        </w:rPr>
      </w:pPr>
      <w:r>
        <w:rPr>
          <w:rFonts w:hint="eastAsia" w:ascii="宋体" w:hAnsi="宋体" w:cs="宋体"/>
          <w:b/>
          <w:bCs/>
          <w:color w:val="auto"/>
          <w:spacing w:val="40"/>
          <w:sz w:val="52"/>
          <w:szCs w:val="56"/>
          <w:highlight w:val="none"/>
        </w:rPr>
        <w:t>广东省科学院长兴科创园集体宿舍项目施工总承包</w:t>
      </w:r>
    </w:p>
    <w:p>
      <w:pPr>
        <w:spacing w:line="360" w:lineRule="auto"/>
        <w:rPr>
          <w:rFonts w:ascii="宋体" w:hAnsi="宋体" w:cs="宋体"/>
          <w:b/>
          <w:bCs/>
          <w:color w:val="auto"/>
          <w:spacing w:val="26"/>
          <w:sz w:val="110"/>
          <w:szCs w:val="110"/>
          <w:highlight w:val="none"/>
        </w:rPr>
      </w:pPr>
    </w:p>
    <w:p>
      <w:pPr>
        <w:spacing w:line="360" w:lineRule="auto"/>
        <w:jc w:val="center"/>
        <w:rPr>
          <w:rFonts w:ascii="宋体" w:hAnsi="宋体" w:cs="宋体"/>
          <w:b/>
          <w:bCs/>
          <w:color w:val="auto"/>
          <w:spacing w:val="26"/>
          <w:sz w:val="110"/>
          <w:szCs w:val="110"/>
          <w:highlight w:val="none"/>
        </w:rPr>
      </w:pPr>
      <w:r>
        <w:rPr>
          <w:rFonts w:hint="eastAsia" w:ascii="宋体" w:hAnsi="宋体" w:cs="宋体"/>
          <w:b/>
          <w:bCs/>
          <w:color w:val="auto"/>
          <w:spacing w:val="26"/>
          <w:sz w:val="110"/>
          <w:szCs w:val="110"/>
          <w:highlight w:val="none"/>
        </w:rPr>
        <w:t>招标文件</w:t>
      </w:r>
    </w:p>
    <w:p>
      <w:pPr>
        <w:spacing w:line="360" w:lineRule="auto"/>
        <w:jc w:val="center"/>
        <w:rPr>
          <w:rFonts w:ascii="宋体" w:hAnsi="宋体" w:cs="宋体"/>
          <w:color w:val="auto"/>
          <w:sz w:val="32"/>
          <w:highlight w:val="none"/>
        </w:rPr>
      </w:pPr>
    </w:p>
    <w:p>
      <w:pPr>
        <w:spacing w:line="360" w:lineRule="auto"/>
        <w:ind w:firstLine="2560" w:firstLineChars="800"/>
        <w:rPr>
          <w:rFonts w:ascii="宋体" w:hAnsi="宋体" w:cs="宋体"/>
          <w:color w:val="auto"/>
          <w:sz w:val="32"/>
          <w:highlight w:val="none"/>
        </w:rPr>
      </w:pPr>
    </w:p>
    <w:p>
      <w:pPr>
        <w:spacing w:line="360" w:lineRule="auto"/>
        <w:rPr>
          <w:rFonts w:ascii="宋体" w:hAnsi="宋体" w:cs="宋体"/>
          <w:color w:val="auto"/>
          <w:sz w:val="30"/>
          <w:szCs w:val="30"/>
          <w:highlight w:val="none"/>
        </w:rPr>
      </w:pPr>
    </w:p>
    <w:p>
      <w:pPr>
        <w:spacing w:line="360" w:lineRule="auto"/>
        <w:ind w:firstLine="900" w:firstLineChars="300"/>
        <w:rPr>
          <w:rFonts w:ascii="宋体" w:hAnsi="宋体" w:cs="宋体"/>
          <w:color w:val="auto"/>
          <w:sz w:val="30"/>
          <w:szCs w:val="30"/>
          <w:highlight w:val="none"/>
        </w:rPr>
      </w:pPr>
    </w:p>
    <w:p>
      <w:pPr>
        <w:pStyle w:val="8"/>
        <w:rPr>
          <w:rFonts w:ascii="宋体" w:hAnsi="宋体" w:cs="宋体"/>
          <w:color w:val="auto"/>
          <w:sz w:val="30"/>
          <w:szCs w:val="30"/>
          <w:highlight w:val="none"/>
        </w:rPr>
      </w:pPr>
    </w:p>
    <w:p>
      <w:pPr>
        <w:rPr>
          <w:rFonts w:ascii="宋体" w:hAnsi="宋体" w:cs="宋体"/>
          <w:color w:val="auto"/>
          <w:highlight w:val="none"/>
        </w:rPr>
      </w:pPr>
    </w:p>
    <w:p>
      <w:pPr>
        <w:pStyle w:val="22"/>
        <w:rPr>
          <w:rFonts w:hAnsi="宋体" w:cs="宋体"/>
          <w:color w:val="auto"/>
          <w:highlight w:val="none"/>
        </w:rPr>
      </w:pPr>
    </w:p>
    <w:p>
      <w:pPr>
        <w:pStyle w:val="22"/>
        <w:rPr>
          <w:rFonts w:hAnsi="宋体" w:cs="宋体"/>
          <w:color w:val="auto"/>
          <w:highlight w:val="none"/>
        </w:rPr>
      </w:pPr>
    </w:p>
    <w:p>
      <w:pPr>
        <w:pStyle w:val="22"/>
        <w:rPr>
          <w:rFonts w:hAnsi="宋体" w:cs="宋体"/>
          <w:color w:val="auto"/>
          <w:highlight w:val="none"/>
        </w:rPr>
      </w:pPr>
    </w:p>
    <w:p>
      <w:pPr>
        <w:spacing w:line="360" w:lineRule="auto"/>
        <w:ind w:firstLine="900" w:firstLineChars="300"/>
        <w:rPr>
          <w:rFonts w:ascii="宋体" w:hAnsi="宋体" w:cs="宋体"/>
          <w:color w:val="auto"/>
          <w:sz w:val="30"/>
          <w:szCs w:val="30"/>
          <w:highlight w:val="none"/>
          <w:u w:val="single"/>
        </w:rPr>
      </w:pPr>
      <w:r>
        <w:rPr>
          <w:rFonts w:hint="eastAsia" w:ascii="宋体" w:hAnsi="宋体" w:cs="宋体"/>
          <w:color w:val="auto"/>
          <w:sz w:val="30"/>
          <w:szCs w:val="30"/>
          <w:highlight w:val="none"/>
        </w:rPr>
        <w:t>招  标 单 位：</w:t>
      </w:r>
      <w:r>
        <w:rPr>
          <w:rFonts w:hint="eastAsia" w:ascii="宋体" w:hAnsi="宋体" w:cs="宋体"/>
          <w:color w:val="auto"/>
          <w:sz w:val="30"/>
          <w:szCs w:val="30"/>
          <w:highlight w:val="none"/>
          <w:u w:val="single"/>
        </w:rPr>
        <w:t>广东省科学院</w:t>
      </w:r>
    </w:p>
    <w:p>
      <w:pPr>
        <w:spacing w:line="360" w:lineRule="auto"/>
        <w:ind w:firstLine="900" w:firstLineChars="300"/>
        <w:rPr>
          <w:rFonts w:ascii="宋体" w:hAnsi="宋体" w:cs="宋体"/>
          <w:color w:val="auto"/>
          <w:sz w:val="30"/>
          <w:szCs w:val="30"/>
          <w:highlight w:val="none"/>
        </w:rPr>
      </w:pPr>
      <w:r>
        <w:rPr>
          <w:rFonts w:hint="eastAsia" w:ascii="宋体" w:hAnsi="宋体" w:cs="宋体"/>
          <w:color w:val="auto"/>
          <w:sz w:val="30"/>
          <w:szCs w:val="30"/>
          <w:highlight w:val="none"/>
        </w:rPr>
        <w:t>招标代理单位：</w:t>
      </w:r>
      <w:r>
        <w:rPr>
          <w:rFonts w:hint="eastAsia" w:ascii="宋体" w:hAnsi="宋体" w:cs="宋体"/>
          <w:color w:val="auto"/>
          <w:sz w:val="30"/>
          <w:szCs w:val="30"/>
          <w:highlight w:val="none"/>
          <w:u w:val="single"/>
        </w:rPr>
        <w:t>广州市国科招标代理有限公司</w:t>
      </w:r>
    </w:p>
    <w:p>
      <w:pPr>
        <w:spacing w:line="360" w:lineRule="auto"/>
        <w:ind w:firstLine="900" w:firstLineChars="300"/>
        <w:rPr>
          <w:rFonts w:ascii="宋体" w:hAnsi="宋体" w:cs="宋体"/>
          <w:color w:val="auto"/>
          <w:sz w:val="30"/>
          <w:szCs w:val="30"/>
          <w:highlight w:val="none"/>
        </w:rPr>
      </w:pPr>
      <w:r>
        <w:rPr>
          <w:rFonts w:hint="eastAsia" w:ascii="宋体" w:hAnsi="宋体" w:cs="宋体"/>
          <w:color w:val="auto"/>
          <w:sz w:val="30"/>
          <w:szCs w:val="30"/>
          <w:highlight w:val="none"/>
        </w:rPr>
        <w:t>日        期：202</w:t>
      </w:r>
      <w:r>
        <w:rPr>
          <w:rFonts w:hint="eastAsia" w:ascii="宋体" w:hAnsi="宋体" w:cs="宋体"/>
          <w:color w:val="auto"/>
          <w:sz w:val="30"/>
          <w:szCs w:val="30"/>
          <w:highlight w:val="none"/>
          <w:lang w:val="en-US" w:eastAsia="zh-CN"/>
        </w:rPr>
        <w:t>3</w:t>
      </w:r>
      <w:r>
        <w:rPr>
          <w:rFonts w:hint="eastAsia" w:ascii="宋体" w:hAnsi="宋体" w:cs="宋体"/>
          <w:color w:val="auto"/>
          <w:sz w:val="30"/>
          <w:szCs w:val="30"/>
          <w:highlight w:val="none"/>
        </w:rPr>
        <w:t>年</w:t>
      </w:r>
      <w:r>
        <w:rPr>
          <w:rFonts w:hint="eastAsia" w:ascii="宋体" w:hAnsi="宋体" w:cs="宋体"/>
          <w:color w:val="auto"/>
          <w:sz w:val="30"/>
          <w:szCs w:val="30"/>
          <w:highlight w:val="none"/>
          <w:lang w:val="en-US" w:eastAsia="zh-CN"/>
        </w:rPr>
        <w:t>1</w:t>
      </w:r>
      <w:r>
        <w:rPr>
          <w:rFonts w:hint="eastAsia" w:ascii="宋体" w:hAnsi="宋体" w:cs="宋体"/>
          <w:color w:val="auto"/>
          <w:sz w:val="30"/>
          <w:szCs w:val="30"/>
          <w:highlight w:val="none"/>
        </w:rPr>
        <w:t>月</w:t>
      </w:r>
    </w:p>
    <w:p>
      <w:pPr>
        <w:spacing w:line="360" w:lineRule="auto"/>
        <w:ind w:firstLine="900" w:firstLineChars="300"/>
        <w:jc w:val="center"/>
        <w:rPr>
          <w:rFonts w:ascii="宋体" w:hAnsi="宋体" w:cs="宋体"/>
          <w:b/>
          <w:caps/>
          <w:color w:val="auto"/>
          <w:kern w:val="0"/>
          <w:highlight w:val="none"/>
        </w:rPr>
      </w:pPr>
      <w:r>
        <w:rPr>
          <w:rFonts w:hint="eastAsia" w:ascii="宋体" w:hAnsi="宋体" w:cs="宋体"/>
          <w:color w:val="auto"/>
          <w:sz w:val="30"/>
          <w:szCs w:val="30"/>
          <w:highlight w:val="none"/>
        </w:rPr>
        <w:br w:type="page"/>
      </w:r>
      <w:r>
        <w:rPr>
          <w:rStyle w:val="46"/>
          <w:rFonts w:hint="eastAsia" w:ascii="宋体" w:hAnsi="宋体" w:cs="宋体"/>
          <w:b/>
          <w:bCs/>
          <w:color w:val="auto"/>
          <w:sz w:val="30"/>
          <w:szCs w:val="30"/>
          <w:highlight w:val="none"/>
          <w:u w:val="none"/>
        </w:rPr>
        <w:t>目录</w:t>
      </w:r>
    </w:p>
    <w:p>
      <w:pPr>
        <w:pStyle w:val="29"/>
        <w:tabs>
          <w:tab w:val="right" w:leader="dot" w:pos="9070"/>
          <w:tab w:val="clear" w:pos="9060"/>
        </w:tabs>
        <w:rPr>
          <w:rFonts w:cs="宋体"/>
          <w:color w:val="auto"/>
          <w:highlight w:val="none"/>
        </w:rPr>
      </w:pPr>
      <w:r>
        <w:rPr>
          <w:rFonts w:hint="eastAsia" w:cs="宋体"/>
          <w:color w:val="auto"/>
          <w:highlight w:val="none"/>
        </w:rPr>
        <w:fldChar w:fldCharType="begin"/>
      </w:r>
      <w:r>
        <w:rPr>
          <w:rFonts w:hint="eastAsia" w:cs="宋体"/>
          <w:color w:val="auto"/>
          <w:highlight w:val="none"/>
        </w:rPr>
        <w:instrText xml:space="preserve"> TOC \o "1-3" \h \z \u </w:instrText>
      </w:r>
      <w:r>
        <w:rPr>
          <w:rFonts w:hint="eastAsia" w:cs="宋体"/>
          <w:color w:val="auto"/>
          <w:highlight w:val="none"/>
        </w:rPr>
        <w:fldChar w:fldCharType="separate"/>
      </w:r>
      <w:r>
        <w:rPr>
          <w:color w:val="auto"/>
          <w:highlight w:val="none"/>
        </w:rPr>
        <w:fldChar w:fldCharType="begin"/>
      </w:r>
      <w:r>
        <w:rPr>
          <w:color w:val="auto"/>
          <w:highlight w:val="none"/>
        </w:rPr>
        <w:instrText xml:space="preserve"> HYPERLINK \l "_Toc29999" </w:instrText>
      </w:r>
      <w:r>
        <w:rPr>
          <w:color w:val="auto"/>
          <w:highlight w:val="none"/>
        </w:rPr>
        <w:fldChar w:fldCharType="separate"/>
      </w:r>
      <w:r>
        <w:rPr>
          <w:rFonts w:hint="eastAsia" w:cs="宋体"/>
          <w:color w:val="auto"/>
          <w:highlight w:val="none"/>
        </w:rPr>
        <w:t>第一章  投标须知</w:t>
      </w:r>
      <w:r>
        <w:rPr>
          <w:rFonts w:hint="eastAsia" w:cs="宋体"/>
          <w:color w:val="auto"/>
          <w:highlight w:val="none"/>
        </w:rPr>
        <w:tab/>
      </w:r>
      <w:r>
        <w:rPr>
          <w:rFonts w:hint="eastAsia" w:cs="宋体"/>
          <w:color w:val="auto"/>
          <w:highlight w:val="none"/>
        </w:rPr>
        <w:fldChar w:fldCharType="begin"/>
      </w:r>
      <w:r>
        <w:rPr>
          <w:rFonts w:hint="eastAsia" w:cs="宋体"/>
          <w:color w:val="auto"/>
          <w:highlight w:val="none"/>
        </w:rPr>
        <w:instrText xml:space="preserve"> PAGEREF _Toc29999 \h </w:instrText>
      </w:r>
      <w:r>
        <w:rPr>
          <w:rFonts w:hint="eastAsia" w:cs="宋体"/>
          <w:color w:val="auto"/>
          <w:highlight w:val="none"/>
        </w:rPr>
        <w:fldChar w:fldCharType="separate"/>
      </w:r>
      <w:r>
        <w:rPr>
          <w:rFonts w:hint="eastAsia" w:cs="宋体"/>
          <w:color w:val="auto"/>
          <w:highlight w:val="none"/>
        </w:rPr>
        <w:t>3</w:t>
      </w:r>
      <w:r>
        <w:rPr>
          <w:rFonts w:hint="eastAsia" w:cs="宋体"/>
          <w:color w:val="auto"/>
          <w:highlight w:val="none"/>
        </w:rPr>
        <w:fldChar w:fldCharType="end"/>
      </w:r>
      <w:r>
        <w:rPr>
          <w:rFonts w:hint="eastAsia" w:cs="宋体"/>
          <w:color w:val="auto"/>
          <w:highlight w:val="none"/>
        </w:rPr>
        <w:fldChar w:fldCharType="end"/>
      </w:r>
    </w:p>
    <w:p>
      <w:pPr>
        <w:pStyle w:val="32"/>
        <w:tabs>
          <w:tab w:val="right" w:leader="dot" w:pos="9070"/>
          <w:tab w:val="clear" w:pos="9060"/>
        </w:tabs>
        <w:rPr>
          <w:rFonts w:ascii="宋体" w:hAnsi="宋体" w:cs="宋体"/>
          <w:color w:val="auto"/>
          <w:highlight w:val="none"/>
        </w:rPr>
      </w:pPr>
      <w:r>
        <w:rPr>
          <w:color w:val="auto"/>
          <w:highlight w:val="none"/>
        </w:rPr>
        <w:fldChar w:fldCharType="begin"/>
      </w:r>
      <w:r>
        <w:rPr>
          <w:color w:val="auto"/>
          <w:highlight w:val="none"/>
        </w:rPr>
        <w:instrText xml:space="preserve"> HYPERLINK \l "_Toc3951" </w:instrText>
      </w:r>
      <w:r>
        <w:rPr>
          <w:color w:val="auto"/>
          <w:highlight w:val="none"/>
        </w:rPr>
        <w:fldChar w:fldCharType="separate"/>
      </w:r>
      <w:r>
        <w:rPr>
          <w:rFonts w:hint="eastAsia" w:ascii="宋体" w:hAnsi="宋体" w:cs="宋体"/>
          <w:color w:val="auto"/>
          <w:highlight w:val="none"/>
        </w:rPr>
        <w:t>一、投标须知前附表</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_Toc3951 \h </w:instrText>
      </w:r>
      <w:r>
        <w:rPr>
          <w:rFonts w:hint="eastAsia" w:ascii="宋体" w:hAnsi="宋体" w:cs="宋体"/>
          <w:color w:val="auto"/>
          <w:highlight w:val="none"/>
        </w:rPr>
        <w:fldChar w:fldCharType="separate"/>
      </w:r>
      <w:r>
        <w:rPr>
          <w:rFonts w:hint="eastAsia" w:ascii="宋体" w:hAnsi="宋体" w:cs="宋体"/>
          <w:color w:val="auto"/>
          <w:highlight w:val="none"/>
        </w:rPr>
        <w:t>3</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32"/>
        <w:tabs>
          <w:tab w:val="right" w:leader="dot" w:pos="9070"/>
          <w:tab w:val="clear" w:pos="9060"/>
        </w:tabs>
        <w:rPr>
          <w:rFonts w:ascii="宋体" w:hAnsi="宋体" w:cs="宋体"/>
          <w:color w:val="auto"/>
          <w:highlight w:val="none"/>
        </w:rPr>
      </w:pPr>
      <w:r>
        <w:rPr>
          <w:color w:val="auto"/>
          <w:highlight w:val="none"/>
        </w:rPr>
        <w:fldChar w:fldCharType="begin"/>
      </w:r>
      <w:r>
        <w:rPr>
          <w:color w:val="auto"/>
          <w:highlight w:val="none"/>
        </w:rPr>
        <w:instrText xml:space="preserve"> HYPERLINK \l "_Toc12984" </w:instrText>
      </w:r>
      <w:r>
        <w:rPr>
          <w:color w:val="auto"/>
          <w:highlight w:val="none"/>
        </w:rPr>
        <w:fldChar w:fldCharType="separate"/>
      </w:r>
      <w:r>
        <w:rPr>
          <w:rFonts w:hint="eastAsia" w:ascii="宋体" w:hAnsi="宋体" w:cs="宋体"/>
          <w:color w:val="auto"/>
          <w:highlight w:val="none"/>
        </w:rPr>
        <w:t>二、投标须知修改表</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_Toc12984 \h </w:instrText>
      </w:r>
      <w:r>
        <w:rPr>
          <w:rFonts w:hint="eastAsia" w:ascii="宋体" w:hAnsi="宋体" w:cs="宋体"/>
          <w:color w:val="auto"/>
          <w:highlight w:val="none"/>
        </w:rPr>
        <w:fldChar w:fldCharType="separate"/>
      </w:r>
      <w:r>
        <w:rPr>
          <w:rFonts w:hint="eastAsia" w:ascii="宋体" w:hAnsi="宋体" w:cs="宋体"/>
          <w:color w:val="auto"/>
          <w:highlight w:val="none"/>
        </w:rPr>
        <w:t>8</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32"/>
        <w:tabs>
          <w:tab w:val="right" w:leader="dot" w:pos="9070"/>
          <w:tab w:val="clear" w:pos="9060"/>
        </w:tabs>
        <w:rPr>
          <w:rFonts w:ascii="宋体" w:hAnsi="宋体" w:cs="宋体"/>
          <w:color w:val="auto"/>
          <w:highlight w:val="none"/>
        </w:rPr>
      </w:pPr>
      <w:r>
        <w:rPr>
          <w:color w:val="auto"/>
          <w:highlight w:val="none"/>
        </w:rPr>
        <w:fldChar w:fldCharType="begin"/>
      </w:r>
      <w:r>
        <w:rPr>
          <w:color w:val="auto"/>
          <w:highlight w:val="none"/>
        </w:rPr>
        <w:instrText xml:space="preserve"> HYPERLINK \l "_Toc24881" </w:instrText>
      </w:r>
      <w:r>
        <w:rPr>
          <w:color w:val="auto"/>
          <w:highlight w:val="none"/>
        </w:rPr>
        <w:fldChar w:fldCharType="separate"/>
      </w:r>
      <w:r>
        <w:rPr>
          <w:rFonts w:hint="eastAsia" w:ascii="宋体" w:hAnsi="宋体" w:cs="宋体"/>
          <w:color w:val="auto"/>
          <w:highlight w:val="none"/>
        </w:rPr>
        <w:t>三、投标须知通用条款</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_Toc24881 \h </w:instrText>
      </w:r>
      <w:r>
        <w:rPr>
          <w:rFonts w:hint="eastAsia" w:ascii="宋体" w:hAnsi="宋体" w:cs="宋体"/>
          <w:color w:val="auto"/>
          <w:highlight w:val="none"/>
        </w:rPr>
        <w:fldChar w:fldCharType="separate"/>
      </w:r>
      <w:r>
        <w:rPr>
          <w:rFonts w:hint="eastAsia" w:ascii="宋体" w:hAnsi="宋体" w:cs="宋体"/>
          <w:color w:val="auto"/>
          <w:highlight w:val="none"/>
        </w:rPr>
        <w:t>20</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29"/>
        <w:tabs>
          <w:tab w:val="right" w:leader="dot" w:pos="9070"/>
          <w:tab w:val="clear" w:pos="9060"/>
        </w:tabs>
        <w:rPr>
          <w:rFonts w:cs="宋体"/>
          <w:color w:val="auto"/>
          <w:highlight w:val="none"/>
        </w:rPr>
      </w:pPr>
      <w:r>
        <w:rPr>
          <w:color w:val="auto"/>
          <w:highlight w:val="none"/>
        </w:rPr>
        <w:fldChar w:fldCharType="begin"/>
      </w:r>
      <w:r>
        <w:rPr>
          <w:color w:val="auto"/>
          <w:highlight w:val="none"/>
        </w:rPr>
        <w:instrText xml:space="preserve"> HYPERLINK \l "_Toc286" </w:instrText>
      </w:r>
      <w:r>
        <w:rPr>
          <w:color w:val="auto"/>
          <w:highlight w:val="none"/>
        </w:rPr>
        <w:fldChar w:fldCharType="separate"/>
      </w:r>
      <w:r>
        <w:rPr>
          <w:rFonts w:hint="eastAsia" w:cs="宋体"/>
          <w:color w:val="auto"/>
          <w:highlight w:val="none"/>
        </w:rPr>
        <w:t>第二章  开标、评标及定标办法</w:t>
      </w:r>
      <w:r>
        <w:rPr>
          <w:rFonts w:hint="eastAsia" w:cs="宋体"/>
          <w:color w:val="auto"/>
          <w:highlight w:val="none"/>
        </w:rPr>
        <w:tab/>
      </w:r>
      <w:r>
        <w:rPr>
          <w:rFonts w:hint="eastAsia" w:cs="宋体"/>
          <w:color w:val="auto"/>
          <w:highlight w:val="none"/>
        </w:rPr>
        <w:fldChar w:fldCharType="begin"/>
      </w:r>
      <w:r>
        <w:rPr>
          <w:rFonts w:hint="eastAsia" w:cs="宋体"/>
          <w:color w:val="auto"/>
          <w:highlight w:val="none"/>
        </w:rPr>
        <w:instrText xml:space="preserve"> PAGEREF _Toc286 \h </w:instrText>
      </w:r>
      <w:r>
        <w:rPr>
          <w:rFonts w:hint="eastAsia" w:cs="宋体"/>
          <w:color w:val="auto"/>
          <w:highlight w:val="none"/>
        </w:rPr>
        <w:fldChar w:fldCharType="separate"/>
      </w:r>
      <w:r>
        <w:rPr>
          <w:rFonts w:hint="eastAsia" w:cs="宋体"/>
          <w:color w:val="auto"/>
          <w:highlight w:val="none"/>
        </w:rPr>
        <w:t>33</w:t>
      </w:r>
      <w:r>
        <w:rPr>
          <w:rFonts w:hint="eastAsia" w:cs="宋体"/>
          <w:color w:val="auto"/>
          <w:highlight w:val="none"/>
        </w:rPr>
        <w:fldChar w:fldCharType="end"/>
      </w:r>
      <w:r>
        <w:rPr>
          <w:rFonts w:hint="eastAsia" w:cs="宋体"/>
          <w:color w:val="auto"/>
          <w:highlight w:val="none"/>
        </w:rPr>
        <w:fldChar w:fldCharType="end"/>
      </w:r>
    </w:p>
    <w:p>
      <w:pPr>
        <w:pStyle w:val="32"/>
        <w:tabs>
          <w:tab w:val="right" w:leader="dot" w:pos="9070"/>
          <w:tab w:val="clear" w:pos="9060"/>
        </w:tabs>
        <w:rPr>
          <w:rFonts w:ascii="宋体" w:hAnsi="宋体" w:cs="宋体"/>
          <w:color w:val="auto"/>
          <w:highlight w:val="none"/>
        </w:rPr>
      </w:pPr>
      <w:r>
        <w:rPr>
          <w:color w:val="auto"/>
          <w:highlight w:val="none"/>
        </w:rPr>
        <w:fldChar w:fldCharType="begin"/>
      </w:r>
      <w:r>
        <w:rPr>
          <w:color w:val="auto"/>
          <w:highlight w:val="none"/>
        </w:rPr>
        <w:instrText xml:space="preserve"> HYPERLINK \l "_Toc20398" </w:instrText>
      </w:r>
      <w:r>
        <w:rPr>
          <w:color w:val="auto"/>
          <w:highlight w:val="none"/>
        </w:rPr>
        <w:fldChar w:fldCharType="separate"/>
      </w:r>
      <w:r>
        <w:rPr>
          <w:rFonts w:hint="eastAsia" w:ascii="宋体" w:hAnsi="宋体" w:cs="宋体"/>
          <w:color w:val="auto"/>
          <w:szCs w:val="28"/>
          <w:highlight w:val="none"/>
        </w:rPr>
        <w:t>一、</w:t>
      </w:r>
      <w:r>
        <w:rPr>
          <w:rFonts w:hint="eastAsia" w:ascii="宋体" w:hAnsi="宋体" w:cs="宋体"/>
          <w:color w:val="auto"/>
          <w:highlight w:val="none"/>
        </w:rPr>
        <w:t>开标、评标及定标办法修改表</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_Toc20398 \h </w:instrText>
      </w:r>
      <w:r>
        <w:rPr>
          <w:rFonts w:hint="eastAsia" w:ascii="宋体" w:hAnsi="宋体" w:cs="宋体"/>
          <w:color w:val="auto"/>
          <w:highlight w:val="none"/>
        </w:rPr>
        <w:fldChar w:fldCharType="separate"/>
      </w:r>
      <w:r>
        <w:rPr>
          <w:rFonts w:hint="eastAsia" w:ascii="宋体" w:hAnsi="宋体" w:cs="宋体"/>
          <w:color w:val="auto"/>
          <w:highlight w:val="none"/>
        </w:rPr>
        <w:t>33</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32"/>
        <w:tabs>
          <w:tab w:val="right" w:leader="dot" w:pos="9070"/>
          <w:tab w:val="clear" w:pos="9060"/>
        </w:tabs>
        <w:rPr>
          <w:rFonts w:ascii="宋体" w:hAnsi="宋体" w:cs="宋体"/>
          <w:color w:val="auto"/>
          <w:highlight w:val="none"/>
        </w:rPr>
      </w:pPr>
      <w:r>
        <w:rPr>
          <w:color w:val="auto"/>
          <w:highlight w:val="none"/>
        </w:rPr>
        <w:fldChar w:fldCharType="begin"/>
      </w:r>
      <w:r>
        <w:rPr>
          <w:color w:val="auto"/>
          <w:highlight w:val="none"/>
        </w:rPr>
        <w:instrText xml:space="preserve"> HYPERLINK \l "_Toc11460" </w:instrText>
      </w:r>
      <w:r>
        <w:rPr>
          <w:color w:val="auto"/>
          <w:highlight w:val="none"/>
        </w:rPr>
        <w:fldChar w:fldCharType="separate"/>
      </w:r>
      <w:r>
        <w:rPr>
          <w:rFonts w:hint="eastAsia" w:ascii="宋体" w:hAnsi="宋体" w:cs="宋体"/>
          <w:color w:val="auto"/>
          <w:highlight w:val="none"/>
        </w:rPr>
        <w:t>二、开标、评标及定标办法</w:t>
      </w:r>
      <w:r>
        <w:rPr>
          <w:rFonts w:hint="eastAsia" w:ascii="宋体" w:hAnsi="宋体" w:cs="宋体"/>
          <w:color w:val="auto"/>
          <w:szCs w:val="30"/>
          <w:highlight w:val="none"/>
        </w:rPr>
        <w:t>通用条款</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_Toc11460 \h </w:instrText>
      </w:r>
      <w:r>
        <w:rPr>
          <w:rFonts w:hint="eastAsia" w:ascii="宋体" w:hAnsi="宋体" w:cs="宋体"/>
          <w:color w:val="auto"/>
          <w:highlight w:val="none"/>
        </w:rPr>
        <w:fldChar w:fldCharType="separate"/>
      </w:r>
      <w:r>
        <w:rPr>
          <w:rFonts w:hint="eastAsia" w:ascii="宋体" w:hAnsi="宋体" w:cs="宋体"/>
          <w:color w:val="auto"/>
          <w:highlight w:val="none"/>
        </w:rPr>
        <w:t>38</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21"/>
        <w:tabs>
          <w:tab w:val="right" w:leader="dot" w:pos="9070"/>
        </w:tabs>
        <w:ind w:left="840"/>
        <w:rPr>
          <w:rFonts w:ascii="宋体" w:hAnsi="宋体" w:cs="宋体"/>
          <w:color w:val="auto"/>
          <w:highlight w:val="none"/>
        </w:rPr>
      </w:pPr>
      <w:r>
        <w:rPr>
          <w:color w:val="auto"/>
          <w:highlight w:val="none"/>
        </w:rPr>
        <w:fldChar w:fldCharType="begin"/>
      </w:r>
      <w:r>
        <w:rPr>
          <w:color w:val="auto"/>
          <w:highlight w:val="none"/>
        </w:rPr>
        <w:instrText xml:space="preserve"> HYPERLINK \l "_Toc19940" </w:instrText>
      </w:r>
      <w:r>
        <w:rPr>
          <w:color w:val="auto"/>
          <w:highlight w:val="none"/>
        </w:rPr>
        <w:fldChar w:fldCharType="separate"/>
      </w:r>
      <w:r>
        <w:rPr>
          <w:rFonts w:hint="eastAsia" w:ascii="宋体" w:hAnsi="宋体" w:cs="宋体"/>
          <w:color w:val="auto"/>
          <w:highlight w:val="none"/>
        </w:rPr>
        <w:t>（一）总则</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_Toc19940 \h </w:instrText>
      </w:r>
      <w:r>
        <w:rPr>
          <w:rFonts w:hint="eastAsia" w:ascii="宋体" w:hAnsi="宋体" w:cs="宋体"/>
          <w:color w:val="auto"/>
          <w:highlight w:val="none"/>
        </w:rPr>
        <w:fldChar w:fldCharType="separate"/>
      </w:r>
      <w:r>
        <w:rPr>
          <w:rFonts w:hint="eastAsia" w:ascii="宋体" w:hAnsi="宋体" w:cs="宋体"/>
          <w:color w:val="auto"/>
          <w:highlight w:val="none"/>
        </w:rPr>
        <w:t>38</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21"/>
        <w:tabs>
          <w:tab w:val="right" w:leader="dot" w:pos="9070"/>
        </w:tabs>
        <w:ind w:left="840"/>
        <w:rPr>
          <w:rFonts w:ascii="宋体" w:hAnsi="宋体" w:cs="宋体"/>
          <w:color w:val="auto"/>
          <w:highlight w:val="none"/>
        </w:rPr>
      </w:pPr>
      <w:r>
        <w:rPr>
          <w:color w:val="auto"/>
          <w:highlight w:val="none"/>
        </w:rPr>
        <w:fldChar w:fldCharType="begin"/>
      </w:r>
      <w:r>
        <w:rPr>
          <w:color w:val="auto"/>
          <w:highlight w:val="none"/>
        </w:rPr>
        <w:instrText xml:space="preserve"> HYPERLINK \l "_Toc18768" </w:instrText>
      </w:r>
      <w:r>
        <w:rPr>
          <w:color w:val="auto"/>
          <w:highlight w:val="none"/>
        </w:rPr>
        <w:fldChar w:fldCharType="separate"/>
      </w:r>
      <w:r>
        <w:rPr>
          <w:rFonts w:hint="eastAsia" w:ascii="宋体" w:hAnsi="宋体" w:cs="宋体"/>
          <w:color w:val="auto"/>
          <w:szCs w:val="24"/>
          <w:highlight w:val="none"/>
        </w:rPr>
        <w:t>（二）开标评标办法程序和细则</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_Toc18768 \h </w:instrText>
      </w:r>
      <w:r>
        <w:rPr>
          <w:rFonts w:hint="eastAsia" w:ascii="宋体" w:hAnsi="宋体" w:cs="宋体"/>
          <w:color w:val="auto"/>
          <w:highlight w:val="none"/>
        </w:rPr>
        <w:fldChar w:fldCharType="separate"/>
      </w:r>
      <w:r>
        <w:rPr>
          <w:rFonts w:hint="eastAsia" w:ascii="宋体" w:hAnsi="宋体" w:cs="宋体"/>
          <w:color w:val="auto"/>
          <w:highlight w:val="none"/>
        </w:rPr>
        <w:t>40</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21"/>
        <w:tabs>
          <w:tab w:val="right" w:leader="dot" w:pos="9070"/>
        </w:tabs>
        <w:ind w:left="840"/>
        <w:rPr>
          <w:rFonts w:ascii="宋体" w:hAnsi="宋体" w:cs="宋体"/>
          <w:color w:val="auto"/>
          <w:highlight w:val="none"/>
        </w:rPr>
      </w:pPr>
      <w:r>
        <w:rPr>
          <w:color w:val="auto"/>
          <w:highlight w:val="none"/>
        </w:rPr>
        <w:fldChar w:fldCharType="begin"/>
      </w:r>
      <w:r>
        <w:rPr>
          <w:color w:val="auto"/>
          <w:highlight w:val="none"/>
        </w:rPr>
        <w:instrText xml:space="preserve"> HYPERLINK \l "_Toc25301" </w:instrText>
      </w:r>
      <w:r>
        <w:rPr>
          <w:color w:val="auto"/>
          <w:highlight w:val="none"/>
        </w:rPr>
        <w:fldChar w:fldCharType="separate"/>
      </w:r>
      <w:r>
        <w:rPr>
          <w:rFonts w:hint="eastAsia" w:ascii="宋体" w:hAnsi="宋体" w:cs="宋体"/>
          <w:color w:val="auto"/>
          <w:szCs w:val="24"/>
          <w:highlight w:val="none"/>
        </w:rPr>
        <w:t>可选办法七（适合综合评分法四，技术标与经济标同时开启）</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_Toc25301 \h </w:instrText>
      </w:r>
      <w:r>
        <w:rPr>
          <w:rFonts w:hint="eastAsia" w:ascii="宋体" w:hAnsi="宋体" w:cs="宋体"/>
          <w:color w:val="auto"/>
          <w:highlight w:val="none"/>
        </w:rPr>
        <w:fldChar w:fldCharType="separate"/>
      </w:r>
      <w:r>
        <w:rPr>
          <w:rFonts w:hint="eastAsia" w:ascii="宋体" w:hAnsi="宋体" w:cs="宋体"/>
          <w:color w:val="auto"/>
          <w:highlight w:val="none"/>
        </w:rPr>
        <w:t>40</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29"/>
        <w:tabs>
          <w:tab w:val="right" w:leader="dot" w:pos="9070"/>
          <w:tab w:val="clear" w:pos="9060"/>
        </w:tabs>
        <w:rPr>
          <w:rFonts w:cs="宋体"/>
          <w:color w:val="auto"/>
          <w:highlight w:val="none"/>
        </w:rPr>
      </w:pPr>
      <w:r>
        <w:rPr>
          <w:color w:val="auto"/>
          <w:highlight w:val="none"/>
        </w:rPr>
        <w:fldChar w:fldCharType="begin"/>
      </w:r>
      <w:r>
        <w:rPr>
          <w:color w:val="auto"/>
          <w:highlight w:val="none"/>
        </w:rPr>
        <w:instrText xml:space="preserve"> HYPERLINK \l "_Toc14934" </w:instrText>
      </w:r>
      <w:r>
        <w:rPr>
          <w:color w:val="auto"/>
          <w:highlight w:val="none"/>
        </w:rPr>
        <w:fldChar w:fldCharType="separate"/>
      </w:r>
      <w:r>
        <w:rPr>
          <w:rFonts w:hint="eastAsia" w:cs="宋体"/>
          <w:color w:val="auto"/>
          <w:highlight w:val="none"/>
        </w:rPr>
        <w:t>第三章  合同条款</w:t>
      </w:r>
      <w:r>
        <w:rPr>
          <w:rFonts w:hint="eastAsia" w:cs="宋体"/>
          <w:color w:val="auto"/>
          <w:highlight w:val="none"/>
        </w:rPr>
        <w:tab/>
      </w:r>
      <w:r>
        <w:rPr>
          <w:rFonts w:hint="eastAsia" w:cs="宋体"/>
          <w:color w:val="auto"/>
          <w:highlight w:val="none"/>
        </w:rPr>
        <w:fldChar w:fldCharType="begin"/>
      </w:r>
      <w:r>
        <w:rPr>
          <w:rFonts w:hint="eastAsia" w:cs="宋体"/>
          <w:color w:val="auto"/>
          <w:highlight w:val="none"/>
        </w:rPr>
        <w:instrText xml:space="preserve"> PAGEREF _Toc14934 \h </w:instrText>
      </w:r>
      <w:r>
        <w:rPr>
          <w:rFonts w:hint="eastAsia" w:cs="宋体"/>
          <w:color w:val="auto"/>
          <w:highlight w:val="none"/>
        </w:rPr>
        <w:fldChar w:fldCharType="separate"/>
      </w:r>
      <w:r>
        <w:rPr>
          <w:rFonts w:hint="eastAsia" w:cs="宋体"/>
          <w:color w:val="auto"/>
          <w:highlight w:val="none"/>
        </w:rPr>
        <w:t>60</w:t>
      </w:r>
      <w:r>
        <w:rPr>
          <w:rFonts w:hint="eastAsia" w:cs="宋体"/>
          <w:color w:val="auto"/>
          <w:highlight w:val="none"/>
        </w:rPr>
        <w:fldChar w:fldCharType="end"/>
      </w:r>
      <w:r>
        <w:rPr>
          <w:rFonts w:hint="eastAsia" w:cs="宋体"/>
          <w:color w:val="auto"/>
          <w:highlight w:val="none"/>
        </w:rPr>
        <w:fldChar w:fldCharType="end"/>
      </w:r>
    </w:p>
    <w:p>
      <w:pPr>
        <w:pStyle w:val="29"/>
        <w:tabs>
          <w:tab w:val="right" w:leader="dot" w:pos="9070"/>
          <w:tab w:val="clear" w:pos="9060"/>
        </w:tabs>
        <w:rPr>
          <w:rFonts w:cs="宋体"/>
          <w:color w:val="auto"/>
          <w:highlight w:val="none"/>
        </w:rPr>
      </w:pPr>
      <w:r>
        <w:rPr>
          <w:color w:val="auto"/>
          <w:highlight w:val="none"/>
        </w:rPr>
        <w:fldChar w:fldCharType="begin"/>
      </w:r>
      <w:r>
        <w:rPr>
          <w:color w:val="auto"/>
          <w:highlight w:val="none"/>
        </w:rPr>
        <w:instrText xml:space="preserve"> HYPERLINK \l "_Toc12630" </w:instrText>
      </w:r>
      <w:r>
        <w:rPr>
          <w:color w:val="auto"/>
          <w:highlight w:val="none"/>
        </w:rPr>
        <w:fldChar w:fldCharType="separate"/>
      </w:r>
      <w:r>
        <w:rPr>
          <w:rFonts w:hint="eastAsia" w:cs="宋体"/>
          <w:color w:val="auto"/>
          <w:highlight w:val="none"/>
        </w:rPr>
        <w:t>第四章  投标文件格式</w:t>
      </w:r>
      <w:r>
        <w:rPr>
          <w:rFonts w:hint="eastAsia" w:cs="宋体"/>
          <w:color w:val="auto"/>
          <w:highlight w:val="none"/>
        </w:rPr>
        <w:tab/>
      </w:r>
      <w:r>
        <w:rPr>
          <w:rFonts w:hint="eastAsia" w:cs="宋体"/>
          <w:color w:val="auto"/>
          <w:highlight w:val="none"/>
        </w:rPr>
        <w:t xml:space="preserve"> </w:t>
      </w:r>
      <w:r>
        <w:rPr>
          <w:rFonts w:hint="eastAsia" w:cs="宋体"/>
          <w:color w:val="auto"/>
          <w:highlight w:val="none"/>
        </w:rPr>
        <w:fldChar w:fldCharType="begin"/>
      </w:r>
      <w:r>
        <w:rPr>
          <w:rFonts w:hint="eastAsia" w:cs="宋体"/>
          <w:color w:val="auto"/>
          <w:highlight w:val="none"/>
        </w:rPr>
        <w:instrText xml:space="preserve"> PAGEREF _Toc12630 \h </w:instrText>
      </w:r>
      <w:r>
        <w:rPr>
          <w:rFonts w:hint="eastAsia" w:cs="宋体"/>
          <w:color w:val="auto"/>
          <w:highlight w:val="none"/>
        </w:rPr>
        <w:fldChar w:fldCharType="separate"/>
      </w:r>
      <w:r>
        <w:rPr>
          <w:rFonts w:hint="eastAsia" w:cs="宋体"/>
          <w:color w:val="auto"/>
          <w:highlight w:val="none"/>
        </w:rPr>
        <w:t>61</w:t>
      </w:r>
      <w:r>
        <w:rPr>
          <w:rFonts w:hint="eastAsia" w:cs="宋体"/>
          <w:color w:val="auto"/>
          <w:highlight w:val="none"/>
        </w:rPr>
        <w:fldChar w:fldCharType="end"/>
      </w:r>
      <w:r>
        <w:rPr>
          <w:rFonts w:hint="eastAsia" w:cs="宋体"/>
          <w:color w:val="auto"/>
          <w:highlight w:val="none"/>
        </w:rPr>
        <w:fldChar w:fldCharType="end"/>
      </w:r>
    </w:p>
    <w:p>
      <w:pPr>
        <w:pStyle w:val="29"/>
        <w:tabs>
          <w:tab w:val="right" w:leader="dot" w:pos="9070"/>
          <w:tab w:val="clear" w:pos="9060"/>
        </w:tabs>
        <w:rPr>
          <w:rFonts w:cs="宋体"/>
          <w:color w:val="auto"/>
          <w:highlight w:val="none"/>
        </w:rPr>
      </w:pPr>
      <w:r>
        <w:rPr>
          <w:color w:val="auto"/>
          <w:highlight w:val="none"/>
        </w:rPr>
        <w:fldChar w:fldCharType="begin"/>
      </w:r>
      <w:r>
        <w:rPr>
          <w:color w:val="auto"/>
          <w:highlight w:val="none"/>
        </w:rPr>
        <w:instrText xml:space="preserve"> HYPERLINK \l "_Toc22889" </w:instrText>
      </w:r>
      <w:r>
        <w:rPr>
          <w:color w:val="auto"/>
          <w:highlight w:val="none"/>
        </w:rPr>
        <w:fldChar w:fldCharType="separate"/>
      </w:r>
      <w:r>
        <w:rPr>
          <w:rFonts w:hint="eastAsia" w:cs="宋体"/>
          <w:color w:val="auto"/>
          <w:highlight w:val="none"/>
        </w:rPr>
        <w:t>第五章  技术条件（工程建设标准）</w:t>
      </w:r>
      <w:r>
        <w:rPr>
          <w:rFonts w:hint="eastAsia" w:cs="宋体"/>
          <w:color w:val="auto"/>
          <w:highlight w:val="none"/>
        </w:rPr>
        <w:tab/>
      </w:r>
      <w:r>
        <w:rPr>
          <w:rFonts w:hint="eastAsia" w:cs="宋体"/>
          <w:color w:val="auto"/>
          <w:highlight w:val="none"/>
        </w:rPr>
        <w:fldChar w:fldCharType="begin"/>
      </w:r>
      <w:r>
        <w:rPr>
          <w:rFonts w:hint="eastAsia" w:cs="宋体"/>
          <w:color w:val="auto"/>
          <w:highlight w:val="none"/>
        </w:rPr>
        <w:instrText xml:space="preserve"> PAGEREF _Toc22889 \h </w:instrText>
      </w:r>
      <w:r>
        <w:rPr>
          <w:rFonts w:hint="eastAsia" w:cs="宋体"/>
          <w:color w:val="auto"/>
          <w:highlight w:val="none"/>
        </w:rPr>
        <w:fldChar w:fldCharType="separate"/>
      </w:r>
      <w:r>
        <w:rPr>
          <w:rFonts w:hint="eastAsia" w:cs="宋体"/>
          <w:color w:val="auto"/>
          <w:highlight w:val="none"/>
        </w:rPr>
        <w:t>88</w:t>
      </w:r>
      <w:r>
        <w:rPr>
          <w:rFonts w:hint="eastAsia" w:cs="宋体"/>
          <w:color w:val="auto"/>
          <w:highlight w:val="none"/>
        </w:rPr>
        <w:fldChar w:fldCharType="end"/>
      </w:r>
      <w:r>
        <w:rPr>
          <w:rFonts w:hint="eastAsia" w:cs="宋体"/>
          <w:color w:val="auto"/>
          <w:highlight w:val="none"/>
        </w:rPr>
        <w:fldChar w:fldCharType="end"/>
      </w:r>
    </w:p>
    <w:p>
      <w:pPr>
        <w:pStyle w:val="29"/>
        <w:tabs>
          <w:tab w:val="right" w:leader="dot" w:pos="9070"/>
          <w:tab w:val="clear" w:pos="9060"/>
        </w:tabs>
        <w:rPr>
          <w:rFonts w:cs="宋体"/>
          <w:color w:val="auto"/>
          <w:highlight w:val="none"/>
        </w:rPr>
      </w:pPr>
      <w:r>
        <w:rPr>
          <w:color w:val="auto"/>
          <w:highlight w:val="none"/>
        </w:rPr>
        <w:fldChar w:fldCharType="begin"/>
      </w:r>
      <w:r>
        <w:rPr>
          <w:color w:val="auto"/>
          <w:highlight w:val="none"/>
        </w:rPr>
        <w:instrText xml:space="preserve"> HYPERLINK \l "_Toc17006" </w:instrText>
      </w:r>
      <w:r>
        <w:rPr>
          <w:color w:val="auto"/>
          <w:highlight w:val="none"/>
        </w:rPr>
        <w:fldChar w:fldCharType="separate"/>
      </w:r>
      <w:r>
        <w:rPr>
          <w:rFonts w:hint="eastAsia" w:cs="宋体"/>
          <w:color w:val="auto"/>
          <w:highlight w:val="none"/>
        </w:rPr>
        <w:t>第六章  图纸及勘察资料</w:t>
      </w:r>
      <w:r>
        <w:rPr>
          <w:rFonts w:hint="eastAsia" w:cs="宋体"/>
          <w:color w:val="auto"/>
          <w:highlight w:val="none"/>
        </w:rPr>
        <w:tab/>
      </w:r>
      <w:r>
        <w:rPr>
          <w:rFonts w:hint="eastAsia" w:cs="宋体"/>
          <w:color w:val="auto"/>
          <w:highlight w:val="none"/>
        </w:rPr>
        <w:fldChar w:fldCharType="begin"/>
      </w:r>
      <w:r>
        <w:rPr>
          <w:rFonts w:hint="eastAsia" w:cs="宋体"/>
          <w:color w:val="auto"/>
          <w:highlight w:val="none"/>
        </w:rPr>
        <w:instrText xml:space="preserve"> PAGEREF _Toc17006 \h </w:instrText>
      </w:r>
      <w:r>
        <w:rPr>
          <w:rFonts w:hint="eastAsia" w:cs="宋体"/>
          <w:color w:val="auto"/>
          <w:highlight w:val="none"/>
        </w:rPr>
        <w:fldChar w:fldCharType="separate"/>
      </w:r>
      <w:r>
        <w:rPr>
          <w:rFonts w:hint="eastAsia" w:cs="宋体"/>
          <w:color w:val="auto"/>
          <w:highlight w:val="none"/>
        </w:rPr>
        <w:t>102</w:t>
      </w:r>
      <w:r>
        <w:rPr>
          <w:rFonts w:hint="eastAsia" w:cs="宋体"/>
          <w:color w:val="auto"/>
          <w:highlight w:val="none"/>
        </w:rPr>
        <w:fldChar w:fldCharType="end"/>
      </w:r>
      <w:r>
        <w:rPr>
          <w:rFonts w:hint="eastAsia" w:cs="宋体"/>
          <w:color w:val="auto"/>
          <w:highlight w:val="none"/>
        </w:rPr>
        <w:fldChar w:fldCharType="end"/>
      </w:r>
    </w:p>
    <w:p>
      <w:pPr>
        <w:pStyle w:val="29"/>
        <w:tabs>
          <w:tab w:val="right" w:leader="dot" w:pos="9070"/>
          <w:tab w:val="clear" w:pos="9060"/>
        </w:tabs>
        <w:rPr>
          <w:rFonts w:cs="宋体"/>
          <w:color w:val="auto"/>
          <w:highlight w:val="none"/>
        </w:rPr>
      </w:pPr>
      <w:r>
        <w:rPr>
          <w:color w:val="auto"/>
          <w:highlight w:val="none"/>
        </w:rPr>
        <w:fldChar w:fldCharType="begin"/>
      </w:r>
      <w:r>
        <w:rPr>
          <w:color w:val="auto"/>
          <w:highlight w:val="none"/>
        </w:rPr>
        <w:instrText xml:space="preserve"> HYPERLINK \l "_Toc2247" </w:instrText>
      </w:r>
      <w:r>
        <w:rPr>
          <w:color w:val="auto"/>
          <w:highlight w:val="none"/>
        </w:rPr>
        <w:fldChar w:fldCharType="separate"/>
      </w:r>
      <w:r>
        <w:rPr>
          <w:rFonts w:hint="eastAsia" w:cs="宋体"/>
          <w:color w:val="auto"/>
          <w:highlight w:val="none"/>
        </w:rPr>
        <w:t>第七章  工程量清单</w:t>
      </w:r>
      <w:r>
        <w:rPr>
          <w:rFonts w:hint="eastAsia" w:cs="宋体"/>
          <w:color w:val="auto"/>
          <w:highlight w:val="none"/>
        </w:rPr>
        <w:tab/>
      </w:r>
      <w:r>
        <w:rPr>
          <w:rFonts w:hint="eastAsia" w:cs="宋体"/>
          <w:color w:val="auto"/>
          <w:highlight w:val="none"/>
        </w:rPr>
        <w:fldChar w:fldCharType="begin"/>
      </w:r>
      <w:r>
        <w:rPr>
          <w:rFonts w:hint="eastAsia" w:cs="宋体"/>
          <w:color w:val="auto"/>
          <w:highlight w:val="none"/>
        </w:rPr>
        <w:instrText xml:space="preserve"> PAGEREF _Toc2247 \h </w:instrText>
      </w:r>
      <w:r>
        <w:rPr>
          <w:rFonts w:hint="eastAsia" w:cs="宋体"/>
          <w:color w:val="auto"/>
          <w:highlight w:val="none"/>
        </w:rPr>
        <w:fldChar w:fldCharType="separate"/>
      </w:r>
      <w:r>
        <w:rPr>
          <w:rFonts w:hint="eastAsia" w:cs="宋体"/>
          <w:color w:val="auto"/>
          <w:highlight w:val="none"/>
        </w:rPr>
        <w:t>103</w:t>
      </w:r>
      <w:r>
        <w:rPr>
          <w:rFonts w:hint="eastAsia" w:cs="宋体"/>
          <w:color w:val="auto"/>
          <w:highlight w:val="none"/>
        </w:rPr>
        <w:fldChar w:fldCharType="end"/>
      </w:r>
      <w:r>
        <w:rPr>
          <w:rFonts w:hint="eastAsia" w:cs="宋体"/>
          <w:color w:val="auto"/>
          <w:highlight w:val="none"/>
        </w:rPr>
        <w:fldChar w:fldCharType="end"/>
      </w:r>
    </w:p>
    <w:p>
      <w:pPr>
        <w:pStyle w:val="29"/>
        <w:tabs>
          <w:tab w:val="right" w:leader="dot" w:pos="9070"/>
          <w:tab w:val="clear" w:pos="9060"/>
        </w:tabs>
        <w:rPr>
          <w:rFonts w:cs="宋体"/>
          <w:color w:val="auto"/>
          <w:highlight w:val="none"/>
        </w:rPr>
      </w:pPr>
      <w:r>
        <w:rPr>
          <w:color w:val="auto"/>
          <w:highlight w:val="none"/>
        </w:rPr>
        <w:fldChar w:fldCharType="begin"/>
      </w:r>
      <w:r>
        <w:rPr>
          <w:color w:val="auto"/>
          <w:highlight w:val="none"/>
        </w:rPr>
        <w:instrText xml:space="preserve"> HYPERLINK \l "_Toc10163" </w:instrText>
      </w:r>
      <w:r>
        <w:rPr>
          <w:color w:val="auto"/>
          <w:highlight w:val="none"/>
        </w:rPr>
        <w:fldChar w:fldCharType="separate"/>
      </w:r>
      <w:r>
        <w:rPr>
          <w:rFonts w:hint="eastAsia" w:cs="宋体"/>
          <w:color w:val="auto"/>
          <w:highlight w:val="none"/>
        </w:rPr>
        <w:t>第八章  最高投标限价</w:t>
      </w:r>
      <w:r>
        <w:rPr>
          <w:rFonts w:hint="eastAsia" w:cs="宋体"/>
          <w:color w:val="auto"/>
          <w:highlight w:val="none"/>
        </w:rPr>
        <w:tab/>
      </w:r>
      <w:r>
        <w:rPr>
          <w:rFonts w:hint="eastAsia" w:cs="宋体"/>
          <w:color w:val="auto"/>
          <w:highlight w:val="none"/>
        </w:rPr>
        <w:fldChar w:fldCharType="begin"/>
      </w:r>
      <w:r>
        <w:rPr>
          <w:rFonts w:hint="eastAsia" w:cs="宋体"/>
          <w:color w:val="auto"/>
          <w:highlight w:val="none"/>
        </w:rPr>
        <w:instrText xml:space="preserve"> PAGEREF _Toc10163 \h </w:instrText>
      </w:r>
      <w:r>
        <w:rPr>
          <w:rFonts w:hint="eastAsia" w:cs="宋体"/>
          <w:color w:val="auto"/>
          <w:highlight w:val="none"/>
        </w:rPr>
        <w:fldChar w:fldCharType="separate"/>
      </w:r>
      <w:r>
        <w:rPr>
          <w:rFonts w:hint="eastAsia" w:cs="宋体"/>
          <w:color w:val="auto"/>
          <w:highlight w:val="none"/>
        </w:rPr>
        <w:t>104</w:t>
      </w:r>
      <w:r>
        <w:rPr>
          <w:rFonts w:hint="eastAsia" w:cs="宋体"/>
          <w:color w:val="auto"/>
          <w:highlight w:val="none"/>
        </w:rPr>
        <w:fldChar w:fldCharType="end"/>
      </w:r>
      <w:r>
        <w:rPr>
          <w:rFonts w:hint="eastAsia" w:cs="宋体"/>
          <w:color w:val="auto"/>
          <w:highlight w:val="none"/>
        </w:rPr>
        <w:fldChar w:fldCharType="end"/>
      </w:r>
    </w:p>
    <w:p>
      <w:pPr>
        <w:pStyle w:val="3"/>
        <w:rPr>
          <w:rFonts w:ascii="宋体" w:hAnsi="宋体" w:cs="宋体"/>
          <w:color w:val="auto"/>
          <w:highlight w:val="none"/>
        </w:rPr>
      </w:pPr>
      <w:r>
        <w:rPr>
          <w:rFonts w:hint="eastAsia" w:ascii="宋体" w:hAnsi="宋体" w:cs="宋体"/>
          <w:color w:val="auto"/>
          <w:highlight w:val="none"/>
        </w:rPr>
        <w:fldChar w:fldCharType="end"/>
      </w:r>
    </w:p>
    <w:p>
      <w:pPr>
        <w:pStyle w:val="3"/>
        <w:rPr>
          <w:rFonts w:ascii="宋体" w:hAnsi="宋体" w:cs="宋体"/>
          <w:color w:val="auto"/>
          <w:highlight w:val="none"/>
        </w:rPr>
      </w:pPr>
    </w:p>
    <w:p>
      <w:pPr>
        <w:pStyle w:val="3"/>
        <w:rPr>
          <w:rFonts w:ascii="宋体" w:hAnsi="宋体" w:cs="宋体"/>
          <w:color w:val="auto"/>
          <w:highlight w:val="none"/>
        </w:rPr>
      </w:pPr>
    </w:p>
    <w:p>
      <w:pPr>
        <w:pStyle w:val="3"/>
        <w:rPr>
          <w:rFonts w:ascii="宋体" w:hAnsi="宋体" w:cs="宋体"/>
          <w:color w:val="auto"/>
          <w:highlight w:val="none"/>
        </w:rPr>
      </w:pPr>
      <w:r>
        <w:rPr>
          <w:rFonts w:hint="eastAsia" w:ascii="宋体" w:hAnsi="宋体" w:cs="宋体"/>
          <w:color w:val="auto"/>
          <w:highlight w:val="none"/>
        </w:rPr>
        <w:br w:type="page"/>
      </w:r>
      <w:bookmarkStart w:id="0" w:name="_Toc29999"/>
      <w:r>
        <w:rPr>
          <w:rFonts w:hint="eastAsia" w:ascii="宋体" w:hAnsi="宋体" w:cs="宋体"/>
          <w:color w:val="auto"/>
          <w:highlight w:val="none"/>
        </w:rPr>
        <w:t>第一章  投标须知</w:t>
      </w:r>
      <w:bookmarkEnd w:id="0"/>
    </w:p>
    <w:p>
      <w:pPr>
        <w:pStyle w:val="7"/>
        <w:rPr>
          <w:rFonts w:ascii="宋体" w:hAnsi="宋体" w:cs="宋体"/>
          <w:color w:val="auto"/>
          <w:highlight w:val="none"/>
        </w:rPr>
      </w:pPr>
      <w:bookmarkStart w:id="1" w:name="_Toc3951"/>
      <w:r>
        <w:rPr>
          <w:rFonts w:hint="eastAsia" w:ascii="宋体" w:hAnsi="宋体" w:cs="宋体"/>
          <w:color w:val="auto"/>
          <w:highlight w:val="none"/>
        </w:rPr>
        <w:t>一、投标须知前附表</w:t>
      </w:r>
      <w:bookmarkEnd w:id="1"/>
    </w:p>
    <w:p>
      <w:pPr>
        <w:pStyle w:val="8"/>
        <w:spacing w:line="360" w:lineRule="auto"/>
        <w:ind w:firstLine="0"/>
        <w:rPr>
          <w:rFonts w:ascii="宋体" w:hAnsi="宋体" w:cs="宋体"/>
          <w:b/>
          <w:color w:val="auto"/>
          <w:sz w:val="24"/>
          <w:szCs w:val="24"/>
          <w:highlight w:val="none"/>
        </w:rPr>
      </w:pPr>
      <w:r>
        <w:rPr>
          <w:rFonts w:hint="eastAsia" w:ascii="宋体" w:hAnsi="宋体" w:cs="宋体"/>
          <w:b/>
          <w:color w:val="auto"/>
          <w:sz w:val="24"/>
          <w:szCs w:val="24"/>
          <w:highlight w:val="none"/>
        </w:rPr>
        <w:t>声明：本投标须知前附表使用GZZB2018-3招标文件范本，与范本不同之处均以下划线标明，所有标明下划线部分属于本表的组成部分，同其他部分具有同样的效力。对范本《投标须知通用条款》和《开标、评标和定标办法通用条款》可选择部分的选择使用，均已在本表中注明，通用条款可选择部分中未被本投标须知前附表选择的部分无效。</w:t>
      </w:r>
    </w:p>
    <w:tbl>
      <w:tblPr>
        <w:tblStyle w:val="39"/>
        <w:tblW w:w="9350"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887"/>
        <w:gridCol w:w="1713"/>
        <w:gridCol w:w="604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66" w:hRule="atLeast"/>
          <w:tblHeader/>
        </w:trPr>
        <w:tc>
          <w:tcPr>
            <w:tcW w:w="702" w:type="dxa"/>
            <w:tcBorders>
              <w:top w:val="double" w:color="auto" w:sz="4" w:space="0"/>
              <w:left w:val="doub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项目</w:t>
            </w:r>
          </w:p>
        </w:tc>
        <w:tc>
          <w:tcPr>
            <w:tcW w:w="887" w:type="dxa"/>
            <w:tcBorders>
              <w:top w:val="doub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条款号</w:t>
            </w:r>
          </w:p>
        </w:tc>
        <w:tc>
          <w:tcPr>
            <w:tcW w:w="1713" w:type="dxa"/>
            <w:tcBorders>
              <w:top w:val="double" w:color="auto" w:sz="4" w:space="0"/>
              <w:left w:val="single" w:color="auto" w:sz="4" w:space="0"/>
              <w:bottom w:val="single" w:color="auto" w:sz="4" w:space="0"/>
              <w:right w:val="single" w:color="auto" w:sz="4" w:space="0"/>
            </w:tcBorders>
            <w:vAlign w:val="center"/>
          </w:tcPr>
          <w:p>
            <w:pPr>
              <w:ind w:firstLine="458"/>
              <w:rPr>
                <w:rFonts w:ascii="宋体" w:hAnsi="宋体" w:cs="宋体"/>
                <w:color w:val="auto"/>
                <w:szCs w:val="21"/>
                <w:highlight w:val="none"/>
              </w:rPr>
            </w:pPr>
            <w:r>
              <w:rPr>
                <w:rFonts w:hint="eastAsia" w:ascii="宋体" w:hAnsi="宋体" w:cs="宋体"/>
                <w:color w:val="auto"/>
                <w:szCs w:val="21"/>
                <w:highlight w:val="none"/>
              </w:rPr>
              <w:t>内容</w:t>
            </w:r>
          </w:p>
        </w:tc>
        <w:tc>
          <w:tcPr>
            <w:tcW w:w="6048" w:type="dxa"/>
            <w:tcBorders>
              <w:top w:val="double" w:color="auto" w:sz="4" w:space="0"/>
              <w:left w:val="single" w:color="auto" w:sz="4" w:space="0"/>
              <w:bottom w:val="single" w:color="auto" w:sz="4" w:space="0"/>
              <w:right w:val="double" w:color="auto" w:sz="4" w:space="0"/>
            </w:tcBorders>
            <w:vAlign w:val="center"/>
          </w:tcPr>
          <w:p>
            <w:pPr>
              <w:pStyle w:val="23"/>
              <w:ind w:firstLine="458"/>
              <w:jc w:val="center"/>
              <w:rPr>
                <w:rFonts w:ascii="宋体" w:hAnsi="宋体" w:cs="宋体"/>
                <w:color w:val="auto"/>
                <w:kern w:val="2"/>
                <w:sz w:val="21"/>
                <w:szCs w:val="21"/>
                <w:highlight w:val="none"/>
              </w:rPr>
            </w:pPr>
            <w:r>
              <w:rPr>
                <w:rFonts w:hint="eastAsia" w:ascii="宋体" w:hAnsi="宋体" w:cs="宋体"/>
                <w:color w:val="auto"/>
                <w:kern w:val="2"/>
                <w:sz w:val="21"/>
                <w:szCs w:val="21"/>
                <w:highlight w:val="none"/>
              </w:rPr>
              <w:t>说明与要求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304"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1</w:t>
            </w:r>
          </w:p>
        </w:tc>
        <w:tc>
          <w:tcPr>
            <w:tcW w:w="88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1</w:t>
            </w:r>
          </w:p>
        </w:tc>
        <w:tc>
          <w:tcPr>
            <w:tcW w:w="171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定义</w:t>
            </w:r>
          </w:p>
        </w:tc>
        <w:tc>
          <w:tcPr>
            <w:tcW w:w="6048" w:type="dxa"/>
            <w:tcBorders>
              <w:top w:val="single" w:color="auto" w:sz="4" w:space="0"/>
              <w:left w:val="single" w:color="auto" w:sz="4" w:space="0"/>
              <w:bottom w:val="single" w:color="auto" w:sz="4" w:space="0"/>
              <w:right w:val="doub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招标人（即发包人）：</w:t>
            </w:r>
            <w:r>
              <w:rPr>
                <w:rFonts w:hint="eastAsia" w:ascii="宋体" w:hAnsi="宋体" w:cs="宋体"/>
                <w:color w:val="auto"/>
                <w:szCs w:val="21"/>
                <w:highlight w:val="none"/>
                <w:u w:val="single"/>
              </w:rPr>
              <w:t>广东省科学院</w:t>
            </w:r>
          </w:p>
          <w:p>
            <w:pPr>
              <w:rPr>
                <w:rFonts w:ascii="宋体" w:hAnsi="宋体" w:cs="宋体"/>
                <w:color w:val="auto"/>
                <w:szCs w:val="21"/>
                <w:highlight w:val="none"/>
              </w:rPr>
            </w:pPr>
            <w:r>
              <w:rPr>
                <w:rFonts w:hint="eastAsia" w:ascii="宋体" w:hAnsi="宋体" w:cs="宋体"/>
                <w:color w:val="auto"/>
                <w:szCs w:val="21"/>
                <w:highlight w:val="none"/>
              </w:rPr>
              <w:t>招标代理：</w:t>
            </w:r>
            <w:r>
              <w:rPr>
                <w:rFonts w:hint="eastAsia" w:ascii="宋体" w:hAnsi="宋体" w:cs="宋体"/>
                <w:color w:val="auto"/>
                <w:szCs w:val="21"/>
                <w:highlight w:val="none"/>
                <w:u w:val="single"/>
              </w:rPr>
              <w:t>广州市国科招标代理有限公司</w:t>
            </w:r>
          </w:p>
          <w:p>
            <w:pPr>
              <w:rPr>
                <w:rFonts w:ascii="宋体" w:hAnsi="宋体" w:cs="宋体"/>
                <w:color w:val="auto"/>
                <w:szCs w:val="21"/>
                <w:highlight w:val="none"/>
              </w:rPr>
            </w:pPr>
            <w:r>
              <w:rPr>
                <w:rFonts w:hint="eastAsia" w:ascii="宋体" w:hAnsi="宋体" w:cs="宋体"/>
                <w:color w:val="auto"/>
                <w:szCs w:val="21"/>
                <w:highlight w:val="none"/>
              </w:rPr>
              <w:t>设计单位：</w:t>
            </w:r>
            <w:r>
              <w:rPr>
                <w:rFonts w:hint="eastAsia"/>
                <w:color w:val="auto"/>
                <w:highlight w:val="none"/>
                <w:u w:val="single"/>
              </w:rPr>
              <w:t>广东建筑艺术设计院有限公司</w:t>
            </w:r>
          </w:p>
          <w:p>
            <w:pPr>
              <w:rPr>
                <w:rFonts w:ascii="宋体" w:hAnsi="宋体" w:cs="宋体"/>
                <w:color w:val="auto"/>
                <w:szCs w:val="21"/>
                <w:highlight w:val="none"/>
              </w:rPr>
            </w:pPr>
            <w:r>
              <w:rPr>
                <w:rFonts w:hint="eastAsia" w:ascii="宋体" w:hAnsi="宋体" w:cs="宋体"/>
                <w:color w:val="auto"/>
                <w:szCs w:val="21"/>
                <w:highlight w:val="none"/>
              </w:rPr>
              <w:t>监理单位：</w:t>
            </w:r>
            <w:r>
              <w:rPr>
                <w:rFonts w:hint="eastAsia" w:ascii="宋体" w:hAnsi="宋体" w:cs="宋体"/>
                <w:color w:val="auto"/>
                <w:szCs w:val="21"/>
                <w:highlight w:val="none"/>
                <w:u w:val="single"/>
              </w:rPr>
              <w:t xml:space="preserve">     /    </w:t>
            </w:r>
          </w:p>
          <w:p>
            <w:pPr>
              <w:rPr>
                <w:rFonts w:ascii="宋体" w:hAnsi="宋体" w:cs="宋体"/>
                <w:color w:val="auto"/>
                <w:szCs w:val="21"/>
                <w:highlight w:val="none"/>
              </w:rPr>
            </w:pPr>
            <w:r>
              <w:rPr>
                <w:rFonts w:hint="eastAsia" w:ascii="宋体" w:hAnsi="宋体" w:cs="宋体"/>
                <w:color w:val="auto"/>
                <w:szCs w:val="21"/>
                <w:highlight w:val="none"/>
              </w:rPr>
              <w:t>检测机构：</w:t>
            </w:r>
            <w:r>
              <w:rPr>
                <w:rFonts w:hint="eastAsia" w:ascii="宋体" w:hAnsi="宋体" w:cs="宋体"/>
                <w:color w:val="auto"/>
                <w:szCs w:val="21"/>
                <w:highlight w:val="none"/>
                <w:u w:val="single"/>
              </w:rPr>
              <w:t xml:space="preserve">    /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2</w:t>
            </w:r>
          </w:p>
        </w:tc>
        <w:tc>
          <w:tcPr>
            <w:tcW w:w="88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2.2</w:t>
            </w:r>
          </w:p>
        </w:tc>
        <w:tc>
          <w:tcPr>
            <w:tcW w:w="171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工程名称</w:t>
            </w:r>
          </w:p>
        </w:tc>
        <w:tc>
          <w:tcPr>
            <w:tcW w:w="6048" w:type="dxa"/>
            <w:tcBorders>
              <w:top w:val="single" w:color="auto" w:sz="4" w:space="0"/>
              <w:left w:val="single" w:color="auto" w:sz="4" w:space="0"/>
              <w:bottom w:val="single" w:color="auto" w:sz="4" w:space="0"/>
              <w:right w:val="double" w:color="auto" w:sz="4" w:space="0"/>
            </w:tcBorders>
            <w:vAlign w:val="center"/>
          </w:tcPr>
          <w:p>
            <w:pPr>
              <w:rPr>
                <w:rFonts w:ascii="宋体" w:hAnsi="宋体" w:cs="宋体"/>
                <w:color w:val="auto"/>
                <w:szCs w:val="21"/>
                <w:highlight w:val="none"/>
                <w:u w:val="single"/>
              </w:rPr>
            </w:pPr>
            <w:r>
              <w:rPr>
                <w:rFonts w:hint="eastAsia" w:ascii="宋体" w:hAnsi="宋体" w:cs="宋体"/>
                <w:color w:val="auto"/>
                <w:szCs w:val="21"/>
                <w:highlight w:val="none"/>
                <w:u w:val="single"/>
              </w:rPr>
              <w:t>广东省科学院长兴科创园集体宿舍项目施工总承包</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3</w:t>
            </w:r>
          </w:p>
        </w:tc>
        <w:tc>
          <w:tcPr>
            <w:tcW w:w="88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2.2</w:t>
            </w:r>
          </w:p>
        </w:tc>
        <w:tc>
          <w:tcPr>
            <w:tcW w:w="171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建设地点</w:t>
            </w:r>
          </w:p>
        </w:tc>
        <w:tc>
          <w:tcPr>
            <w:tcW w:w="6048" w:type="dxa"/>
            <w:tcBorders>
              <w:top w:val="single" w:color="auto" w:sz="4" w:space="0"/>
              <w:left w:val="single" w:color="auto" w:sz="4" w:space="0"/>
              <w:bottom w:val="single" w:color="auto" w:sz="4" w:space="0"/>
              <w:right w:val="double" w:color="auto" w:sz="4" w:space="0"/>
            </w:tcBorders>
            <w:vAlign w:val="center"/>
          </w:tcPr>
          <w:p>
            <w:pPr>
              <w:rPr>
                <w:rFonts w:ascii="宋体" w:hAnsi="宋体" w:cs="宋体"/>
                <w:color w:val="auto"/>
                <w:szCs w:val="21"/>
                <w:highlight w:val="none"/>
                <w:u w:val="single"/>
              </w:rPr>
            </w:pPr>
            <w:r>
              <w:rPr>
                <w:rFonts w:hint="eastAsia" w:ascii="宋体" w:hAnsi="宋体" w:cs="宋体"/>
                <w:color w:val="auto"/>
                <w:szCs w:val="21"/>
                <w:highlight w:val="none"/>
                <w:u w:val="single"/>
              </w:rPr>
              <w:t>广州市天河区长兴街道长兴路363号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4</w:t>
            </w:r>
          </w:p>
        </w:tc>
        <w:tc>
          <w:tcPr>
            <w:tcW w:w="88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2.2</w:t>
            </w:r>
          </w:p>
        </w:tc>
        <w:tc>
          <w:tcPr>
            <w:tcW w:w="171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建设规模</w:t>
            </w:r>
          </w:p>
        </w:tc>
        <w:tc>
          <w:tcPr>
            <w:tcW w:w="6048" w:type="dxa"/>
            <w:tcBorders>
              <w:top w:val="single" w:color="auto" w:sz="4" w:space="0"/>
              <w:left w:val="single" w:color="auto" w:sz="4" w:space="0"/>
              <w:bottom w:val="single" w:color="auto" w:sz="4" w:space="0"/>
              <w:right w:val="double" w:color="auto" w:sz="4" w:space="0"/>
            </w:tcBorders>
            <w:vAlign w:val="center"/>
          </w:tcPr>
          <w:p>
            <w:pPr>
              <w:rPr>
                <w:rFonts w:ascii="宋体" w:hAnsi="宋体" w:cs="宋体"/>
                <w:color w:val="auto"/>
                <w:szCs w:val="21"/>
                <w:highlight w:val="none"/>
                <w:u w:val="single"/>
              </w:rPr>
            </w:pPr>
            <w:r>
              <w:rPr>
                <w:rFonts w:hint="eastAsia" w:ascii="宋体" w:hAnsi="宋体" w:cs="宋体"/>
                <w:color w:val="auto"/>
                <w:szCs w:val="21"/>
                <w:highlight w:val="none"/>
                <w:u w:val="single"/>
              </w:rPr>
              <w:t>详见本工程招标公告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74"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5</w:t>
            </w:r>
          </w:p>
        </w:tc>
        <w:tc>
          <w:tcPr>
            <w:tcW w:w="88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2.2</w:t>
            </w:r>
          </w:p>
        </w:tc>
        <w:tc>
          <w:tcPr>
            <w:tcW w:w="171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承包方式</w:t>
            </w:r>
          </w:p>
        </w:tc>
        <w:tc>
          <w:tcPr>
            <w:tcW w:w="6048" w:type="dxa"/>
            <w:tcBorders>
              <w:top w:val="single" w:color="auto" w:sz="4" w:space="0"/>
              <w:left w:val="single" w:color="auto" w:sz="4" w:space="0"/>
              <w:bottom w:val="single" w:color="auto" w:sz="4" w:space="0"/>
              <w:right w:val="doub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包工、包料、包工期、包质量、包安全、包文明施工。综合单价包干、项目措施费包干。</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6</w:t>
            </w:r>
          </w:p>
        </w:tc>
        <w:tc>
          <w:tcPr>
            <w:tcW w:w="88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2.2</w:t>
            </w:r>
          </w:p>
        </w:tc>
        <w:tc>
          <w:tcPr>
            <w:tcW w:w="171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质量标准</w:t>
            </w:r>
          </w:p>
        </w:tc>
        <w:tc>
          <w:tcPr>
            <w:tcW w:w="6048" w:type="dxa"/>
            <w:tcBorders>
              <w:top w:val="single" w:color="auto" w:sz="4" w:space="0"/>
              <w:left w:val="single" w:color="auto" w:sz="4" w:space="0"/>
              <w:bottom w:val="single" w:color="auto" w:sz="4" w:space="0"/>
              <w:right w:val="double" w:color="auto" w:sz="4" w:space="0"/>
            </w:tcBorders>
            <w:vAlign w:val="center"/>
          </w:tcPr>
          <w:p>
            <w:pPr>
              <w:rPr>
                <w:rFonts w:ascii="宋体" w:hAnsi="宋体" w:cs="宋体"/>
                <w:color w:val="auto"/>
                <w:szCs w:val="21"/>
                <w:highlight w:val="none"/>
                <w:u w:val="single"/>
              </w:rPr>
            </w:pPr>
            <w:r>
              <w:rPr>
                <w:rFonts w:hint="eastAsia" w:ascii="宋体" w:hAnsi="宋体" w:cs="宋体"/>
                <w:color w:val="auto"/>
                <w:szCs w:val="21"/>
                <w:highlight w:val="none"/>
                <w:u w:val="single"/>
              </w:rPr>
              <w:t>必须符合国家和行业现行质量验收标准（GB50300-2013建筑工程施工质量验收统一标准）和《工程施工质量验收规范》，达到合格工程质量标准。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7</w:t>
            </w:r>
          </w:p>
        </w:tc>
        <w:tc>
          <w:tcPr>
            <w:tcW w:w="88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2.2</w:t>
            </w:r>
          </w:p>
        </w:tc>
        <w:tc>
          <w:tcPr>
            <w:tcW w:w="171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招标范围</w:t>
            </w:r>
          </w:p>
        </w:tc>
        <w:tc>
          <w:tcPr>
            <w:tcW w:w="6048" w:type="dxa"/>
            <w:tcBorders>
              <w:top w:val="single" w:color="auto" w:sz="4" w:space="0"/>
              <w:left w:val="single" w:color="auto" w:sz="4" w:space="0"/>
              <w:bottom w:val="single" w:color="auto" w:sz="4" w:space="0"/>
              <w:right w:val="double" w:color="auto" w:sz="4" w:space="0"/>
            </w:tcBorders>
            <w:vAlign w:val="center"/>
          </w:tcPr>
          <w:p>
            <w:pPr>
              <w:rPr>
                <w:rFonts w:ascii="宋体" w:hAnsi="宋体" w:cs="宋体"/>
                <w:color w:val="auto"/>
                <w:szCs w:val="21"/>
                <w:highlight w:val="none"/>
                <w:u w:val="single"/>
              </w:rPr>
            </w:pPr>
            <w:r>
              <w:rPr>
                <w:rFonts w:hint="eastAsia" w:ascii="宋体" w:hAnsi="宋体" w:cs="宋体"/>
                <w:color w:val="auto"/>
                <w:szCs w:val="21"/>
                <w:highlight w:val="none"/>
                <w:u w:val="single"/>
              </w:rPr>
              <w:t>详见本工程招标公告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92"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8</w:t>
            </w:r>
          </w:p>
        </w:tc>
        <w:tc>
          <w:tcPr>
            <w:tcW w:w="88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2.2</w:t>
            </w:r>
          </w:p>
        </w:tc>
        <w:tc>
          <w:tcPr>
            <w:tcW w:w="171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工期要求</w:t>
            </w:r>
          </w:p>
        </w:tc>
        <w:tc>
          <w:tcPr>
            <w:tcW w:w="6048" w:type="dxa"/>
            <w:tcBorders>
              <w:top w:val="single" w:color="auto" w:sz="4" w:space="0"/>
              <w:left w:val="single" w:color="auto" w:sz="4" w:space="0"/>
              <w:bottom w:val="single" w:color="auto" w:sz="4" w:space="0"/>
              <w:right w:val="double" w:color="auto" w:sz="4" w:space="0"/>
            </w:tcBorders>
            <w:vAlign w:val="center"/>
          </w:tcPr>
          <w:p>
            <w:pPr>
              <w:ind w:hanging="10"/>
              <w:rPr>
                <w:rFonts w:ascii="宋体" w:hAnsi="宋体" w:cs="宋体"/>
                <w:color w:val="auto"/>
                <w:szCs w:val="21"/>
                <w:highlight w:val="none"/>
              </w:rPr>
            </w:pPr>
            <w:r>
              <w:rPr>
                <w:rFonts w:hint="eastAsia" w:ascii="宋体" w:hAnsi="宋体" w:cs="宋体"/>
                <w:color w:val="auto"/>
                <w:szCs w:val="21"/>
                <w:highlight w:val="none"/>
              </w:rPr>
              <w:t>施工总期：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350</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日历天</w:t>
            </w:r>
            <w:r>
              <w:rPr>
                <w:rFonts w:hint="eastAsia" w:ascii="宋体" w:hAnsi="宋体" w:cs="宋体"/>
                <w:color w:val="auto"/>
                <w:szCs w:val="21"/>
                <w:highlight w:val="none"/>
                <w:u w:val="single"/>
              </w:rPr>
              <w:t>（具体开工时间以监理下达的开工令通知书为准）</w:t>
            </w:r>
            <w:r>
              <w:rPr>
                <w:rFonts w:hint="eastAsia" w:ascii="宋体" w:hAnsi="宋体" w:cs="宋体"/>
                <w:color w:val="auto"/>
                <w:szCs w:val="21"/>
                <w:highlight w:val="none"/>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9</w:t>
            </w:r>
          </w:p>
        </w:tc>
        <w:tc>
          <w:tcPr>
            <w:tcW w:w="88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3.1</w:t>
            </w:r>
          </w:p>
        </w:tc>
        <w:tc>
          <w:tcPr>
            <w:tcW w:w="171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资金来源</w:t>
            </w:r>
          </w:p>
        </w:tc>
        <w:tc>
          <w:tcPr>
            <w:tcW w:w="6048" w:type="dxa"/>
            <w:tcBorders>
              <w:top w:val="single" w:color="auto" w:sz="4" w:space="0"/>
              <w:left w:val="single" w:color="auto" w:sz="4" w:space="0"/>
              <w:bottom w:val="single" w:color="auto" w:sz="4" w:space="0"/>
              <w:right w:val="double" w:color="auto" w:sz="4" w:space="0"/>
            </w:tcBorders>
            <w:vAlign w:val="center"/>
          </w:tcPr>
          <w:p>
            <w:pPr>
              <w:rPr>
                <w:rFonts w:ascii="宋体" w:hAnsi="宋体" w:cs="宋体"/>
                <w:color w:val="auto"/>
                <w:szCs w:val="21"/>
                <w:highlight w:val="none"/>
                <w:u w:val="single"/>
              </w:rPr>
            </w:pPr>
            <w:r>
              <w:rPr>
                <w:rFonts w:hint="eastAsia" w:ascii="宋体" w:hAnsi="宋体" w:cs="宋体"/>
                <w:color w:val="auto"/>
                <w:kern w:val="0"/>
                <w:szCs w:val="21"/>
                <w:lang w:val="zh-CN"/>
              </w:rPr>
              <w:t>详见本工程招标公告。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87"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10</w:t>
            </w:r>
          </w:p>
        </w:tc>
        <w:tc>
          <w:tcPr>
            <w:tcW w:w="88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4.1</w:t>
            </w:r>
          </w:p>
        </w:tc>
        <w:tc>
          <w:tcPr>
            <w:tcW w:w="171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投标人资质等级及项目负责人等级要求</w:t>
            </w:r>
          </w:p>
        </w:tc>
        <w:tc>
          <w:tcPr>
            <w:tcW w:w="6048" w:type="dxa"/>
            <w:tcBorders>
              <w:top w:val="single" w:color="auto" w:sz="4" w:space="0"/>
              <w:left w:val="single" w:color="auto" w:sz="4" w:space="0"/>
              <w:bottom w:val="single" w:color="auto" w:sz="4" w:space="0"/>
              <w:right w:val="doub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详见本工程招标公告。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11</w:t>
            </w:r>
          </w:p>
        </w:tc>
        <w:tc>
          <w:tcPr>
            <w:tcW w:w="887" w:type="dxa"/>
            <w:tcBorders>
              <w:top w:val="single" w:color="auto" w:sz="4" w:space="0"/>
              <w:left w:val="single" w:color="auto" w:sz="4" w:space="0"/>
              <w:bottom w:val="single" w:color="auto" w:sz="4" w:space="0"/>
              <w:right w:val="single" w:color="auto" w:sz="4" w:space="0"/>
            </w:tcBorders>
            <w:vAlign w:val="center"/>
          </w:tcPr>
          <w:p>
            <w:pPr>
              <w:ind w:firstLine="458"/>
              <w:rPr>
                <w:rFonts w:ascii="宋体" w:hAnsi="宋体" w:cs="宋体"/>
                <w:color w:val="auto"/>
                <w:szCs w:val="21"/>
                <w:highlight w:val="none"/>
              </w:rPr>
            </w:pPr>
          </w:p>
        </w:tc>
        <w:tc>
          <w:tcPr>
            <w:tcW w:w="171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资格审查方式</w:t>
            </w:r>
          </w:p>
        </w:tc>
        <w:tc>
          <w:tcPr>
            <w:tcW w:w="6048" w:type="dxa"/>
            <w:tcBorders>
              <w:top w:val="single" w:color="auto" w:sz="4" w:space="0"/>
              <w:left w:val="single" w:color="auto" w:sz="4" w:space="0"/>
              <w:bottom w:val="single" w:color="auto" w:sz="4" w:space="0"/>
              <w:right w:val="doub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详见本工程招标公告。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12</w:t>
            </w:r>
          </w:p>
        </w:tc>
        <w:tc>
          <w:tcPr>
            <w:tcW w:w="88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13.1</w:t>
            </w:r>
          </w:p>
        </w:tc>
        <w:tc>
          <w:tcPr>
            <w:tcW w:w="171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报价以及单价和总价计算方式</w:t>
            </w:r>
          </w:p>
        </w:tc>
        <w:tc>
          <w:tcPr>
            <w:tcW w:w="6048" w:type="dxa"/>
            <w:tcBorders>
              <w:top w:val="single" w:color="auto" w:sz="4" w:space="0"/>
              <w:left w:val="single" w:color="auto" w:sz="4" w:space="0"/>
              <w:bottom w:val="single" w:color="auto" w:sz="4" w:space="0"/>
              <w:right w:val="doub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工程量清单计价。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13</w:t>
            </w:r>
          </w:p>
        </w:tc>
        <w:tc>
          <w:tcPr>
            <w:tcW w:w="88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15.1</w:t>
            </w:r>
          </w:p>
        </w:tc>
        <w:tc>
          <w:tcPr>
            <w:tcW w:w="171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投标有效期</w:t>
            </w:r>
          </w:p>
        </w:tc>
        <w:tc>
          <w:tcPr>
            <w:tcW w:w="6048" w:type="dxa"/>
            <w:tcBorders>
              <w:top w:val="single" w:color="auto" w:sz="4" w:space="0"/>
              <w:left w:val="single" w:color="auto" w:sz="4" w:space="0"/>
              <w:bottom w:val="single" w:color="auto" w:sz="4" w:space="0"/>
              <w:right w:val="double" w:color="auto" w:sz="4" w:space="0"/>
            </w:tcBorders>
            <w:vAlign w:val="center"/>
          </w:tcPr>
          <w:p>
            <w:pPr>
              <w:rPr>
                <w:rFonts w:ascii="宋体" w:hAnsi="宋体" w:cs="宋体"/>
                <w:color w:val="auto"/>
                <w:szCs w:val="21"/>
                <w:highlight w:val="none"/>
                <w:u w:val="single"/>
              </w:rPr>
            </w:pPr>
            <w:r>
              <w:rPr>
                <w:rFonts w:hint="eastAsia" w:ascii="宋体" w:hAnsi="宋体" w:cs="宋体"/>
                <w:color w:val="auto"/>
                <w:szCs w:val="21"/>
                <w:highlight w:val="none"/>
                <w:u w:val="single"/>
              </w:rPr>
              <w:t xml:space="preserve"> 120 </w:t>
            </w:r>
            <w:r>
              <w:rPr>
                <w:rFonts w:hint="eastAsia" w:ascii="宋体" w:hAnsi="宋体" w:cs="宋体"/>
                <w:color w:val="auto"/>
                <w:szCs w:val="21"/>
                <w:highlight w:val="none"/>
              </w:rPr>
              <w:t>日历天。（从投标截止之日计起）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14</w:t>
            </w:r>
          </w:p>
        </w:tc>
        <w:tc>
          <w:tcPr>
            <w:tcW w:w="88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16.1</w:t>
            </w:r>
          </w:p>
        </w:tc>
        <w:tc>
          <w:tcPr>
            <w:tcW w:w="171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投标保证金</w:t>
            </w:r>
          </w:p>
        </w:tc>
        <w:tc>
          <w:tcPr>
            <w:tcW w:w="6048" w:type="dxa"/>
            <w:tcBorders>
              <w:top w:val="single" w:color="auto" w:sz="4" w:space="0"/>
              <w:left w:val="single" w:color="auto" w:sz="4" w:space="0"/>
              <w:bottom w:val="single" w:color="auto" w:sz="4" w:space="0"/>
              <w:right w:val="double" w:color="auto" w:sz="4" w:space="0"/>
            </w:tcBorders>
            <w:vAlign w:val="center"/>
          </w:tcPr>
          <w:p>
            <w:pPr>
              <w:rPr>
                <w:rFonts w:ascii="宋体" w:hAnsi="宋体" w:cs="宋体"/>
                <w:color w:val="auto"/>
                <w:highlight w:val="none"/>
              </w:rPr>
            </w:pPr>
            <w:r>
              <w:rPr>
                <w:rFonts w:hint="eastAsia" w:ascii="宋体" w:hAnsi="宋体" w:cs="宋体"/>
                <w:color w:val="auto"/>
                <w:highlight w:val="none"/>
              </w:rPr>
              <w:t>10万元人民币，缴纳时间在递交投标文件截止时间之前。</w:t>
            </w:r>
          </w:p>
          <w:p>
            <w:pPr>
              <w:pStyle w:val="18"/>
              <w:topLinePunct/>
              <w:spacing w:after="0"/>
              <w:rPr>
                <w:rFonts w:ascii="宋体" w:hAnsi="宋体" w:cs="宋体"/>
                <w:color w:val="auto"/>
                <w:sz w:val="21"/>
                <w:szCs w:val="21"/>
                <w:highlight w:val="none"/>
                <w:u w:val="single"/>
              </w:rPr>
            </w:pPr>
            <w:r>
              <w:rPr>
                <w:rFonts w:hint="eastAsia" w:ascii="宋体" w:hAnsi="宋体" w:cs="宋体"/>
                <w:color w:val="auto"/>
                <w:sz w:val="21"/>
                <w:szCs w:val="21"/>
                <w:highlight w:val="none"/>
                <w:u w:val="single"/>
              </w:rPr>
              <w:t>投标保证金可采用现金、支票、投标保函、投标保证保险的形式，须在递交投标文件截止时间前完成缴纳。</w:t>
            </w:r>
          </w:p>
          <w:p>
            <w:pPr>
              <w:pStyle w:val="18"/>
              <w:topLinePunct/>
              <w:spacing w:after="0"/>
              <w:rPr>
                <w:rFonts w:ascii="宋体" w:hAnsi="宋体" w:cs="宋体"/>
                <w:color w:val="auto"/>
                <w:sz w:val="21"/>
                <w:szCs w:val="21"/>
                <w:highlight w:val="none"/>
                <w:u w:val="single"/>
              </w:rPr>
            </w:pPr>
            <w:r>
              <w:rPr>
                <w:rFonts w:hint="eastAsia" w:ascii="宋体" w:hAnsi="宋体" w:cs="宋体"/>
                <w:color w:val="auto"/>
                <w:sz w:val="21"/>
                <w:szCs w:val="21"/>
                <w:highlight w:val="none"/>
                <w:u w:val="single"/>
              </w:rPr>
              <w:t>（1）如采用现金或者支票形式提交的，投标保证金从投标人基本账户递交，由广州公共资源交易中心代收。具体操作要求详见广州公共资源交易中心有关指引，递交事宜请自行咨询交易中心；请各投标人在投标文件递交截止时间前按上述金额递交至广州公共资源交易中心，到账情况以开标时广州公共资源交易中心数据库查询的信息为准。</w:t>
            </w:r>
          </w:p>
          <w:p>
            <w:pPr>
              <w:pStyle w:val="18"/>
              <w:topLinePunct/>
              <w:spacing w:after="0"/>
              <w:ind w:firstLine="420" w:firstLineChars="200"/>
              <w:rPr>
                <w:rFonts w:ascii="宋体" w:hAnsi="宋体" w:cs="宋体"/>
                <w:color w:val="auto"/>
                <w:sz w:val="21"/>
                <w:szCs w:val="21"/>
                <w:highlight w:val="none"/>
                <w:u w:val="single"/>
              </w:rPr>
            </w:pPr>
            <w:r>
              <w:rPr>
                <w:rFonts w:hint="eastAsia" w:ascii="宋体" w:hAnsi="宋体" w:cs="宋体"/>
                <w:color w:val="auto"/>
                <w:sz w:val="21"/>
                <w:szCs w:val="21"/>
                <w:highlight w:val="none"/>
                <w:u w:val="single"/>
              </w:rPr>
              <w:t>收款单位：广州交易集团有限公司</w:t>
            </w:r>
          </w:p>
          <w:p>
            <w:pPr>
              <w:pStyle w:val="18"/>
              <w:topLinePunct/>
              <w:spacing w:after="0"/>
              <w:ind w:firstLine="420" w:firstLineChars="200"/>
              <w:rPr>
                <w:rFonts w:ascii="宋体" w:hAnsi="宋体" w:cs="宋体"/>
                <w:color w:val="auto"/>
                <w:sz w:val="21"/>
                <w:szCs w:val="21"/>
                <w:highlight w:val="none"/>
                <w:u w:val="single"/>
              </w:rPr>
            </w:pPr>
            <w:r>
              <w:rPr>
                <w:rFonts w:hint="eastAsia" w:ascii="宋体" w:hAnsi="宋体" w:cs="宋体"/>
                <w:color w:val="auto"/>
                <w:sz w:val="21"/>
                <w:szCs w:val="21"/>
                <w:highlight w:val="none"/>
                <w:u w:val="single"/>
              </w:rPr>
              <w:t>开户银行：中国建设银行广州天润路支行</w:t>
            </w:r>
          </w:p>
          <w:p>
            <w:pPr>
              <w:pStyle w:val="18"/>
              <w:topLinePunct/>
              <w:spacing w:after="0"/>
              <w:ind w:firstLine="420" w:firstLineChars="200"/>
              <w:rPr>
                <w:rFonts w:ascii="宋体" w:hAnsi="宋体" w:cs="宋体"/>
                <w:color w:val="auto"/>
                <w:sz w:val="21"/>
                <w:szCs w:val="21"/>
                <w:highlight w:val="none"/>
                <w:u w:val="single"/>
              </w:rPr>
            </w:pPr>
            <w:r>
              <w:rPr>
                <w:rFonts w:hint="eastAsia" w:ascii="宋体" w:hAnsi="宋体" w:cs="宋体"/>
                <w:color w:val="auto"/>
                <w:sz w:val="21"/>
                <w:szCs w:val="21"/>
                <w:highlight w:val="none"/>
                <w:u w:val="single"/>
              </w:rPr>
              <w:t>银行账号：44001583404059333333</w:t>
            </w:r>
          </w:p>
          <w:p>
            <w:pPr>
              <w:pStyle w:val="18"/>
              <w:numPr>
                <w:ilvl w:val="0"/>
                <w:numId w:val="3"/>
              </w:numPr>
              <w:topLinePunct/>
              <w:spacing w:after="0"/>
              <w:rPr>
                <w:rFonts w:ascii="宋体" w:hAnsi="宋体" w:cs="宋体"/>
                <w:color w:val="auto"/>
                <w:sz w:val="21"/>
                <w:szCs w:val="21"/>
                <w:highlight w:val="none"/>
                <w:u w:val="single"/>
              </w:rPr>
            </w:pPr>
            <w:r>
              <w:rPr>
                <w:rFonts w:hint="eastAsia" w:ascii="宋体" w:hAnsi="宋体" w:cs="宋体"/>
                <w:color w:val="auto"/>
                <w:sz w:val="21"/>
                <w:szCs w:val="21"/>
                <w:highlight w:val="none"/>
                <w:u w:val="single"/>
              </w:rPr>
              <w:t>如采用投标保函或投标保证保险的形式提交的，在开标前不得强制要求投标人提交纸质原件，由中标候选人在中标候选人公示前提交并在网上公示，但投标人应在投标文件中提交投标保函或投标保证保险扫描件并加盖投标人电子印章。</w:t>
            </w:r>
          </w:p>
          <w:p>
            <w:pPr>
              <w:pStyle w:val="22"/>
              <w:rPr>
                <w:rFonts w:hAnsi="宋体" w:cs="宋体"/>
                <w:color w:val="auto"/>
                <w:highlight w:val="none"/>
              </w:rPr>
            </w:pPr>
            <w:r>
              <w:rPr>
                <w:rFonts w:hint="eastAsia" w:hAnsi="宋体" w:cs="宋体"/>
                <w:color w:val="auto"/>
                <w:spacing w:val="-2"/>
                <w:szCs w:val="21"/>
                <w:highlight w:val="none"/>
                <w:u w:val="single"/>
              </w:rPr>
              <w:t>如采用非现金电子化形式递交投标保证金，按广州公共资源交易中心发布的《广州公共资源交易中心关于开通电子保函服务功能的通知》操作。详见：http://ggzy.gz.gov.cn/zxgg/822128.jhtml</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trPr>
        <w:tc>
          <w:tcPr>
            <w:tcW w:w="702" w:type="dxa"/>
            <w:tcBorders>
              <w:top w:val="single" w:color="auto" w:sz="4" w:space="0"/>
              <w:left w:val="double" w:color="auto" w:sz="4" w:space="0"/>
              <w:bottom w:val="single" w:color="auto" w:sz="4" w:space="0"/>
              <w:right w:val="single" w:color="auto" w:sz="4" w:space="0"/>
            </w:tcBorders>
            <w:vAlign w:val="center"/>
          </w:tcPr>
          <w:p>
            <w:pPr>
              <w:ind w:firstLine="210" w:firstLineChars="100"/>
              <w:rPr>
                <w:rFonts w:ascii="宋体" w:hAnsi="宋体" w:cs="宋体"/>
                <w:color w:val="auto"/>
                <w:szCs w:val="21"/>
                <w:highlight w:val="none"/>
              </w:rPr>
            </w:pPr>
            <w:r>
              <w:rPr>
                <w:rFonts w:hint="eastAsia" w:ascii="宋体" w:hAnsi="宋体" w:cs="宋体"/>
                <w:color w:val="auto"/>
                <w:szCs w:val="21"/>
                <w:highlight w:val="none"/>
              </w:rPr>
              <w:t>15</w:t>
            </w:r>
          </w:p>
        </w:tc>
        <w:tc>
          <w:tcPr>
            <w:tcW w:w="88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5</w:t>
            </w:r>
          </w:p>
        </w:tc>
        <w:tc>
          <w:tcPr>
            <w:tcW w:w="171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踏勘现场</w:t>
            </w:r>
          </w:p>
        </w:tc>
        <w:tc>
          <w:tcPr>
            <w:tcW w:w="6048" w:type="dxa"/>
            <w:tcBorders>
              <w:top w:val="single" w:color="auto" w:sz="4" w:space="0"/>
              <w:left w:val="single" w:color="auto" w:sz="4" w:space="0"/>
              <w:bottom w:val="single" w:color="auto" w:sz="4" w:space="0"/>
              <w:right w:val="double" w:color="auto" w:sz="4" w:space="0"/>
            </w:tcBorders>
            <w:vAlign w:val="center"/>
          </w:tcPr>
          <w:p>
            <w:pPr>
              <w:ind w:left="-38" w:leftChars="-18" w:right="-48" w:rightChars="-23"/>
              <w:jc w:val="left"/>
              <w:rPr>
                <w:rFonts w:hint="eastAsia" w:ascii="宋体" w:hAnsi="宋体" w:cs="宋体"/>
                <w:color w:val="auto"/>
                <w:kern w:val="2"/>
                <w:sz w:val="21"/>
                <w:szCs w:val="21"/>
                <w:highlight w:val="none"/>
                <w:u w:val="single"/>
              </w:rPr>
            </w:pPr>
            <w:r>
              <w:rPr>
                <w:rFonts w:hint="eastAsia" w:ascii="宋体" w:hAnsi="宋体"/>
                <w:color w:val="auto"/>
                <w:szCs w:val="21"/>
                <w:u w:val="single"/>
              </w:rPr>
              <w:t>时间：自招标公告发布之日起具备现场踏勘条件。</w:t>
            </w:r>
          </w:p>
          <w:p>
            <w:pPr>
              <w:pStyle w:val="23"/>
              <w:rPr>
                <w:rFonts w:ascii="宋体" w:hAnsi="宋体" w:cs="宋体"/>
                <w:color w:val="auto"/>
                <w:kern w:val="2"/>
                <w:sz w:val="21"/>
                <w:szCs w:val="21"/>
                <w:highlight w:val="none"/>
              </w:rPr>
            </w:pPr>
            <w:r>
              <w:rPr>
                <w:rFonts w:hint="eastAsia" w:ascii="宋体" w:hAnsi="宋体" w:cs="宋体"/>
                <w:color w:val="auto"/>
                <w:kern w:val="2"/>
                <w:sz w:val="21"/>
                <w:szCs w:val="21"/>
                <w:highlight w:val="none"/>
                <w:u w:val="single"/>
              </w:rPr>
              <w:t>招标人不集中组织，由投标人自行踏勘</w:t>
            </w:r>
            <w:r>
              <w:rPr>
                <w:rFonts w:hint="eastAsia" w:ascii="宋体" w:hAnsi="宋体" w:cs="宋体"/>
                <w:color w:val="auto"/>
                <w:kern w:val="2"/>
                <w:sz w:val="21"/>
                <w:szCs w:val="21"/>
                <w:highlight w:val="none"/>
              </w:rPr>
              <w:t xml:space="preserve">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16</w:t>
            </w:r>
          </w:p>
        </w:tc>
        <w:tc>
          <w:tcPr>
            <w:tcW w:w="88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8</w:t>
            </w:r>
          </w:p>
        </w:tc>
        <w:tc>
          <w:tcPr>
            <w:tcW w:w="171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投标答疑</w:t>
            </w:r>
          </w:p>
        </w:tc>
        <w:tc>
          <w:tcPr>
            <w:tcW w:w="6048"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1、疑问提交时间：</w:t>
            </w:r>
            <w:r>
              <w:rPr>
                <w:rFonts w:hint="eastAsia" w:ascii="宋体" w:hAnsi="宋体" w:cs="宋体"/>
                <w:color w:val="auto"/>
                <w:szCs w:val="21"/>
                <w:highlight w:val="none"/>
                <w:u w:val="single"/>
              </w:rPr>
              <w:t>在递交投标文件截止日期前18日</w:t>
            </w:r>
            <w:r>
              <w:rPr>
                <w:rFonts w:hint="eastAsia" w:ascii="宋体" w:hAnsi="宋体" w:cs="宋体"/>
                <w:color w:val="auto"/>
                <w:szCs w:val="21"/>
                <w:highlight w:val="none"/>
              </w:rPr>
              <w:t>；</w:t>
            </w:r>
          </w:p>
          <w:p>
            <w:pPr>
              <w:spacing w:line="360" w:lineRule="auto"/>
              <w:rPr>
                <w:rFonts w:ascii="宋体" w:hAnsi="宋体" w:cs="宋体"/>
                <w:color w:val="auto"/>
                <w:szCs w:val="21"/>
                <w:highlight w:val="none"/>
              </w:rPr>
            </w:pPr>
            <w:r>
              <w:rPr>
                <w:rFonts w:hint="eastAsia" w:ascii="宋体" w:hAnsi="宋体" w:cs="宋体"/>
                <w:color w:val="auto"/>
                <w:szCs w:val="21"/>
                <w:highlight w:val="none"/>
              </w:rPr>
              <w:t>2、形式：投标人的疑问通过</w:t>
            </w:r>
            <w:r>
              <w:rPr>
                <w:rFonts w:hint="eastAsia" w:ascii="宋体" w:hAnsi="宋体" w:cs="宋体"/>
                <w:color w:val="auto"/>
                <w:szCs w:val="21"/>
                <w:highlight w:val="none"/>
                <w:u w:val="single"/>
              </w:rPr>
              <w:t>广州公共资源交易中心</w:t>
            </w:r>
            <w:r>
              <w:rPr>
                <w:rFonts w:hint="eastAsia" w:ascii="宋体" w:hAnsi="宋体" w:cs="宋体"/>
                <w:color w:val="auto"/>
                <w:szCs w:val="21"/>
                <w:highlight w:val="none"/>
              </w:rPr>
              <w:t>交易平台提交。</w:t>
            </w:r>
          </w:p>
          <w:p>
            <w:pPr>
              <w:rPr>
                <w:rFonts w:ascii="宋体" w:hAnsi="宋体" w:cs="宋体"/>
                <w:color w:val="auto"/>
                <w:szCs w:val="21"/>
                <w:highlight w:val="none"/>
              </w:rPr>
            </w:pPr>
            <w:r>
              <w:rPr>
                <w:rFonts w:hint="eastAsia" w:ascii="宋体" w:hAnsi="宋体" w:cs="宋体"/>
                <w:color w:val="auto"/>
                <w:szCs w:val="21"/>
                <w:highlight w:val="none"/>
              </w:rPr>
              <w:t>3、招标人澄清、修补或答疑期限：</w:t>
            </w:r>
            <w:r>
              <w:rPr>
                <w:rFonts w:hint="eastAsia" w:ascii="宋体" w:hAnsi="宋体" w:cs="宋体"/>
                <w:color w:val="auto"/>
                <w:szCs w:val="21"/>
                <w:highlight w:val="none"/>
                <w:u w:val="single"/>
              </w:rPr>
              <w:t>在递交投标文件截止日期前15日</w:t>
            </w:r>
            <w:r>
              <w:rPr>
                <w:rFonts w:hint="eastAsia" w:ascii="宋体" w:hAnsi="宋体" w:cs="宋体"/>
                <w:color w:val="auto"/>
                <w:szCs w:val="21"/>
                <w:highlight w:val="none"/>
              </w:rPr>
              <w:t>；</w:t>
            </w:r>
          </w:p>
          <w:p>
            <w:pPr>
              <w:rPr>
                <w:rFonts w:ascii="宋体" w:hAnsi="宋体" w:cs="宋体"/>
                <w:color w:val="auto"/>
                <w:szCs w:val="21"/>
                <w:highlight w:val="none"/>
              </w:rPr>
            </w:pPr>
            <w:r>
              <w:rPr>
                <w:rFonts w:hint="eastAsia" w:ascii="宋体" w:hAnsi="宋体" w:cs="宋体"/>
                <w:color w:val="auto"/>
                <w:szCs w:val="21"/>
                <w:highlight w:val="none"/>
              </w:rPr>
              <w:t>4、网上答疑的操作指南为：</w:t>
            </w:r>
            <w:r>
              <w:rPr>
                <w:rFonts w:hint="eastAsia" w:ascii="宋体" w:hAnsi="宋体" w:cs="宋体"/>
                <w:color w:val="auto"/>
                <w:szCs w:val="21"/>
                <w:highlight w:val="none"/>
                <w:u w:val="single"/>
              </w:rPr>
              <w:t>登陆广州公共资源交易中心网站→进入交易业务/</w:t>
            </w:r>
            <w:r>
              <w:rPr>
                <w:color w:val="auto"/>
                <w:highlight w:val="none"/>
              </w:rPr>
              <w:fldChar w:fldCharType="begin"/>
            </w:r>
            <w:r>
              <w:rPr>
                <w:color w:val="auto"/>
                <w:highlight w:val="none"/>
              </w:rPr>
              <w:instrText xml:space="preserve"> HYPERLINK "http://ggzy.gz.gov.cn/jyywjsgcfwjzzbgg/index.jhtml" </w:instrText>
            </w:r>
            <w:r>
              <w:rPr>
                <w:color w:val="auto"/>
                <w:highlight w:val="none"/>
              </w:rPr>
              <w:fldChar w:fldCharType="separate"/>
            </w:r>
            <w:r>
              <w:rPr>
                <w:rFonts w:hint="eastAsia" w:ascii="宋体" w:hAnsi="宋体" w:cs="宋体"/>
                <w:color w:val="auto"/>
                <w:szCs w:val="21"/>
                <w:highlight w:val="none"/>
                <w:u w:val="single"/>
              </w:rPr>
              <w:t>建设工程</w:t>
            </w:r>
            <w:r>
              <w:rPr>
                <w:rFonts w:hint="eastAsia" w:ascii="宋体" w:hAnsi="宋体" w:cs="宋体"/>
                <w:color w:val="auto"/>
                <w:szCs w:val="21"/>
                <w:highlight w:val="none"/>
                <w:u w:val="single"/>
              </w:rPr>
              <w:fldChar w:fldCharType="end"/>
            </w:r>
            <w:r>
              <w:rPr>
                <w:rFonts w:hint="eastAsia" w:ascii="宋体" w:hAnsi="宋体" w:cs="宋体"/>
                <w:color w:val="auto"/>
                <w:szCs w:val="21"/>
                <w:highlight w:val="none"/>
                <w:u w:val="single"/>
              </w:rPr>
              <w:t xml:space="preserve"> “网上答疑”专区→通过项目编号或名称找到所需的项目→在上述的答疑时间内点击“提问”→登录系统进入到提问区域→无记名或匿名提出问题以及查看所有的问题。</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17</w:t>
            </w:r>
          </w:p>
        </w:tc>
        <w:tc>
          <w:tcPr>
            <w:tcW w:w="88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20.1</w:t>
            </w:r>
          </w:p>
        </w:tc>
        <w:tc>
          <w:tcPr>
            <w:tcW w:w="171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投标截止时间</w:t>
            </w:r>
          </w:p>
        </w:tc>
        <w:tc>
          <w:tcPr>
            <w:tcW w:w="6048" w:type="dxa"/>
            <w:tcBorders>
              <w:top w:val="single" w:color="auto" w:sz="4" w:space="0"/>
              <w:left w:val="single" w:color="auto" w:sz="4" w:space="0"/>
              <w:bottom w:val="single" w:color="auto" w:sz="4" w:space="0"/>
              <w:right w:val="double" w:color="auto" w:sz="4" w:space="0"/>
            </w:tcBorders>
            <w:vAlign w:val="center"/>
          </w:tcPr>
          <w:p>
            <w:pPr>
              <w:rPr>
                <w:rFonts w:ascii="宋体" w:hAnsi="宋体" w:cs="宋体"/>
                <w:strike/>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时（北京时间）。</w:t>
            </w:r>
            <w:r>
              <w:rPr>
                <w:rFonts w:hint="eastAsia" w:ascii="宋体" w:hAnsi="宋体"/>
                <w:color w:val="auto"/>
                <w:szCs w:val="21"/>
              </w:rPr>
              <w:t>（详见广州</w:t>
            </w:r>
            <w:r>
              <w:rPr>
                <w:rFonts w:ascii="宋体" w:hAnsi="宋体"/>
                <w:color w:val="auto"/>
                <w:szCs w:val="21"/>
              </w:rPr>
              <w:t>公共资源交易中心</w:t>
            </w:r>
            <w:r>
              <w:rPr>
                <w:rFonts w:hint="eastAsia" w:ascii="宋体" w:hAnsi="宋体"/>
                <w:color w:val="auto"/>
                <w:szCs w:val="21"/>
              </w:rPr>
              <w:t>网站信息）</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18</w:t>
            </w:r>
          </w:p>
        </w:tc>
        <w:tc>
          <w:tcPr>
            <w:tcW w:w="88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20.1</w:t>
            </w:r>
          </w:p>
        </w:tc>
        <w:tc>
          <w:tcPr>
            <w:tcW w:w="171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开标开始时间和地点</w:t>
            </w:r>
          </w:p>
        </w:tc>
        <w:tc>
          <w:tcPr>
            <w:tcW w:w="6048" w:type="dxa"/>
            <w:tcBorders>
              <w:top w:val="single" w:color="auto" w:sz="4" w:space="0"/>
              <w:left w:val="single" w:color="auto" w:sz="4" w:space="0"/>
              <w:bottom w:val="single" w:color="auto" w:sz="4" w:space="0"/>
              <w:right w:val="doub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（技术标和经济标同时开标）</w:t>
            </w:r>
          </w:p>
          <w:p>
            <w:pPr>
              <w:rPr>
                <w:rFonts w:ascii="宋体" w:hAnsi="宋体" w:cs="宋体"/>
                <w:color w:val="auto"/>
                <w:szCs w:val="21"/>
                <w:highlight w:val="none"/>
                <w:u w:val="single"/>
              </w:rPr>
            </w:pPr>
            <w:r>
              <w:rPr>
                <w:rFonts w:hint="eastAsia" w:ascii="宋体" w:hAnsi="宋体" w:cs="宋体"/>
                <w:color w:val="auto"/>
                <w:szCs w:val="21"/>
                <w:highlight w:val="none"/>
              </w:rPr>
              <w:t>1、开标开始时间：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时</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分（与投标截止时间为同一时间），地点：</w:t>
            </w:r>
            <w:r>
              <w:rPr>
                <w:rFonts w:hint="eastAsia" w:ascii="宋体" w:hAnsi="宋体" w:cs="宋体"/>
                <w:color w:val="auto"/>
                <w:szCs w:val="21"/>
                <w:highlight w:val="none"/>
                <w:u w:val="single"/>
              </w:rPr>
              <w:t>广州公共资源交易中心第  开标室。</w:t>
            </w:r>
          </w:p>
          <w:p>
            <w:pPr>
              <w:rPr>
                <w:rFonts w:ascii="宋体" w:hAnsi="宋体" w:cs="宋体"/>
                <w:color w:val="auto"/>
                <w:highlight w:val="none"/>
              </w:rPr>
            </w:pPr>
            <w:r>
              <w:rPr>
                <w:rFonts w:hint="eastAsia" w:ascii="宋体" w:hAnsi="宋体" w:cs="宋体"/>
                <w:color w:val="auto"/>
                <w:szCs w:val="21"/>
                <w:highlight w:val="none"/>
              </w:rPr>
              <w:t>2、递交投标文件备用光盘时间：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时</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分至</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时</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分；递交地点：</w:t>
            </w:r>
            <w:r>
              <w:rPr>
                <w:rFonts w:hint="eastAsia" w:ascii="宋体" w:hAnsi="宋体" w:cs="宋体"/>
                <w:color w:val="auto"/>
                <w:highlight w:val="none"/>
                <w:u w:val="single"/>
              </w:rPr>
              <w:t>广州公共资源交易中心第  开标室。</w:t>
            </w:r>
            <w:r>
              <w:rPr>
                <w:rFonts w:hint="eastAsia" w:ascii="宋体" w:hAnsi="宋体" w:cs="宋体"/>
                <w:color w:val="auto"/>
                <w:highlight w:val="none"/>
              </w:rPr>
              <w:t>(建议安排在投标文件截止时间前15分钟至投标文件截止时间）</w:t>
            </w:r>
          </w:p>
          <w:p>
            <w:pPr>
              <w:rPr>
                <w:rFonts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color w:val="auto"/>
                <w:szCs w:val="21"/>
                <w:highlight w:val="none"/>
                <w:u w:val="single"/>
              </w:rPr>
              <w:t>本项目不设置项目负责人签到环节。</w:t>
            </w:r>
          </w:p>
          <w:p>
            <w:pPr>
              <w:rPr>
                <w:rFonts w:ascii="宋体" w:hAnsi="宋体" w:cs="宋体"/>
                <w:color w:val="auto"/>
                <w:szCs w:val="21"/>
                <w:highlight w:val="none"/>
              </w:rPr>
            </w:pPr>
            <w:r>
              <w:rPr>
                <w:rFonts w:hint="eastAsia" w:ascii="宋体" w:hAnsi="宋体" w:cs="宋体"/>
                <w:color w:val="auto"/>
                <w:highlight w:val="none"/>
              </w:rPr>
              <w:t>上述时间及地点是否有改变，请密切留意招标答疑纪要的相关信息。</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650"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19</w:t>
            </w:r>
          </w:p>
        </w:tc>
        <w:tc>
          <w:tcPr>
            <w:tcW w:w="88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26</w:t>
            </w:r>
          </w:p>
        </w:tc>
        <w:tc>
          <w:tcPr>
            <w:tcW w:w="171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开标评标办法</w:t>
            </w:r>
          </w:p>
        </w:tc>
        <w:tc>
          <w:tcPr>
            <w:tcW w:w="6048" w:type="dxa"/>
            <w:tcBorders>
              <w:top w:val="single" w:color="auto" w:sz="4" w:space="0"/>
              <w:left w:val="single" w:color="auto" w:sz="4" w:space="0"/>
              <w:bottom w:val="single" w:color="auto" w:sz="4" w:space="0"/>
              <w:right w:val="double" w:color="auto" w:sz="4" w:space="0"/>
            </w:tcBorders>
            <w:vAlign w:val="center"/>
          </w:tcPr>
          <w:p>
            <w:pPr>
              <w:pStyle w:val="5"/>
              <w:ind w:firstLine="0"/>
              <w:rPr>
                <w:rFonts w:ascii="宋体" w:hAnsi="宋体" w:cs="宋体"/>
                <w:color w:val="auto"/>
                <w:sz w:val="21"/>
                <w:szCs w:val="21"/>
                <w:highlight w:val="none"/>
              </w:rPr>
            </w:pPr>
            <w:r>
              <w:rPr>
                <w:rFonts w:hint="eastAsia" w:ascii="宋体" w:hAnsi="宋体" w:cs="宋体"/>
                <w:color w:val="auto"/>
                <w:sz w:val="21"/>
                <w:szCs w:val="21"/>
                <w:highlight w:val="none"/>
              </w:rPr>
              <w:t>方式一：选取方法</w:t>
            </w:r>
            <w:r>
              <w:rPr>
                <w:rFonts w:hint="eastAsia" w:ascii="宋体" w:hAnsi="宋体" w:cs="宋体"/>
                <w:color w:val="auto"/>
                <w:sz w:val="21"/>
                <w:szCs w:val="21"/>
                <w:highlight w:val="none"/>
                <w:u w:val="single"/>
              </w:rPr>
              <w:t>七（综合评分法四，技术标与经济标同时开启）</w:t>
            </w:r>
            <w:r>
              <w:rPr>
                <w:rFonts w:hint="eastAsia" w:ascii="宋体" w:hAnsi="宋体" w:cs="宋体"/>
                <w:color w:val="auto"/>
                <w:sz w:val="21"/>
                <w:szCs w:val="21"/>
                <w:highlight w:val="none"/>
              </w:rPr>
              <w:t>；</w:t>
            </w:r>
          </w:p>
          <w:p>
            <w:pPr>
              <w:pStyle w:val="5"/>
              <w:ind w:firstLine="0"/>
              <w:rPr>
                <w:rFonts w:ascii="宋体" w:hAnsi="宋体" w:cs="宋体"/>
                <w:color w:val="auto"/>
                <w:sz w:val="21"/>
                <w:szCs w:val="21"/>
                <w:highlight w:val="none"/>
              </w:rPr>
            </w:pPr>
            <w:r>
              <w:rPr>
                <w:rFonts w:hint="eastAsia" w:ascii="宋体" w:hAnsi="宋体" w:cs="宋体"/>
                <w:color w:val="auto"/>
                <w:sz w:val="21"/>
                <w:szCs w:val="21"/>
                <w:highlight w:val="none"/>
              </w:rPr>
              <w:t>投标人总得分=技术得分（20分）＋经济得分（100分）×经济得分权重（80%）。总得分四舍五入保留两位小数。总分相同的，以技术得分高的排前；总分与技术得分均相同，以投标报价较低的排前；如仍存在相同情况，则对具有相同情况的投标人，按中标候选人数量规定，由评标委员会采用随机抽取方式，确定中标候选人的排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27"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20</w:t>
            </w:r>
          </w:p>
        </w:tc>
        <w:tc>
          <w:tcPr>
            <w:tcW w:w="88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29.1</w:t>
            </w:r>
          </w:p>
        </w:tc>
        <w:tc>
          <w:tcPr>
            <w:tcW w:w="171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履约担保</w:t>
            </w:r>
          </w:p>
        </w:tc>
        <w:tc>
          <w:tcPr>
            <w:tcW w:w="6048" w:type="dxa"/>
            <w:tcBorders>
              <w:top w:val="single" w:color="auto" w:sz="4" w:space="0"/>
              <w:left w:val="single" w:color="auto" w:sz="4" w:space="0"/>
              <w:bottom w:val="single" w:color="auto" w:sz="4" w:space="0"/>
              <w:right w:val="double" w:color="auto" w:sz="4" w:space="0"/>
            </w:tcBorders>
            <w:vAlign w:val="center"/>
          </w:tcPr>
          <w:p>
            <w:pPr>
              <w:pStyle w:val="5"/>
              <w:spacing w:after="0"/>
              <w:ind w:firstLine="0"/>
              <w:rPr>
                <w:rFonts w:ascii="宋体" w:hAnsi="宋体" w:cs="宋体"/>
                <w:color w:val="auto"/>
                <w:kern w:val="2"/>
                <w:sz w:val="21"/>
                <w:szCs w:val="21"/>
                <w:highlight w:val="none"/>
                <w:u w:val="single"/>
              </w:rPr>
            </w:pPr>
            <w:r>
              <w:rPr>
                <w:rFonts w:hint="eastAsia" w:ascii="宋体" w:hAnsi="宋体" w:cs="宋体"/>
                <w:color w:val="auto"/>
                <w:sz w:val="21"/>
                <w:szCs w:val="21"/>
                <w:highlight w:val="none"/>
              </w:rPr>
              <w:t>方式一：中标人提供的履约保证金为中标价款的10%。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21</w:t>
            </w:r>
          </w:p>
        </w:tc>
        <w:tc>
          <w:tcPr>
            <w:tcW w:w="88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171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最高投标限价</w:t>
            </w:r>
          </w:p>
        </w:tc>
        <w:tc>
          <w:tcPr>
            <w:tcW w:w="6048" w:type="dxa"/>
            <w:tcBorders>
              <w:top w:val="single" w:color="auto" w:sz="4" w:space="0"/>
              <w:left w:val="single" w:color="auto" w:sz="4" w:space="0"/>
              <w:bottom w:val="single" w:color="auto" w:sz="4" w:space="0"/>
              <w:right w:val="doub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本项目最高投标限价为人民币24198044.56元。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22</w:t>
            </w:r>
          </w:p>
        </w:tc>
        <w:tc>
          <w:tcPr>
            <w:tcW w:w="88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171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非竞争费用</w:t>
            </w:r>
          </w:p>
        </w:tc>
        <w:tc>
          <w:tcPr>
            <w:tcW w:w="6048" w:type="dxa"/>
            <w:tcBorders>
              <w:top w:val="single" w:color="auto" w:sz="4" w:space="0"/>
              <w:left w:val="single" w:color="auto" w:sz="4" w:space="0"/>
              <w:bottom w:val="single" w:color="auto" w:sz="4" w:space="0"/>
              <w:right w:val="doub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本项目绿色施工安全防护措施费为</w:t>
            </w:r>
            <w:r>
              <w:rPr>
                <w:rFonts w:hint="eastAsia" w:ascii="宋体" w:hAnsi="宋体" w:cs="宋体"/>
                <w:color w:val="auto"/>
                <w:szCs w:val="21"/>
                <w:highlight w:val="none"/>
                <w:lang w:val="en-US" w:eastAsia="zh-CN"/>
              </w:rPr>
              <w:t>1601081.42</w:t>
            </w:r>
            <w:r>
              <w:rPr>
                <w:rFonts w:hint="eastAsia" w:ascii="宋体" w:hAnsi="宋体" w:cs="宋体"/>
                <w:color w:val="auto"/>
                <w:szCs w:val="21"/>
                <w:highlight w:val="none"/>
              </w:rPr>
              <w:t xml:space="preserve">元，暂列金额为 </w:t>
            </w:r>
            <w:r>
              <w:rPr>
                <w:rFonts w:hint="eastAsia" w:ascii="宋体" w:hAnsi="宋体" w:cs="宋体"/>
                <w:color w:val="auto"/>
                <w:szCs w:val="21"/>
                <w:highlight w:val="none"/>
                <w:u w:val="single"/>
              </w:rPr>
              <w:t xml:space="preserve">  534711.74</w:t>
            </w:r>
            <w:r>
              <w:rPr>
                <w:rFonts w:hint="eastAsia" w:ascii="宋体" w:hAnsi="宋体" w:cs="宋体"/>
                <w:color w:val="auto"/>
                <w:szCs w:val="21"/>
                <w:highlight w:val="none"/>
              </w:rPr>
              <w:t>元，暂估价为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元。（未按招标文件规定的金额填写的，由评标委员会按照招标文件规定的金额进行修正）</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23</w:t>
            </w:r>
          </w:p>
        </w:tc>
        <w:tc>
          <w:tcPr>
            <w:tcW w:w="88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1713" w:type="dxa"/>
            <w:tcBorders>
              <w:top w:val="single" w:color="auto" w:sz="4" w:space="0"/>
              <w:left w:val="single" w:color="auto" w:sz="4" w:space="0"/>
              <w:bottom w:val="single" w:color="auto" w:sz="4" w:space="0"/>
              <w:right w:val="single" w:color="auto" w:sz="4" w:space="0"/>
            </w:tcBorders>
            <w:vAlign w:val="center"/>
          </w:tcPr>
          <w:p>
            <w:pPr>
              <w:pStyle w:val="5"/>
              <w:snapToGrid w:val="0"/>
              <w:spacing w:after="0"/>
              <w:ind w:firstLine="0"/>
              <w:jc w:val="center"/>
              <w:rPr>
                <w:rFonts w:ascii="宋体" w:hAnsi="宋体" w:cs="宋体"/>
                <w:color w:val="auto"/>
                <w:kern w:val="2"/>
                <w:sz w:val="21"/>
                <w:szCs w:val="21"/>
                <w:highlight w:val="none"/>
              </w:rPr>
            </w:pPr>
            <w:r>
              <w:rPr>
                <w:rFonts w:hint="eastAsia" w:ascii="宋体" w:hAnsi="宋体" w:cs="宋体"/>
                <w:color w:val="auto"/>
                <w:kern w:val="2"/>
                <w:sz w:val="21"/>
                <w:szCs w:val="21"/>
                <w:highlight w:val="none"/>
              </w:rPr>
              <w:t>保修期</w:t>
            </w:r>
          </w:p>
        </w:tc>
        <w:tc>
          <w:tcPr>
            <w:tcW w:w="6048" w:type="dxa"/>
            <w:tcBorders>
              <w:top w:val="single" w:color="auto" w:sz="4" w:space="0"/>
              <w:left w:val="single" w:color="auto" w:sz="4" w:space="0"/>
              <w:bottom w:val="single" w:color="auto" w:sz="4" w:space="0"/>
              <w:right w:val="doub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按照《建设工程质量管理条例》规定。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24</w:t>
            </w:r>
          </w:p>
        </w:tc>
        <w:tc>
          <w:tcPr>
            <w:tcW w:w="88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171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计算评标参考价的等分点值</w:t>
            </w:r>
          </w:p>
        </w:tc>
        <w:tc>
          <w:tcPr>
            <w:tcW w:w="6048" w:type="dxa"/>
            <w:tcBorders>
              <w:top w:val="single" w:color="auto" w:sz="4" w:space="0"/>
              <w:left w:val="single" w:color="auto" w:sz="4" w:space="0"/>
              <w:bottom w:val="single" w:color="auto" w:sz="4" w:space="0"/>
              <w:right w:val="doub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u w:val="single"/>
              </w:rPr>
              <w:t>本</w:t>
            </w:r>
            <w:r>
              <w:rPr>
                <w:rFonts w:hint="eastAsia" w:ascii="宋体" w:hAnsi="宋体" w:cs="宋体"/>
                <w:color w:val="auto"/>
                <w:szCs w:val="21"/>
                <w:highlight w:val="none"/>
                <w:u w:val="single"/>
                <w:lang w:val="en-US" w:eastAsia="zh-CN"/>
              </w:rPr>
              <w:t>款</w:t>
            </w:r>
            <w:r>
              <w:rPr>
                <w:rFonts w:hint="eastAsia" w:ascii="宋体" w:hAnsi="宋体" w:cs="宋体"/>
                <w:color w:val="auto"/>
                <w:szCs w:val="21"/>
                <w:highlight w:val="none"/>
                <w:u w:val="single"/>
              </w:rPr>
              <w:t>不适用</w:t>
            </w:r>
            <w:r>
              <w:rPr>
                <w:rFonts w:hint="eastAsia" w:ascii="宋体" w:hAnsi="宋体" w:cs="宋体"/>
                <w:color w:val="auto"/>
                <w:szCs w:val="21"/>
                <w:highlight w:val="none"/>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25</w:t>
            </w:r>
          </w:p>
        </w:tc>
        <w:tc>
          <w:tcPr>
            <w:tcW w:w="887" w:type="dxa"/>
            <w:tcBorders>
              <w:top w:val="single" w:color="auto" w:sz="4" w:space="0"/>
              <w:left w:val="single" w:color="auto" w:sz="4" w:space="0"/>
              <w:bottom w:val="single" w:color="auto" w:sz="4" w:space="0"/>
              <w:right w:val="single" w:color="auto" w:sz="4" w:space="0"/>
            </w:tcBorders>
            <w:vAlign w:val="center"/>
          </w:tcPr>
          <w:p>
            <w:pPr>
              <w:ind w:firstLine="458"/>
              <w:rPr>
                <w:rFonts w:ascii="宋体" w:hAnsi="宋体" w:cs="宋体"/>
                <w:color w:val="auto"/>
                <w:szCs w:val="21"/>
                <w:highlight w:val="none"/>
              </w:rPr>
            </w:pPr>
          </w:p>
        </w:tc>
        <w:tc>
          <w:tcPr>
            <w:tcW w:w="171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进入第二阶段评审的家数</w:t>
            </w:r>
          </w:p>
        </w:tc>
        <w:tc>
          <w:tcPr>
            <w:tcW w:w="6048" w:type="dxa"/>
            <w:tcBorders>
              <w:top w:val="single" w:color="auto" w:sz="4" w:space="0"/>
              <w:left w:val="single" w:color="auto" w:sz="4" w:space="0"/>
              <w:bottom w:val="single" w:color="auto" w:sz="4" w:space="0"/>
              <w:right w:val="doub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u w:val="single"/>
              </w:rPr>
              <w:t>本</w:t>
            </w:r>
            <w:r>
              <w:rPr>
                <w:rFonts w:hint="eastAsia" w:ascii="宋体" w:hAnsi="宋体" w:cs="宋体"/>
                <w:color w:val="auto"/>
                <w:szCs w:val="21"/>
                <w:highlight w:val="none"/>
                <w:u w:val="single"/>
                <w:lang w:val="en-US" w:eastAsia="zh-CN"/>
              </w:rPr>
              <w:t>款</w:t>
            </w:r>
            <w:r>
              <w:rPr>
                <w:rFonts w:hint="eastAsia" w:ascii="宋体" w:hAnsi="宋体" w:cs="宋体"/>
                <w:color w:val="auto"/>
                <w:szCs w:val="21"/>
                <w:highlight w:val="none"/>
                <w:u w:val="single"/>
              </w:rPr>
              <w:t>不适用</w:t>
            </w:r>
            <w:r>
              <w:rPr>
                <w:rFonts w:hint="eastAsia" w:ascii="宋体" w:hAnsi="宋体" w:cs="宋体"/>
                <w:color w:val="auto"/>
                <w:szCs w:val="21"/>
                <w:highlight w:val="none"/>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26</w:t>
            </w:r>
          </w:p>
        </w:tc>
        <w:tc>
          <w:tcPr>
            <w:tcW w:w="88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171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工程成本警戒价</w:t>
            </w:r>
          </w:p>
        </w:tc>
        <w:tc>
          <w:tcPr>
            <w:tcW w:w="6048" w:type="dxa"/>
            <w:tcBorders>
              <w:top w:val="single" w:color="auto" w:sz="4" w:space="0"/>
              <w:left w:val="single" w:color="auto" w:sz="4" w:space="0"/>
              <w:bottom w:val="single" w:color="auto" w:sz="4" w:space="0"/>
              <w:right w:val="doub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工程成本警戒价为</w:t>
            </w:r>
            <w:r>
              <w:rPr>
                <w:rFonts w:hint="eastAsia" w:ascii="宋体" w:hAnsi="宋体" w:cs="宋体"/>
                <w:color w:val="auto"/>
                <w:szCs w:val="21"/>
                <w:highlight w:val="none"/>
                <w:lang w:val="en-US" w:eastAsia="zh-CN"/>
              </w:rPr>
              <w:t>21778240.10</w:t>
            </w:r>
            <w:r>
              <w:rPr>
                <w:rFonts w:hint="eastAsia" w:ascii="宋体" w:hAnsi="宋体" w:cs="宋体"/>
                <w:color w:val="auto"/>
                <w:szCs w:val="21"/>
                <w:highlight w:val="none"/>
              </w:rPr>
              <w:t>元（按最高投标限价的</w:t>
            </w:r>
            <w:r>
              <w:rPr>
                <w:rFonts w:hint="eastAsia" w:ascii="宋体" w:hAnsi="宋体" w:cs="宋体"/>
                <w:color w:val="auto"/>
                <w:szCs w:val="21"/>
                <w:highlight w:val="none"/>
                <w:u w:val="single"/>
              </w:rPr>
              <w:t>90</w:t>
            </w:r>
            <w:r>
              <w:rPr>
                <w:rFonts w:hint="eastAsia" w:ascii="宋体" w:hAnsi="宋体" w:cs="宋体"/>
                <w:color w:val="auto"/>
                <w:szCs w:val="21"/>
                <w:highlight w:val="none"/>
              </w:rPr>
              <w:t>%）。对低于该警戒价的投标报价，投标人必须提供详细的施工组织设计、单价、措施性费用、单价分析表、主要材料价格表、投标人成本分析供评标委员会评审，由评标委员会判定其是否低于企业自身成本。在评标过程中，评标委员会发现投标人的报价明显低于其他投标报价或者低于成本警戒价，使得其投标报价可能低于其个别成本的，应当要求该投标人作出书面说明并提供相关证明材料。投标人不能合理说明或者不能提供相关证明材料的，由评标委员会认定该投标人以低于成本报价竞标，应当否决其投标。</w:t>
            </w:r>
          </w:p>
          <w:p>
            <w:pPr>
              <w:rPr>
                <w:rFonts w:ascii="宋体" w:hAnsi="宋体" w:cs="宋体"/>
                <w:color w:val="auto"/>
                <w:szCs w:val="21"/>
                <w:highlight w:val="none"/>
                <w:u w:val="single"/>
              </w:rPr>
            </w:pPr>
            <w:r>
              <w:rPr>
                <w:rFonts w:hint="eastAsia" w:ascii="宋体" w:hAnsi="宋体" w:cs="宋体"/>
                <w:color w:val="auto"/>
                <w:szCs w:val="21"/>
                <w:highlight w:val="none"/>
              </w:rPr>
              <w:t>注：为充分体现招标人意愿及落实项目招标人负责制，警戒价由招标人决定。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27</w:t>
            </w:r>
          </w:p>
        </w:tc>
        <w:tc>
          <w:tcPr>
            <w:tcW w:w="88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171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第一阶段各分值的权重</w:t>
            </w:r>
          </w:p>
        </w:tc>
        <w:tc>
          <w:tcPr>
            <w:tcW w:w="6048" w:type="dxa"/>
            <w:tcBorders>
              <w:top w:val="single" w:color="auto" w:sz="4" w:space="0"/>
              <w:left w:val="single" w:color="auto" w:sz="4" w:space="0"/>
              <w:bottom w:val="single" w:color="auto" w:sz="4" w:space="0"/>
              <w:right w:val="doub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u w:val="single"/>
              </w:rPr>
              <w:t>本</w:t>
            </w:r>
            <w:r>
              <w:rPr>
                <w:rFonts w:hint="eastAsia" w:ascii="宋体" w:hAnsi="宋体" w:cs="宋体"/>
                <w:color w:val="auto"/>
                <w:szCs w:val="21"/>
                <w:highlight w:val="none"/>
                <w:u w:val="single"/>
                <w:lang w:val="en-US" w:eastAsia="zh-CN"/>
              </w:rPr>
              <w:t>款</w:t>
            </w:r>
            <w:r>
              <w:rPr>
                <w:rFonts w:hint="eastAsia" w:ascii="宋体" w:hAnsi="宋体" w:cs="宋体"/>
                <w:color w:val="auto"/>
                <w:szCs w:val="21"/>
                <w:highlight w:val="none"/>
                <w:u w:val="single"/>
              </w:rPr>
              <w:t>不适用</w:t>
            </w:r>
            <w:r>
              <w:rPr>
                <w:rFonts w:hint="eastAsia" w:ascii="宋体" w:hAnsi="宋体" w:cs="宋体"/>
                <w:color w:val="auto"/>
                <w:szCs w:val="21"/>
                <w:highlight w:val="none"/>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28</w:t>
            </w:r>
          </w:p>
        </w:tc>
        <w:tc>
          <w:tcPr>
            <w:tcW w:w="88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171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评标委员会人数</w:t>
            </w:r>
          </w:p>
        </w:tc>
        <w:tc>
          <w:tcPr>
            <w:tcW w:w="6048" w:type="dxa"/>
            <w:tcBorders>
              <w:top w:val="single" w:color="auto" w:sz="4" w:space="0"/>
              <w:left w:val="single" w:color="auto" w:sz="4" w:space="0"/>
              <w:bottom w:val="single" w:color="auto" w:sz="4" w:space="0"/>
              <w:right w:val="doub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评标委员会由招标人依法组建。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29</w:t>
            </w:r>
          </w:p>
        </w:tc>
        <w:tc>
          <w:tcPr>
            <w:tcW w:w="88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171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企业综合诚信评价分数</w:t>
            </w:r>
          </w:p>
        </w:tc>
        <w:tc>
          <w:tcPr>
            <w:tcW w:w="6048" w:type="dxa"/>
            <w:tcBorders>
              <w:top w:val="single" w:color="auto" w:sz="4" w:space="0"/>
              <w:left w:val="single" w:color="auto" w:sz="4" w:space="0"/>
              <w:bottom w:val="single" w:color="auto" w:sz="4" w:space="0"/>
              <w:right w:val="doub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u w:val="single"/>
              </w:rPr>
              <w:t>本项目不适用。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30</w:t>
            </w:r>
          </w:p>
        </w:tc>
        <w:tc>
          <w:tcPr>
            <w:tcW w:w="887" w:type="dxa"/>
            <w:tcBorders>
              <w:top w:val="single" w:color="auto" w:sz="4" w:space="0"/>
              <w:left w:val="single" w:color="auto" w:sz="4" w:space="0"/>
              <w:bottom w:val="single" w:color="auto" w:sz="4" w:space="0"/>
              <w:right w:val="single" w:color="auto" w:sz="4" w:space="0"/>
            </w:tcBorders>
            <w:vAlign w:val="center"/>
          </w:tcPr>
          <w:p>
            <w:pPr>
              <w:ind w:firstLine="458"/>
              <w:rPr>
                <w:rFonts w:ascii="宋体" w:hAnsi="宋体" w:cs="宋体"/>
                <w:color w:val="auto"/>
                <w:szCs w:val="21"/>
                <w:highlight w:val="none"/>
              </w:rPr>
            </w:pPr>
          </w:p>
        </w:tc>
        <w:tc>
          <w:tcPr>
            <w:tcW w:w="171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第二阶段投标人名次的排序方法（适用于办法一、办法二）</w:t>
            </w:r>
          </w:p>
        </w:tc>
        <w:tc>
          <w:tcPr>
            <w:tcW w:w="6048" w:type="dxa"/>
            <w:tcBorders>
              <w:top w:val="single" w:color="auto" w:sz="4" w:space="0"/>
              <w:left w:val="single" w:color="auto" w:sz="4" w:space="0"/>
              <w:bottom w:val="single" w:color="auto" w:sz="4" w:space="0"/>
              <w:right w:val="doub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u w:val="single"/>
              </w:rPr>
              <w:t>本</w:t>
            </w:r>
            <w:r>
              <w:rPr>
                <w:rFonts w:hint="eastAsia" w:ascii="宋体" w:hAnsi="宋体" w:cs="宋体"/>
                <w:color w:val="auto"/>
                <w:szCs w:val="21"/>
                <w:highlight w:val="none"/>
                <w:u w:val="single"/>
                <w:lang w:val="en-US" w:eastAsia="zh-CN"/>
              </w:rPr>
              <w:t>款</w:t>
            </w:r>
            <w:r>
              <w:rPr>
                <w:rFonts w:hint="eastAsia" w:ascii="宋体" w:hAnsi="宋体" w:cs="宋体"/>
                <w:color w:val="auto"/>
                <w:szCs w:val="21"/>
                <w:highlight w:val="none"/>
                <w:u w:val="single"/>
              </w:rPr>
              <w:t>不适用</w:t>
            </w:r>
            <w:r>
              <w:rPr>
                <w:rFonts w:hint="eastAsia" w:ascii="宋体" w:hAnsi="宋体" w:cs="宋体"/>
                <w:color w:val="auto"/>
                <w:szCs w:val="21"/>
                <w:highlight w:val="none"/>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31</w:t>
            </w:r>
          </w:p>
        </w:tc>
        <w:tc>
          <w:tcPr>
            <w:tcW w:w="887" w:type="dxa"/>
            <w:tcBorders>
              <w:top w:val="single" w:color="auto" w:sz="4" w:space="0"/>
              <w:left w:val="single" w:color="auto" w:sz="4" w:space="0"/>
              <w:bottom w:val="single" w:color="auto" w:sz="4" w:space="0"/>
              <w:right w:val="single" w:color="auto" w:sz="4" w:space="0"/>
            </w:tcBorders>
            <w:vAlign w:val="center"/>
          </w:tcPr>
          <w:p>
            <w:pPr>
              <w:ind w:firstLine="458"/>
              <w:rPr>
                <w:rFonts w:ascii="宋体" w:hAnsi="宋体" w:cs="宋体"/>
                <w:color w:val="auto"/>
                <w:szCs w:val="21"/>
                <w:highlight w:val="none"/>
              </w:rPr>
            </w:pPr>
          </w:p>
        </w:tc>
        <w:tc>
          <w:tcPr>
            <w:tcW w:w="171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经济分相同情况下的排序方法（适用于办法三、办法四）</w:t>
            </w:r>
          </w:p>
        </w:tc>
        <w:tc>
          <w:tcPr>
            <w:tcW w:w="6048" w:type="dxa"/>
            <w:tcBorders>
              <w:top w:val="single" w:color="auto" w:sz="4" w:space="0"/>
              <w:left w:val="single" w:color="auto" w:sz="4" w:space="0"/>
              <w:bottom w:val="single" w:color="auto" w:sz="4" w:space="0"/>
              <w:right w:val="doub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u w:val="single"/>
              </w:rPr>
              <w:t>本</w:t>
            </w:r>
            <w:r>
              <w:rPr>
                <w:rFonts w:hint="eastAsia" w:ascii="宋体" w:hAnsi="宋体" w:cs="宋体"/>
                <w:color w:val="auto"/>
                <w:szCs w:val="21"/>
                <w:highlight w:val="none"/>
                <w:u w:val="single"/>
                <w:lang w:val="en-US" w:eastAsia="zh-CN"/>
              </w:rPr>
              <w:t>款</w:t>
            </w:r>
            <w:r>
              <w:rPr>
                <w:rFonts w:hint="eastAsia" w:ascii="宋体" w:hAnsi="宋体" w:cs="宋体"/>
                <w:color w:val="auto"/>
                <w:szCs w:val="21"/>
                <w:highlight w:val="none"/>
                <w:u w:val="single"/>
              </w:rPr>
              <w:t>不适用</w:t>
            </w:r>
            <w:r>
              <w:rPr>
                <w:rFonts w:hint="eastAsia" w:ascii="宋体" w:hAnsi="宋体" w:cs="宋体"/>
                <w:color w:val="auto"/>
                <w:szCs w:val="21"/>
                <w:highlight w:val="none"/>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430"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32</w:t>
            </w:r>
          </w:p>
        </w:tc>
        <w:tc>
          <w:tcPr>
            <w:tcW w:w="887" w:type="dxa"/>
            <w:tcBorders>
              <w:top w:val="single" w:color="auto" w:sz="4" w:space="0"/>
              <w:left w:val="single" w:color="auto" w:sz="4" w:space="0"/>
              <w:bottom w:val="single" w:color="auto" w:sz="4" w:space="0"/>
              <w:right w:val="single" w:color="auto" w:sz="4" w:space="0"/>
            </w:tcBorders>
            <w:vAlign w:val="center"/>
          </w:tcPr>
          <w:p>
            <w:pPr>
              <w:ind w:firstLine="458"/>
              <w:rPr>
                <w:rFonts w:ascii="宋体" w:hAnsi="宋体" w:cs="宋体"/>
                <w:color w:val="auto"/>
                <w:szCs w:val="21"/>
                <w:highlight w:val="none"/>
              </w:rPr>
            </w:pPr>
          </w:p>
        </w:tc>
        <w:tc>
          <w:tcPr>
            <w:tcW w:w="171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第二阶段投标人名次的排序方法（适用于办法五、办法六）</w:t>
            </w:r>
          </w:p>
        </w:tc>
        <w:tc>
          <w:tcPr>
            <w:tcW w:w="6048" w:type="dxa"/>
            <w:tcBorders>
              <w:top w:val="single" w:color="auto" w:sz="4" w:space="0"/>
              <w:left w:val="single" w:color="auto" w:sz="4" w:space="0"/>
              <w:bottom w:val="single" w:color="auto" w:sz="4" w:space="0"/>
              <w:right w:val="doub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u w:val="single"/>
              </w:rPr>
              <w:t>本</w:t>
            </w:r>
            <w:r>
              <w:rPr>
                <w:rFonts w:hint="eastAsia" w:ascii="宋体" w:hAnsi="宋体" w:cs="宋体"/>
                <w:color w:val="auto"/>
                <w:szCs w:val="21"/>
                <w:highlight w:val="none"/>
                <w:u w:val="single"/>
                <w:lang w:val="en-US" w:eastAsia="zh-CN"/>
              </w:rPr>
              <w:t>款</w:t>
            </w:r>
            <w:r>
              <w:rPr>
                <w:rFonts w:hint="eastAsia" w:ascii="宋体" w:hAnsi="宋体" w:cs="宋体"/>
                <w:color w:val="auto"/>
                <w:szCs w:val="21"/>
                <w:highlight w:val="none"/>
                <w:u w:val="single"/>
              </w:rPr>
              <w:t>不适用</w:t>
            </w:r>
            <w:r>
              <w:rPr>
                <w:rFonts w:hint="eastAsia" w:ascii="宋体" w:hAnsi="宋体" w:cs="宋体"/>
                <w:color w:val="auto"/>
                <w:szCs w:val="21"/>
                <w:highlight w:val="none"/>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33</w:t>
            </w:r>
          </w:p>
        </w:tc>
        <w:tc>
          <w:tcPr>
            <w:tcW w:w="88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13.4、13.5.2</w:t>
            </w:r>
          </w:p>
        </w:tc>
        <w:tc>
          <w:tcPr>
            <w:tcW w:w="171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合同价款的调整办法</w:t>
            </w:r>
          </w:p>
        </w:tc>
        <w:tc>
          <w:tcPr>
            <w:tcW w:w="6048" w:type="dxa"/>
            <w:tcBorders>
              <w:top w:val="single" w:color="auto" w:sz="4" w:space="0"/>
              <w:left w:val="single" w:color="auto" w:sz="4" w:space="0"/>
              <w:bottom w:val="single" w:color="auto" w:sz="4" w:space="0"/>
              <w:right w:val="double" w:color="auto" w:sz="4" w:space="0"/>
            </w:tcBorders>
            <w:vAlign w:val="center"/>
          </w:tcPr>
          <w:p>
            <w:pPr>
              <w:rPr>
                <w:rFonts w:ascii="宋体" w:hAnsi="宋体" w:cs="宋体"/>
                <w:color w:val="auto"/>
                <w:szCs w:val="21"/>
                <w:highlight w:val="none"/>
                <w:u w:val="single"/>
              </w:rPr>
            </w:pPr>
            <w:r>
              <w:rPr>
                <w:rStyle w:val="140"/>
                <w:rFonts w:ascii="宋体" w:hAnsi="宋体"/>
                <w:color w:val="auto"/>
                <w:szCs w:val="21"/>
                <w:highlight w:val="none"/>
                <w:u w:val="single"/>
              </w:rPr>
              <w:t>按合同条款相关约定调整。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34</w:t>
            </w:r>
          </w:p>
        </w:tc>
        <w:tc>
          <w:tcPr>
            <w:tcW w:w="88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171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kern w:val="0"/>
                <w:szCs w:val="21"/>
                <w:highlight w:val="none"/>
                <w:lang w:val="zh-CN"/>
              </w:rPr>
              <w:t>建设工程质量检测管理办法</w:t>
            </w:r>
          </w:p>
        </w:tc>
        <w:tc>
          <w:tcPr>
            <w:tcW w:w="6048" w:type="dxa"/>
            <w:tcBorders>
              <w:top w:val="single" w:color="auto" w:sz="4" w:space="0"/>
              <w:left w:val="single" w:color="auto" w:sz="4" w:space="0"/>
              <w:bottom w:val="single" w:color="auto" w:sz="4" w:space="0"/>
              <w:right w:val="double" w:color="auto" w:sz="4" w:space="0"/>
            </w:tcBorders>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lang w:val="zh-CN"/>
              </w:rPr>
              <w:t>根据《建设工程质量检测管理办法》（建设部令第141号）第十二条规定，建设工程质量、安全检测业务应由建设单位依法委托，不列入本次招标范围。招标文件中与此条不一致的，以此条为准。建设单位和中标人均不得委托近二年（从招标公告发布年度起逆推2年的1月1日起至投标截止时间止）因伪造检测数据、出具虚假检测报告被各级建设行政主管部门或市场监督管理部门行政处罚或通报的检测单位负责本项目的检测工作。</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35</w:t>
            </w:r>
          </w:p>
        </w:tc>
        <w:tc>
          <w:tcPr>
            <w:tcW w:w="88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171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分包</w:t>
            </w:r>
          </w:p>
        </w:tc>
        <w:tc>
          <w:tcPr>
            <w:tcW w:w="6048" w:type="dxa"/>
            <w:tcBorders>
              <w:top w:val="single" w:color="auto" w:sz="4" w:space="0"/>
              <w:left w:val="single" w:color="auto" w:sz="4" w:space="0"/>
              <w:bottom w:val="single" w:color="auto" w:sz="4" w:space="0"/>
              <w:right w:val="double" w:color="auto" w:sz="4" w:space="0"/>
            </w:tcBorders>
            <w:vAlign w:val="center"/>
          </w:tcPr>
          <w:p>
            <w:pPr>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□不允许；</w:t>
            </w:r>
          </w:p>
          <w:p>
            <w:pPr>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■允许：</w:t>
            </w:r>
          </w:p>
          <w:p>
            <w:pPr>
              <w:ind w:firstLine="840" w:firstLineChars="400"/>
              <w:rPr>
                <w:rFonts w:ascii="宋体" w:hAnsi="宋体" w:cs="宋体"/>
                <w:color w:val="auto"/>
                <w:kern w:val="0"/>
                <w:szCs w:val="21"/>
                <w:highlight w:val="none"/>
                <w:u w:val="single"/>
                <w:lang w:val="zh-CN"/>
              </w:rPr>
            </w:pPr>
            <w:r>
              <w:rPr>
                <w:rFonts w:hint="eastAsia" w:ascii="宋体" w:hAnsi="宋体" w:cs="宋体"/>
                <w:color w:val="auto"/>
                <w:kern w:val="0"/>
                <w:szCs w:val="21"/>
                <w:highlight w:val="none"/>
                <w:lang w:val="zh-CN"/>
              </w:rPr>
              <w:t>分包内容要求：</w:t>
            </w:r>
            <w:r>
              <w:rPr>
                <w:rFonts w:hint="eastAsia" w:ascii="宋体" w:hAnsi="宋体" w:cs="宋体"/>
                <w:color w:val="auto"/>
                <w:kern w:val="0"/>
                <w:szCs w:val="21"/>
                <w:highlight w:val="none"/>
                <w:u w:val="single"/>
                <w:lang w:val="zh-CN"/>
              </w:rPr>
              <w:t>非主体的工程、非关键性的工作</w:t>
            </w:r>
          </w:p>
          <w:p>
            <w:pPr>
              <w:ind w:firstLine="840" w:firstLineChars="400"/>
              <w:rPr>
                <w:rFonts w:ascii="宋体" w:hAnsi="宋体" w:cs="宋体"/>
                <w:color w:val="auto"/>
                <w:kern w:val="0"/>
                <w:szCs w:val="21"/>
                <w:highlight w:val="none"/>
              </w:rPr>
            </w:pPr>
            <w:r>
              <w:rPr>
                <w:rFonts w:hint="eastAsia" w:ascii="宋体" w:hAnsi="宋体" w:cs="宋体"/>
                <w:color w:val="auto"/>
                <w:kern w:val="0"/>
                <w:szCs w:val="21"/>
                <w:highlight w:val="none"/>
                <w:lang w:val="zh-CN"/>
              </w:rPr>
              <w:t>分包金额要求：</w:t>
            </w:r>
            <w:r>
              <w:rPr>
                <w:rFonts w:hint="eastAsia" w:ascii="宋体" w:hAnsi="宋体" w:cs="宋体"/>
                <w:color w:val="auto"/>
                <w:kern w:val="0"/>
                <w:szCs w:val="21"/>
                <w:highlight w:val="none"/>
                <w:u w:val="single"/>
              </w:rPr>
              <w:t>/</w:t>
            </w:r>
            <w:r>
              <w:rPr>
                <w:rFonts w:hint="eastAsia" w:ascii="宋体" w:hAnsi="宋体" w:cs="宋体"/>
                <w:color w:val="auto"/>
                <w:kern w:val="0"/>
                <w:szCs w:val="21"/>
                <w:highlight w:val="none"/>
              </w:rPr>
              <w:t>。</w:t>
            </w:r>
          </w:p>
          <w:p>
            <w:pPr>
              <w:rPr>
                <w:rFonts w:ascii="宋体" w:hAnsi="宋体" w:cs="宋体"/>
                <w:color w:val="auto"/>
                <w:kern w:val="0"/>
                <w:szCs w:val="21"/>
                <w:highlight w:val="none"/>
              </w:rPr>
            </w:pPr>
            <w:r>
              <w:rPr>
                <w:rFonts w:hint="eastAsia" w:ascii="宋体" w:hAnsi="宋体" w:cs="宋体"/>
                <w:color w:val="auto"/>
                <w:kern w:val="0"/>
                <w:szCs w:val="21"/>
                <w:highlight w:val="none"/>
                <w:lang w:val="zh-CN"/>
              </w:rPr>
              <w:t xml:space="preserve">        对分包人的资质要求：</w:t>
            </w:r>
            <w:r>
              <w:rPr>
                <w:rFonts w:hint="eastAsia" w:ascii="宋体" w:hAnsi="宋体" w:cs="宋体"/>
                <w:color w:val="auto"/>
                <w:kern w:val="0"/>
                <w:szCs w:val="21"/>
                <w:highlight w:val="none"/>
                <w:u w:val="single"/>
              </w:rPr>
              <w:t>相对应的资质</w:t>
            </w:r>
            <w:r>
              <w:rPr>
                <w:rFonts w:hint="eastAsia" w:ascii="宋体" w:hAnsi="宋体" w:cs="宋体"/>
                <w:color w:val="auto"/>
                <w:kern w:val="0"/>
                <w:szCs w:val="21"/>
                <w:highlight w:val="none"/>
              </w:rPr>
              <w:t>。</w:t>
            </w:r>
          </w:p>
          <w:p>
            <w:pPr>
              <w:rPr>
                <w:rFonts w:ascii="宋体" w:hAnsi="宋体" w:cs="宋体"/>
                <w:color w:val="auto"/>
                <w:kern w:val="0"/>
                <w:szCs w:val="21"/>
                <w:highlight w:val="none"/>
              </w:rPr>
            </w:pPr>
            <w:r>
              <w:rPr>
                <w:rFonts w:hint="eastAsia" w:ascii="宋体" w:hAnsi="宋体" w:cs="宋体"/>
                <w:color w:val="auto"/>
                <w:kern w:val="0"/>
                <w:szCs w:val="21"/>
                <w:highlight w:val="none"/>
                <w:lang w:val="zh-CN"/>
              </w:rPr>
              <w:t>对分包人的其他要求：</w:t>
            </w:r>
            <w:r>
              <w:rPr>
                <w:rFonts w:hint="eastAsia" w:ascii="宋体" w:hAnsi="宋体" w:cs="宋体"/>
                <w:color w:val="auto"/>
                <w:kern w:val="0"/>
                <w:szCs w:val="21"/>
                <w:highlight w:val="none"/>
                <w:u w:val="single"/>
                <w:lang w:val="zh-CN"/>
              </w:rPr>
              <w:t>未在以往工程中因不诚信行为或不充分履约行为被本项目招标人书面拒绝投标的，或未被纳入联合惩戒范围的。须经发包人和总监理工程师书面同意。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36</w:t>
            </w:r>
          </w:p>
        </w:tc>
        <w:tc>
          <w:tcPr>
            <w:tcW w:w="8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highlight w:val="none"/>
              </w:rPr>
            </w:pPr>
          </w:p>
        </w:tc>
        <w:tc>
          <w:tcPr>
            <w:tcW w:w="171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highlight w:val="none"/>
              </w:rPr>
            </w:pPr>
            <w:r>
              <w:rPr>
                <w:rFonts w:hint="eastAsia" w:ascii="宋体" w:hAnsi="宋体" w:cs="宋体"/>
                <w:color w:val="auto"/>
                <w:highlight w:val="none"/>
              </w:rPr>
              <w:t>电子招标投标解密失败及突发情况的补救</w:t>
            </w:r>
          </w:p>
        </w:tc>
        <w:tc>
          <w:tcPr>
            <w:tcW w:w="6048" w:type="dxa"/>
            <w:tcBorders>
              <w:top w:val="single" w:color="auto" w:sz="4" w:space="0"/>
              <w:left w:val="single" w:color="auto" w:sz="4" w:space="0"/>
              <w:bottom w:val="single" w:color="auto" w:sz="4" w:space="0"/>
              <w:right w:val="doub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1、按照交易平台关于全流程电子化项目的相关指南进行操作。详见：</w:t>
            </w:r>
            <w:r>
              <w:rPr>
                <w:rFonts w:hint="eastAsia" w:ascii="宋体" w:hAnsi="宋体" w:cs="宋体"/>
                <w:color w:val="auto"/>
                <w:szCs w:val="21"/>
                <w:highlight w:val="none"/>
                <w:u w:val="single"/>
              </w:rPr>
              <w:t>【房建市政】【交易系统】【投标人】全流程电子化交易系统操作手册</w:t>
            </w:r>
            <w:r>
              <w:rPr>
                <w:rFonts w:hint="eastAsia" w:ascii="宋体" w:hAnsi="宋体" w:cs="宋体"/>
                <w:color w:val="auto"/>
                <w:szCs w:val="21"/>
                <w:highlight w:val="none"/>
              </w:rPr>
              <w:t xml:space="preserve">。  </w:t>
            </w:r>
          </w:p>
          <w:p>
            <w:pPr>
              <w:rPr>
                <w:rFonts w:ascii="宋体" w:hAnsi="宋体" w:cs="宋体"/>
                <w:color w:val="auto"/>
                <w:szCs w:val="21"/>
                <w:highlight w:val="none"/>
              </w:rPr>
            </w:pPr>
            <w:r>
              <w:rPr>
                <w:rFonts w:hint="eastAsia" w:ascii="宋体" w:hAnsi="宋体" w:cs="宋体"/>
                <w:color w:val="auto"/>
                <w:szCs w:val="21"/>
                <w:highlight w:val="none"/>
              </w:rPr>
              <w:t>2、提交投标文件光盘备用</w:t>
            </w:r>
          </w:p>
          <w:p>
            <w:pPr>
              <w:rPr>
                <w:rFonts w:ascii="宋体" w:hAnsi="宋体" w:cs="宋体"/>
                <w:color w:val="auto"/>
                <w:szCs w:val="21"/>
                <w:highlight w:val="none"/>
              </w:rPr>
            </w:pPr>
            <w:r>
              <w:rPr>
                <w:rFonts w:hint="eastAsia" w:ascii="宋体" w:hAnsi="宋体" w:cs="宋体"/>
                <w:color w:val="auto"/>
                <w:szCs w:val="21"/>
                <w:highlight w:val="none"/>
              </w:rPr>
              <w:t>投标人可制作非加密的电子投标文件（PDF格式）刻入光盘（1份），在投标须知前附表第18项规定的时间、地点提交备用。刻录好的投标文件光盘密封在密封袋中，并在封口处加盖投标人单位公章。密封袋上应写明项目名称和招标人名称。递交的光盘不得加密。光盘无法读取或导入的，则视为未提交备用投标文件光盘。如果投标人没有按规定通过交易平台网上递交电子投标文件的，不再读取提交的光盘。投标人也可不提交备用光盘。</w:t>
            </w:r>
          </w:p>
          <w:p>
            <w:pPr>
              <w:rPr>
                <w:rFonts w:ascii="宋体" w:hAnsi="宋体" w:cs="宋体"/>
                <w:color w:val="auto"/>
                <w:szCs w:val="21"/>
                <w:highlight w:val="none"/>
              </w:rPr>
            </w:pPr>
            <w:r>
              <w:rPr>
                <w:rFonts w:hint="eastAsia" w:ascii="宋体" w:hAnsi="宋体" w:cs="宋体"/>
                <w:color w:val="auto"/>
                <w:szCs w:val="21"/>
                <w:highlight w:val="none"/>
              </w:rPr>
              <w:t xml:space="preserve"> 3、补救方案</w:t>
            </w:r>
          </w:p>
          <w:p>
            <w:pPr>
              <w:rPr>
                <w:rFonts w:ascii="宋体" w:hAnsi="宋体" w:cs="宋体"/>
                <w:color w:val="auto"/>
                <w:szCs w:val="21"/>
                <w:highlight w:val="none"/>
              </w:rPr>
            </w:pPr>
            <w:r>
              <w:rPr>
                <w:rFonts w:hint="eastAsia" w:ascii="宋体" w:hAnsi="宋体" w:cs="宋体"/>
                <w:color w:val="auto"/>
                <w:szCs w:val="21"/>
                <w:highlight w:val="none"/>
              </w:rPr>
              <w:t>（1）投标文件解密失败的补救方案：</w:t>
            </w:r>
          </w:p>
          <w:p>
            <w:pPr>
              <w:rPr>
                <w:rFonts w:ascii="宋体" w:hAnsi="宋体" w:cs="宋体"/>
                <w:color w:val="auto"/>
                <w:szCs w:val="21"/>
                <w:highlight w:val="none"/>
              </w:rPr>
            </w:pPr>
            <w:r>
              <w:rPr>
                <w:rFonts w:hint="eastAsia" w:ascii="宋体" w:hAnsi="宋体" w:cs="宋体"/>
                <w:color w:val="auto"/>
                <w:szCs w:val="21"/>
                <w:highlight w:val="none"/>
              </w:rPr>
              <w:t>在规定时间内，因投标人之外原因(指网络瘫痪、服务器损坏、交易系统故障短期无法恢复)导致的电子投标文件解密失败，在开标现场读取光盘内容，继续开标程序。评标委员会对其投标文件的评审以光盘内容为准。因投标人之外原因解密失败且未递交电子光盘的，视为撤回投标文件。</w:t>
            </w:r>
          </w:p>
          <w:p>
            <w:pPr>
              <w:rPr>
                <w:rFonts w:ascii="宋体" w:hAnsi="宋体" w:cs="宋体"/>
                <w:color w:val="auto"/>
                <w:szCs w:val="21"/>
                <w:highlight w:val="none"/>
              </w:rPr>
            </w:pPr>
            <w:r>
              <w:rPr>
                <w:rFonts w:hint="eastAsia" w:ascii="宋体" w:hAnsi="宋体" w:cs="宋体"/>
                <w:color w:val="auto"/>
                <w:szCs w:val="21"/>
                <w:highlight w:val="none"/>
              </w:rPr>
              <w:t>（2）评标时突发情况的补救方案</w:t>
            </w:r>
          </w:p>
          <w:p>
            <w:pPr>
              <w:rPr>
                <w:rFonts w:ascii="宋体" w:hAnsi="宋体" w:cs="宋体"/>
                <w:color w:val="auto"/>
                <w:szCs w:val="21"/>
                <w:highlight w:val="none"/>
              </w:rPr>
            </w:pPr>
            <w:r>
              <w:rPr>
                <w:rFonts w:hint="eastAsia" w:ascii="宋体" w:hAnsi="宋体" w:cs="宋体"/>
                <w:color w:val="auto"/>
                <w:szCs w:val="21"/>
                <w:highlight w:val="none"/>
              </w:rPr>
              <w:t>若遇不可抗力发生（指网络瘫痪、服务器损坏、交易系统故障短期无法恢复等因素），由评标委员会开启投标人递交的全部投标文件光盘，并按光盘内容进行评审。</w:t>
            </w:r>
          </w:p>
          <w:p>
            <w:pPr>
              <w:rPr>
                <w:rFonts w:ascii="宋体" w:hAnsi="宋体" w:cs="宋体"/>
                <w:color w:val="auto"/>
                <w:szCs w:val="21"/>
                <w:highlight w:val="none"/>
              </w:rPr>
            </w:pPr>
            <w:r>
              <w:rPr>
                <w:rFonts w:hint="eastAsia" w:ascii="宋体" w:hAnsi="宋体" w:cs="宋体"/>
                <w:color w:val="auto"/>
                <w:szCs w:val="21"/>
                <w:highlight w:val="none"/>
              </w:rPr>
              <w:t>（3）除发生上述情况外，开标评标均以投标人通过交易平台网上递交的电子投标文件为准。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37</w:t>
            </w:r>
          </w:p>
        </w:tc>
        <w:tc>
          <w:tcPr>
            <w:tcW w:w="8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highlight w:val="none"/>
              </w:rPr>
            </w:pPr>
          </w:p>
        </w:tc>
        <w:tc>
          <w:tcPr>
            <w:tcW w:w="171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highlight w:val="none"/>
              </w:rPr>
            </w:pPr>
            <w:r>
              <w:rPr>
                <w:rFonts w:hint="eastAsia" w:ascii="宋体" w:hAnsi="宋体" w:cs="宋体"/>
                <w:color w:val="auto"/>
                <w:szCs w:val="21"/>
                <w:highlight w:val="none"/>
              </w:rPr>
              <w:t>各分值的权重</w:t>
            </w:r>
          </w:p>
        </w:tc>
        <w:tc>
          <w:tcPr>
            <w:tcW w:w="6048" w:type="dxa"/>
            <w:tcBorders>
              <w:top w:val="single" w:color="auto" w:sz="4" w:space="0"/>
              <w:left w:val="single" w:color="auto" w:sz="4" w:space="0"/>
              <w:bottom w:val="single" w:color="auto" w:sz="4" w:space="0"/>
              <w:right w:val="double" w:color="auto" w:sz="4" w:space="0"/>
            </w:tcBorders>
            <w:vAlign w:val="center"/>
          </w:tcPr>
          <w:p>
            <w:pPr>
              <w:rPr>
                <w:rFonts w:ascii="宋体" w:hAnsi="宋体" w:cs="宋体"/>
                <w:color w:val="auto"/>
                <w:szCs w:val="21"/>
                <w:highlight w:val="none"/>
              </w:rPr>
            </w:pPr>
            <w:r>
              <w:rPr>
                <w:rFonts w:hint="eastAsia" w:ascii="宋体" w:hAnsi="宋体" w:cs="宋体"/>
                <w:b/>
                <w:bCs/>
                <w:color w:val="auto"/>
                <w:szCs w:val="21"/>
                <w:highlight w:val="none"/>
                <w:u w:val="single"/>
              </w:rPr>
              <w:t>投标人总得分=技术得分（20分）＋经济得分（100分）×经济得分权重（80%）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38</w:t>
            </w:r>
          </w:p>
        </w:tc>
        <w:tc>
          <w:tcPr>
            <w:tcW w:w="8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highlight w:val="none"/>
              </w:rPr>
            </w:pPr>
          </w:p>
        </w:tc>
        <w:tc>
          <w:tcPr>
            <w:tcW w:w="1713" w:type="dxa"/>
            <w:tcBorders>
              <w:top w:val="single" w:color="auto" w:sz="4" w:space="0"/>
              <w:left w:val="single" w:color="auto" w:sz="4" w:space="0"/>
              <w:bottom w:val="single" w:color="auto" w:sz="4" w:space="0"/>
              <w:right w:val="single" w:color="auto" w:sz="4" w:space="0"/>
            </w:tcBorders>
            <w:vAlign w:val="center"/>
          </w:tcPr>
          <w:p>
            <w:pPr>
              <w:adjustRightInd w:val="0"/>
              <w:spacing w:before="156" w:beforeLines="50" w:line="360" w:lineRule="auto"/>
              <w:jc w:val="center"/>
              <w:rPr>
                <w:rFonts w:ascii="宋体" w:hAnsi="宋体" w:cs="宋体"/>
                <w:color w:val="auto"/>
                <w:szCs w:val="21"/>
                <w:highlight w:val="none"/>
              </w:rPr>
            </w:pPr>
            <w:r>
              <w:rPr>
                <w:rFonts w:hint="eastAsia" w:ascii="宋体" w:hAnsi="宋体" w:cs="宋体"/>
                <w:color w:val="auto"/>
                <w:szCs w:val="21"/>
                <w:highlight w:val="none"/>
                <w:u w:val="single"/>
              </w:rPr>
              <w:t>其他费用</w:t>
            </w:r>
          </w:p>
        </w:tc>
        <w:tc>
          <w:tcPr>
            <w:tcW w:w="6048" w:type="dxa"/>
            <w:tcBorders>
              <w:top w:val="single" w:color="auto" w:sz="4" w:space="0"/>
              <w:left w:val="single" w:color="auto" w:sz="4" w:space="0"/>
              <w:bottom w:val="single" w:color="auto" w:sz="4" w:space="0"/>
              <w:right w:val="double" w:color="auto" w:sz="4" w:space="0"/>
            </w:tcBorders>
            <w:vAlign w:val="center"/>
          </w:tcPr>
          <w:p>
            <w:pPr>
              <w:adjustRightInd w:val="0"/>
              <w:spacing w:before="156" w:beforeLines="50"/>
              <w:rPr>
                <w:rFonts w:ascii="宋体" w:hAnsi="宋体" w:cs="宋体"/>
                <w:color w:val="auto"/>
                <w:szCs w:val="21"/>
                <w:highlight w:val="none"/>
                <w:u w:val="single"/>
              </w:rPr>
            </w:pPr>
            <w:r>
              <w:rPr>
                <w:rFonts w:hint="eastAsia" w:ascii="宋体" w:hAnsi="宋体" w:cs="宋体"/>
                <w:color w:val="auto"/>
                <w:szCs w:val="21"/>
                <w:highlight w:val="none"/>
                <w:u w:val="single"/>
              </w:rPr>
              <w:t>交易服务费：由中标人支付，根据政府相关文件规定缴纳。</w:t>
            </w:r>
          </w:p>
          <w:p>
            <w:pPr>
              <w:adjustRightInd w:val="0"/>
              <w:spacing w:before="156" w:beforeLines="50"/>
              <w:rPr>
                <w:rFonts w:ascii="宋体" w:hAnsi="宋体" w:cs="宋体"/>
                <w:b/>
                <w:bCs/>
                <w:color w:val="auto"/>
                <w:szCs w:val="21"/>
                <w:highlight w:val="none"/>
                <w:u w:val="single"/>
              </w:rPr>
            </w:pPr>
            <w:r>
              <w:rPr>
                <w:rFonts w:hint="eastAsia" w:ascii="宋体" w:hAnsi="宋体" w:cs="宋体"/>
                <w:color w:val="auto"/>
                <w:szCs w:val="21"/>
                <w:highlight w:val="none"/>
                <w:u w:val="single"/>
              </w:rPr>
              <w:t>招标代理费：按照招标人与招标代理签订的招标代理合同约定的内容执行。</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en-US" w:eastAsia="zh-CN"/>
              </w:rPr>
              <w:t>9</w:t>
            </w:r>
          </w:p>
        </w:tc>
        <w:tc>
          <w:tcPr>
            <w:tcW w:w="8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highlight w:val="none"/>
              </w:rPr>
            </w:pPr>
          </w:p>
        </w:tc>
        <w:tc>
          <w:tcPr>
            <w:tcW w:w="171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auto"/>
                <w:szCs w:val="21"/>
                <w:highlight w:val="none"/>
                <w:u w:val="single"/>
              </w:rPr>
            </w:pPr>
            <w:r>
              <w:rPr>
                <w:rFonts w:hint="eastAsia" w:ascii="宋体" w:hAnsi="宋体" w:cs="宋体"/>
                <w:color w:val="auto"/>
                <w:szCs w:val="21"/>
                <w:highlight w:val="none"/>
              </w:rPr>
              <w:t>投标文件份数</w:t>
            </w:r>
          </w:p>
        </w:tc>
        <w:tc>
          <w:tcPr>
            <w:tcW w:w="6048" w:type="dxa"/>
            <w:tcBorders>
              <w:top w:val="single" w:color="auto" w:sz="4" w:space="0"/>
              <w:left w:val="single" w:color="auto" w:sz="4" w:space="0"/>
              <w:bottom w:val="single" w:color="auto" w:sz="4" w:space="0"/>
              <w:right w:val="double" w:color="auto" w:sz="4" w:space="0"/>
            </w:tcBorders>
            <w:vAlign w:val="center"/>
          </w:tcPr>
          <w:p>
            <w:pPr>
              <w:rPr>
                <w:rFonts w:hint="eastAsia" w:ascii="宋体" w:hAnsi="宋体" w:cs="宋体"/>
                <w:color w:val="auto"/>
                <w:highlight w:val="none"/>
              </w:rPr>
            </w:pPr>
            <w:r>
              <w:rPr>
                <w:rFonts w:hint="eastAsia" w:ascii="宋体" w:hAnsi="宋体" w:cs="宋体"/>
                <w:color w:val="auto"/>
                <w:highlight w:val="none"/>
              </w:rPr>
              <w:t>投标文件为含电子签章的加密电子投标文件1套。</w:t>
            </w:r>
          </w:p>
          <w:p>
            <w:pPr>
              <w:rPr>
                <w:rFonts w:hint="eastAsia" w:ascii="宋体" w:hAnsi="宋体" w:cs="宋体"/>
                <w:color w:val="auto"/>
                <w:szCs w:val="21"/>
                <w:highlight w:val="none"/>
                <w:u w:val="single"/>
              </w:rPr>
            </w:pPr>
            <w:r>
              <w:rPr>
                <w:rFonts w:hint="eastAsia" w:ascii="宋体" w:hAnsi="宋体" w:cs="宋体"/>
                <w:color w:val="auto"/>
                <w:highlight w:val="none"/>
              </w:rPr>
              <w:t>项目中标后，在发出中标通知书前，中标单位必须提供投标文件纸质版4套，电子版（造价部分需提供软件版本及导出清单）1套。</w:t>
            </w:r>
          </w:p>
        </w:tc>
      </w:tr>
    </w:tbl>
    <w:p>
      <w:pPr>
        <w:pStyle w:val="7"/>
        <w:rPr>
          <w:rFonts w:ascii="宋体" w:hAnsi="宋体" w:cs="宋体"/>
          <w:color w:val="auto"/>
          <w:highlight w:val="none"/>
        </w:rPr>
      </w:pPr>
      <w:r>
        <w:rPr>
          <w:rFonts w:hint="eastAsia" w:ascii="宋体" w:hAnsi="宋体" w:cs="宋体"/>
          <w:color w:val="auto"/>
          <w:highlight w:val="none"/>
        </w:rPr>
        <w:br w:type="page"/>
      </w:r>
      <w:bookmarkStart w:id="2" w:name="_Toc12984"/>
      <w:r>
        <w:rPr>
          <w:rFonts w:hint="eastAsia" w:ascii="宋体" w:hAnsi="宋体" w:cs="宋体"/>
          <w:color w:val="auto"/>
          <w:highlight w:val="none"/>
        </w:rPr>
        <w:t>二、投标须知修改表</w:t>
      </w:r>
      <w:bookmarkEnd w:id="2"/>
    </w:p>
    <w:p>
      <w:pPr>
        <w:pStyle w:val="5"/>
        <w:spacing w:line="360" w:lineRule="auto"/>
        <w:rPr>
          <w:rFonts w:ascii="宋体" w:hAnsi="宋体" w:cs="宋体"/>
          <w:b/>
          <w:color w:val="auto"/>
          <w:sz w:val="21"/>
          <w:szCs w:val="21"/>
          <w:highlight w:val="none"/>
        </w:rPr>
      </w:pPr>
      <w:r>
        <w:rPr>
          <w:rFonts w:hint="eastAsia" w:ascii="宋体" w:hAnsi="宋体" w:cs="宋体"/>
          <w:b/>
          <w:color w:val="auto"/>
          <w:sz w:val="21"/>
          <w:szCs w:val="21"/>
          <w:highlight w:val="none"/>
        </w:rPr>
        <w:t>声明：本投标须知使用GZZB2018-3招标文件范本的投标须知通用条款，与该通用条款不同之处，均在本表中列明，并以现文为准，原文不再有效。本招标文件中不再转录投标须知通用条款，请投标人自行到广州市住房和城乡建设局网站（网址：</w:t>
      </w:r>
      <w:r>
        <w:rPr>
          <w:color w:val="auto"/>
          <w:highlight w:val="none"/>
        </w:rPr>
        <w:fldChar w:fldCharType="begin"/>
      </w:r>
      <w:r>
        <w:rPr>
          <w:color w:val="auto"/>
          <w:highlight w:val="none"/>
        </w:rPr>
        <w:instrText xml:space="preserve"> HYPERLINK "http://www.gzcc.gov.cn/）下载查阅" </w:instrText>
      </w:r>
      <w:r>
        <w:rPr>
          <w:color w:val="auto"/>
          <w:highlight w:val="none"/>
        </w:rPr>
        <w:fldChar w:fldCharType="separate"/>
      </w:r>
      <w:r>
        <w:rPr>
          <w:rFonts w:hint="eastAsia" w:ascii="宋体" w:hAnsi="宋体" w:cs="宋体"/>
          <w:b/>
          <w:color w:val="auto"/>
          <w:sz w:val="21"/>
          <w:szCs w:val="21"/>
          <w:highlight w:val="none"/>
          <w:lang w:eastAsia="zh-CN"/>
        </w:rPr>
        <w:t>http://zfcj.gz.gov.cn/</w:t>
      </w:r>
      <w:r>
        <w:rPr>
          <w:rFonts w:hint="eastAsia" w:ascii="宋体" w:hAnsi="宋体" w:cs="宋体"/>
          <w:b/>
          <w:color w:val="auto"/>
          <w:sz w:val="21"/>
          <w:szCs w:val="21"/>
          <w:highlight w:val="none"/>
        </w:rPr>
        <w:t>）下载查阅</w:t>
      </w:r>
      <w:r>
        <w:rPr>
          <w:rFonts w:hint="eastAsia" w:ascii="宋体" w:hAnsi="宋体" w:cs="宋体"/>
          <w:b/>
          <w:color w:val="auto"/>
          <w:sz w:val="21"/>
          <w:szCs w:val="21"/>
          <w:highlight w:val="none"/>
        </w:rPr>
        <w:fldChar w:fldCharType="end"/>
      </w:r>
      <w:r>
        <w:rPr>
          <w:rFonts w:hint="eastAsia" w:ascii="宋体" w:hAnsi="宋体" w:cs="宋体"/>
          <w:b/>
          <w:color w:val="auto"/>
          <w:sz w:val="21"/>
          <w:szCs w:val="21"/>
          <w:highlight w:val="none"/>
        </w:rPr>
        <w:t>。</w:t>
      </w:r>
    </w:p>
    <w:p>
      <w:pPr>
        <w:tabs>
          <w:tab w:val="left" w:pos="5620"/>
        </w:tabs>
        <w:spacing w:line="36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条款号：2.5                    修改类型：增加</w:t>
      </w:r>
    </w:p>
    <w:p>
      <w:pPr>
        <w:pBdr>
          <w:bottom w:val="single" w:color="auto" w:sz="6" w:space="1"/>
        </w:pBdr>
        <w:spacing w:line="360" w:lineRule="auto"/>
        <w:ind w:firstLine="413" w:firstLineChars="196"/>
        <w:rPr>
          <w:rFonts w:ascii="宋体" w:hAnsi="宋体" w:cs="宋体"/>
          <w:b/>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2.5</w:t>
      </w:r>
      <w:r>
        <w:rPr>
          <w:rFonts w:hint="eastAsia" w:ascii="宋体" w:hAnsi="宋体" w:cs="宋体"/>
          <w:color w:val="auto"/>
          <w:szCs w:val="21"/>
          <w:highlight w:val="none"/>
          <w:u w:val="single"/>
        </w:rPr>
        <w:t>根据《建设工程质量检测管理办法》（建设部令第141号）第十二条规定，建设工程质量、安全检测业务应由建设单位依法委托，不列入本次招标范围。招标文件中与此条不一致的，以此条为准。</w:t>
      </w:r>
      <w:r>
        <w:rPr>
          <w:rFonts w:hint="eastAsia" w:ascii="宋体" w:hAnsi="宋体" w:cs="宋体"/>
          <w:color w:val="auto"/>
          <w:kern w:val="0"/>
          <w:szCs w:val="21"/>
          <w:highlight w:val="none"/>
          <w:u w:val="single"/>
          <w:lang w:val="zh-CN"/>
        </w:rPr>
        <w:t>建设单位和中标人均不得委托近二年（从招标公告发布年度起逆推2年的1月1日起至投标截止时间止）因伪造检测数据、出具虚假检测报告被各级建设行政主管部门或市场监督管理部门行政处罚或通报的检测单位负责本项目的检检工作。</w:t>
      </w:r>
    </w:p>
    <w:p>
      <w:pPr>
        <w:tabs>
          <w:tab w:val="left" w:pos="5620"/>
        </w:tabs>
        <w:spacing w:line="36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条款号：5.1                     修改类型：修改</w:t>
      </w:r>
    </w:p>
    <w:p>
      <w:pPr>
        <w:tabs>
          <w:tab w:val="left" w:pos="5620"/>
        </w:tabs>
        <w:spacing w:line="360" w:lineRule="auto"/>
        <w:ind w:firstLine="472" w:firstLineChars="224"/>
        <w:rPr>
          <w:rFonts w:ascii="宋体" w:hAnsi="宋体" w:cs="宋体"/>
          <w:color w:val="auto"/>
          <w:szCs w:val="21"/>
          <w:highlight w:val="none"/>
        </w:rPr>
      </w:pPr>
      <w:r>
        <w:rPr>
          <w:rFonts w:hint="eastAsia" w:ascii="宋体" w:hAnsi="宋体" w:cs="宋体"/>
          <w:b/>
          <w:color w:val="auto"/>
          <w:szCs w:val="21"/>
          <w:highlight w:val="none"/>
        </w:rPr>
        <w:t>原文：5</w:t>
      </w:r>
      <w:r>
        <w:rPr>
          <w:rFonts w:hint="eastAsia" w:ascii="宋体" w:hAnsi="宋体" w:cs="宋体"/>
          <w:color w:val="auto"/>
          <w:szCs w:val="21"/>
          <w:highlight w:val="none"/>
        </w:rPr>
        <w:t>.1投标人应按本投标须知前附表第15项所述时间和要求对工程现场及周围环境进行踏勘，投标人应充分重视和仔细地进行这种考察，以便投标人获取那些须投标人自己负责的有关编制投标文件和签署合同所涉及现场所有的资料。一旦中标，这种考察即被认为其结果已在中标文件中得到充分反映。考察现场的费用由投标人自己承担。</w:t>
      </w:r>
    </w:p>
    <w:p>
      <w:pPr>
        <w:pBdr>
          <w:bottom w:val="single" w:color="auto" w:sz="4" w:space="1"/>
        </w:pBdr>
        <w:spacing w:line="360" w:lineRule="auto"/>
        <w:ind w:firstLine="422" w:firstLineChars="200"/>
        <w:rPr>
          <w:rFonts w:ascii="宋体" w:hAnsi="宋体" w:cs="宋体"/>
          <w:color w:val="auto"/>
          <w:szCs w:val="21"/>
          <w:highlight w:val="none"/>
          <w:u w:val="single"/>
        </w:rPr>
      </w:pPr>
      <w:r>
        <w:rPr>
          <w:rFonts w:hint="eastAsia" w:ascii="宋体" w:hAnsi="宋体" w:cs="宋体"/>
          <w:b/>
          <w:color w:val="auto"/>
          <w:szCs w:val="21"/>
          <w:highlight w:val="none"/>
        </w:rPr>
        <w:t>现文：</w:t>
      </w:r>
      <w:r>
        <w:rPr>
          <w:rFonts w:hint="eastAsia" w:ascii="宋体" w:hAnsi="宋体" w:cs="宋体"/>
          <w:color w:val="auto"/>
          <w:szCs w:val="21"/>
          <w:highlight w:val="none"/>
        </w:rPr>
        <w:t>5.1投标人应按本投标须知前附表第15项所述时间和要求对工程现场及周围环境进行踏勘，投标人应充分重视和仔细地进行这种考察，以便投标人获取那些须投标人自己负责的有关编制投标文件和签署合同所涉及现场所有的资料。</w:t>
      </w:r>
      <w:r>
        <w:rPr>
          <w:rFonts w:hint="eastAsia" w:ascii="宋体" w:hAnsi="宋体" w:cs="宋体"/>
          <w:color w:val="auto"/>
          <w:szCs w:val="21"/>
          <w:highlight w:val="none"/>
          <w:u w:val="single"/>
        </w:rPr>
        <w:t>投标人不进行踏勘的，视为已熟知现场条件，自行承担相关风险。投标单位自行勘察并对工程量清单及图纸内容、准确性进行复核，如有误差必须在答疑中提出，否则视为已认可本项目的工程量清单及图纸所有内容。</w:t>
      </w:r>
      <w:r>
        <w:rPr>
          <w:rFonts w:hint="eastAsia" w:ascii="宋体" w:hAnsi="宋体" w:cs="宋体"/>
          <w:color w:val="auto"/>
          <w:szCs w:val="21"/>
          <w:highlight w:val="none"/>
        </w:rPr>
        <w:t>一旦中标，这种考察即被认为其结果已在中标文件中得到充分反映。考察现场的费用由投标人自己承担。</w:t>
      </w:r>
    </w:p>
    <w:p>
      <w:pPr>
        <w:tabs>
          <w:tab w:val="left" w:pos="5620"/>
        </w:tabs>
        <w:spacing w:line="36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 xml:space="preserve">条款号： </w:t>
      </w:r>
      <w:r>
        <w:rPr>
          <w:rFonts w:hint="eastAsia" w:ascii="宋体" w:hAnsi="宋体" w:cs="宋体"/>
          <w:color w:val="auto"/>
          <w:szCs w:val="21"/>
          <w:highlight w:val="none"/>
        </w:rPr>
        <w:t>7.1</w:t>
      </w:r>
      <w:r>
        <w:rPr>
          <w:rFonts w:hint="eastAsia" w:ascii="宋体" w:hAnsi="宋体" w:cs="宋体"/>
          <w:b/>
          <w:color w:val="auto"/>
          <w:szCs w:val="21"/>
          <w:highlight w:val="none"/>
        </w:rPr>
        <w:t xml:space="preserve">            修改类型：修改</w:t>
      </w:r>
      <w:r>
        <w:rPr>
          <w:rFonts w:hint="eastAsia" w:ascii="宋体" w:hAnsi="宋体" w:cs="宋体"/>
          <w:b/>
          <w:color w:val="auto"/>
          <w:szCs w:val="21"/>
          <w:highlight w:val="none"/>
        </w:rPr>
        <w:tab/>
      </w:r>
    </w:p>
    <w:p>
      <w:pPr>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bCs/>
          <w:color w:val="auto"/>
          <w:szCs w:val="21"/>
          <w:highlight w:val="none"/>
        </w:rPr>
        <w:t>7.1</w:t>
      </w:r>
      <w:r>
        <w:rPr>
          <w:rFonts w:hint="eastAsia" w:ascii="宋体" w:hAnsi="宋体" w:cs="宋体"/>
          <w:color w:val="auto"/>
          <w:szCs w:val="21"/>
          <w:highlight w:val="none"/>
        </w:rPr>
        <w:t>本招标文件包括下列文件，以及所有按本须知第8条发出的招标答疑会会议纪要和按本须知第9条发出的澄清或修改：</w:t>
      </w:r>
    </w:p>
    <w:p>
      <w:pPr>
        <w:pStyle w:val="5"/>
        <w:spacing w:after="0" w:line="360" w:lineRule="auto"/>
        <w:ind w:left="-2" w:firstLineChars="200"/>
        <w:rPr>
          <w:rFonts w:ascii="宋体" w:hAnsi="宋体" w:cs="宋体"/>
          <w:color w:val="auto"/>
          <w:sz w:val="21"/>
          <w:szCs w:val="21"/>
          <w:highlight w:val="none"/>
        </w:rPr>
      </w:pPr>
      <w:r>
        <w:rPr>
          <w:rFonts w:hint="eastAsia" w:ascii="宋体" w:hAnsi="宋体" w:cs="宋体"/>
          <w:bCs/>
          <w:color w:val="auto"/>
          <w:sz w:val="21"/>
          <w:szCs w:val="21"/>
          <w:highlight w:val="none"/>
        </w:rPr>
        <w:t xml:space="preserve">第一章  </w:t>
      </w:r>
      <w:r>
        <w:rPr>
          <w:rFonts w:hint="eastAsia" w:ascii="宋体" w:hAnsi="宋体" w:cs="宋体"/>
          <w:color w:val="auto"/>
          <w:sz w:val="21"/>
          <w:szCs w:val="21"/>
          <w:highlight w:val="none"/>
        </w:rPr>
        <w:t>投标须知</w:t>
      </w:r>
    </w:p>
    <w:p>
      <w:pPr>
        <w:pStyle w:val="5"/>
        <w:spacing w:after="0" w:line="360" w:lineRule="auto"/>
        <w:ind w:left="-2" w:firstLineChars="200"/>
        <w:rPr>
          <w:rFonts w:ascii="宋体" w:hAnsi="宋体" w:cs="宋体"/>
          <w:color w:val="auto"/>
          <w:sz w:val="21"/>
          <w:szCs w:val="21"/>
          <w:highlight w:val="none"/>
        </w:rPr>
      </w:pPr>
      <w:r>
        <w:rPr>
          <w:rFonts w:hint="eastAsia" w:ascii="宋体" w:hAnsi="宋体" w:cs="宋体"/>
          <w:bCs/>
          <w:color w:val="auto"/>
          <w:sz w:val="21"/>
          <w:szCs w:val="21"/>
          <w:highlight w:val="none"/>
        </w:rPr>
        <w:t xml:space="preserve">第二章  </w:t>
      </w:r>
      <w:r>
        <w:rPr>
          <w:rFonts w:hint="eastAsia" w:ascii="宋体" w:hAnsi="宋体" w:cs="宋体"/>
          <w:color w:val="auto"/>
          <w:sz w:val="21"/>
          <w:szCs w:val="21"/>
          <w:highlight w:val="none"/>
        </w:rPr>
        <w:t>开标、评标及定标办法</w:t>
      </w:r>
    </w:p>
    <w:p>
      <w:pPr>
        <w:pStyle w:val="5"/>
        <w:spacing w:after="0" w:line="360" w:lineRule="auto"/>
        <w:ind w:left="-2" w:firstLineChars="200"/>
        <w:rPr>
          <w:rFonts w:ascii="宋体" w:hAnsi="宋体" w:cs="宋体"/>
          <w:color w:val="auto"/>
          <w:sz w:val="21"/>
          <w:szCs w:val="21"/>
          <w:highlight w:val="none"/>
        </w:rPr>
      </w:pPr>
      <w:r>
        <w:rPr>
          <w:rFonts w:hint="eastAsia" w:ascii="宋体" w:hAnsi="宋体" w:cs="宋体"/>
          <w:color w:val="auto"/>
          <w:sz w:val="21"/>
          <w:szCs w:val="21"/>
          <w:highlight w:val="none"/>
        </w:rPr>
        <w:t>第三章  合同条款</w:t>
      </w:r>
    </w:p>
    <w:p>
      <w:pPr>
        <w:pStyle w:val="5"/>
        <w:spacing w:after="0" w:line="360" w:lineRule="auto"/>
        <w:ind w:firstLineChars="200"/>
        <w:rPr>
          <w:rFonts w:ascii="宋体" w:hAnsi="宋体" w:cs="宋体"/>
          <w:color w:val="auto"/>
          <w:sz w:val="21"/>
          <w:szCs w:val="21"/>
          <w:highlight w:val="none"/>
        </w:rPr>
      </w:pPr>
      <w:r>
        <w:rPr>
          <w:rFonts w:hint="eastAsia" w:ascii="宋体" w:hAnsi="宋体" w:cs="宋体"/>
          <w:bCs/>
          <w:color w:val="auto"/>
          <w:sz w:val="21"/>
          <w:szCs w:val="21"/>
          <w:highlight w:val="none"/>
        </w:rPr>
        <w:t xml:space="preserve">第四章  </w:t>
      </w:r>
      <w:r>
        <w:rPr>
          <w:rFonts w:hint="eastAsia" w:ascii="宋体" w:hAnsi="宋体" w:cs="宋体"/>
          <w:color w:val="auto"/>
          <w:sz w:val="21"/>
          <w:szCs w:val="21"/>
          <w:highlight w:val="none"/>
        </w:rPr>
        <w:t>投标文件格式</w:t>
      </w:r>
    </w:p>
    <w:p>
      <w:pPr>
        <w:pStyle w:val="5"/>
        <w:spacing w:after="0" w:line="360" w:lineRule="auto"/>
        <w:ind w:left="-2" w:firstLineChars="200"/>
        <w:rPr>
          <w:rFonts w:ascii="宋体" w:hAnsi="宋体" w:cs="宋体"/>
          <w:color w:val="auto"/>
          <w:sz w:val="21"/>
          <w:szCs w:val="21"/>
          <w:highlight w:val="none"/>
        </w:rPr>
      </w:pPr>
      <w:r>
        <w:rPr>
          <w:rFonts w:hint="eastAsia" w:ascii="宋体" w:hAnsi="宋体" w:cs="宋体"/>
          <w:bCs/>
          <w:color w:val="auto"/>
          <w:sz w:val="21"/>
          <w:szCs w:val="21"/>
          <w:highlight w:val="none"/>
        </w:rPr>
        <w:t xml:space="preserve">第五章  </w:t>
      </w:r>
      <w:r>
        <w:rPr>
          <w:rFonts w:hint="eastAsia" w:ascii="宋体" w:hAnsi="宋体" w:cs="宋体"/>
          <w:color w:val="auto"/>
          <w:sz w:val="21"/>
          <w:szCs w:val="21"/>
          <w:highlight w:val="none"/>
        </w:rPr>
        <w:t>技术条件（工程建设标准）（另册）</w:t>
      </w:r>
    </w:p>
    <w:p>
      <w:pPr>
        <w:pStyle w:val="5"/>
        <w:spacing w:after="0" w:line="360" w:lineRule="auto"/>
        <w:ind w:left="-2" w:firstLineChars="200"/>
        <w:rPr>
          <w:rFonts w:ascii="宋体" w:hAnsi="宋体" w:cs="宋体"/>
          <w:color w:val="auto"/>
          <w:sz w:val="21"/>
          <w:szCs w:val="21"/>
          <w:highlight w:val="none"/>
        </w:rPr>
      </w:pPr>
      <w:r>
        <w:rPr>
          <w:rFonts w:hint="eastAsia" w:ascii="宋体" w:hAnsi="宋体" w:cs="宋体"/>
          <w:bCs/>
          <w:color w:val="auto"/>
          <w:sz w:val="21"/>
          <w:szCs w:val="21"/>
          <w:highlight w:val="none"/>
        </w:rPr>
        <w:t xml:space="preserve">第六章  </w:t>
      </w:r>
      <w:r>
        <w:rPr>
          <w:rFonts w:hint="eastAsia" w:ascii="宋体" w:hAnsi="宋体" w:cs="宋体"/>
          <w:color w:val="auto"/>
          <w:sz w:val="21"/>
          <w:szCs w:val="21"/>
          <w:highlight w:val="none"/>
        </w:rPr>
        <w:t>图纸及勘察资料（另册）</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第七章  招标工程量清单（另册）</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第八章  最高投标限价</w:t>
      </w:r>
    </w:p>
    <w:p>
      <w:pPr>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bCs/>
          <w:color w:val="auto"/>
          <w:szCs w:val="21"/>
          <w:highlight w:val="none"/>
        </w:rPr>
        <w:t>7.1</w:t>
      </w:r>
      <w:r>
        <w:rPr>
          <w:rFonts w:hint="eastAsia" w:ascii="宋体" w:hAnsi="宋体" w:cs="宋体"/>
          <w:color w:val="auto"/>
          <w:szCs w:val="21"/>
          <w:highlight w:val="none"/>
        </w:rPr>
        <w:t>本招标文件包括下列文件，以及所有按本须知第8条发出的招标答疑会会议纪要和按本须知第9条发出的澄清或修改：</w:t>
      </w:r>
    </w:p>
    <w:p>
      <w:pPr>
        <w:pStyle w:val="5"/>
        <w:spacing w:after="0" w:line="360" w:lineRule="auto"/>
        <w:ind w:left="-2" w:firstLineChars="200"/>
        <w:rPr>
          <w:rFonts w:ascii="宋体" w:hAnsi="宋体" w:cs="宋体"/>
          <w:color w:val="auto"/>
          <w:sz w:val="21"/>
          <w:szCs w:val="21"/>
          <w:highlight w:val="none"/>
        </w:rPr>
      </w:pPr>
      <w:r>
        <w:rPr>
          <w:rFonts w:hint="eastAsia" w:ascii="宋体" w:hAnsi="宋体" w:cs="宋体"/>
          <w:bCs/>
          <w:color w:val="auto"/>
          <w:sz w:val="21"/>
          <w:szCs w:val="21"/>
          <w:highlight w:val="none"/>
        </w:rPr>
        <w:t xml:space="preserve">第一章  </w:t>
      </w:r>
      <w:r>
        <w:rPr>
          <w:rFonts w:hint="eastAsia" w:ascii="宋体" w:hAnsi="宋体" w:cs="宋体"/>
          <w:color w:val="auto"/>
          <w:sz w:val="21"/>
          <w:szCs w:val="21"/>
          <w:highlight w:val="none"/>
        </w:rPr>
        <w:t>投标须知</w:t>
      </w:r>
    </w:p>
    <w:p>
      <w:pPr>
        <w:pStyle w:val="5"/>
        <w:spacing w:after="0" w:line="360" w:lineRule="auto"/>
        <w:ind w:left="-2" w:firstLineChars="200"/>
        <w:rPr>
          <w:rFonts w:ascii="宋体" w:hAnsi="宋体" w:cs="宋体"/>
          <w:color w:val="auto"/>
          <w:sz w:val="21"/>
          <w:szCs w:val="21"/>
          <w:highlight w:val="none"/>
        </w:rPr>
      </w:pPr>
      <w:r>
        <w:rPr>
          <w:rFonts w:hint="eastAsia" w:ascii="宋体" w:hAnsi="宋体" w:cs="宋体"/>
          <w:bCs/>
          <w:color w:val="auto"/>
          <w:sz w:val="21"/>
          <w:szCs w:val="21"/>
          <w:highlight w:val="none"/>
        </w:rPr>
        <w:t xml:space="preserve">第二章  </w:t>
      </w:r>
      <w:r>
        <w:rPr>
          <w:rFonts w:hint="eastAsia" w:ascii="宋体" w:hAnsi="宋体" w:cs="宋体"/>
          <w:color w:val="auto"/>
          <w:sz w:val="21"/>
          <w:szCs w:val="21"/>
          <w:highlight w:val="none"/>
        </w:rPr>
        <w:t>开标、评标及定标办法</w:t>
      </w:r>
    </w:p>
    <w:p>
      <w:pPr>
        <w:pStyle w:val="5"/>
        <w:spacing w:after="0" w:line="360" w:lineRule="auto"/>
        <w:ind w:left="-2" w:firstLineChars="200"/>
        <w:rPr>
          <w:rFonts w:ascii="宋体" w:hAnsi="宋体" w:cs="宋体"/>
          <w:color w:val="auto"/>
          <w:sz w:val="21"/>
          <w:szCs w:val="21"/>
          <w:highlight w:val="none"/>
          <w:u w:val="single"/>
        </w:rPr>
      </w:pPr>
      <w:r>
        <w:rPr>
          <w:rFonts w:hint="eastAsia" w:ascii="宋体" w:hAnsi="宋体" w:cs="宋体"/>
          <w:color w:val="auto"/>
          <w:sz w:val="21"/>
          <w:szCs w:val="21"/>
          <w:highlight w:val="none"/>
          <w:u w:val="single"/>
        </w:rPr>
        <w:t>第三章  合同条款（另册）</w:t>
      </w:r>
    </w:p>
    <w:p>
      <w:pPr>
        <w:pStyle w:val="5"/>
        <w:spacing w:after="0" w:line="360" w:lineRule="auto"/>
        <w:ind w:firstLineChars="200"/>
        <w:rPr>
          <w:rFonts w:ascii="宋体" w:hAnsi="宋体" w:cs="宋体"/>
          <w:color w:val="auto"/>
          <w:sz w:val="21"/>
          <w:szCs w:val="21"/>
          <w:highlight w:val="none"/>
        </w:rPr>
      </w:pPr>
      <w:r>
        <w:rPr>
          <w:rFonts w:hint="eastAsia" w:ascii="宋体" w:hAnsi="宋体" w:cs="宋体"/>
          <w:bCs/>
          <w:color w:val="auto"/>
          <w:sz w:val="21"/>
          <w:szCs w:val="21"/>
          <w:highlight w:val="none"/>
        </w:rPr>
        <w:t xml:space="preserve">第四章  </w:t>
      </w:r>
      <w:r>
        <w:rPr>
          <w:rFonts w:hint="eastAsia" w:ascii="宋体" w:hAnsi="宋体" w:cs="宋体"/>
          <w:color w:val="auto"/>
          <w:sz w:val="21"/>
          <w:szCs w:val="21"/>
          <w:highlight w:val="none"/>
        </w:rPr>
        <w:t>投标文件格式</w:t>
      </w:r>
    </w:p>
    <w:p>
      <w:pPr>
        <w:pStyle w:val="5"/>
        <w:spacing w:after="0" w:line="360" w:lineRule="auto"/>
        <w:ind w:left="-2" w:firstLineChars="200"/>
        <w:rPr>
          <w:rFonts w:ascii="宋体" w:hAnsi="宋体" w:cs="宋体"/>
          <w:color w:val="auto"/>
          <w:sz w:val="21"/>
          <w:szCs w:val="21"/>
          <w:highlight w:val="none"/>
        </w:rPr>
      </w:pPr>
      <w:r>
        <w:rPr>
          <w:rFonts w:hint="eastAsia" w:ascii="宋体" w:hAnsi="宋体" w:cs="宋体"/>
          <w:bCs/>
          <w:color w:val="auto"/>
          <w:sz w:val="21"/>
          <w:szCs w:val="21"/>
          <w:highlight w:val="none"/>
        </w:rPr>
        <w:t xml:space="preserve">第五章  </w:t>
      </w:r>
      <w:r>
        <w:rPr>
          <w:rFonts w:hint="eastAsia" w:ascii="宋体" w:hAnsi="宋体" w:cs="宋体"/>
          <w:color w:val="auto"/>
          <w:sz w:val="21"/>
          <w:szCs w:val="21"/>
          <w:highlight w:val="none"/>
        </w:rPr>
        <w:t>技术条件（工程建设标准）（另册）</w:t>
      </w:r>
    </w:p>
    <w:p>
      <w:pPr>
        <w:pStyle w:val="5"/>
        <w:spacing w:after="0" w:line="360" w:lineRule="auto"/>
        <w:ind w:left="-2" w:firstLineChars="200"/>
        <w:rPr>
          <w:rFonts w:ascii="宋体" w:hAnsi="宋体" w:cs="宋体"/>
          <w:color w:val="auto"/>
          <w:sz w:val="21"/>
          <w:szCs w:val="21"/>
          <w:highlight w:val="none"/>
        </w:rPr>
      </w:pPr>
      <w:r>
        <w:rPr>
          <w:rFonts w:hint="eastAsia" w:ascii="宋体" w:hAnsi="宋体" w:cs="宋体"/>
          <w:bCs/>
          <w:color w:val="auto"/>
          <w:sz w:val="21"/>
          <w:szCs w:val="21"/>
          <w:highlight w:val="none"/>
        </w:rPr>
        <w:t xml:space="preserve">第六章  </w:t>
      </w:r>
      <w:r>
        <w:rPr>
          <w:rFonts w:hint="eastAsia" w:ascii="宋体" w:hAnsi="宋体" w:cs="宋体"/>
          <w:color w:val="auto"/>
          <w:sz w:val="21"/>
          <w:szCs w:val="21"/>
          <w:highlight w:val="none"/>
        </w:rPr>
        <w:t>图纸及勘察资料（另册）</w:t>
      </w:r>
    </w:p>
    <w:p>
      <w:pPr>
        <w:pStyle w:val="5"/>
        <w:spacing w:after="0" w:line="360" w:lineRule="auto"/>
        <w:ind w:left="-2" w:firstLineChars="200"/>
        <w:rPr>
          <w:rFonts w:ascii="宋体" w:hAnsi="宋体" w:cs="宋体"/>
          <w:color w:val="auto"/>
          <w:sz w:val="21"/>
          <w:szCs w:val="21"/>
          <w:highlight w:val="none"/>
        </w:rPr>
      </w:pPr>
      <w:r>
        <w:rPr>
          <w:rFonts w:hint="eastAsia" w:ascii="宋体" w:hAnsi="宋体" w:cs="宋体"/>
          <w:bCs/>
          <w:color w:val="auto"/>
          <w:sz w:val="21"/>
          <w:szCs w:val="21"/>
          <w:highlight w:val="none"/>
        </w:rPr>
        <w:t>第七章  招标</w:t>
      </w:r>
      <w:r>
        <w:rPr>
          <w:rFonts w:hint="eastAsia" w:ascii="宋体" w:hAnsi="宋体" w:cs="宋体"/>
          <w:color w:val="auto"/>
          <w:sz w:val="21"/>
          <w:szCs w:val="21"/>
          <w:highlight w:val="none"/>
        </w:rPr>
        <w:t xml:space="preserve">工程量清单（另册） </w:t>
      </w:r>
    </w:p>
    <w:p>
      <w:pPr>
        <w:pBdr>
          <w:bottom w:val="single" w:color="auto" w:sz="6" w:space="1"/>
        </w:pBd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第八章  最高投标限价</w:t>
      </w:r>
    </w:p>
    <w:p>
      <w:pPr>
        <w:spacing w:line="36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条款号：</w:t>
      </w:r>
      <w:r>
        <w:rPr>
          <w:rFonts w:hint="eastAsia" w:ascii="宋体" w:hAnsi="宋体" w:cs="宋体"/>
          <w:color w:val="auto"/>
          <w:szCs w:val="21"/>
          <w:highlight w:val="none"/>
        </w:rPr>
        <w:t xml:space="preserve">8.1         </w:t>
      </w:r>
      <w:r>
        <w:rPr>
          <w:rFonts w:hint="eastAsia" w:ascii="宋体" w:hAnsi="宋体" w:cs="宋体"/>
          <w:b/>
          <w:color w:val="auto"/>
          <w:szCs w:val="21"/>
          <w:highlight w:val="none"/>
        </w:rPr>
        <w:t>修改类型：修改</w:t>
      </w:r>
    </w:p>
    <w:p>
      <w:pPr>
        <w:pStyle w:val="5"/>
        <w:spacing w:after="0" w:line="360" w:lineRule="auto"/>
        <w:ind w:firstLine="422" w:firstLineChars="200"/>
        <w:rPr>
          <w:rFonts w:ascii="宋体" w:hAnsi="宋体" w:cs="宋体"/>
          <w:color w:val="auto"/>
          <w:sz w:val="21"/>
          <w:szCs w:val="21"/>
          <w:highlight w:val="none"/>
        </w:rPr>
      </w:pPr>
      <w:r>
        <w:rPr>
          <w:rFonts w:hint="eastAsia" w:ascii="宋体" w:hAnsi="宋体" w:cs="宋体"/>
          <w:b/>
          <w:color w:val="auto"/>
          <w:sz w:val="21"/>
          <w:szCs w:val="21"/>
          <w:highlight w:val="none"/>
        </w:rPr>
        <w:t>原文：</w:t>
      </w:r>
      <w:r>
        <w:rPr>
          <w:rFonts w:hint="eastAsia" w:ascii="宋体" w:hAnsi="宋体" w:cs="宋体"/>
          <w:color w:val="auto"/>
          <w:sz w:val="21"/>
          <w:szCs w:val="21"/>
          <w:highlight w:val="none"/>
        </w:rPr>
        <w:t>8.1 投标人若对招标文件（包括招标图纸）中有疑问，可以书面形式通过</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交易平台提交给招标人或招标代理人，提交形式见本须知前附表第16项。</w:t>
      </w:r>
    </w:p>
    <w:p>
      <w:pPr>
        <w:pBdr>
          <w:bottom w:val="single" w:color="auto" w:sz="6" w:space="1"/>
        </w:pBdr>
        <w:spacing w:line="360" w:lineRule="auto"/>
        <w:ind w:firstLine="413" w:firstLineChars="196"/>
        <w:rPr>
          <w:rFonts w:ascii="宋体" w:hAnsi="宋体" w:cs="宋体"/>
          <w:color w:val="auto"/>
          <w:szCs w:val="21"/>
          <w:highlight w:val="none"/>
          <w:u w:val="single"/>
        </w:rPr>
      </w:pPr>
      <w:r>
        <w:rPr>
          <w:rFonts w:hint="eastAsia" w:ascii="宋体" w:hAnsi="宋体" w:cs="宋体"/>
          <w:b/>
          <w:color w:val="auto"/>
          <w:szCs w:val="21"/>
          <w:highlight w:val="none"/>
        </w:rPr>
        <w:t>现文：</w:t>
      </w:r>
      <w:r>
        <w:rPr>
          <w:rFonts w:hint="eastAsia" w:ascii="宋体" w:hAnsi="宋体" w:cs="宋体"/>
          <w:color w:val="auto"/>
          <w:szCs w:val="21"/>
          <w:highlight w:val="none"/>
        </w:rPr>
        <w:t>8.1投标人若对招标文件（包括招标图纸）中有疑问，可以通过</w:t>
      </w:r>
      <w:r>
        <w:rPr>
          <w:rFonts w:hint="eastAsia" w:ascii="宋体" w:hAnsi="宋体" w:cs="宋体"/>
          <w:color w:val="auto"/>
          <w:szCs w:val="21"/>
          <w:highlight w:val="none"/>
          <w:u w:val="single"/>
        </w:rPr>
        <w:t>广州公共资源交易中心</w:t>
      </w:r>
      <w:r>
        <w:rPr>
          <w:rFonts w:hint="eastAsia" w:ascii="宋体" w:hAnsi="宋体" w:cs="宋体"/>
          <w:color w:val="auto"/>
          <w:szCs w:val="21"/>
          <w:highlight w:val="none"/>
        </w:rPr>
        <w:t>交易平台提交给招标人或招标代理人，提交形式见本须知前附表第16项。</w:t>
      </w:r>
    </w:p>
    <w:p>
      <w:pPr>
        <w:spacing w:line="36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条款号：</w:t>
      </w:r>
      <w:r>
        <w:rPr>
          <w:rFonts w:hint="eastAsia" w:ascii="宋体" w:hAnsi="宋体" w:cs="宋体"/>
          <w:color w:val="auto"/>
          <w:szCs w:val="21"/>
          <w:highlight w:val="none"/>
        </w:rPr>
        <w:t>8.2</w:t>
      </w:r>
      <w:r>
        <w:rPr>
          <w:rFonts w:hint="eastAsia" w:ascii="宋体" w:hAnsi="宋体" w:cs="宋体"/>
          <w:b/>
          <w:color w:val="auto"/>
          <w:szCs w:val="21"/>
          <w:highlight w:val="none"/>
        </w:rPr>
        <w:t xml:space="preserve">             修改类型：修改</w:t>
      </w:r>
    </w:p>
    <w:p>
      <w:pPr>
        <w:pStyle w:val="5"/>
        <w:spacing w:after="0" w:line="360" w:lineRule="auto"/>
        <w:ind w:firstLine="422" w:firstLineChars="200"/>
        <w:rPr>
          <w:rFonts w:ascii="宋体" w:hAnsi="宋体" w:cs="宋体"/>
          <w:color w:val="auto"/>
          <w:sz w:val="21"/>
          <w:szCs w:val="21"/>
          <w:highlight w:val="none"/>
        </w:rPr>
      </w:pPr>
      <w:r>
        <w:rPr>
          <w:rFonts w:hint="eastAsia" w:ascii="宋体" w:hAnsi="宋体" w:cs="宋体"/>
          <w:b/>
          <w:color w:val="auto"/>
          <w:sz w:val="21"/>
          <w:szCs w:val="21"/>
          <w:highlight w:val="none"/>
        </w:rPr>
        <w:t>原文：</w:t>
      </w:r>
      <w:r>
        <w:rPr>
          <w:rFonts w:hint="eastAsia" w:ascii="宋体" w:hAnsi="宋体" w:cs="宋体"/>
          <w:color w:val="auto"/>
          <w:sz w:val="21"/>
          <w:szCs w:val="21"/>
          <w:highlight w:val="none"/>
        </w:rPr>
        <w:t>8.2招标答疑会会议纪要将在提交投标文件截止时间15日前在</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交易平台 “项目答疑纪要”专区公开发布。答疑纪要一经在</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交易平台发布，视作已发放给所有投标人。</w:t>
      </w:r>
    </w:p>
    <w:p>
      <w:pPr>
        <w:pBdr>
          <w:bottom w:val="single" w:color="auto" w:sz="6" w:space="1"/>
        </w:pBdr>
        <w:spacing w:line="360" w:lineRule="auto"/>
        <w:ind w:firstLine="413" w:firstLineChars="196"/>
        <w:rPr>
          <w:rFonts w:ascii="宋体" w:hAnsi="宋体" w:cs="宋体"/>
          <w:b/>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8.2招标答疑会会议纪要将在提交投标文件截止时间15日前在</w:t>
      </w:r>
      <w:r>
        <w:rPr>
          <w:rFonts w:hint="eastAsia" w:ascii="宋体" w:hAnsi="宋体" w:cs="宋体"/>
          <w:color w:val="auto"/>
          <w:szCs w:val="21"/>
          <w:highlight w:val="none"/>
          <w:u w:val="single"/>
        </w:rPr>
        <w:t>广州公共资源交易中心</w:t>
      </w:r>
      <w:r>
        <w:rPr>
          <w:rFonts w:hint="eastAsia" w:ascii="宋体" w:hAnsi="宋体" w:cs="宋体"/>
          <w:color w:val="auto"/>
          <w:szCs w:val="21"/>
          <w:highlight w:val="none"/>
        </w:rPr>
        <w:t>交易平台 “项目答疑纪要”专区公开发布。答疑纪要一经在</w:t>
      </w:r>
      <w:r>
        <w:rPr>
          <w:rFonts w:hint="eastAsia" w:ascii="宋体" w:hAnsi="宋体" w:cs="宋体"/>
          <w:color w:val="auto"/>
          <w:szCs w:val="21"/>
          <w:highlight w:val="none"/>
          <w:u w:val="single"/>
        </w:rPr>
        <w:t>广州公共资源交易中心</w:t>
      </w:r>
      <w:r>
        <w:rPr>
          <w:rFonts w:hint="eastAsia" w:ascii="宋体" w:hAnsi="宋体" w:cs="宋体"/>
          <w:color w:val="auto"/>
          <w:szCs w:val="21"/>
          <w:highlight w:val="none"/>
        </w:rPr>
        <w:t>交易平台发布，视作已发放给所有投标人。</w:t>
      </w:r>
    </w:p>
    <w:p>
      <w:pPr>
        <w:spacing w:line="36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条款号：</w:t>
      </w:r>
      <w:r>
        <w:rPr>
          <w:rFonts w:hint="eastAsia" w:ascii="宋体" w:hAnsi="宋体" w:cs="宋体"/>
          <w:color w:val="auto"/>
          <w:szCs w:val="21"/>
          <w:highlight w:val="none"/>
        </w:rPr>
        <w:t>9.2</w:t>
      </w:r>
      <w:r>
        <w:rPr>
          <w:rFonts w:hint="eastAsia" w:ascii="宋体" w:hAnsi="宋体" w:cs="宋体"/>
          <w:b/>
          <w:color w:val="auto"/>
          <w:szCs w:val="21"/>
          <w:highlight w:val="none"/>
        </w:rPr>
        <w:t xml:space="preserve">             修改类型：修改</w:t>
      </w:r>
    </w:p>
    <w:p>
      <w:pPr>
        <w:pStyle w:val="5"/>
        <w:spacing w:after="0" w:line="360" w:lineRule="auto"/>
        <w:ind w:firstLine="422" w:firstLineChars="200"/>
        <w:rPr>
          <w:rFonts w:ascii="宋体" w:hAnsi="宋体" w:cs="宋体"/>
          <w:color w:val="auto"/>
          <w:sz w:val="21"/>
          <w:szCs w:val="21"/>
          <w:highlight w:val="none"/>
        </w:rPr>
      </w:pPr>
      <w:r>
        <w:rPr>
          <w:rFonts w:hint="eastAsia" w:ascii="宋体" w:hAnsi="宋体" w:cs="宋体"/>
          <w:b/>
          <w:color w:val="auto"/>
          <w:sz w:val="21"/>
          <w:szCs w:val="21"/>
          <w:highlight w:val="none"/>
        </w:rPr>
        <w:t>原文：</w:t>
      </w:r>
      <w:r>
        <w:rPr>
          <w:rFonts w:hint="eastAsia" w:ascii="宋体" w:hAnsi="宋体" w:cs="宋体"/>
          <w:color w:val="auto"/>
          <w:sz w:val="21"/>
          <w:szCs w:val="21"/>
          <w:highlight w:val="none"/>
        </w:rPr>
        <w:t>9.2招标文件的澄清或修改将在</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交易平台“项目答疑纪要”专区公开发布。答疑纪要一经在</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交易平台发布，视作已发放给所有投标人，以</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交易平台上网发布时间作为送达时间。</w:t>
      </w:r>
    </w:p>
    <w:p>
      <w:pPr>
        <w:pBdr>
          <w:bottom w:val="single" w:color="auto" w:sz="6" w:space="1"/>
        </w:pBdr>
        <w:spacing w:line="360" w:lineRule="auto"/>
        <w:ind w:firstLine="413" w:firstLineChars="196"/>
        <w:rPr>
          <w:rFonts w:ascii="宋体" w:hAnsi="宋体" w:cs="宋体"/>
          <w:b/>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9.2招标文件的澄清或修改将在</w:t>
      </w:r>
      <w:r>
        <w:rPr>
          <w:rFonts w:hint="eastAsia" w:ascii="宋体" w:hAnsi="宋体" w:cs="宋体"/>
          <w:color w:val="auto"/>
          <w:szCs w:val="21"/>
          <w:highlight w:val="none"/>
          <w:u w:val="single"/>
        </w:rPr>
        <w:t>广州公共资源交易中心</w:t>
      </w:r>
      <w:r>
        <w:rPr>
          <w:rFonts w:hint="eastAsia" w:ascii="宋体" w:hAnsi="宋体" w:cs="宋体"/>
          <w:color w:val="auto"/>
          <w:szCs w:val="21"/>
          <w:highlight w:val="none"/>
        </w:rPr>
        <w:t>交易平台“项目答疑纪要”专区公开发布。答疑纪要一经在</w:t>
      </w:r>
      <w:r>
        <w:rPr>
          <w:rFonts w:hint="eastAsia" w:ascii="宋体" w:hAnsi="宋体" w:cs="宋体"/>
          <w:color w:val="auto"/>
          <w:szCs w:val="21"/>
          <w:highlight w:val="none"/>
          <w:u w:val="single"/>
        </w:rPr>
        <w:t>广州公共资源交易中心</w:t>
      </w:r>
      <w:r>
        <w:rPr>
          <w:rFonts w:hint="eastAsia" w:ascii="宋体" w:hAnsi="宋体" w:cs="宋体"/>
          <w:color w:val="auto"/>
          <w:szCs w:val="21"/>
          <w:highlight w:val="none"/>
        </w:rPr>
        <w:t>交易平台发布，视作已发放给所有投标人，以</w:t>
      </w:r>
      <w:r>
        <w:rPr>
          <w:rFonts w:hint="eastAsia" w:ascii="宋体" w:hAnsi="宋体" w:cs="宋体"/>
          <w:color w:val="auto"/>
          <w:szCs w:val="21"/>
          <w:highlight w:val="none"/>
          <w:u w:val="single"/>
        </w:rPr>
        <w:t>广州公共资源交易中心</w:t>
      </w:r>
      <w:r>
        <w:rPr>
          <w:rFonts w:hint="eastAsia" w:ascii="宋体" w:hAnsi="宋体" w:cs="宋体"/>
          <w:color w:val="auto"/>
          <w:szCs w:val="21"/>
          <w:highlight w:val="none"/>
        </w:rPr>
        <w:t>交易平台上网发布时间作为送达时间。</w:t>
      </w:r>
    </w:p>
    <w:p>
      <w:pPr>
        <w:spacing w:line="36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条款号：</w:t>
      </w:r>
      <w:r>
        <w:rPr>
          <w:rFonts w:hint="eastAsia" w:ascii="宋体" w:hAnsi="宋体" w:cs="宋体"/>
          <w:color w:val="auto"/>
          <w:szCs w:val="21"/>
          <w:highlight w:val="none"/>
        </w:rPr>
        <w:t xml:space="preserve">9.4             </w:t>
      </w:r>
      <w:r>
        <w:rPr>
          <w:rFonts w:hint="eastAsia" w:ascii="宋体" w:hAnsi="宋体" w:cs="宋体"/>
          <w:b/>
          <w:color w:val="auto"/>
          <w:szCs w:val="21"/>
          <w:highlight w:val="none"/>
        </w:rPr>
        <w:t>修改类型：修改</w:t>
      </w:r>
    </w:p>
    <w:p>
      <w:pPr>
        <w:pBdr>
          <w:bottom w:val="single" w:color="auto" w:sz="6" w:space="1"/>
        </w:pBdr>
        <w:spacing w:line="360" w:lineRule="auto"/>
        <w:ind w:firstLine="527" w:firstLineChars="250"/>
        <w:rPr>
          <w:rFonts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9.4招标文件的澄清或修改均以书面形式明确的内容为准。当招标文件的澄清、修改、补充等在同一内容的表述不一致时，以最后发出的书面形式的文件为准。</w:t>
      </w:r>
    </w:p>
    <w:p>
      <w:pPr>
        <w:pBdr>
          <w:bottom w:val="single" w:color="auto" w:sz="6" w:space="1"/>
        </w:pBdr>
        <w:spacing w:line="360" w:lineRule="auto"/>
        <w:ind w:firstLine="527" w:firstLineChars="250"/>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9.4招标文件的澄清或修改均</w:t>
      </w:r>
      <w:r>
        <w:rPr>
          <w:rFonts w:hint="eastAsia" w:ascii="宋体" w:hAnsi="宋体" w:cs="宋体"/>
          <w:color w:val="auto"/>
          <w:szCs w:val="21"/>
          <w:highlight w:val="none"/>
          <w:u w:val="single"/>
        </w:rPr>
        <w:t>以广州公共资源交易中心网站发布</w:t>
      </w:r>
      <w:r>
        <w:rPr>
          <w:rFonts w:hint="eastAsia" w:ascii="宋体" w:hAnsi="宋体" w:cs="宋体"/>
          <w:color w:val="auto"/>
          <w:szCs w:val="21"/>
          <w:highlight w:val="none"/>
        </w:rPr>
        <w:t>的内容为准。当招标文件的澄清、修改、补充等在同一内容的表述不一致时，</w:t>
      </w:r>
      <w:r>
        <w:rPr>
          <w:rFonts w:hint="eastAsia" w:ascii="宋体" w:hAnsi="宋体" w:cs="宋体"/>
          <w:color w:val="auto"/>
          <w:szCs w:val="21"/>
          <w:highlight w:val="none"/>
          <w:u w:val="single"/>
        </w:rPr>
        <w:t>以广州公共资源交易中心网站最后发布的内容为准</w:t>
      </w:r>
      <w:r>
        <w:rPr>
          <w:rFonts w:hint="eastAsia" w:ascii="宋体" w:hAnsi="宋体" w:cs="宋体"/>
          <w:color w:val="auto"/>
          <w:szCs w:val="21"/>
          <w:highlight w:val="none"/>
        </w:rPr>
        <w:t>。</w:t>
      </w:r>
    </w:p>
    <w:p>
      <w:pPr>
        <w:spacing w:line="48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 xml:space="preserve">条款号： </w:t>
      </w:r>
      <w:r>
        <w:rPr>
          <w:rFonts w:hint="eastAsia" w:ascii="宋体" w:hAnsi="宋体" w:cs="宋体"/>
          <w:bCs/>
          <w:color w:val="auto"/>
          <w:szCs w:val="21"/>
          <w:highlight w:val="none"/>
        </w:rPr>
        <w:t>11.2</w:t>
      </w:r>
      <w:r>
        <w:rPr>
          <w:rFonts w:hint="eastAsia" w:ascii="宋体" w:hAnsi="宋体" w:cs="宋体"/>
          <w:b/>
          <w:color w:val="auto"/>
          <w:szCs w:val="21"/>
          <w:highlight w:val="none"/>
        </w:rPr>
        <w:t xml:space="preserve">            修改类型：修改</w:t>
      </w:r>
    </w:p>
    <w:p>
      <w:pPr>
        <w:pStyle w:val="5"/>
        <w:rPr>
          <w:rFonts w:ascii="宋体" w:hAnsi="宋体" w:cs="宋体"/>
          <w:bCs/>
          <w:color w:val="auto"/>
          <w:sz w:val="21"/>
          <w:szCs w:val="21"/>
          <w:highlight w:val="none"/>
        </w:rPr>
      </w:pPr>
      <w:r>
        <w:rPr>
          <w:rFonts w:hint="eastAsia" w:ascii="宋体" w:hAnsi="宋体" w:cs="宋体"/>
          <w:b/>
          <w:color w:val="auto"/>
          <w:sz w:val="21"/>
          <w:szCs w:val="21"/>
          <w:highlight w:val="none"/>
        </w:rPr>
        <w:t>原文：</w:t>
      </w:r>
      <w:r>
        <w:rPr>
          <w:rFonts w:hint="eastAsia" w:ascii="宋体" w:hAnsi="宋体" w:cs="宋体"/>
          <w:bCs/>
          <w:color w:val="auto"/>
          <w:sz w:val="21"/>
          <w:szCs w:val="21"/>
          <w:highlight w:val="none"/>
        </w:rPr>
        <w:t>11.2投标文件技术标部分主要包括下列内容:</w:t>
      </w:r>
    </w:p>
    <w:p>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11.2.1 技术投标文件</w:t>
      </w:r>
      <w:r>
        <w:rPr>
          <w:rFonts w:hint="eastAsia" w:ascii="宋体" w:hAnsi="宋体" w:cs="宋体"/>
          <w:color w:val="auto"/>
          <w:szCs w:val="21"/>
          <w:highlight w:val="none"/>
        </w:rPr>
        <w:t>(按招标文件的要求填写)</w:t>
      </w:r>
      <w:r>
        <w:rPr>
          <w:rFonts w:hint="eastAsia" w:ascii="宋体" w:hAnsi="宋体" w:cs="宋体"/>
          <w:bCs/>
          <w:color w:val="auto"/>
          <w:szCs w:val="21"/>
          <w:highlight w:val="none"/>
        </w:rPr>
        <w:t>；</w:t>
      </w:r>
    </w:p>
    <w:p>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11.2.2 资格审查文件：</w:t>
      </w:r>
    </w:p>
    <w:p>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 xml:space="preserve">（1）投标人声明； </w:t>
      </w:r>
    </w:p>
    <w:p>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（2）法定代表人证明书、法定代表人签字或盖章的本投标文件授权委托证明书；</w:t>
      </w:r>
    </w:p>
    <w:p>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（3）企业营业执照（取自平台内上传件）；</w:t>
      </w:r>
    </w:p>
    <w:p>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（4）企业资质证书（取自平台内上传件）；</w:t>
      </w:r>
    </w:p>
    <w:p>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（5）建筑施工企业安全生产许可证（取自平台内上传件）；</w:t>
      </w:r>
    </w:p>
    <w:p>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（6）项目负责人（按网上投标登记时选择拟投标的项目负责人）</w:t>
      </w:r>
    </w:p>
    <w:p>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（7）专职安全员（按网上投标登记时选择拟投标的专职安全员）</w:t>
      </w:r>
    </w:p>
    <w:p>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（8）拟委托技术负责人的相关证书、资料（具体要求由招标人明确）</w:t>
      </w:r>
    </w:p>
    <w:p>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 xml:space="preserve">（9）拟委派项目负责人的建造师注册证书或小型项目负责人相关证明（取自平台内上传件）； </w:t>
      </w:r>
    </w:p>
    <w:p>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（10）项目负责人安全培训考核合格证明或在有效期内的安全考核合格证书（B类）或建筑施工企业项目负责人安全生产考核合格证书（取自平台内上传件）；</w:t>
      </w:r>
    </w:p>
    <w:p>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（11）专职安全员须具有在有效期内的安全考核合格证书（C类）或建筑施工企业专职安全生产管理人员安全生产考核合格证书（取自平台内上传件）；</w:t>
      </w:r>
    </w:p>
    <w:p>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（12）用于资格审查的业绩（设置业绩要求时选择此项，投标人</w:t>
      </w:r>
      <w:r>
        <w:rPr>
          <w:rFonts w:hint="eastAsia" w:ascii="宋体" w:hAnsi="宋体" w:cs="宋体"/>
          <w:color w:val="auto"/>
          <w:szCs w:val="21"/>
          <w:highlight w:val="none"/>
        </w:rPr>
        <w:t>须提供类似工程业绩的项目名称及项目编号，具体格式由招标人自定</w:t>
      </w:r>
      <w:r>
        <w:rPr>
          <w:rFonts w:hint="eastAsia" w:ascii="宋体" w:hAnsi="宋体" w:cs="宋体"/>
          <w:bCs/>
          <w:color w:val="auto"/>
          <w:szCs w:val="21"/>
          <w:highlight w:val="none"/>
        </w:rPr>
        <w:t>）；</w:t>
      </w:r>
    </w:p>
    <w:p>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（13）资格审查前，投标人须在广州市住房和城乡建设局建立企业信用档案，拟担任本工程项目负责人、专职安全员须是本企业信用档案中的在册人员。</w:t>
      </w:r>
    </w:p>
    <w:p>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（14）列明主办单位的联合体工作协议（采用联合体投标时需递交，投标人拟任本工程项目负责人应为联合体主办方信用档案中的在册人员，</w:t>
      </w:r>
      <w:r>
        <w:rPr>
          <w:rFonts w:hint="eastAsia" w:ascii="宋体" w:hAnsi="宋体" w:cs="宋体"/>
          <w:color w:val="auto"/>
          <w:szCs w:val="21"/>
          <w:highlight w:val="none"/>
        </w:rPr>
        <w:t>联合体工作协议应明确约定各方拟承担的工作和责任</w:t>
      </w:r>
      <w:r>
        <w:rPr>
          <w:rFonts w:hint="eastAsia" w:ascii="宋体" w:hAnsi="宋体" w:cs="宋体"/>
          <w:bCs/>
          <w:color w:val="auto"/>
          <w:szCs w:val="21"/>
          <w:highlight w:val="none"/>
        </w:rPr>
        <w:t xml:space="preserve">）； </w:t>
      </w:r>
    </w:p>
    <w:p>
      <w:pPr>
        <w:spacing w:line="360" w:lineRule="auto"/>
        <w:ind w:firstLine="420" w:firstLineChars="200"/>
        <w:rPr>
          <w:rFonts w:hint="eastAsia" w:ascii="宋体" w:hAnsi="宋体" w:cs="宋体"/>
          <w:color w:val="auto"/>
          <w:szCs w:val="21"/>
          <w:highlight w:val="none"/>
        </w:rPr>
      </w:pPr>
      <w:r>
        <w:rPr>
          <w:rFonts w:hint="eastAsia" w:ascii="宋体" w:hAnsi="宋体" w:cs="宋体"/>
          <w:bCs/>
          <w:color w:val="auto"/>
          <w:szCs w:val="21"/>
          <w:highlight w:val="none"/>
        </w:rPr>
        <w:t>（15）</w:t>
      </w:r>
      <w:r>
        <w:rPr>
          <w:rFonts w:hint="eastAsia" w:ascii="宋体" w:hAnsi="宋体" w:cs="宋体"/>
          <w:color w:val="auto"/>
          <w:szCs w:val="21"/>
          <w:highlight w:val="none"/>
        </w:rPr>
        <w:t>投标人具有在广州地区可使用适合本工程的机械设备的证明文件（提供沥青摊铺机自有发票或权属证明及设备现场全貌彩照（彩照须能反映其规格型号））。（含有市政道路面层沥青摊铺且沥青摊铺占预计发包价50%或以上的大、中修市政公用工程需提供该项内容的证明文件）。</w:t>
      </w:r>
    </w:p>
    <w:p>
      <w:pPr>
        <w:pStyle w:val="8"/>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highlight w:val="none"/>
        </w:rPr>
      </w:pPr>
      <w:r>
        <w:rPr>
          <w:rFonts w:hint="eastAsia" w:ascii="宋体" w:hAnsi="宋体" w:eastAsia="宋体" w:cs="宋体"/>
          <w:color w:val="auto"/>
          <w:highlight w:val="none"/>
        </w:rPr>
        <w:t>11.2.3项目管理机构配备。</w:t>
      </w:r>
    </w:p>
    <w:p>
      <w:pPr>
        <w:pStyle w:val="8"/>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highlight w:val="none"/>
        </w:rPr>
      </w:pPr>
      <w:r>
        <w:rPr>
          <w:rFonts w:hint="eastAsia" w:ascii="宋体" w:hAnsi="宋体" w:eastAsia="宋体" w:cs="宋体"/>
          <w:color w:val="auto"/>
          <w:highlight w:val="none"/>
        </w:rPr>
        <w:t>（1）投标人应列出该项目工程的施工组织机构构成和画出机构框架图及其负责人；</w:t>
      </w:r>
    </w:p>
    <w:p>
      <w:pPr>
        <w:pStyle w:val="8"/>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highlight w:val="none"/>
        </w:rPr>
      </w:pPr>
      <w:r>
        <w:rPr>
          <w:rFonts w:hint="eastAsia" w:ascii="宋体" w:hAnsi="宋体" w:eastAsia="宋体" w:cs="宋体"/>
          <w:color w:val="auto"/>
          <w:highlight w:val="none"/>
        </w:rPr>
        <w:t>（2）投标人应详细列出该施工组织机构中主要成员的名单、简历资料、职务职称和在本项目中拟担任的职务等资料，并附上有关证明材料扫描件；</w:t>
      </w:r>
    </w:p>
    <w:p>
      <w:pPr>
        <w:pStyle w:val="8"/>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highlight w:val="none"/>
        </w:rPr>
      </w:pPr>
      <w:r>
        <w:rPr>
          <w:rFonts w:hint="eastAsia" w:ascii="宋体" w:hAnsi="宋体" w:eastAsia="宋体" w:cs="宋体"/>
          <w:color w:val="auto"/>
          <w:highlight w:val="none"/>
        </w:rPr>
        <w:t>（3）其他辅助说明资料。</w:t>
      </w:r>
    </w:p>
    <w:p>
      <w:pPr>
        <w:pStyle w:val="8"/>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highlight w:val="none"/>
        </w:rPr>
      </w:pPr>
      <w:r>
        <w:rPr>
          <w:rFonts w:hint="eastAsia" w:ascii="宋体" w:hAnsi="宋体" w:eastAsia="宋体" w:cs="宋体"/>
          <w:color w:val="auto"/>
          <w:highlight w:val="none"/>
        </w:rPr>
        <w:t>11.2.4投标人在广州市可使用适合本工程的机械设备（附：机械设备为自有或租赁的说明；及承诺机械设备如属于租赁的，其租赁是不属于重复租赁）。</w:t>
      </w:r>
    </w:p>
    <w:p>
      <w:pPr>
        <w:pStyle w:val="8"/>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highlight w:val="none"/>
        </w:rPr>
      </w:pPr>
      <w:r>
        <w:rPr>
          <w:rFonts w:hint="eastAsia" w:ascii="宋体" w:hAnsi="宋体" w:eastAsia="宋体" w:cs="宋体"/>
          <w:color w:val="auto"/>
          <w:highlight w:val="none"/>
        </w:rPr>
        <w:t>11.2.5施工组织设计或施工方案。</w:t>
      </w:r>
    </w:p>
    <w:p>
      <w:pPr>
        <w:pStyle w:val="8"/>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highlight w:val="none"/>
        </w:rPr>
      </w:pPr>
      <w:r>
        <w:rPr>
          <w:rFonts w:hint="eastAsia" w:ascii="宋体" w:hAnsi="宋体" w:eastAsia="宋体" w:cs="宋体"/>
          <w:color w:val="auto"/>
          <w:highlight w:val="none"/>
        </w:rPr>
        <w:t>11.2.6按照招标文件要求填写的《参与编制技术标投标文件人员名单》。</w:t>
      </w:r>
    </w:p>
    <w:p>
      <w:pPr>
        <w:tabs>
          <w:tab w:val="left" w:pos="1125"/>
        </w:tabs>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11.2投标文件技术标部分</w:t>
      </w:r>
      <w:r>
        <w:rPr>
          <w:rFonts w:hint="eastAsia" w:ascii="宋体" w:hAnsi="宋体" w:cs="宋体"/>
          <w:bCs/>
          <w:color w:val="auto"/>
          <w:szCs w:val="21"/>
          <w:highlight w:val="none"/>
          <w:u w:val="single"/>
        </w:rPr>
        <w:t>（含资格审查文件）</w:t>
      </w:r>
      <w:r>
        <w:rPr>
          <w:rFonts w:hint="eastAsia" w:ascii="宋体" w:hAnsi="宋体" w:cs="宋体"/>
          <w:color w:val="auto"/>
          <w:szCs w:val="21"/>
          <w:highlight w:val="none"/>
        </w:rPr>
        <w:t>主要包括下列内容:</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11.2.1</w:t>
      </w:r>
      <w:r>
        <w:rPr>
          <w:rFonts w:hint="eastAsia" w:ascii="宋体" w:hAnsi="宋体" w:cs="宋体"/>
          <w:bCs/>
          <w:color w:val="auto"/>
          <w:szCs w:val="21"/>
          <w:highlight w:val="none"/>
          <w:u w:val="single"/>
          <w:lang w:val="en-US" w:eastAsia="zh-CN"/>
        </w:rPr>
        <w:t>目录</w:t>
      </w:r>
      <w:r>
        <w:rPr>
          <w:rFonts w:hint="eastAsia" w:ascii="宋体" w:hAnsi="宋体" w:cs="宋体"/>
          <w:bCs/>
          <w:color w:val="auto"/>
          <w:szCs w:val="21"/>
          <w:highlight w:val="none"/>
          <w:u w:val="single"/>
        </w:rPr>
        <w:t>。</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11.2.2 资格审查文件：</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u w:val="single"/>
        </w:rPr>
        <w:t>投标人声明（按招标公告附件一的格式及内容提交）；</w:t>
      </w:r>
      <w:r>
        <w:rPr>
          <w:rFonts w:hint="eastAsia" w:ascii="宋体" w:hAnsi="宋体" w:cs="宋体"/>
          <w:color w:val="auto"/>
          <w:szCs w:val="21"/>
          <w:highlight w:val="none"/>
        </w:rPr>
        <w:t xml:space="preserve"> </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（2）法定代表人证明书、法定代表人签字或盖章的本投标文件授权委托证明书；</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（3）企业营业执照（取自平台内上传件）；</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（4）企业资质证书（取自平台内上传件）；</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（5）建筑施工企业安全生产许可证（取自平台内上传件）；</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（6）项目负责人（按网上投标登记时选择拟投标的项目负责人）；</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（7）专职安全员（按网上投标登记时选择拟投标的专职安全员）；</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w:t>
      </w:r>
      <w:r>
        <w:rPr>
          <w:rFonts w:hint="eastAsia" w:ascii="宋体" w:hAnsi="宋体" w:cs="宋体"/>
          <w:bCs/>
          <w:color w:val="auto"/>
          <w:szCs w:val="21"/>
          <w:highlight w:val="none"/>
          <w:u w:val="single"/>
        </w:rPr>
        <w:t>拟委派技术负责人的职称证书扫描件；</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w:t>
      </w:r>
      <w:r>
        <w:rPr>
          <w:rFonts w:hint="eastAsia" w:ascii="宋体" w:hAnsi="宋体" w:cs="宋体"/>
          <w:color w:val="auto"/>
          <w:szCs w:val="21"/>
          <w:highlight w:val="none"/>
          <w:u w:val="single"/>
        </w:rPr>
        <w:t>拟委派项目负责人的建造师注册证书（取自平台内上传件）；</w:t>
      </w:r>
      <w:r>
        <w:rPr>
          <w:rFonts w:hint="eastAsia" w:ascii="宋体" w:hAnsi="宋体" w:cs="宋体"/>
          <w:color w:val="auto"/>
          <w:szCs w:val="21"/>
          <w:highlight w:val="none"/>
        </w:rPr>
        <w:t xml:space="preserve"> </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w:t>
      </w:r>
      <w:r>
        <w:rPr>
          <w:rFonts w:hint="eastAsia" w:ascii="宋体" w:hAnsi="宋体" w:cs="宋体"/>
          <w:color w:val="auto"/>
          <w:szCs w:val="21"/>
          <w:highlight w:val="none"/>
          <w:u w:val="single"/>
        </w:rPr>
        <w:t>项目负责人安全培训考核合格证明或在有效期内的安全考核合格证书（B类）或建筑施工企业项目负责人安全生产考核合格证书（取自平台内上传件）；</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w:t>
      </w:r>
      <w:r>
        <w:rPr>
          <w:rFonts w:hint="eastAsia" w:ascii="宋体" w:hAnsi="宋体" w:cs="宋体"/>
          <w:color w:val="auto"/>
          <w:szCs w:val="21"/>
          <w:highlight w:val="none"/>
          <w:u w:val="single"/>
        </w:rPr>
        <w:t>专职安全员须具有在有效期内的安全考核合格证书（C类）或建筑施工企业专职安全生产管理人员安全生产考核合格证书（C3类）（取自平台内上传件），项目负责人和安全员不为同一人；</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w:t>
      </w:r>
      <w:r>
        <w:rPr>
          <w:rFonts w:hint="eastAsia" w:ascii="宋体" w:hAnsi="宋体" w:cs="宋体"/>
          <w:bCs/>
          <w:color w:val="auto"/>
          <w:szCs w:val="21"/>
          <w:highlight w:val="none"/>
          <w:u w:val="single"/>
        </w:rPr>
        <w:t>资格审查前，投标人须在广州市住房和城乡建设局建立企业信用档案及拟担任本工程项目负责人、专职安全员须是本企业信用档案中的在册人员。企业信用档案取自投标截止时间投标人在信用管理平台的信息，投标人无需提交相关资料，若招标人延长递交投标文件截止时间的，信用档案信息的评审时点也相应延长。</w:t>
      </w:r>
    </w:p>
    <w:p>
      <w:pPr>
        <w:pBdr>
          <w:bottom w:val="single" w:color="auto" w:sz="4" w:space="1"/>
        </w:pBd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u w:val="single"/>
        </w:rPr>
        <w:t>11.2.3 广州建设工程施工技术标招标投标书（技术部分格式</w:t>
      </w:r>
      <w:r>
        <w:rPr>
          <w:rFonts w:hint="eastAsia" w:ascii="宋体" w:hAnsi="宋体" w:cs="宋体"/>
          <w:color w:val="auto"/>
          <w:szCs w:val="21"/>
          <w:highlight w:val="none"/>
          <w:u w:val="single"/>
          <w:lang w:val="en-US" w:eastAsia="zh-CN"/>
        </w:rPr>
        <w:t>3</w:t>
      </w:r>
      <w:r>
        <w:rPr>
          <w:rFonts w:hint="eastAsia" w:ascii="宋体" w:hAnsi="宋体" w:cs="宋体"/>
          <w:color w:val="auto"/>
          <w:szCs w:val="21"/>
          <w:highlight w:val="none"/>
          <w:u w:val="single"/>
        </w:rPr>
        <w:t>）。</w:t>
      </w:r>
    </w:p>
    <w:p>
      <w:pPr>
        <w:pBdr>
          <w:bottom w:val="single" w:color="auto" w:sz="4" w:space="1"/>
        </w:pBd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u w:val="single"/>
        </w:rPr>
        <w:t>11.2.4 投标人廉洁承诺书（技术部分格式4）</w:t>
      </w:r>
    </w:p>
    <w:p>
      <w:pPr>
        <w:pBdr>
          <w:bottom w:val="single" w:color="auto" w:sz="4" w:space="1"/>
        </w:pBd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u w:val="single"/>
        </w:rPr>
        <w:t>11.2.5 企业资信等相关资料（技术部分格式5）：按《技术标详细审查评分表》要求提交。</w:t>
      </w:r>
    </w:p>
    <w:p>
      <w:pPr>
        <w:pBdr>
          <w:bottom w:val="single" w:color="auto" w:sz="4" w:space="1"/>
        </w:pBd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u w:val="single"/>
        </w:rPr>
        <w:t>11.2.6 施工技术承诺书（技术部分格式6）</w:t>
      </w:r>
    </w:p>
    <w:p>
      <w:pPr>
        <w:pBdr>
          <w:bottom w:val="single" w:color="auto" w:sz="4" w:space="1"/>
        </w:pBd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u w:val="single"/>
        </w:rPr>
        <w:t>11.2.7参与编制技术标投标文件人员名单（技术部分格式7）</w:t>
      </w:r>
    </w:p>
    <w:p>
      <w:pPr>
        <w:pBdr>
          <w:bottom w:val="single" w:color="auto" w:sz="4" w:space="1"/>
        </w:pBd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u w:val="single"/>
        </w:rPr>
        <w:t>11.2.8拟投入施工项目管理团队人员信息表（技术部分格式8）</w:t>
      </w:r>
    </w:p>
    <w:p>
      <w:pPr>
        <w:pBdr>
          <w:bottom w:val="single" w:color="auto" w:sz="4" w:space="1"/>
        </w:pBd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u w:val="single"/>
        </w:rPr>
        <w:t>11.2.9技术负责人（或其他项目管理机构人员）基本情况表（技术部分格式9）</w:t>
      </w:r>
    </w:p>
    <w:p>
      <w:pPr>
        <w:pBdr>
          <w:bottom w:val="single" w:color="auto" w:sz="4" w:space="1"/>
        </w:pBdr>
        <w:spacing w:line="360" w:lineRule="auto"/>
        <w:ind w:firstLine="420" w:firstLineChars="200"/>
        <w:rPr>
          <w:rFonts w:hint="eastAsia" w:ascii="宋体" w:hAnsi="宋体" w:cs="宋体"/>
          <w:color w:val="auto"/>
          <w:szCs w:val="21"/>
          <w:highlight w:val="none"/>
          <w:u w:val="single"/>
        </w:rPr>
      </w:pPr>
      <w:bookmarkStart w:id="3" w:name="_Hlk101449593"/>
      <w:r>
        <w:rPr>
          <w:rFonts w:hint="eastAsia" w:ascii="宋体" w:hAnsi="宋体" w:cs="宋体"/>
          <w:color w:val="auto"/>
          <w:szCs w:val="21"/>
          <w:highlight w:val="none"/>
          <w:u w:val="single"/>
        </w:rPr>
        <w:t>11.2.1</w:t>
      </w:r>
      <w:r>
        <w:rPr>
          <w:rFonts w:hint="eastAsia" w:ascii="宋体" w:hAnsi="宋体" w:cs="宋体"/>
          <w:color w:val="auto"/>
          <w:szCs w:val="21"/>
          <w:highlight w:val="none"/>
          <w:u w:val="single"/>
          <w:lang w:val="en-US" w:eastAsia="zh-CN"/>
        </w:rPr>
        <w:t>0</w:t>
      </w:r>
      <w:r>
        <w:rPr>
          <w:rFonts w:hint="eastAsia" w:ascii="宋体" w:hAnsi="宋体" w:cs="宋体"/>
          <w:color w:val="auto"/>
          <w:szCs w:val="21"/>
          <w:highlight w:val="none"/>
          <w:u w:val="single"/>
        </w:rPr>
        <w:t>业绩获奖情况一览表（技术部分格式1</w:t>
      </w:r>
      <w:r>
        <w:rPr>
          <w:rFonts w:hint="eastAsia" w:ascii="宋体" w:hAnsi="宋体" w:cs="宋体"/>
          <w:color w:val="auto"/>
          <w:szCs w:val="21"/>
          <w:highlight w:val="none"/>
          <w:u w:val="single"/>
          <w:lang w:val="en-US" w:eastAsia="zh-CN"/>
        </w:rPr>
        <w:t>0</w:t>
      </w:r>
      <w:r>
        <w:rPr>
          <w:rFonts w:hint="eastAsia" w:ascii="宋体" w:hAnsi="宋体" w:cs="宋体"/>
          <w:color w:val="auto"/>
          <w:szCs w:val="21"/>
          <w:highlight w:val="none"/>
          <w:u w:val="single"/>
        </w:rPr>
        <w:t>）。</w:t>
      </w:r>
      <w:bookmarkEnd w:id="3"/>
    </w:p>
    <w:p>
      <w:pPr>
        <w:pBdr>
          <w:bottom w:val="single" w:color="auto" w:sz="4" w:space="1"/>
        </w:pBd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u w:val="single"/>
        </w:rPr>
        <w:t>11.2.1</w:t>
      </w:r>
      <w:r>
        <w:rPr>
          <w:rFonts w:hint="eastAsia" w:ascii="宋体" w:hAnsi="宋体" w:cs="宋体"/>
          <w:color w:val="auto"/>
          <w:szCs w:val="21"/>
          <w:highlight w:val="none"/>
          <w:u w:val="single"/>
          <w:lang w:val="en-US" w:eastAsia="zh-CN"/>
        </w:rPr>
        <w:t>1</w:t>
      </w:r>
      <w:r>
        <w:rPr>
          <w:rFonts w:hint="eastAsia" w:ascii="宋体" w:hAnsi="宋体" w:cs="宋体"/>
          <w:color w:val="auto"/>
          <w:szCs w:val="21"/>
          <w:highlight w:val="none"/>
          <w:u w:val="single"/>
        </w:rPr>
        <w:t>危险性较大的分部分项工程清单及超过一定规模的危险性较大的分部分项工程清单（技术部分格式1</w:t>
      </w:r>
      <w:r>
        <w:rPr>
          <w:rFonts w:hint="eastAsia" w:ascii="宋体" w:hAnsi="宋体" w:cs="宋体"/>
          <w:color w:val="auto"/>
          <w:szCs w:val="21"/>
          <w:highlight w:val="none"/>
          <w:u w:val="single"/>
          <w:lang w:val="en-US" w:eastAsia="zh-CN"/>
        </w:rPr>
        <w:t>1</w:t>
      </w:r>
      <w:r>
        <w:rPr>
          <w:rFonts w:hint="eastAsia" w:ascii="宋体" w:hAnsi="宋体" w:cs="宋体"/>
          <w:color w:val="auto"/>
          <w:szCs w:val="21"/>
          <w:highlight w:val="none"/>
          <w:u w:val="single"/>
        </w:rPr>
        <w:t>）。</w:t>
      </w:r>
    </w:p>
    <w:p>
      <w:pPr>
        <w:spacing w:line="360" w:lineRule="auto"/>
        <w:ind w:firstLine="422" w:firstLineChars="200"/>
        <w:rPr>
          <w:rFonts w:ascii="宋体" w:hAnsi="宋体" w:cs="宋体"/>
          <w:color w:val="auto"/>
          <w:szCs w:val="21"/>
          <w:highlight w:val="none"/>
        </w:rPr>
      </w:pPr>
      <w:r>
        <w:rPr>
          <w:rFonts w:hint="eastAsia" w:ascii="宋体" w:hAnsi="宋体" w:cs="宋体"/>
          <w:b/>
          <w:bCs/>
          <w:color w:val="auto"/>
          <w:szCs w:val="21"/>
          <w:highlight w:val="none"/>
        </w:rPr>
        <w:t>条款号：  11.3               修改类型：修改</w:t>
      </w:r>
    </w:p>
    <w:p>
      <w:pPr>
        <w:spacing w:line="360" w:lineRule="auto"/>
        <w:ind w:firstLine="422" w:firstLineChars="200"/>
        <w:rPr>
          <w:rFonts w:ascii="宋体" w:hAnsi="宋体" w:cs="宋体"/>
          <w:color w:val="auto"/>
          <w:szCs w:val="21"/>
          <w:highlight w:val="none"/>
        </w:rPr>
      </w:pPr>
      <w:r>
        <w:rPr>
          <w:rFonts w:hint="eastAsia" w:ascii="宋体" w:hAnsi="宋体" w:cs="宋体"/>
          <w:b/>
          <w:bCs/>
          <w:color w:val="auto"/>
          <w:szCs w:val="21"/>
          <w:highlight w:val="none"/>
        </w:rPr>
        <w:t>原文：</w:t>
      </w:r>
      <w:r>
        <w:rPr>
          <w:rFonts w:hint="eastAsia" w:ascii="宋体" w:hAnsi="宋体" w:cs="宋体"/>
          <w:color w:val="auto"/>
          <w:szCs w:val="21"/>
          <w:highlight w:val="none"/>
        </w:rPr>
        <w:t>11.3 经济部分投标文件主要包括下列内容：</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11.3.1 经济投标文件(按招标文件的要求填写)。</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11.3.2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其中包括如下：</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（1）投标总价封面、扉页；</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（2）总说明；</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（3）工程项目投标报价汇总表；</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（4）单项工程投标报价汇总表；</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（5）单位工程投标报价汇总表；</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（6）分部分项工程清单与计价表；</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（7）单价措施项目清单与计价表；</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（8）总价措施项目清单与计价表；</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（9）综合单价分析表；</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（10）其他项目清单与计价汇总表；</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（11）暂列金额明细表；</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（12）材料（工程设备）暂估价明细表；</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（13）专业工程暂估价明细表；</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（14）计日工表；</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（15）总承包服务计价表；</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（16）规费和税金项目计价表；</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（17）人工、主要材料和设备一览表。</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11.3.3按照招标文件要求填写的《参与编制经济标投标文件人员名单》。</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11.3.4若投标人的投标报价低于工程成本警戒价的，投标人还须提供详细的施工组织设计、单价、措施性费用、单价分析表、主要材料价格表、投标人成本分析供评标委员会评审。</w:t>
      </w:r>
    </w:p>
    <w:p>
      <w:pPr>
        <w:pBdr>
          <w:bottom w:val="single" w:color="auto" w:sz="6" w:space="1"/>
        </w:pBdr>
        <w:adjustRightInd w:val="0"/>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bCs/>
          <w:color w:val="auto"/>
          <w:szCs w:val="21"/>
          <w:highlight w:val="none"/>
        </w:rPr>
        <w:t xml:space="preserve">11.3 </w:t>
      </w:r>
      <w:r>
        <w:rPr>
          <w:rFonts w:hint="eastAsia" w:ascii="宋体" w:hAnsi="宋体" w:cs="宋体"/>
          <w:b/>
          <w:bCs/>
          <w:color w:val="auto"/>
          <w:szCs w:val="21"/>
          <w:highlight w:val="none"/>
          <w:u w:val="single"/>
        </w:rPr>
        <w:t>经济部分投标文件</w:t>
      </w:r>
      <w:r>
        <w:rPr>
          <w:rFonts w:hint="eastAsia" w:ascii="宋体" w:hAnsi="宋体" w:cs="宋体"/>
          <w:bCs/>
          <w:color w:val="auto"/>
          <w:szCs w:val="21"/>
          <w:highlight w:val="none"/>
        </w:rPr>
        <w:t>主要包括下列内容:</w:t>
      </w:r>
    </w:p>
    <w:p>
      <w:pPr>
        <w:pBdr>
          <w:bottom w:val="single" w:color="auto" w:sz="6" w:space="1"/>
        </w:pBdr>
        <w:adjustRightInd w:val="0"/>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 xml:space="preserve">11.3.1 </w:t>
      </w:r>
      <w:r>
        <w:rPr>
          <w:rFonts w:hint="eastAsia" w:ascii="宋体" w:hAnsi="宋体" w:cs="宋体"/>
          <w:color w:val="auto"/>
          <w:szCs w:val="21"/>
          <w:highlight w:val="none"/>
          <w:u w:val="single"/>
          <w:lang w:val="en-US" w:eastAsia="zh-CN"/>
        </w:rPr>
        <w:t>目录</w:t>
      </w:r>
      <w:r>
        <w:rPr>
          <w:rFonts w:hint="eastAsia" w:ascii="宋体" w:hAnsi="宋体" w:cs="宋体"/>
          <w:color w:val="auto"/>
          <w:szCs w:val="21"/>
          <w:highlight w:val="none"/>
          <w:u w:val="single"/>
        </w:rPr>
        <w:t>。</w:t>
      </w:r>
    </w:p>
    <w:p>
      <w:pPr>
        <w:pBdr>
          <w:bottom w:val="single" w:color="auto" w:sz="6" w:space="1"/>
        </w:pBdr>
        <w:adjustRightInd w:val="0"/>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u w:val="none"/>
        </w:rPr>
        <w:t>11.3.</w:t>
      </w:r>
      <w:r>
        <w:rPr>
          <w:rFonts w:hint="eastAsia" w:ascii="宋体" w:hAnsi="宋体" w:cs="宋体"/>
          <w:color w:val="auto"/>
          <w:szCs w:val="21"/>
          <w:highlight w:val="none"/>
          <w:u w:val="none"/>
          <w:lang w:val="en-US" w:eastAsia="zh-CN"/>
        </w:rPr>
        <w:t>2</w:t>
      </w:r>
      <w:r>
        <w:rPr>
          <w:rFonts w:hint="eastAsia" w:ascii="宋体" w:hAnsi="宋体" w:cs="宋体"/>
          <w:color w:val="auto"/>
          <w:szCs w:val="21"/>
          <w:highlight w:val="none"/>
          <w:u w:val="none"/>
        </w:rPr>
        <w:t xml:space="preserve"> </w:t>
      </w:r>
      <w:r>
        <w:rPr>
          <w:rFonts w:hint="eastAsia" w:ascii="宋体" w:hAnsi="宋体" w:cs="宋体"/>
          <w:color w:val="auto"/>
          <w:szCs w:val="21"/>
          <w:highlight w:val="none"/>
          <w:u w:val="single"/>
        </w:rPr>
        <w:t>广州建设工程施工招标投标书（经济部分格式2）</w:t>
      </w:r>
      <w:r>
        <w:rPr>
          <w:rFonts w:hint="eastAsia" w:ascii="宋体" w:hAnsi="宋体" w:cs="宋体"/>
          <w:color w:val="auto"/>
          <w:szCs w:val="21"/>
          <w:highlight w:val="none"/>
        </w:rPr>
        <w:t>。</w:t>
      </w:r>
    </w:p>
    <w:p>
      <w:pPr>
        <w:pBdr>
          <w:bottom w:val="single" w:color="auto" w:sz="6" w:space="1"/>
        </w:pBdr>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11.3.</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 xml:space="preserve"> 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w:t>
      </w:r>
      <w:r>
        <w:rPr>
          <w:rFonts w:hint="eastAsia" w:ascii="宋体" w:hAnsi="宋体" w:cs="宋体"/>
          <w:color w:val="auto"/>
          <w:szCs w:val="21"/>
          <w:highlight w:val="none"/>
          <w:u w:val="single"/>
        </w:rPr>
        <w:t>（投标报价的工程量清单的组成、格式等由广州公共资源交易中心的投标文件管理软件自动生成）</w:t>
      </w:r>
    </w:p>
    <w:p>
      <w:pPr>
        <w:pBdr>
          <w:bottom w:val="single" w:color="auto" w:sz="6" w:space="1"/>
        </w:pBdr>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11.3.</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按照招标文件要求填写的《参与编制经济标投标文件人员名单》</w:t>
      </w:r>
      <w:r>
        <w:rPr>
          <w:rFonts w:hint="eastAsia" w:ascii="宋体" w:hAnsi="宋体" w:cs="宋体"/>
          <w:color w:val="auto"/>
          <w:szCs w:val="21"/>
          <w:highlight w:val="none"/>
          <w:u w:val="single"/>
        </w:rPr>
        <w:t>（经济部分格式4）</w:t>
      </w:r>
      <w:r>
        <w:rPr>
          <w:rFonts w:hint="eastAsia" w:ascii="宋体" w:hAnsi="宋体" w:cs="宋体"/>
          <w:color w:val="auto"/>
          <w:szCs w:val="21"/>
          <w:highlight w:val="none"/>
        </w:rPr>
        <w:t>。。</w:t>
      </w:r>
    </w:p>
    <w:p>
      <w:pPr>
        <w:pBdr>
          <w:bottom w:val="single" w:color="auto" w:sz="6" w:space="1"/>
        </w:pBdr>
        <w:adjustRightInd w:val="0"/>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u w:val="none"/>
        </w:rPr>
        <w:t>11.3.</w:t>
      </w:r>
      <w:r>
        <w:rPr>
          <w:rFonts w:hint="eastAsia" w:ascii="宋体" w:hAnsi="宋体" w:cs="宋体"/>
          <w:color w:val="auto"/>
          <w:szCs w:val="21"/>
          <w:highlight w:val="none"/>
          <w:u w:val="none"/>
          <w:lang w:val="en-US" w:eastAsia="zh-CN"/>
        </w:rPr>
        <w:t>5</w:t>
      </w:r>
      <w:r>
        <w:rPr>
          <w:rFonts w:hint="eastAsia" w:ascii="宋体" w:hAnsi="宋体" w:cs="宋体"/>
          <w:color w:val="auto"/>
          <w:szCs w:val="21"/>
          <w:highlight w:val="none"/>
          <w:u w:val="none"/>
        </w:rPr>
        <w:t xml:space="preserve"> </w:t>
      </w:r>
      <w:r>
        <w:rPr>
          <w:rFonts w:hint="eastAsia" w:ascii="宋体" w:hAnsi="宋体" w:cs="宋体"/>
          <w:color w:val="auto"/>
          <w:szCs w:val="21"/>
          <w:highlight w:val="none"/>
          <w:u w:val="single"/>
        </w:rPr>
        <w:t>《对投标文件编制的承诺》（经济部分格式5）。</w:t>
      </w:r>
    </w:p>
    <w:p>
      <w:pPr>
        <w:pBdr>
          <w:bottom w:val="single" w:color="auto" w:sz="6" w:space="1"/>
        </w:pBdr>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11.3.</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 xml:space="preserve"> 若投标人的投标报价低于工程成本警戒价的，投标人还须提供详细的施工组织设计、单价、措施性费用、单价分析表、主要材料价格表、投标人成本分析供评标委员会评审。</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条款号：</w:t>
      </w:r>
      <w:r>
        <w:rPr>
          <w:rFonts w:hint="eastAsia" w:ascii="宋体" w:hAnsi="宋体" w:cs="宋体"/>
          <w:color w:val="auto"/>
          <w:szCs w:val="21"/>
          <w:highlight w:val="none"/>
        </w:rPr>
        <w:t xml:space="preserve">12.2       </w:t>
      </w:r>
      <w:r>
        <w:rPr>
          <w:rFonts w:hint="eastAsia" w:ascii="宋体" w:hAnsi="宋体" w:cs="宋体"/>
          <w:b/>
          <w:color w:val="auto"/>
          <w:szCs w:val="21"/>
          <w:highlight w:val="none"/>
        </w:rPr>
        <w:t>修改类型：修改</w:t>
      </w:r>
    </w:p>
    <w:p>
      <w:pPr>
        <w:pStyle w:val="5"/>
        <w:spacing w:after="0" w:line="360" w:lineRule="auto"/>
        <w:ind w:firstLine="422" w:firstLineChars="200"/>
        <w:rPr>
          <w:rFonts w:ascii="宋体" w:hAnsi="宋体" w:cs="宋体"/>
          <w:color w:val="auto"/>
          <w:sz w:val="21"/>
          <w:szCs w:val="21"/>
          <w:highlight w:val="none"/>
        </w:rPr>
      </w:pPr>
      <w:r>
        <w:rPr>
          <w:rFonts w:hint="eastAsia" w:ascii="宋体" w:hAnsi="宋体" w:cs="宋体"/>
          <w:b/>
          <w:bCs/>
          <w:color w:val="auto"/>
          <w:sz w:val="21"/>
          <w:szCs w:val="21"/>
          <w:highlight w:val="none"/>
        </w:rPr>
        <w:t>原文：</w:t>
      </w:r>
      <w:r>
        <w:rPr>
          <w:rFonts w:hint="eastAsia" w:ascii="宋体" w:hAnsi="宋体" w:cs="宋体"/>
          <w:color w:val="auto"/>
          <w:sz w:val="21"/>
          <w:szCs w:val="21"/>
          <w:highlight w:val="none"/>
        </w:rPr>
        <w:t>投标文件全部采用电子文档，投标文件所附证书证件均为原件扫描件，并采用单位数字证书，按招标文件要求在相应位置加盖电子印章。投标文件中需个人签字或盖章的，应加盖个人电子印章或在线下完成后扫描上传。按照交易平台关于全流程电子化项目的相关指南进行操作。详见：</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p>
    <w:p>
      <w:pPr>
        <w:pBdr>
          <w:bottom w:val="single" w:color="auto" w:sz="6" w:space="1"/>
        </w:pBdr>
        <w:spacing w:line="360" w:lineRule="auto"/>
        <w:ind w:firstLine="413" w:firstLineChars="196"/>
        <w:rPr>
          <w:rFonts w:ascii="宋体" w:hAnsi="宋体" w:cs="宋体"/>
          <w:b/>
          <w:color w:val="auto"/>
          <w:szCs w:val="21"/>
          <w:highlight w:val="none"/>
        </w:rPr>
      </w:pPr>
      <w:r>
        <w:rPr>
          <w:rFonts w:hint="eastAsia" w:ascii="宋体" w:hAnsi="宋体" w:cs="宋体"/>
          <w:b/>
          <w:bCs/>
          <w:color w:val="auto"/>
          <w:szCs w:val="21"/>
          <w:highlight w:val="none"/>
        </w:rPr>
        <w:t>现文：</w:t>
      </w:r>
      <w:r>
        <w:rPr>
          <w:rFonts w:hint="eastAsia" w:ascii="宋体" w:hAnsi="宋体" w:cs="宋体"/>
          <w:color w:val="auto"/>
          <w:szCs w:val="21"/>
          <w:highlight w:val="none"/>
        </w:rPr>
        <w:t>12.2投标文件全部采用电子文档，投标文件所附证书证件均为原件扫描件，并采用单位数字证书，按招标文件要求在相应位置加盖电子印章。投标文件中需个人签字或盖章的，应加盖个人电子印章或在线下完成后扫描上传。按照交易平台关于全流程电子化项目的相关指南进行操作。详见：</w:t>
      </w:r>
      <w:r>
        <w:rPr>
          <w:rFonts w:hint="eastAsia" w:ascii="宋体" w:hAnsi="宋体" w:cs="宋体"/>
          <w:color w:val="auto"/>
          <w:szCs w:val="21"/>
          <w:highlight w:val="none"/>
          <w:u w:val="single"/>
        </w:rPr>
        <w:t>广州公共资源交易中心网站。</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条款号：</w:t>
      </w:r>
      <w:r>
        <w:rPr>
          <w:rFonts w:hint="eastAsia" w:ascii="宋体" w:hAnsi="宋体" w:cs="宋体"/>
          <w:color w:val="auto"/>
          <w:szCs w:val="21"/>
          <w:highlight w:val="none"/>
        </w:rPr>
        <w:t xml:space="preserve">12.3       </w:t>
      </w:r>
      <w:r>
        <w:rPr>
          <w:rFonts w:hint="eastAsia" w:ascii="宋体" w:hAnsi="宋体" w:cs="宋体"/>
          <w:b/>
          <w:color w:val="auto"/>
          <w:szCs w:val="21"/>
          <w:highlight w:val="none"/>
        </w:rPr>
        <w:t>修改类型：修改</w:t>
      </w:r>
    </w:p>
    <w:p>
      <w:pPr>
        <w:pStyle w:val="8"/>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 xml:space="preserve">12.3 </w:t>
      </w:r>
      <w:r>
        <w:rPr>
          <w:rFonts w:hint="eastAsia" w:ascii="宋体" w:hAnsi="宋体" w:cs="宋体"/>
          <w:bCs/>
          <w:color w:val="auto"/>
          <w:szCs w:val="21"/>
          <w:highlight w:val="none"/>
        </w:rPr>
        <w:t>投标文件应按</w:t>
      </w:r>
      <w:r>
        <w:rPr>
          <w:rFonts w:hint="eastAsia" w:ascii="宋体" w:hAnsi="宋体" w:cs="宋体"/>
          <w:color w:val="auto"/>
          <w:szCs w:val="21"/>
          <w:highlight w:val="none"/>
        </w:rPr>
        <w:t>照交易平台关于全流程电子化项目的相关指南进行编制，详见：</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pBdr>
          <w:bottom w:val="single" w:color="auto" w:sz="6" w:space="1"/>
        </w:pBdr>
        <w:spacing w:line="360" w:lineRule="auto"/>
        <w:ind w:firstLine="413" w:firstLineChars="196"/>
        <w:rPr>
          <w:rFonts w:ascii="宋体" w:hAnsi="宋体" w:cs="宋体"/>
          <w:b/>
          <w:color w:val="auto"/>
          <w:szCs w:val="21"/>
          <w:highlight w:val="none"/>
        </w:rPr>
      </w:pPr>
      <w:r>
        <w:rPr>
          <w:rFonts w:hint="eastAsia" w:ascii="宋体" w:hAnsi="宋体" w:cs="宋体"/>
          <w:b/>
          <w:bCs/>
          <w:color w:val="auto"/>
          <w:szCs w:val="21"/>
          <w:highlight w:val="none"/>
        </w:rPr>
        <w:t>现文：</w:t>
      </w:r>
      <w:r>
        <w:rPr>
          <w:rFonts w:hint="eastAsia" w:ascii="宋体" w:hAnsi="宋体" w:cs="宋体"/>
          <w:color w:val="auto"/>
          <w:szCs w:val="21"/>
          <w:highlight w:val="none"/>
        </w:rPr>
        <w:t xml:space="preserve">12.3 </w:t>
      </w:r>
      <w:r>
        <w:rPr>
          <w:rFonts w:hint="eastAsia" w:ascii="宋体" w:hAnsi="宋体" w:cs="宋体"/>
          <w:bCs/>
          <w:color w:val="auto"/>
          <w:szCs w:val="21"/>
          <w:highlight w:val="none"/>
        </w:rPr>
        <w:t>投标文件应按</w:t>
      </w:r>
      <w:r>
        <w:rPr>
          <w:rFonts w:hint="eastAsia" w:ascii="宋体" w:hAnsi="宋体" w:cs="宋体"/>
          <w:color w:val="auto"/>
          <w:szCs w:val="21"/>
          <w:highlight w:val="none"/>
        </w:rPr>
        <w:t>照交易平台关于全流程电子化项目的相关指南进行编制，详见：</w:t>
      </w:r>
      <w:r>
        <w:rPr>
          <w:rFonts w:hint="eastAsia" w:ascii="宋体" w:hAnsi="宋体" w:cs="宋体"/>
          <w:color w:val="auto"/>
          <w:szCs w:val="21"/>
          <w:highlight w:val="none"/>
          <w:u w:val="single"/>
        </w:rPr>
        <w:t>广州公共资源交易中心网站。</w:t>
      </w:r>
      <w:r>
        <w:rPr>
          <w:rFonts w:hint="eastAsia" w:ascii="宋体" w:hAnsi="宋体" w:cs="宋体"/>
          <w:color w:val="auto"/>
          <w:szCs w:val="21"/>
          <w:highlight w:val="none"/>
          <w:u w:val="none"/>
        </w:rPr>
        <w:t>如不按上述要求编制引起系统无法检索、读取相关信息的，其后果由投标人承担。</w:t>
      </w:r>
    </w:p>
    <w:p>
      <w:pPr>
        <w:spacing w:line="36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条款号：13.1              修改类型：修改</w:t>
      </w:r>
    </w:p>
    <w:p>
      <w:pPr>
        <w:pBdr>
          <w:bottom w:val="single" w:color="auto" w:sz="6" w:space="1"/>
        </w:pBdr>
        <w:spacing w:line="360" w:lineRule="auto"/>
        <w:ind w:firstLine="527" w:firstLineChars="250"/>
        <w:rPr>
          <w:rFonts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13.1 本工程的投标报价采用投标须知前附表第12项所规定的方式。投标报价（含单价及总价）精确到“分”。</w:t>
      </w:r>
    </w:p>
    <w:p>
      <w:pPr>
        <w:pBdr>
          <w:bottom w:val="single" w:color="auto" w:sz="6" w:space="1"/>
        </w:pBdr>
        <w:spacing w:line="360" w:lineRule="auto"/>
        <w:ind w:firstLine="527" w:firstLineChars="250"/>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本工程的投标报价采用投标须知前附表第12项所规定的方式。</w:t>
      </w:r>
      <w:r>
        <w:rPr>
          <w:rFonts w:hint="eastAsia" w:ascii="宋体" w:hAnsi="宋体" w:cs="宋体"/>
          <w:color w:val="auto"/>
          <w:szCs w:val="21"/>
          <w:highlight w:val="none"/>
          <w:u w:val="single"/>
        </w:rPr>
        <w:t>投标文件中的大写金额和小写金额不一致的，以大写金额为准，</w:t>
      </w:r>
      <w:r>
        <w:rPr>
          <w:rFonts w:hint="eastAsia" w:ascii="宋体" w:hAnsi="宋体" w:cs="宋体"/>
          <w:color w:val="auto"/>
          <w:szCs w:val="21"/>
          <w:highlight w:val="none"/>
        </w:rPr>
        <w:t>投标报价（含单价及总价）精确到“分”。</w:t>
      </w:r>
    </w:p>
    <w:p>
      <w:pPr>
        <w:spacing w:line="36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条款号：13.4              修改类型：修改</w:t>
      </w:r>
    </w:p>
    <w:p>
      <w:pPr>
        <w:pBdr>
          <w:bottom w:val="single" w:color="auto" w:sz="6" w:space="1"/>
        </w:pBdr>
        <w:spacing w:line="360" w:lineRule="auto"/>
        <w:ind w:firstLine="527" w:firstLineChars="250"/>
        <w:rPr>
          <w:rFonts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13.4投标人一旦中标，投标人对招标人提供的招标工程量清单中列出的工程项目所报出的综合单价，在工程结算时将不得变更，招标人应在招标文件及合同中明确在人工、材料、设备或机械台班市场价格发生异常变动情况时合同价款的调整办法。因应计算的实际工程量与招标工程量清单出现偏差或因工程变更等原因导致的工程量偏差，引起相关措施项目相应发生变化时，按系数或单一总价方式计价的措施项目费，工程量增加的措施项目费调增，工程量减少的措施项目费调减。</w:t>
      </w:r>
    </w:p>
    <w:p>
      <w:pPr>
        <w:pBdr>
          <w:bottom w:val="single" w:color="auto" w:sz="6" w:space="1"/>
        </w:pBdr>
        <w:spacing w:line="360" w:lineRule="auto"/>
        <w:ind w:firstLine="527" w:firstLineChars="250"/>
        <w:rPr>
          <w:rFonts w:ascii="宋体" w:hAnsi="宋体" w:cs="宋体"/>
          <w:color w:val="auto"/>
          <w:szCs w:val="21"/>
          <w:highlight w:val="none"/>
          <w:u w:val="single"/>
        </w:rPr>
      </w:pPr>
      <w:r>
        <w:rPr>
          <w:rFonts w:hint="eastAsia" w:ascii="宋体" w:hAnsi="宋体" w:cs="宋体"/>
          <w:b/>
          <w:color w:val="auto"/>
          <w:szCs w:val="21"/>
          <w:highlight w:val="none"/>
        </w:rPr>
        <w:t>现文：</w:t>
      </w:r>
      <w:r>
        <w:rPr>
          <w:rFonts w:hint="eastAsia" w:ascii="宋体" w:hAnsi="宋体" w:cs="宋体"/>
          <w:bCs/>
          <w:color w:val="auto"/>
          <w:szCs w:val="21"/>
          <w:highlight w:val="none"/>
        </w:rPr>
        <w:t>13.4</w:t>
      </w:r>
      <w:r>
        <w:rPr>
          <w:rFonts w:hint="eastAsia" w:ascii="宋体" w:hAnsi="宋体" w:cs="宋体"/>
          <w:color w:val="auto"/>
          <w:szCs w:val="21"/>
          <w:highlight w:val="none"/>
        </w:rPr>
        <w:t>投标人一旦中标，投标人对招标人提供的招标工程量清单中列出的工程项目所报出的综合单价，</w:t>
      </w:r>
      <w:r>
        <w:rPr>
          <w:rFonts w:hint="eastAsia" w:ascii="宋体" w:hAnsi="宋体" w:cs="宋体"/>
          <w:color w:val="auto"/>
          <w:szCs w:val="21"/>
          <w:highlight w:val="none"/>
          <w:u w:val="single"/>
        </w:rPr>
        <w:t>除招标文件第三章合同条款另有约定外</w:t>
      </w:r>
      <w:r>
        <w:rPr>
          <w:rFonts w:hint="eastAsia" w:ascii="宋体" w:hAnsi="宋体" w:cs="宋体"/>
          <w:color w:val="auto"/>
          <w:szCs w:val="21"/>
          <w:highlight w:val="none"/>
        </w:rPr>
        <w:t>，在工程结算时将不得变更，招标人应在招标文件及合同中明确在人工、材料、设备或机械台班市场价格发生异常变动情况时合同价款的调整办法。因应计算的实际工程量与招标工程量清单出现偏差或因工程变更等原因导致的工程量偏差，引起相关措施项目相应发生变化时，</w:t>
      </w:r>
      <w:r>
        <w:rPr>
          <w:rFonts w:hint="eastAsia" w:ascii="宋体" w:hAnsi="宋体" w:cs="宋体"/>
          <w:color w:val="auto"/>
          <w:szCs w:val="21"/>
          <w:highlight w:val="none"/>
          <w:u w:val="single"/>
        </w:rPr>
        <w:t>按招标文件第三章合同条款相关约定调整</w:t>
      </w:r>
      <w:r>
        <w:rPr>
          <w:rFonts w:hint="eastAsia" w:ascii="宋体" w:hAnsi="宋体" w:cs="宋体"/>
          <w:color w:val="auto"/>
          <w:szCs w:val="21"/>
          <w:highlight w:val="none"/>
        </w:rPr>
        <w:t>。</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条款号：13.5  13.5.1  13.5.2  13.5.3  13.5.4          修改类型：修改</w:t>
      </w:r>
    </w:p>
    <w:p>
      <w:pPr>
        <w:pStyle w:val="5"/>
        <w:pBdr>
          <w:bottom w:val="single" w:color="auto" w:sz="6" w:space="1"/>
        </w:pBdr>
        <w:spacing w:after="0" w:line="360" w:lineRule="auto"/>
        <w:ind w:firstLine="422" w:firstLineChars="200"/>
        <w:rPr>
          <w:rFonts w:ascii="宋体" w:hAnsi="宋体" w:cs="宋体"/>
          <w:color w:val="auto"/>
          <w:sz w:val="21"/>
          <w:szCs w:val="21"/>
          <w:highlight w:val="none"/>
        </w:rPr>
      </w:pPr>
      <w:r>
        <w:rPr>
          <w:rFonts w:hint="eastAsia" w:ascii="宋体" w:hAnsi="宋体" w:cs="宋体"/>
          <w:b/>
          <w:color w:val="auto"/>
          <w:sz w:val="21"/>
          <w:szCs w:val="21"/>
          <w:highlight w:val="none"/>
        </w:rPr>
        <w:t>原文：</w:t>
      </w:r>
      <w:r>
        <w:rPr>
          <w:rFonts w:hint="eastAsia" w:ascii="宋体" w:hAnsi="宋体" w:cs="宋体"/>
          <w:color w:val="auto"/>
          <w:sz w:val="21"/>
          <w:szCs w:val="21"/>
          <w:highlight w:val="none"/>
        </w:rPr>
        <w:t>13.5工程项目实施期间……，中标后双方协商约定。</w:t>
      </w:r>
    </w:p>
    <w:p>
      <w:pPr>
        <w:pBdr>
          <w:bottom w:val="single" w:color="auto" w:sz="6" w:space="1"/>
        </w:pBdr>
        <w:spacing w:line="360" w:lineRule="auto"/>
        <w:ind w:firstLine="527" w:firstLineChars="250"/>
        <w:rPr>
          <w:rFonts w:ascii="宋体" w:hAnsi="宋体" w:cs="宋体"/>
          <w:color w:val="auto"/>
          <w:szCs w:val="21"/>
          <w:highlight w:val="none"/>
          <w:u w:val="single"/>
        </w:rPr>
      </w:pPr>
      <w:r>
        <w:rPr>
          <w:rFonts w:hint="eastAsia" w:ascii="宋体" w:hAnsi="宋体" w:cs="宋体"/>
          <w:b/>
          <w:color w:val="auto"/>
          <w:szCs w:val="21"/>
          <w:highlight w:val="none"/>
        </w:rPr>
        <w:t>现文：</w:t>
      </w:r>
      <w:r>
        <w:rPr>
          <w:rFonts w:hint="eastAsia" w:ascii="宋体" w:hAnsi="宋体" w:cs="宋体"/>
          <w:color w:val="auto"/>
          <w:szCs w:val="21"/>
          <w:highlight w:val="none"/>
        </w:rPr>
        <w:t>13.5</w:t>
      </w:r>
      <w:r>
        <w:rPr>
          <w:rFonts w:hint="eastAsia" w:ascii="宋体" w:hAnsi="宋体" w:cs="宋体"/>
          <w:color w:val="auto"/>
          <w:szCs w:val="21"/>
          <w:highlight w:val="none"/>
          <w:u w:val="single"/>
        </w:rPr>
        <w:t>变更结算方式按招标文件及施工合同相关规定执行。</w:t>
      </w:r>
    </w:p>
    <w:p>
      <w:pPr>
        <w:spacing w:line="48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条款号：</w:t>
      </w:r>
      <w:r>
        <w:rPr>
          <w:rFonts w:hint="eastAsia" w:ascii="宋体" w:hAnsi="宋体" w:cs="宋体"/>
          <w:bCs/>
          <w:color w:val="auto"/>
          <w:szCs w:val="21"/>
          <w:highlight w:val="none"/>
        </w:rPr>
        <w:t xml:space="preserve">13.9 </w:t>
      </w:r>
      <w:r>
        <w:rPr>
          <w:rFonts w:hint="eastAsia" w:ascii="宋体" w:hAnsi="宋体" w:cs="宋体"/>
          <w:b/>
          <w:color w:val="auto"/>
          <w:szCs w:val="21"/>
          <w:highlight w:val="none"/>
        </w:rPr>
        <w:t xml:space="preserve">            修改类型：删除</w:t>
      </w:r>
    </w:p>
    <w:p>
      <w:pPr>
        <w:pBdr>
          <w:bottom w:val="single" w:color="auto" w:sz="6" w:space="1"/>
        </w:pBdr>
        <w:spacing w:line="360" w:lineRule="auto"/>
        <w:ind w:firstLine="527" w:firstLineChars="250"/>
        <w:rPr>
          <w:rFonts w:ascii="宋体" w:hAnsi="宋体" w:cs="宋体"/>
          <w:color w:val="auto"/>
          <w:szCs w:val="21"/>
          <w:highlight w:val="none"/>
          <w:u w:val="single"/>
        </w:rPr>
      </w:pPr>
      <w:r>
        <w:rPr>
          <w:rFonts w:hint="eastAsia" w:ascii="宋体" w:hAnsi="宋体" w:cs="宋体"/>
          <w:b/>
          <w:color w:val="auto"/>
          <w:szCs w:val="21"/>
          <w:highlight w:val="none"/>
        </w:rPr>
        <w:t>原文：</w:t>
      </w:r>
      <w:r>
        <w:rPr>
          <w:rFonts w:hint="eastAsia" w:ascii="宋体" w:hAnsi="宋体" w:cs="宋体"/>
          <w:bCs/>
          <w:color w:val="auto"/>
          <w:szCs w:val="21"/>
          <w:highlight w:val="none"/>
        </w:rPr>
        <w:t>13.9招标人与中标人应本着实事求是、风险共担的原则，充分考虑施工合同履行期间人工、建筑材料、机械设备价格因素的影响。对于各类钢筋、混凝土等主要材料以及人工、机械设备等，应结合合同工期、各价格因素对工程总造价的影响等，合理约定调价机制。调价机制应由招标人在招标文件及合同中明确，内容包括调价范围（含材料、机械的具体名称、工种等）、价格变动时限、幅度以及相应的合同价款调整方法。</w:t>
      </w:r>
    </w:p>
    <w:p>
      <w:pPr>
        <w:spacing w:line="48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条款号：16.1-16.5                 修改类型：修改</w:t>
      </w:r>
    </w:p>
    <w:p>
      <w:pPr>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16.1投标人应按投标须知前附表第14项所述金额和时间递交</w:t>
      </w:r>
      <w:r>
        <w:rPr>
          <w:rFonts w:hint="eastAsia" w:ascii="宋体" w:hAnsi="宋体" w:cs="宋体"/>
          <w:bCs/>
          <w:color w:val="auto"/>
          <w:szCs w:val="21"/>
          <w:highlight w:val="none"/>
        </w:rPr>
        <w:t>投标保证金</w:t>
      </w:r>
      <w:r>
        <w:rPr>
          <w:rFonts w:hint="eastAsia" w:ascii="宋体" w:hAnsi="宋体" w:cs="宋体"/>
          <w:color w:val="auto"/>
          <w:szCs w:val="21"/>
          <w:highlight w:val="none"/>
        </w:rPr>
        <w:t>。招标人应当允许投标人自主选择现金、银行保函、保证保险、专业工程担保公司担保等方式缴纳投标保证金。</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16.1.1 采用现金或者支票形式提交的，投标保证金须从投标人的银行基本账户转出。</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16.1.2 依法必须招标的房屋建筑工程如采用非电子形式的银行保函、专业工程担保公司担保或保证保险提交投标保证金的，在开标前不强制要求投标人提交纸质原件，由中标候选人在中标候选人公示前提交并在网上公示，投标人应在投标文件中提交保函、担保或保证保险扫描件并加盖投标人电子印章。如投标人存在16.4条款所列情形的，应将纸质原件提交给招标人。</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16.1.3 采用电子形式的保函、担保或保证保险提交投标保证金的，应在招标文件中明确电子递交途径。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16.2开标时投标人没有按要求提供投标保证金的，其投标文件将被否决；未按招标文件要求提交符合免予提供投标保证金相关证明材料，且未提交投标保证金的投标人，视为未按要求提供投标保证金。</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16.3投标保证金应依据法律法规的相关规定退还。</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16.4如有下列情况之一的，招标人可以不予退还投标保证金（是否退还投标保证金由招标人在招标文件中规定）：</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16.4.1因投标人原因造成投标文件未解密的；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16.4.2投标人在投标有效期内撤销投标文件；</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16.4.3中标人未能在规定期限内按要求提交履约担保；</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16.4.4中标人未能在规定期限内签署合同协议。</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16.5投标人如存在下列情况之一的，将被拒绝在一定时期内参与招标人后续工程投标（拒绝时限需在招标文件中明确）：</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16.5.1投标人存在16.4条款所列情形且投标人提交的保函、担保或保证保险无法兑付的；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16.5.2采用非电子形式提交投标保证金的投标人存在16.4条款所列情形，且未按招标人要求补交银行保函、专业工程担保公司担保或保证保险原件的；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16.5.3按招标文件要求免于提供投标保证金的投标人存在16.4条款所列情形，且未按招标人要求补交投标保证金的；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16.5.3按招标文件要求免于提供投标保证金的投标人存在16.4条款所列情形的。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注：16.5.3款由招标人二选一，需在招标文件中明确。</w:t>
      </w:r>
    </w:p>
    <w:p>
      <w:pPr>
        <w:pBdr>
          <w:bottom w:val="single" w:color="auto" w:sz="6" w:space="1"/>
        </w:pBdr>
        <w:spacing w:line="360" w:lineRule="auto"/>
        <w:ind w:firstLine="527" w:firstLineChars="250"/>
        <w:rPr>
          <w:rFonts w:ascii="宋体" w:hAnsi="宋体" w:cs="宋体"/>
          <w:bCs/>
          <w:color w:val="auto"/>
          <w:szCs w:val="21"/>
          <w:highlight w:val="none"/>
          <w:u w:val="single"/>
        </w:rPr>
      </w:pPr>
      <w:r>
        <w:rPr>
          <w:rFonts w:hint="eastAsia" w:ascii="宋体" w:hAnsi="宋体" w:cs="宋体"/>
          <w:b/>
          <w:color w:val="auto"/>
          <w:szCs w:val="21"/>
          <w:highlight w:val="none"/>
        </w:rPr>
        <w:t>现文：</w:t>
      </w:r>
      <w:r>
        <w:rPr>
          <w:rFonts w:hint="eastAsia" w:ascii="宋体" w:hAnsi="宋体" w:cs="宋体"/>
          <w:bCs/>
          <w:color w:val="auto"/>
          <w:szCs w:val="21"/>
          <w:highlight w:val="none"/>
        </w:rPr>
        <w:t>16.1投标人应按投标须知前附表第14项所述金额和时间递交投标保证金。</w:t>
      </w:r>
      <w:r>
        <w:rPr>
          <w:rFonts w:hint="eastAsia" w:ascii="宋体" w:hAnsi="宋体" w:cs="宋体"/>
          <w:bCs/>
          <w:color w:val="auto"/>
          <w:szCs w:val="21"/>
          <w:highlight w:val="none"/>
          <w:u w:val="single"/>
        </w:rPr>
        <w:t>招标人应当允许投标人自主选择现金、银行保函、保证保险、专业工程担保公司担保等方式缴纳投标保证金。</w:t>
      </w:r>
    </w:p>
    <w:p>
      <w:pPr>
        <w:pBdr>
          <w:bottom w:val="single" w:color="auto" w:sz="6" w:space="1"/>
        </w:pBdr>
        <w:spacing w:line="360" w:lineRule="auto"/>
        <w:ind w:firstLine="525" w:firstLineChars="250"/>
        <w:rPr>
          <w:rFonts w:ascii="宋体" w:hAnsi="宋体" w:cs="宋体"/>
          <w:bCs/>
          <w:color w:val="auto"/>
          <w:szCs w:val="21"/>
          <w:highlight w:val="none"/>
        </w:rPr>
      </w:pPr>
      <w:r>
        <w:rPr>
          <w:rFonts w:hint="eastAsia" w:ascii="宋体" w:hAnsi="宋体" w:cs="宋体"/>
          <w:bCs/>
          <w:color w:val="auto"/>
          <w:szCs w:val="21"/>
          <w:highlight w:val="none"/>
        </w:rPr>
        <w:t>16.1.1 采用现金</w:t>
      </w:r>
      <w:r>
        <w:rPr>
          <w:rFonts w:hint="eastAsia" w:ascii="宋体" w:hAnsi="宋体" w:cs="宋体"/>
          <w:bCs/>
          <w:color w:val="auto"/>
          <w:szCs w:val="21"/>
          <w:highlight w:val="none"/>
          <w:u w:val="single"/>
        </w:rPr>
        <w:t>或者支票</w:t>
      </w:r>
      <w:r>
        <w:rPr>
          <w:rFonts w:hint="eastAsia" w:ascii="宋体" w:hAnsi="宋体" w:cs="宋体"/>
          <w:bCs/>
          <w:color w:val="auto"/>
          <w:szCs w:val="21"/>
          <w:highlight w:val="none"/>
        </w:rPr>
        <w:t>形式提交的，投标保证金须从投标人的银行基本账户转出。</w:t>
      </w:r>
    </w:p>
    <w:p>
      <w:pPr>
        <w:pBdr>
          <w:bottom w:val="single" w:color="auto" w:sz="6" w:space="1"/>
        </w:pBdr>
        <w:spacing w:line="360" w:lineRule="auto"/>
        <w:ind w:firstLine="525" w:firstLineChars="250"/>
        <w:rPr>
          <w:rFonts w:ascii="宋体" w:hAnsi="宋体" w:cs="宋体"/>
          <w:bCs/>
          <w:color w:val="auto"/>
          <w:szCs w:val="21"/>
          <w:highlight w:val="none"/>
        </w:rPr>
      </w:pPr>
      <w:r>
        <w:rPr>
          <w:rFonts w:hint="eastAsia" w:ascii="宋体" w:hAnsi="宋体" w:cs="宋体"/>
          <w:bCs/>
          <w:color w:val="auto"/>
          <w:szCs w:val="21"/>
          <w:highlight w:val="none"/>
        </w:rPr>
        <w:t>16.1.2 依法必须招标的房屋建筑工程如采用非电子形式的银行保函、专业工程担保公司担保或保证保险提交投标保证金的，在开标前不强制要求投标人提交纸质原件，由中标候选人在中标候选人公示前提交并在网上公示，投标人应在投标文件中提交保函、担保或保证保险扫描件并加盖投标人电子印章。如投标人存在16.4条款所列情形的，应将纸质原件提交给招标人。</w:t>
      </w:r>
    </w:p>
    <w:p>
      <w:pPr>
        <w:pBdr>
          <w:bottom w:val="single" w:color="auto" w:sz="6" w:space="1"/>
        </w:pBdr>
        <w:spacing w:line="360" w:lineRule="auto"/>
        <w:ind w:firstLine="525" w:firstLineChars="250"/>
        <w:rPr>
          <w:rFonts w:ascii="宋体" w:hAnsi="宋体" w:cs="宋体"/>
          <w:bCs/>
          <w:color w:val="auto"/>
          <w:szCs w:val="21"/>
          <w:highlight w:val="none"/>
        </w:rPr>
      </w:pPr>
      <w:r>
        <w:rPr>
          <w:rFonts w:hint="eastAsia" w:ascii="宋体" w:hAnsi="宋体" w:cs="宋体"/>
          <w:bCs/>
          <w:color w:val="auto"/>
          <w:szCs w:val="21"/>
          <w:highlight w:val="none"/>
        </w:rPr>
        <w:t>16.1.3 采用电子形式的保函、担保或保证保险提交投标保证金的，应在招标文件中明确电子递交途径。</w:t>
      </w:r>
    </w:p>
    <w:p>
      <w:pPr>
        <w:pBdr>
          <w:bottom w:val="single" w:color="auto" w:sz="6" w:space="1"/>
        </w:pBdr>
        <w:spacing w:line="360" w:lineRule="auto"/>
        <w:ind w:firstLine="525" w:firstLineChars="250"/>
        <w:rPr>
          <w:rFonts w:ascii="宋体" w:hAnsi="宋体" w:cs="宋体"/>
          <w:bCs/>
          <w:color w:val="auto"/>
          <w:szCs w:val="21"/>
          <w:highlight w:val="none"/>
        </w:rPr>
      </w:pPr>
      <w:r>
        <w:rPr>
          <w:rFonts w:hint="eastAsia" w:ascii="宋体" w:hAnsi="宋体" w:cs="宋体"/>
          <w:bCs/>
          <w:color w:val="auto"/>
          <w:szCs w:val="21"/>
          <w:highlight w:val="none"/>
        </w:rPr>
        <w:t>16.2开标时投标人没有按要求提供投标保证金的，其投标文件将被否决；未按招标文件要求提交符合免予提供投标保证金相关证明材料，且未提交投标保证金的投标人，视为未按要求提供投标保证金。</w:t>
      </w:r>
    </w:p>
    <w:p>
      <w:pPr>
        <w:pBdr>
          <w:bottom w:val="single" w:color="auto" w:sz="6" w:space="1"/>
        </w:pBdr>
        <w:spacing w:line="360" w:lineRule="auto"/>
        <w:ind w:firstLine="525" w:firstLineChars="250"/>
        <w:rPr>
          <w:rFonts w:ascii="宋体" w:hAnsi="宋体" w:cs="宋体"/>
          <w:bCs/>
          <w:color w:val="auto"/>
          <w:szCs w:val="21"/>
          <w:highlight w:val="none"/>
        </w:rPr>
      </w:pPr>
      <w:r>
        <w:rPr>
          <w:rFonts w:hint="eastAsia" w:ascii="宋体" w:hAnsi="宋体" w:cs="宋体"/>
          <w:bCs/>
          <w:color w:val="auto"/>
          <w:szCs w:val="21"/>
          <w:highlight w:val="none"/>
        </w:rPr>
        <w:t>16.3投标保证金应依据法律法规的相关规定退还。</w:t>
      </w:r>
    </w:p>
    <w:p>
      <w:pPr>
        <w:pBdr>
          <w:bottom w:val="single" w:color="auto" w:sz="6" w:space="1"/>
        </w:pBdr>
        <w:spacing w:line="360" w:lineRule="auto"/>
        <w:ind w:firstLine="525" w:firstLineChars="250"/>
        <w:rPr>
          <w:rFonts w:ascii="宋体" w:hAnsi="宋体" w:cs="宋体"/>
          <w:bCs/>
          <w:color w:val="auto"/>
          <w:szCs w:val="21"/>
          <w:highlight w:val="none"/>
        </w:rPr>
      </w:pPr>
      <w:r>
        <w:rPr>
          <w:rFonts w:hint="eastAsia" w:ascii="宋体" w:hAnsi="宋体" w:cs="宋体"/>
          <w:bCs/>
          <w:color w:val="auto"/>
          <w:szCs w:val="21"/>
          <w:highlight w:val="none"/>
        </w:rPr>
        <w:t>16.4如有下列情况之一的，招标人将不予退还投标保证金：</w:t>
      </w:r>
    </w:p>
    <w:p>
      <w:pPr>
        <w:pBdr>
          <w:bottom w:val="single" w:color="auto" w:sz="6" w:space="1"/>
        </w:pBdr>
        <w:spacing w:line="360" w:lineRule="auto"/>
        <w:ind w:firstLine="525" w:firstLineChars="250"/>
        <w:rPr>
          <w:rFonts w:ascii="宋体" w:hAnsi="宋体" w:cs="宋体"/>
          <w:bCs/>
          <w:color w:val="auto"/>
          <w:szCs w:val="21"/>
          <w:highlight w:val="none"/>
        </w:rPr>
      </w:pPr>
      <w:r>
        <w:rPr>
          <w:rFonts w:hint="eastAsia" w:ascii="宋体" w:hAnsi="宋体" w:cs="宋体"/>
          <w:bCs/>
          <w:color w:val="auto"/>
          <w:szCs w:val="21"/>
          <w:highlight w:val="none"/>
        </w:rPr>
        <w:t>16.4.1因投标人原因造成投标文件未解密的；</w:t>
      </w:r>
    </w:p>
    <w:p>
      <w:pPr>
        <w:pBdr>
          <w:bottom w:val="single" w:color="auto" w:sz="6" w:space="1"/>
        </w:pBdr>
        <w:spacing w:line="360" w:lineRule="auto"/>
        <w:ind w:firstLine="525" w:firstLineChars="250"/>
        <w:rPr>
          <w:rFonts w:ascii="宋体" w:hAnsi="宋体" w:cs="宋体"/>
          <w:bCs/>
          <w:color w:val="auto"/>
          <w:szCs w:val="21"/>
          <w:highlight w:val="none"/>
        </w:rPr>
      </w:pPr>
      <w:r>
        <w:rPr>
          <w:rFonts w:hint="eastAsia" w:ascii="宋体" w:hAnsi="宋体" w:cs="宋体"/>
          <w:bCs/>
          <w:color w:val="auto"/>
          <w:szCs w:val="21"/>
          <w:highlight w:val="none"/>
        </w:rPr>
        <w:t>16.4.2投标人在投标有效期内撤销投标文件；</w:t>
      </w:r>
    </w:p>
    <w:p>
      <w:pPr>
        <w:pBdr>
          <w:bottom w:val="single" w:color="auto" w:sz="6" w:space="1"/>
        </w:pBdr>
        <w:spacing w:line="360" w:lineRule="auto"/>
        <w:ind w:firstLine="525" w:firstLineChars="250"/>
        <w:rPr>
          <w:rFonts w:ascii="宋体" w:hAnsi="宋体" w:cs="宋体"/>
          <w:bCs/>
          <w:color w:val="auto"/>
          <w:szCs w:val="21"/>
          <w:highlight w:val="none"/>
        </w:rPr>
      </w:pPr>
      <w:r>
        <w:rPr>
          <w:rFonts w:hint="eastAsia" w:ascii="宋体" w:hAnsi="宋体" w:cs="宋体"/>
          <w:bCs/>
          <w:color w:val="auto"/>
          <w:szCs w:val="21"/>
          <w:highlight w:val="none"/>
        </w:rPr>
        <w:t>16.4.3中标人未能在规定期限内按要求提交履约担保；</w:t>
      </w:r>
    </w:p>
    <w:p>
      <w:pPr>
        <w:pBdr>
          <w:bottom w:val="single" w:color="auto" w:sz="6" w:space="1"/>
        </w:pBdr>
        <w:spacing w:line="360" w:lineRule="auto"/>
        <w:ind w:firstLine="525" w:firstLineChars="250"/>
        <w:rPr>
          <w:rFonts w:ascii="宋体" w:hAnsi="宋体" w:cs="宋体"/>
          <w:bCs/>
          <w:color w:val="auto"/>
          <w:szCs w:val="21"/>
          <w:highlight w:val="none"/>
        </w:rPr>
      </w:pPr>
      <w:r>
        <w:rPr>
          <w:rFonts w:hint="eastAsia" w:ascii="宋体" w:hAnsi="宋体" w:cs="宋体"/>
          <w:bCs/>
          <w:color w:val="auto"/>
          <w:szCs w:val="21"/>
          <w:highlight w:val="none"/>
        </w:rPr>
        <w:t>16.4.4中标人未能在规定期限内签署合同协议。</w:t>
      </w:r>
    </w:p>
    <w:p>
      <w:pPr>
        <w:pBdr>
          <w:bottom w:val="single" w:color="auto" w:sz="6" w:space="1"/>
        </w:pBdr>
        <w:spacing w:line="360" w:lineRule="auto"/>
        <w:ind w:firstLine="525" w:firstLineChars="250"/>
        <w:rPr>
          <w:rFonts w:ascii="宋体" w:hAnsi="宋体" w:cs="宋体"/>
          <w:bCs/>
          <w:color w:val="auto"/>
          <w:szCs w:val="21"/>
          <w:highlight w:val="none"/>
        </w:rPr>
      </w:pPr>
      <w:r>
        <w:rPr>
          <w:rFonts w:hint="eastAsia" w:ascii="宋体" w:hAnsi="宋体" w:cs="宋体"/>
          <w:bCs/>
          <w:color w:val="auto"/>
          <w:szCs w:val="21"/>
          <w:highlight w:val="none"/>
        </w:rPr>
        <w:t>16.5</w:t>
      </w:r>
      <w:r>
        <w:rPr>
          <w:rFonts w:hint="eastAsia" w:ascii="宋体" w:hAnsi="宋体" w:cs="宋体"/>
          <w:color w:val="auto"/>
          <w:kern w:val="0"/>
          <w:szCs w:val="24"/>
          <w:highlight w:val="none"/>
          <w:u w:val="single"/>
        </w:rPr>
        <w:t>投标人如存在下列情况之一的，将被拒绝在一定时期内参与招标人后续工程投标（拒绝投标时限为</w:t>
      </w:r>
      <w:r>
        <w:rPr>
          <w:rFonts w:hint="eastAsia" w:ascii="宋体" w:hAnsi="宋体" w:cs="宋体"/>
          <w:color w:val="auto"/>
          <w:kern w:val="0"/>
          <w:szCs w:val="24"/>
          <w:highlight w:val="none"/>
          <w:u w:val="single"/>
          <w:lang w:val="en-US" w:eastAsia="zh-CN"/>
        </w:rPr>
        <w:t>1年</w:t>
      </w:r>
      <w:r>
        <w:rPr>
          <w:rFonts w:hint="eastAsia" w:ascii="宋体" w:hAnsi="宋体" w:cs="宋体"/>
          <w:color w:val="auto"/>
          <w:kern w:val="0"/>
          <w:szCs w:val="24"/>
          <w:highlight w:val="none"/>
          <w:u w:val="single"/>
        </w:rPr>
        <w:t>）；</w:t>
      </w:r>
    </w:p>
    <w:p>
      <w:pPr>
        <w:pBdr>
          <w:bottom w:val="single" w:color="auto" w:sz="6" w:space="1"/>
        </w:pBdr>
        <w:spacing w:line="360" w:lineRule="auto"/>
        <w:ind w:firstLine="525" w:firstLineChars="250"/>
        <w:rPr>
          <w:rFonts w:ascii="宋体" w:hAnsi="宋体" w:cs="宋体"/>
          <w:bCs/>
          <w:color w:val="auto"/>
          <w:szCs w:val="21"/>
          <w:highlight w:val="none"/>
        </w:rPr>
      </w:pPr>
      <w:r>
        <w:rPr>
          <w:rFonts w:hint="eastAsia" w:ascii="宋体" w:hAnsi="宋体" w:cs="宋体"/>
          <w:bCs/>
          <w:color w:val="auto"/>
          <w:szCs w:val="21"/>
          <w:highlight w:val="none"/>
        </w:rPr>
        <w:t>16.5.1投标人存在16.4条款所列情形且投标人提交的保函、担保或保证保险无法兑付的；</w:t>
      </w:r>
    </w:p>
    <w:p>
      <w:pPr>
        <w:pBdr>
          <w:bottom w:val="single" w:color="auto" w:sz="6" w:space="1"/>
        </w:pBdr>
        <w:spacing w:line="360" w:lineRule="auto"/>
        <w:ind w:firstLine="525" w:firstLineChars="250"/>
        <w:rPr>
          <w:rFonts w:ascii="宋体" w:hAnsi="宋体" w:cs="宋体"/>
          <w:bCs/>
          <w:color w:val="auto"/>
          <w:szCs w:val="21"/>
          <w:highlight w:val="none"/>
        </w:rPr>
      </w:pPr>
      <w:r>
        <w:rPr>
          <w:rFonts w:hint="eastAsia" w:ascii="宋体" w:hAnsi="宋体" w:cs="宋体"/>
          <w:bCs/>
          <w:color w:val="auto"/>
          <w:szCs w:val="21"/>
          <w:highlight w:val="none"/>
        </w:rPr>
        <w:t>16.5.2采用非电子形式提交投标保证金的投标人存在16.4条款所列情形，且未按招标人要求补交银行保函、专业工程担保公司担保或保证保险原件的；</w:t>
      </w:r>
    </w:p>
    <w:p>
      <w:pPr>
        <w:spacing w:line="36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条款号：</w:t>
      </w:r>
      <w:r>
        <w:rPr>
          <w:rFonts w:hint="eastAsia" w:ascii="宋体" w:hAnsi="宋体" w:cs="宋体"/>
          <w:color w:val="auto"/>
          <w:szCs w:val="21"/>
          <w:highlight w:val="none"/>
        </w:rPr>
        <w:t>17.1</w:t>
      </w:r>
      <w:r>
        <w:rPr>
          <w:rFonts w:hint="eastAsia" w:ascii="宋体" w:hAnsi="宋体" w:cs="宋体"/>
          <w:b/>
          <w:color w:val="auto"/>
          <w:szCs w:val="21"/>
          <w:highlight w:val="none"/>
        </w:rPr>
        <w:t xml:space="preserve">            修改类型：修改</w:t>
      </w:r>
    </w:p>
    <w:p>
      <w:pPr>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投标人应采用单位数字证书，按招标文件要求在相应位置加盖电子印章。投标文件中需个人签字或盖章的，应加盖个人电子印章或在线下完成后扫描上传。按照交易平台关于全流程电子化项目的相关指南进行操作。详见：</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pBdr>
          <w:bottom w:val="single" w:color="auto" w:sz="6" w:space="1"/>
        </w:pBdr>
        <w:spacing w:line="360" w:lineRule="auto"/>
        <w:ind w:firstLine="527" w:firstLineChars="250"/>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17.1投标人应采用单位数字证书，按招标文件要求在相应位置加盖电子印章。投标文件中需个人签字或盖章的，应加盖个人电子印章或在线下完成后扫描上传。按照交易平台关于全流程电子化项目的相关指南进行操作。详见：</w:t>
      </w:r>
      <w:r>
        <w:rPr>
          <w:rFonts w:hint="eastAsia" w:ascii="宋体" w:hAnsi="宋体" w:cs="宋体"/>
          <w:color w:val="auto"/>
          <w:szCs w:val="21"/>
          <w:highlight w:val="none"/>
          <w:u w:val="single"/>
        </w:rPr>
        <w:t>广州公共资源交易中心网站</w:t>
      </w:r>
      <w:r>
        <w:rPr>
          <w:rFonts w:hint="eastAsia" w:ascii="宋体" w:hAnsi="宋体" w:cs="宋体"/>
          <w:color w:val="auto"/>
          <w:szCs w:val="21"/>
          <w:highlight w:val="none"/>
        </w:rPr>
        <w:t>。</w:t>
      </w:r>
    </w:p>
    <w:p>
      <w:pPr>
        <w:spacing w:line="36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条款号：</w:t>
      </w:r>
      <w:r>
        <w:rPr>
          <w:rFonts w:hint="eastAsia" w:ascii="宋体" w:hAnsi="宋体" w:cs="宋体"/>
          <w:color w:val="auto"/>
          <w:szCs w:val="21"/>
          <w:highlight w:val="none"/>
        </w:rPr>
        <w:t>18、19</w:t>
      </w:r>
      <w:r>
        <w:rPr>
          <w:rFonts w:hint="eastAsia" w:ascii="宋体" w:hAnsi="宋体" w:cs="宋体"/>
          <w:b/>
          <w:color w:val="auto"/>
          <w:szCs w:val="21"/>
          <w:highlight w:val="none"/>
        </w:rPr>
        <w:t xml:space="preserve">             修改类型：修改</w:t>
      </w:r>
    </w:p>
    <w:p>
      <w:pPr>
        <w:spacing w:line="360" w:lineRule="auto"/>
        <w:ind w:firstLine="422" w:firstLineChars="200"/>
        <w:rPr>
          <w:rFonts w:ascii="宋体" w:hAnsi="宋体" w:cs="宋体"/>
          <w:b/>
          <w:bCs/>
          <w:color w:val="auto"/>
          <w:szCs w:val="21"/>
          <w:highlight w:val="none"/>
        </w:rPr>
      </w:pPr>
      <w:r>
        <w:rPr>
          <w:rFonts w:hint="eastAsia" w:ascii="宋体" w:hAnsi="宋体" w:cs="宋体"/>
          <w:b/>
          <w:color w:val="auto"/>
          <w:szCs w:val="21"/>
          <w:highlight w:val="none"/>
        </w:rPr>
        <w:t>原文：</w:t>
      </w:r>
      <w:r>
        <w:rPr>
          <w:rFonts w:hint="eastAsia" w:ascii="宋体" w:hAnsi="宋体" w:cs="宋体"/>
          <w:b/>
          <w:bCs/>
          <w:color w:val="auto"/>
          <w:szCs w:val="21"/>
          <w:highlight w:val="none"/>
        </w:rPr>
        <w:t>18．</w:t>
      </w:r>
      <w:r>
        <w:rPr>
          <w:rFonts w:hint="eastAsia" w:ascii="宋体" w:hAnsi="宋体" w:cs="宋体"/>
          <w:b/>
          <w:color w:val="auto"/>
          <w:szCs w:val="21"/>
          <w:highlight w:val="none"/>
        </w:rPr>
        <w:t>投标文件的密封和标记</w:t>
      </w:r>
    </w:p>
    <w:p>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18.1递交的电子投标文件（不含备用光盘）必须进行加密。按照交易平台关于</w:t>
      </w:r>
      <w:r>
        <w:rPr>
          <w:rFonts w:hint="eastAsia" w:ascii="宋体" w:hAnsi="宋体" w:cs="宋体"/>
          <w:color w:val="auto"/>
          <w:szCs w:val="21"/>
          <w:highlight w:val="none"/>
        </w:rPr>
        <w:t>全流程电子化项目的相关指南进行操作。详见： 。</w:t>
      </w:r>
    </w:p>
    <w:p>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18.2 未按要求加密的投标文件，</w:t>
      </w:r>
      <w:r>
        <w:rPr>
          <w:rFonts w:hint="eastAsia" w:ascii="宋体" w:hAnsi="宋体" w:cs="宋体"/>
          <w:color w:val="auto"/>
          <w:szCs w:val="21"/>
          <w:highlight w:val="none"/>
        </w:rPr>
        <w:t>交易平台</w:t>
      </w:r>
      <w:r>
        <w:rPr>
          <w:rFonts w:hint="eastAsia" w:ascii="宋体" w:hAnsi="宋体" w:cs="宋体"/>
          <w:bCs/>
          <w:color w:val="auto"/>
          <w:szCs w:val="21"/>
          <w:highlight w:val="none"/>
        </w:rPr>
        <w:t>将予以拒收。</w:t>
      </w:r>
    </w:p>
    <w:p>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19．投标文件的递交和接收</w:t>
      </w:r>
    </w:p>
    <w:p>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19.1投标人通过</w:t>
      </w:r>
      <w:r>
        <w:rPr>
          <w:rFonts w:hint="eastAsia" w:ascii="宋体" w:hAnsi="宋体" w:cs="宋体"/>
          <w:color w:val="auto"/>
          <w:szCs w:val="21"/>
          <w:highlight w:val="none"/>
        </w:rPr>
        <w:t>交易平台递交电子投标文件。</w:t>
      </w:r>
    </w:p>
    <w:p>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19.2投标人完成电子</w:t>
      </w:r>
      <w:r>
        <w:rPr>
          <w:rFonts w:hint="eastAsia" w:ascii="宋体" w:hAnsi="宋体" w:cs="宋体"/>
          <w:color w:val="auto"/>
          <w:szCs w:val="21"/>
          <w:highlight w:val="none"/>
        </w:rPr>
        <w:t>投标文件</w:t>
      </w:r>
      <w:r>
        <w:rPr>
          <w:rFonts w:hint="eastAsia" w:ascii="宋体" w:hAnsi="宋体" w:cs="宋体"/>
          <w:bCs/>
          <w:color w:val="auto"/>
          <w:szCs w:val="21"/>
          <w:highlight w:val="none"/>
        </w:rPr>
        <w:t>上传后，</w:t>
      </w:r>
      <w:r>
        <w:rPr>
          <w:rFonts w:hint="eastAsia" w:ascii="宋体" w:hAnsi="宋体" w:cs="宋体"/>
          <w:color w:val="auto"/>
          <w:szCs w:val="21"/>
          <w:highlight w:val="none"/>
        </w:rPr>
        <w:t>交易平台即时向投标人发出递交回执通知。递交时间以递交回执通知载明的传输完成时间为准。</w:t>
      </w:r>
    </w:p>
    <w:p>
      <w:pPr>
        <w:spacing w:line="360" w:lineRule="auto"/>
        <w:ind w:firstLine="420" w:firstLineChars="200"/>
        <w:rPr>
          <w:rFonts w:ascii="宋体" w:hAnsi="宋体" w:cs="宋体"/>
          <w:color w:val="auto"/>
          <w:szCs w:val="21"/>
          <w:highlight w:val="none"/>
        </w:rPr>
      </w:pPr>
      <w:r>
        <w:rPr>
          <w:rFonts w:hint="eastAsia" w:ascii="宋体" w:hAnsi="宋体" w:cs="宋体"/>
          <w:bCs/>
          <w:color w:val="auto"/>
          <w:szCs w:val="21"/>
          <w:highlight w:val="none"/>
        </w:rPr>
        <w:t>19.3逾期送达的电子投标文件，</w:t>
      </w:r>
      <w:r>
        <w:rPr>
          <w:rFonts w:hint="eastAsia" w:ascii="宋体" w:hAnsi="宋体" w:cs="宋体"/>
          <w:color w:val="auto"/>
          <w:szCs w:val="21"/>
          <w:highlight w:val="none"/>
        </w:rPr>
        <w:t>交易平台将予以拒收。</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19.4 投标截止前，招标人拒绝接收符合条件的投标文件，投标人可向招标投标监督机构投诉。</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19.5如技术标和经济标先后分别开启，交易平台将按招标文件规定的时间分别开启技术标和经济标。</w:t>
      </w:r>
    </w:p>
    <w:p>
      <w:pPr>
        <w:spacing w:line="360" w:lineRule="auto"/>
        <w:ind w:firstLine="420" w:firstLineChars="200"/>
        <w:rPr>
          <w:rFonts w:ascii="宋体" w:hAnsi="宋体" w:cs="宋体"/>
          <w:bCs/>
          <w:color w:val="auto"/>
          <w:szCs w:val="21"/>
          <w:highlight w:val="none"/>
          <w:u w:val="single"/>
        </w:rPr>
      </w:pPr>
      <w:r>
        <w:rPr>
          <w:rFonts w:hint="eastAsia" w:ascii="宋体" w:hAnsi="宋体" w:cs="宋体"/>
          <w:color w:val="auto"/>
          <w:szCs w:val="21"/>
          <w:highlight w:val="none"/>
        </w:rPr>
        <w:t>19.6在规定的时间内，项目负责人须到自助签到。按照交易平台有关项目负责人自助签到流程进行操作。项目负责人凡未凭身份证按时到达指定地点签到的，该投标文件将不能参与资格审查和评标（选择性条款）。</w:t>
      </w:r>
    </w:p>
    <w:p>
      <w:pPr>
        <w:pStyle w:val="5"/>
        <w:spacing w:after="0" w:line="360" w:lineRule="auto"/>
        <w:ind w:firstLine="422" w:firstLineChars="200"/>
        <w:rPr>
          <w:rFonts w:ascii="宋体" w:hAnsi="宋体" w:cs="宋体"/>
          <w:b/>
          <w:bCs/>
          <w:color w:val="auto"/>
          <w:sz w:val="21"/>
          <w:szCs w:val="21"/>
          <w:highlight w:val="none"/>
        </w:rPr>
      </w:pPr>
      <w:r>
        <w:rPr>
          <w:rFonts w:hint="eastAsia" w:ascii="宋体" w:hAnsi="宋体" w:cs="宋体"/>
          <w:b/>
          <w:color w:val="auto"/>
          <w:sz w:val="21"/>
          <w:szCs w:val="21"/>
          <w:highlight w:val="none"/>
        </w:rPr>
        <w:t>现文：</w:t>
      </w:r>
      <w:r>
        <w:rPr>
          <w:rFonts w:hint="eastAsia" w:ascii="宋体" w:hAnsi="宋体" w:cs="宋体"/>
          <w:b/>
          <w:bCs/>
          <w:color w:val="auto"/>
          <w:sz w:val="21"/>
          <w:szCs w:val="21"/>
          <w:highlight w:val="none"/>
        </w:rPr>
        <w:t>18．</w:t>
      </w:r>
      <w:r>
        <w:rPr>
          <w:rFonts w:hint="eastAsia" w:ascii="宋体" w:hAnsi="宋体" w:cs="宋体"/>
          <w:b/>
          <w:color w:val="auto"/>
          <w:sz w:val="21"/>
          <w:szCs w:val="21"/>
          <w:highlight w:val="none"/>
        </w:rPr>
        <w:t>投标文件的密封和标记</w:t>
      </w:r>
    </w:p>
    <w:p>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18.1递交的电子投标文件（不含备用光盘）必须进行加密。按照交易平台关于</w:t>
      </w:r>
      <w:r>
        <w:rPr>
          <w:rFonts w:hint="eastAsia" w:ascii="宋体" w:hAnsi="宋体" w:cs="宋体"/>
          <w:color w:val="auto"/>
          <w:szCs w:val="21"/>
          <w:highlight w:val="none"/>
        </w:rPr>
        <w:t>全流程电子化项目的相关指南进行操作。详见：</w:t>
      </w:r>
      <w:r>
        <w:rPr>
          <w:rFonts w:hint="eastAsia" w:ascii="宋体" w:hAnsi="宋体" w:cs="宋体"/>
          <w:color w:val="auto"/>
          <w:szCs w:val="21"/>
          <w:highlight w:val="none"/>
          <w:u w:val="single"/>
        </w:rPr>
        <w:t>广州公共资源交易中心网站</w:t>
      </w:r>
      <w:r>
        <w:rPr>
          <w:rFonts w:hint="eastAsia" w:ascii="宋体" w:hAnsi="宋体" w:cs="宋体"/>
          <w:color w:val="auto"/>
          <w:szCs w:val="21"/>
          <w:highlight w:val="none"/>
        </w:rPr>
        <w:t xml:space="preserve">  。</w:t>
      </w:r>
    </w:p>
    <w:p>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18.2 未按要求加密的投标文件，</w:t>
      </w:r>
      <w:r>
        <w:rPr>
          <w:rFonts w:hint="eastAsia" w:ascii="宋体" w:hAnsi="宋体" w:cs="宋体"/>
          <w:color w:val="auto"/>
          <w:szCs w:val="21"/>
          <w:highlight w:val="none"/>
          <w:u w:val="single"/>
        </w:rPr>
        <w:t>广州公共资源交易中心</w:t>
      </w:r>
      <w:r>
        <w:rPr>
          <w:rFonts w:hint="eastAsia" w:ascii="宋体" w:hAnsi="宋体" w:cs="宋体"/>
          <w:color w:val="auto"/>
          <w:szCs w:val="21"/>
          <w:highlight w:val="none"/>
        </w:rPr>
        <w:t>交易平台</w:t>
      </w:r>
      <w:r>
        <w:rPr>
          <w:rFonts w:hint="eastAsia" w:ascii="宋体" w:hAnsi="宋体" w:cs="宋体"/>
          <w:bCs/>
          <w:color w:val="auto"/>
          <w:szCs w:val="21"/>
          <w:highlight w:val="none"/>
        </w:rPr>
        <w:t>将予以拒收。</w:t>
      </w:r>
    </w:p>
    <w:p>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19．投标文件的递交和接收</w:t>
      </w:r>
    </w:p>
    <w:p>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19.1投标人通过</w:t>
      </w:r>
      <w:r>
        <w:rPr>
          <w:rFonts w:hint="eastAsia" w:ascii="宋体" w:hAnsi="宋体" w:cs="宋体"/>
          <w:color w:val="auto"/>
          <w:szCs w:val="21"/>
          <w:highlight w:val="none"/>
          <w:u w:val="single"/>
        </w:rPr>
        <w:t>广州公共资源交易中心</w:t>
      </w:r>
      <w:r>
        <w:rPr>
          <w:rFonts w:hint="eastAsia" w:ascii="宋体" w:hAnsi="宋体" w:cs="宋体"/>
          <w:color w:val="auto"/>
          <w:szCs w:val="21"/>
          <w:highlight w:val="none"/>
        </w:rPr>
        <w:t>交易平台递交电子投标文件。</w:t>
      </w:r>
    </w:p>
    <w:p>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19.2投标人完成电子</w:t>
      </w:r>
      <w:r>
        <w:rPr>
          <w:rFonts w:hint="eastAsia" w:ascii="宋体" w:hAnsi="宋体" w:cs="宋体"/>
          <w:color w:val="auto"/>
          <w:szCs w:val="21"/>
          <w:highlight w:val="none"/>
        </w:rPr>
        <w:t>投标文件</w:t>
      </w:r>
      <w:r>
        <w:rPr>
          <w:rFonts w:hint="eastAsia" w:ascii="宋体" w:hAnsi="宋体" w:cs="宋体"/>
          <w:bCs/>
          <w:color w:val="auto"/>
          <w:szCs w:val="21"/>
          <w:highlight w:val="none"/>
        </w:rPr>
        <w:t>上传后，</w:t>
      </w:r>
      <w:r>
        <w:rPr>
          <w:rFonts w:hint="eastAsia" w:ascii="宋体" w:hAnsi="宋体" w:cs="宋体"/>
          <w:color w:val="auto"/>
          <w:szCs w:val="21"/>
          <w:highlight w:val="none"/>
          <w:u w:val="single"/>
        </w:rPr>
        <w:t>广州公共资源交易中心</w:t>
      </w:r>
      <w:r>
        <w:rPr>
          <w:rFonts w:hint="eastAsia" w:ascii="宋体" w:hAnsi="宋体" w:cs="宋体"/>
          <w:color w:val="auto"/>
          <w:szCs w:val="21"/>
          <w:highlight w:val="none"/>
        </w:rPr>
        <w:t>交易平台即时向投标人发出递交回执通知。递交时间以递交回执通知载明的传输完成时间为准。</w:t>
      </w:r>
    </w:p>
    <w:p>
      <w:pPr>
        <w:spacing w:line="360" w:lineRule="auto"/>
        <w:ind w:firstLine="420" w:firstLineChars="200"/>
        <w:rPr>
          <w:rFonts w:ascii="宋体" w:hAnsi="宋体" w:cs="宋体"/>
          <w:color w:val="auto"/>
          <w:szCs w:val="21"/>
          <w:highlight w:val="none"/>
        </w:rPr>
      </w:pPr>
      <w:r>
        <w:rPr>
          <w:rFonts w:hint="eastAsia" w:ascii="宋体" w:hAnsi="宋体" w:cs="宋体"/>
          <w:bCs/>
          <w:color w:val="auto"/>
          <w:szCs w:val="21"/>
          <w:highlight w:val="none"/>
        </w:rPr>
        <w:t>19.3逾期送达的电子投标文件，</w:t>
      </w:r>
      <w:r>
        <w:rPr>
          <w:rFonts w:hint="eastAsia" w:ascii="宋体" w:hAnsi="宋体" w:cs="宋体"/>
          <w:color w:val="auto"/>
          <w:szCs w:val="21"/>
          <w:highlight w:val="none"/>
          <w:u w:val="single"/>
        </w:rPr>
        <w:t>广州公共资源交易中心</w:t>
      </w:r>
      <w:r>
        <w:rPr>
          <w:rFonts w:hint="eastAsia" w:ascii="宋体" w:hAnsi="宋体" w:cs="宋体"/>
          <w:color w:val="auto"/>
          <w:szCs w:val="21"/>
          <w:highlight w:val="none"/>
        </w:rPr>
        <w:t>交易平台将予以拒收。</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19.4 投标截止前，招标人拒绝接收符合条件的投标文件，投标人可向招标投标监督机构投诉。</w:t>
      </w:r>
    </w:p>
    <w:p>
      <w:pPr>
        <w:pBdr>
          <w:bottom w:val="single" w:color="auto" w:sz="6" w:space="1"/>
        </w:pBd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19.5技术标和经济标同时开启，广州公共资源交易中心交易平台将按招标文件规定的时间同时开启技术标和经济标。</w:t>
      </w:r>
    </w:p>
    <w:p>
      <w:pPr>
        <w:adjustRightInd w:val="0"/>
        <w:spacing w:line="360" w:lineRule="auto"/>
        <w:ind w:firstLine="470" w:firstLineChars="223"/>
        <w:rPr>
          <w:rFonts w:ascii="宋体" w:hAnsi="宋体" w:cs="宋体"/>
          <w:b/>
          <w:color w:val="auto"/>
          <w:szCs w:val="21"/>
          <w:highlight w:val="none"/>
        </w:rPr>
      </w:pPr>
      <w:r>
        <w:rPr>
          <w:rFonts w:hint="eastAsia" w:ascii="宋体" w:hAnsi="宋体" w:cs="宋体"/>
          <w:b/>
          <w:color w:val="auto"/>
          <w:szCs w:val="21"/>
          <w:highlight w:val="none"/>
        </w:rPr>
        <w:t>条款号：20.3             修改类型：修改</w:t>
      </w:r>
    </w:p>
    <w:p>
      <w:pPr>
        <w:adjustRightInd w:val="0"/>
        <w:spacing w:line="360" w:lineRule="auto"/>
        <w:ind w:firstLine="472" w:firstLineChars="224"/>
        <w:rPr>
          <w:rFonts w:ascii="宋体" w:hAnsi="宋体" w:cs="宋体"/>
          <w:b/>
          <w:color w:val="auto"/>
          <w:szCs w:val="21"/>
          <w:highlight w:val="none"/>
        </w:rPr>
      </w:pPr>
      <w:r>
        <w:rPr>
          <w:rFonts w:hint="eastAsia" w:ascii="宋体" w:hAnsi="宋体" w:cs="宋体"/>
          <w:b/>
          <w:bCs/>
          <w:color w:val="auto"/>
          <w:szCs w:val="21"/>
          <w:highlight w:val="none"/>
        </w:rPr>
        <w:t>原文：</w:t>
      </w:r>
      <w:r>
        <w:rPr>
          <w:rFonts w:hint="eastAsia" w:ascii="宋体" w:hAnsi="宋体" w:cs="宋体"/>
          <w:color w:val="auto"/>
          <w:szCs w:val="21"/>
          <w:highlight w:val="none"/>
        </w:rPr>
        <w:t>20.3 到投标截止时间止，招标人收到的投标文件少于3家的，招标人将重新组织招标（当N个标段同时招标且不允许兼中时，若有效投标单位不足N+4家，则重新组织招标）。</w:t>
      </w:r>
    </w:p>
    <w:p>
      <w:pPr>
        <w:pBdr>
          <w:bottom w:val="single" w:color="auto" w:sz="6" w:space="1"/>
        </w:pBdr>
        <w:adjustRightInd w:val="0"/>
        <w:spacing w:line="360" w:lineRule="auto"/>
        <w:ind w:firstLine="527" w:firstLineChars="250"/>
        <w:rPr>
          <w:rFonts w:ascii="宋体" w:hAnsi="宋体" w:cs="宋体"/>
          <w:b/>
          <w:color w:val="auto"/>
          <w:szCs w:val="21"/>
          <w:highlight w:val="none"/>
        </w:rPr>
      </w:pPr>
      <w:r>
        <w:rPr>
          <w:rFonts w:hint="eastAsia" w:ascii="宋体" w:hAnsi="宋体" w:cs="宋体"/>
          <w:b/>
          <w:bCs/>
          <w:color w:val="auto"/>
          <w:szCs w:val="21"/>
          <w:highlight w:val="none"/>
        </w:rPr>
        <w:t>现文：</w:t>
      </w:r>
      <w:r>
        <w:rPr>
          <w:rFonts w:hint="eastAsia" w:ascii="宋体" w:hAnsi="宋体" w:cs="宋体"/>
          <w:color w:val="auto"/>
          <w:szCs w:val="21"/>
          <w:highlight w:val="none"/>
        </w:rPr>
        <w:t>20.3 到投标截止时间止，招标人收到的投标文件少于</w:t>
      </w:r>
      <w:r>
        <w:rPr>
          <w:rFonts w:hint="eastAsia" w:ascii="宋体" w:hAnsi="宋体" w:cs="宋体"/>
          <w:color w:val="auto"/>
          <w:szCs w:val="21"/>
          <w:highlight w:val="none"/>
          <w:u w:val="single"/>
        </w:rPr>
        <w:t>3家</w:t>
      </w:r>
      <w:r>
        <w:rPr>
          <w:rFonts w:hint="eastAsia" w:ascii="宋体" w:hAnsi="宋体" w:cs="宋体"/>
          <w:color w:val="auto"/>
          <w:szCs w:val="21"/>
          <w:highlight w:val="none"/>
        </w:rPr>
        <w:t>的，招标人将重新组织招标。</w:t>
      </w:r>
    </w:p>
    <w:p>
      <w:pPr>
        <w:spacing w:line="36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条款号：</w:t>
      </w:r>
      <w:r>
        <w:rPr>
          <w:rFonts w:hint="eastAsia" w:ascii="宋体" w:hAnsi="宋体" w:cs="宋体"/>
          <w:color w:val="auto"/>
          <w:szCs w:val="21"/>
          <w:highlight w:val="none"/>
        </w:rPr>
        <w:t>21.1</w:t>
      </w:r>
      <w:r>
        <w:rPr>
          <w:rFonts w:hint="eastAsia" w:ascii="宋体" w:hAnsi="宋体" w:cs="宋体"/>
          <w:b/>
          <w:color w:val="auto"/>
          <w:szCs w:val="21"/>
          <w:highlight w:val="none"/>
        </w:rPr>
        <w:t xml:space="preserve">             修改类型：修改</w:t>
      </w:r>
    </w:p>
    <w:p>
      <w:pPr>
        <w:spacing w:line="360" w:lineRule="auto"/>
        <w:ind w:firstLine="422" w:firstLineChars="200"/>
        <w:rPr>
          <w:rFonts w:ascii="宋体" w:hAnsi="宋体" w:cs="宋体"/>
          <w:bCs/>
          <w:color w:val="auto"/>
          <w:szCs w:val="21"/>
          <w:highlight w:val="none"/>
          <w:u w:val="single"/>
        </w:rPr>
      </w:pPr>
      <w:r>
        <w:rPr>
          <w:rFonts w:hint="eastAsia" w:ascii="宋体" w:hAnsi="宋体" w:cs="宋体"/>
          <w:b/>
          <w:color w:val="auto"/>
          <w:szCs w:val="21"/>
          <w:highlight w:val="none"/>
        </w:rPr>
        <w:t>原文：</w:t>
      </w:r>
      <w:r>
        <w:rPr>
          <w:rFonts w:hint="eastAsia" w:ascii="宋体" w:hAnsi="宋体" w:cs="宋体"/>
          <w:color w:val="auto"/>
          <w:szCs w:val="21"/>
          <w:highlight w:val="none"/>
        </w:rPr>
        <w:t>21.1 本须知前附表第17项规定的投标截止时间</w:t>
      </w:r>
      <w:r>
        <w:rPr>
          <w:rFonts w:hint="eastAsia" w:ascii="宋体" w:hAnsi="宋体" w:cs="宋体"/>
          <w:bCs/>
          <w:color w:val="auto"/>
          <w:szCs w:val="21"/>
          <w:highlight w:val="none"/>
        </w:rPr>
        <w:t>后送达的电子投标文件，</w:t>
      </w:r>
      <w:r>
        <w:rPr>
          <w:rFonts w:hint="eastAsia" w:ascii="宋体" w:hAnsi="宋体" w:cs="宋体"/>
          <w:color w:val="auto"/>
          <w:szCs w:val="21"/>
          <w:highlight w:val="none"/>
        </w:rPr>
        <w:t>交易平台将予以拒收。</w:t>
      </w:r>
    </w:p>
    <w:p>
      <w:pPr>
        <w:pBdr>
          <w:bottom w:val="single" w:color="auto" w:sz="6" w:space="1"/>
        </w:pBdr>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21.1 本须知前附表第17项规定的投标截止时间</w:t>
      </w:r>
      <w:r>
        <w:rPr>
          <w:rFonts w:hint="eastAsia" w:ascii="宋体" w:hAnsi="宋体" w:cs="宋体"/>
          <w:bCs/>
          <w:color w:val="auto"/>
          <w:szCs w:val="21"/>
          <w:highlight w:val="none"/>
        </w:rPr>
        <w:t>后送达的电子投标文件，</w:t>
      </w:r>
      <w:r>
        <w:rPr>
          <w:rFonts w:hint="eastAsia" w:ascii="宋体" w:hAnsi="宋体" w:cs="宋体"/>
          <w:color w:val="auto"/>
          <w:szCs w:val="21"/>
          <w:highlight w:val="none"/>
          <w:u w:val="single"/>
        </w:rPr>
        <w:t>广州公共资源交易中心</w:t>
      </w:r>
      <w:r>
        <w:rPr>
          <w:rFonts w:hint="eastAsia" w:ascii="宋体" w:hAnsi="宋体" w:cs="宋体"/>
          <w:color w:val="auto"/>
          <w:szCs w:val="21"/>
          <w:highlight w:val="none"/>
        </w:rPr>
        <w:t>交易平台将予以拒收。</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条款号：27.1          修改类型：修改</w:t>
      </w:r>
    </w:p>
    <w:p>
      <w:pPr>
        <w:pBdr>
          <w:bottom w:val="single" w:color="auto" w:sz="6" w:space="1"/>
        </w:pBdr>
        <w:spacing w:line="360" w:lineRule="auto"/>
        <w:ind w:firstLine="527" w:firstLineChars="250"/>
        <w:rPr>
          <w:rFonts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27.1招标人将在交易平台、广东省招标投标监管网和中国招标投标公共服务平台公示中标候选人，公示期为三天。</w:t>
      </w:r>
    </w:p>
    <w:p>
      <w:pPr>
        <w:pBdr>
          <w:bottom w:val="single" w:color="auto" w:sz="6" w:space="1"/>
        </w:pBdr>
        <w:spacing w:line="360" w:lineRule="auto"/>
        <w:ind w:firstLine="527" w:firstLineChars="250"/>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27.1招标人将在</w:t>
      </w:r>
      <w:r>
        <w:rPr>
          <w:rFonts w:hint="eastAsia" w:ascii="宋体" w:hAnsi="宋体" w:cs="宋体"/>
          <w:color w:val="auto"/>
          <w:szCs w:val="21"/>
          <w:highlight w:val="none"/>
          <w:u w:val="single"/>
        </w:rPr>
        <w:t>广州公共资源交易中心</w:t>
      </w:r>
      <w:r>
        <w:rPr>
          <w:rFonts w:hint="eastAsia" w:ascii="宋体" w:hAnsi="宋体" w:cs="宋体"/>
          <w:color w:val="auto"/>
          <w:szCs w:val="21"/>
          <w:highlight w:val="none"/>
        </w:rPr>
        <w:t>交易平台、广东省招标投标监管网和中国招标投标公共服务平台公示中标候选人，公示期为三天。</w:t>
      </w:r>
    </w:p>
    <w:p>
      <w:pPr>
        <w:spacing w:line="36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条款号：</w:t>
      </w:r>
      <w:r>
        <w:rPr>
          <w:rFonts w:hint="eastAsia" w:ascii="宋体" w:hAnsi="宋体" w:cs="宋体"/>
          <w:color w:val="auto"/>
          <w:szCs w:val="21"/>
          <w:highlight w:val="none"/>
        </w:rPr>
        <w:t>27.4</w:t>
      </w:r>
      <w:r>
        <w:rPr>
          <w:rFonts w:hint="eastAsia" w:ascii="宋体" w:hAnsi="宋体" w:cs="宋体"/>
          <w:b/>
          <w:color w:val="auto"/>
          <w:szCs w:val="21"/>
          <w:highlight w:val="none"/>
        </w:rPr>
        <w:t xml:space="preserve">            修改类型：修改</w:t>
      </w:r>
    </w:p>
    <w:p>
      <w:pPr>
        <w:spacing w:line="360" w:lineRule="auto"/>
        <w:ind w:firstLine="422" w:firstLineChars="200"/>
        <w:rPr>
          <w:rFonts w:ascii="宋体" w:hAnsi="宋体" w:cs="宋体"/>
          <w:bCs/>
          <w:color w:val="auto"/>
          <w:szCs w:val="21"/>
          <w:highlight w:val="none"/>
          <w:u w:val="single"/>
        </w:rPr>
      </w:pPr>
      <w:r>
        <w:rPr>
          <w:rFonts w:hint="eastAsia" w:ascii="宋体" w:hAnsi="宋体" w:cs="宋体"/>
          <w:b/>
          <w:color w:val="auto"/>
          <w:szCs w:val="21"/>
          <w:highlight w:val="none"/>
        </w:rPr>
        <w:t>原文：</w:t>
      </w:r>
      <w:r>
        <w:rPr>
          <w:rFonts w:hint="eastAsia" w:ascii="宋体" w:hAnsi="宋体" w:cs="宋体"/>
          <w:color w:val="auto"/>
          <w:szCs w:val="21"/>
          <w:highlight w:val="none"/>
        </w:rPr>
        <w:t>27.4在产生中标候选人后，招标人将中标候选人的投标文件商务部分文件的所有内容（包括报价清单、人员、业绩、奖项等资料）在交易平台和广东省招标投标监管网公开。</w:t>
      </w:r>
    </w:p>
    <w:p>
      <w:pPr>
        <w:pBdr>
          <w:bottom w:val="single" w:color="auto" w:sz="6" w:space="1"/>
        </w:pBdr>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27.4在产生中标候选人后，招标人将中标候选人的投标文件商务部分文件的所有内容（包括人员、业绩、奖项等资料）在</w:t>
      </w:r>
      <w:r>
        <w:rPr>
          <w:rFonts w:hint="eastAsia" w:ascii="宋体" w:hAnsi="宋体" w:cs="宋体"/>
          <w:color w:val="auto"/>
          <w:kern w:val="0"/>
          <w:szCs w:val="21"/>
          <w:highlight w:val="none"/>
          <w:u w:val="single"/>
        </w:rPr>
        <w:t>广州公共资源交易中心</w:t>
      </w:r>
      <w:r>
        <w:rPr>
          <w:rFonts w:hint="eastAsia" w:ascii="宋体" w:hAnsi="宋体" w:cs="宋体"/>
          <w:color w:val="auto"/>
          <w:szCs w:val="21"/>
          <w:highlight w:val="none"/>
        </w:rPr>
        <w:t>交易平台和广东省招标投标监管网公开。</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条款号：29.1  29.2         修改类型：修改</w:t>
      </w:r>
    </w:p>
    <w:p>
      <w:pPr>
        <w:pBdr>
          <w:bottom w:val="single" w:color="auto" w:sz="6" w:space="1"/>
        </w:pBdr>
        <w:spacing w:line="360" w:lineRule="auto"/>
        <w:ind w:firstLine="527" w:firstLineChars="250"/>
        <w:rPr>
          <w:rFonts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29.1 在收到中标通知书后的15日内，中标人应按本须知前附表第20项的规定向招标人提交履约担保；如果中标人的履约担保是以银行保函的形式提供，则该银行保函应由在中国注册且营业地点在广州行政辖区内的银行开具。</w:t>
      </w:r>
    </w:p>
    <w:p>
      <w:pPr>
        <w:pBdr>
          <w:bottom w:val="single" w:color="auto" w:sz="6" w:space="1"/>
        </w:pBdr>
        <w:spacing w:line="360" w:lineRule="auto"/>
        <w:ind w:firstLine="525" w:firstLineChars="250"/>
        <w:rPr>
          <w:rFonts w:ascii="宋体" w:hAnsi="宋体" w:cs="宋体"/>
          <w:color w:val="auto"/>
          <w:szCs w:val="21"/>
          <w:highlight w:val="none"/>
        </w:rPr>
      </w:pPr>
      <w:r>
        <w:rPr>
          <w:rFonts w:hint="eastAsia" w:ascii="宋体" w:hAnsi="宋体" w:cs="宋体"/>
          <w:color w:val="auto"/>
          <w:szCs w:val="21"/>
          <w:highlight w:val="none"/>
        </w:rPr>
        <w:t>29.2中标通知书发出之日起15日后，中标人未按上款的规定提交履约担保，招标人将解除中标通知书，原中标人的投标保证金不予退还，且依法承担相应法律责任。原中标人给招标人造成的损失超过投标保证金数额的，还应当对超过部分予以赔偿。原中标人有异议的，可以向人民法院起诉。</w:t>
      </w:r>
    </w:p>
    <w:p>
      <w:pPr>
        <w:pBdr>
          <w:bottom w:val="single" w:color="auto" w:sz="6" w:space="1"/>
        </w:pBdr>
        <w:spacing w:line="360" w:lineRule="auto"/>
        <w:ind w:firstLine="527" w:firstLineChars="250"/>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29.1在签订合同后5个工作日内，中标人应按本须知前附表第20项的规定向招标人提交履约担保；</w:t>
      </w:r>
    </w:p>
    <w:p>
      <w:pPr>
        <w:pBdr>
          <w:bottom w:val="single" w:color="auto" w:sz="6" w:space="1"/>
        </w:pBdr>
        <w:spacing w:line="360" w:lineRule="auto"/>
        <w:ind w:firstLine="525" w:firstLineChars="250"/>
        <w:rPr>
          <w:rFonts w:ascii="宋体" w:hAnsi="宋体" w:cs="宋体"/>
          <w:b/>
          <w:color w:val="auto"/>
          <w:szCs w:val="21"/>
          <w:highlight w:val="none"/>
        </w:rPr>
      </w:pPr>
      <w:r>
        <w:rPr>
          <w:rFonts w:hint="eastAsia" w:ascii="宋体" w:hAnsi="宋体" w:cs="宋体"/>
          <w:color w:val="auto"/>
          <w:szCs w:val="21"/>
          <w:highlight w:val="none"/>
        </w:rPr>
        <w:t>29.2中标人未按上款的规定提交履约担保，招标人有权解除合同并拒绝支付相应工程款项，且中标人依法承担相应法律责任。原中标人给招标人造成损失的，还应当予以赔偿。原中标人有异议的，按合同纠纷条款执行。</w:t>
      </w:r>
    </w:p>
    <w:p>
      <w:pPr>
        <w:spacing w:line="48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条款号：29.3            修改类型：增加</w:t>
      </w:r>
    </w:p>
    <w:p>
      <w:pPr>
        <w:pBdr>
          <w:bottom w:val="single" w:color="auto" w:sz="6" w:space="1"/>
        </w:pBdr>
        <w:tabs>
          <w:tab w:val="left" w:pos="1620"/>
        </w:tabs>
        <w:spacing w:line="360" w:lineRule="auto"/>
        <w:ind w:firstLine="527" w:firstLineChars="250"/>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bCs/>
          <w:color w:val="auto"/>
          <w:szCs w:val="21"/>
          <w:highlight w:val="none"/>
        </w:rPr>
        <w:t>中</w:t>
      </w:r>
      <w:r>
        <w:rPr>
          <w:rFonts w:hint="eastAsia" w:ascii="宋体" w:hAnsi="宋体" w:cs="宋体"/>
          <w:color w:val="auto"/>
          <w:szCs w:val="21"/>
          <w:highlight w:val="none"/>
        </w:rPr>
        <w:t>标单位在本项目结束中标公示后3天内，须提供与递交投标文件电子标书内容一致且每页加盖单位公章的纸质文件四套（一正一副）及电子文件一套（不用生成投标书）；包括用Microsoft Excel软件或广州公共资源交易中心提供的投标书制作软件制作的工程量清单报价表和单价分析表，用Microsoft Excel软件或广州公共资源交易中心提供的投标书制作软件制作的经济投标文件其它部分。电子文件介质使用CD-R光盘，所有电子文件不能采用压缩处理）给招标人。</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条款号：33.         修改类型：修改</w:t>
      </w:r>
    </w:p>
    <w:p>
      <w:pPr>
        <w:pBdr>
          <w:bottom w:val="single" w:color="auto" w:sz="6" w:space="1"/>
        </w:pBdr>
        <w:spacing w:line="360" w:lineRule="auto"/>
        <w:ind w:firstLine="527" w:firstLineChars="250"/>
        <w:rPr>
          <w:rFonts w:ascii="宋体" w:hAnsi="宋体" w:cs="宋体"/>
          <w:b/>
          <w:color w:val="auto"/>
          <w:szCs w:val="21"/>
          <w:highlight w:val="none"/>
        </w:rPr>
      </w:pPr>
      <w:r>
        <w:rPr>
          <w:rFonts w:hint="eastAsia" w:ascii="宋体" w:hAnsi="宋体" w:cs="宋体"/>
          <w:b/>
          <w:color w:val="auto"/>
          <w:szCs w:val="21"/>
          <w:highlight w:val="none"/>
        </w:rPr>
        <w:t>原文：33.投标人信誉的要求</w:t>
      </w:r>
    </w:p>
    <w:p>
      <w:pPr>
        <w:pBdr>
          <w:bottom w:val="single" w:color="auto" w:sz="6" w:space="1"/>
        </w:pBdr>
        <w:spacing w:line="360" w:lineRule="auto"/>
        <w:ind w:firstLine="525" w:firstLineChars="250"/>
        <w:rPr>
          <w:rFonts w:ascii="宋体" w:hAnsi="宋体" w:cs="宋体"/>
          <w:bCs/>
          <w:color w:val="auto"/>
          <w:szCs w:val="21"/>
          <w:highlight w:val="none"/>
        </w:rPr>
      </w:pPr>
      <w:r>
        <w:rPr>
          <w:rFonts w:hint="eastAsia" w:ascii="宋体" w:hAnsi="宋体" w:cs="宋体"/>
          <w:bCs/>
          <w:color w:val="auto"/>
          <w:szCs w:val="21"/>
          <w:highlight w:val="none"/>
        </w:rPr>
        <w:t>存在下列情形之一的，招标人可以限制其投标（需在招标文件中明确评定方法）</w:t>
      </w:r>
    </w:p>
    <w:p>
      <w:pPr>
        <w:pBdr>
          <w:bottom w:val="single" w:color="auto" w:sz="6" w:space="1"/>
        </w:pBdr>
        <w:spacing w:line="360" w:lineRule="auto"/>
        <w:ind w:firstLine="525" w:firstLineChars="250"/>
        <w:rPr>
          <w:rFonts w:ascii="宋体" w:hAnsi="宋体" w:cs="宋体"/>
          <w:bCs/>
          <w:color w:val="auto"/>
          <w:szCs w:val="21"/>
          <w:highlight w:val="none"/>
        </w:rPr>
      </w:pPr>
      <w:r>
        <w:rPr>
          <w:rFonts w:hint="eastAsia" w:ascii="宋体" w:hAnsi="宋体" w:cs="宋体"/>
          <w:bCs/>
          <w:color w:val="auto"/>
          <w:szCs w:val="21"/>
          <w:highlight w:val="none"/>
        </w:rPr>
        <w:t>（1）被住房城乡建设行政主管部门在全国建筑市场监管一体化工作平台列入建筑市场主体“黑名单”；</w:t>
      </w:r>
    </w:p>
    <w:p>
      <w:pPr>
        <w:pBdr>
          <w:bottom w:val="single" w:color="auto" w:sz="6" w:space="1"/>
        </w:pBdr>
        <w:spacing w:line="360" w:lineRule="auto"/>
        <w:ind w:firstLine="525" w:firstLineChars="250"/>
        <w:rPr>
          <w:rFonts w:ascii="宋体" w:hAnsi="宋体" w:cs="宋体"/>
          <w:bCs/>
          <w:color w:val="auto"/>
          <w:szCs w:val="21"/>
          <w:highlight w:val="none"/>
        </w:rPr>
      </w:pPr>
      <w:r>
        <w:rPr>
          <w:rFonts w:hint="eastAsia" w:ascii="宋体" w:hAnsi="宋体" w:cs="宋体"/>
          <w:bCs/>
          <w:color w:val="auto"/>
          <w:szCs w:val="21"/>
          <w:highlight w:val="none"/>
        </w:rPr>
        <w:t>（2）被发改委、人力资源社会保障、质检总局等有关部门、单位在“信用中国”网站中列入联合惩戒失信黑名单。</w:t>
      </w:r>
    </w:p>
    <w:p>
      <w:pPr>
        <w:pBdr>
          <w:bottom w:val="single" w:color="auto" w:sz="6" w:space="1"/>
        </w:pBdr>
        <w:spacing w:line="360" w:lineRule="auto"/>
        <w:ind w:firstLine="527" w:firstLineChars="250"/>
        <w:rPr>
          <w:rFonts w:ascii="宋体" w:hAnsi="宋体" w:cs="宋体"/>
          <w:b/>
          <w:color w:val="auto"/>
          <w:szCs w:val="21"/>
          <w:highlight w:val="none"/>
        </w:rPr>
      </w:pPr>
      <w:r>
        <w:rPr>
          <w:rFonts w:hint="eastAsia" w:ascii="宋体" w:hAnsi="宋体" w:cs="宋体"/>
          <w:b/>
          <w:color w:val="auto"/>
          <w:szCs w:val="21"/>
          <w:highlight w:val="none"/>
        </w:rPr>
        <w:t>现文：33.投标人信誉的要求</w:t>
      </w:r>
    </w:p>
    <w:p>
      <w:pPr>
        <w:pBdr>
          <w:bottom w:val="single" w:color="auto" w:sz="6" w:space="1"/>
        </w:pBdr>
        <w:spacing w:line="360" w:lineRule="auto"/>
        <w:ind w:firstLine="525" w:firstLineChars="250"/>
        <w:rPr>
          <w:rFonts w:ascii="宋体" w:hAnsi="宋体" w:cs="宋体"/>
          <w:bCs/>
          <w:color w:val="auto"/>
          <w:szCs w:val="21"/>
          <w:highlight w:val="none"/>
        </w:rPr>
      </w:pPr>
      <w:r>
        <w:rPr>
          <w:rFonts w:hint="eastAsia" w:ascii="宋体" w:hAnsi="宋体" w:cs="宋体"/>
          <w:bCs/>
          <w:color w:val="auto"/>
          <w:szCs w:val="21"/>
          <w:highlight w:val="none"/>
        </w:rPr>
        <w:t>存在下列情形之一的，招标人可以限制其投标</w:t>
      </w:r>
      <w:r>
        <w:rPr>
          <w:rFonts w:hint="eastAsia" w:ascii="宋体" w:hAnsi="宋体" w:cs="宋体"/>
          <w:b/>
          <w:color w:val="auto"/>
          <w:szCs w:val="21"/>
          <w:highlight w:val="none"/>
          <w:u w:val="single"/>
        </w:rPr>
        <w:t>（按照《投标人声明》评审）</w:t>
      </w:r>
    </w:p>
    <w:p>
      <w:pPr>
        <w:pBdr>
          <w:bottom w:val="single" w:color="auto" w:sz="6" w:space="1"/>
        </w:pBdr>
        <w:spacing w:line="360" w:lineRule="auto"/>
        <w:ind w:firstLine="525" w:firstLineChars="250"/>
        <w:rPr>
          <w:rFonts w:ascii="宋体" w:hAnsi="宋体" w:cs="宋体"/>
          <w:bCs/>
          <w:color w:val="auto"/>
          <w:szCs w:val="21"/>
          <w:highlight w:val="none"/>
        </w:rPr>
      </w:pPr>
      <w:r>
        <w:rPr>
          <w:rFonts w:hint="eastAsia" w:ascii="宋体" w:hAnsi="宋体" w:cs="宋体"/>
          <w:bCs/>
          <w:color w:val="auto"/>
          <w:szCs w:val="21"/>
          <w:highlight w:val="none"/>
        </w:rPr>
        <w:t>（1）被住房城乡建设行政主管部门在全国建筑市场监管一体化工作平台列入建筑市场主体“黑名单”；</w:t>
      </w:r>
    </w:p>
    <w:p>
      <w:pPr>
        <w:pBdr>
          <w:bottom w:val="single" w:color="auto" w:sz="6" w:space="1"/>
        </w:pBdr>
        <w:spacing w:line="360" w:lineRule="auto"/>
        <w:ind w:firstLine="525" w:firstLineChars="250"/>
        <w:rPr>
          <w:rFonts w:ascii="宋体" w:hAnsi="宋体" w:cs="宋体"/>
          <w:b/>
          <w:color w:val="auto"/>
          <w:szCs w:val="21"/>
          <w:highlight w:val="none"/>
        </w:rPr>
      </w:pPr>
      <w:r>
        <w:rPr>
          <w:rFonts w:hint="eastAsia" w:ascii="宋体" w:hAnsi="宋体" w:cs="宋体"/>
          <w:bCs/>
          <w:color w:val="auto"/>
          <w:szCs w:val="21"/>
          <w:highlight w:val="none"/>
        </w:rPr>
        <w:t>（2）被发改委、人力资源社会保障、质检总局等有关部门、单位在“信用中国”网站中列入联合惩戒失信黑名单。</w:t>
      </w:r>
    </w:p>
    <w:p>
      <w:pPr>
        <w:spacing w:line="360" w:lineRule="auto"/>
        <w:ind w:firstLine="211" w:firstLineChars="100"/>
        <w:rPr>
          <w:rFonts w:ascii="宋体" w:hAnsi="宋体" w:cs="宋体"/>
          <w:b/>
          <w:color w:val="auto"/>
          <w:szCs w:val="21"/>
          <w:highlight w:val="none"/>
        </w:rPr>
      </w:pPr>
      <w:r>
        <w:rPr>
          <w:rFonts w:hint="eastAsia" w:ascii="宋体" w:hAnsi="宋体" w:cs="宋体"/>
          <w:b/>
          <w:color w:val="auto"/>
          <w:szCs w:val="21"/>
          <w:highlight w:val="none"/>
        </w:rPr>
        <w:t>注：以上修改，仅限于本范本中有可供选择条款的情形。</w:t>
      </w:r>
    </w:p>
    <w:p>
      <w:pPr>
        <w:spacing w:line="360" w:lineRule="auto"/>
        <w:rPr>
          <w:rFonts w:ascii="宋体" w:hAnsi="宋体" w:cs="宋体"/>
          <w:color w:val="auto"/>
          <w:szCs w:val="21"/>
          <w:highlight w:val="none"/>
        </w:rPr>
      </w:pPr>
      <w:r>
        <w:rPr>
          <w:rFonts w:hint="eastAsia" w:ascii="宋体" w:hAnsi="宋体" w:cs="宋体"/>
          <w:b/>
          <w:color w:val="auto"/>
          <w:szCs w:val="21"/>
          <w:highlight w:val="none"/>
        </w:rPr>
        <w:t>（以下无正文）</w:t>
      </w:r>
    </w:p>
    <w:p>
      <w:pPr>
        <w:pStyle w:val="8"/>
        <w:spacing w:line="360" w:lineRule="auto"/>
        <w:ind w:firstLine="422" w:firstLineChars="200"/>
        <w:rPr>
          <w:rFonts w:ascii="宋体" w:hAnsi="宋体" w:cs="宋体"/>
          <w:b/>
          <w:bCs/>
          <w:color w:val="auto"/>
          <w:szCs w:val="21"/>
          <w:highlight w:val="none"/>
        </w:rPr>
        <w:sectPr>
          <w:footerReference r:id="rId7" w:type="first"/>
          <w:headerReference r:id="rId3" w:type="default"/>
          <w:footerReference r:id="rId5" w:type="default"/>
          <w:headerReference r:id="rId4" w:type="even"/>
          <w:footerReference r:id="rId6" w:type="even"/>
          <w:endnotePr>
            <w:numFmt w:val="decimal"/>
          </w:endnotePr>
          <w:pgSz w:w="11906" w:h="16838"/>
          <w:pgMar w:top="1134" w:right="1418" w:bottom="1247" w:left="1418" w:header="851" w:footer="907" w:gutter="0"/>
          <w:cols w:space="720" w:num="1"/>
          <w:titlePg/>
          <w:docGrid w:type="lines" w:linePitch="312" w:charSpace="0"/>
        </w:sectPr>
      </w:pPr>
    </w:p>
    <w:p>
      <w:pPr>
        <w:pStyle w:val="7"/>
        <w:rPr>
          <w:rFonts w:ascii="宋体" w:hAnsi="宋体" w:cs="宋体"/>
          <w:color w:val="auto"/>
          <w:highlight w:val="none"/>
        </w:rPr>
      </w:pPr>
      <w:bookmarkStart w:id="4" w:name="_Toc24881"/>
      <w:r>
        <w:rPr>
          <w:rFonts w:hint="eastAsia" w:ascii="宋体" w:hAnsi="宋体" w:cs="宋体"/>
          <w:color w:val="auto"/>
          <w:highlight w:val="none"/>
        </w:rPr>
        <w:t>三、投标须知通用条款</w:t>
      </w:r>
      <w:bookmarkEnd w:id="4"/>
    </w:p>
    <w:p>
      <w:pPr>
        <w:pStyle w:val="9"/>
        <w:spacing w:before="156" w:after="156"/>
        <w:rPr>
          <w:rFonts w:cs="宋体"/>
          <w:color w:val="auto"/>
          <w:highlight w:val="none"/>
        </w:rPr>
      </w:pPr>
      <w:bookmarkStart w:id="5" w:name="_Toc21525493"/>
      <w:bookmarkStart w:id="6" w:name="_Toc2272549"/>
      <w:bookmarkStart w:id="7" w:name="_Toc373"/>
      <w:r>
        <w:rPr>
          <w:rFonts w:hint="eastAsia" w:cs="宋体"/>
          <w:color w:val="auto"/>
          <w:highlight w:val="none"/>
        </w:rPr>
        <w:t>（一）总则</w:t>
      </w:r>
      <w:bookmarkEnd w:id="5"/>
      <w:bookmarkEnd w:id="6"/>
    </w:p>
    <w:p>
      <w:pPr>
        <w:pStyle w:val="5"/>
        <w:spacing w:after="0"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1、定义</w:t>
      </w:r>
    </w:p>
    <w:p>
      <w:pPr>
        <w:pStyle w:val="5"/>
        <w:spacing w:after="0" w:line="360" w:lineRule="auto"/>
        <w:ind w:firstLine="480" w:firstLineChars="200"/>
        <w:rPr>
          <w:rFonts w:ascii="宋体" w:hAnsi="宋体" w:cs="宋体"/>
          <w:b/>
          <w:bCs/>
          <w:color w:val="auto"/>
          <w:sz w:val="24"/>
          <w:highlight w:val="none"/>
        </w:rPr>
      </w:pPr>
      <w:r>
        <w:rPr>
          <w:rFonts w:hint="eastAsia" w:ascii="宋体" w:hAnsi="宋体" w:cs="宋体"/>
          <w:color w:val="auto"/>
          <w:sz w:val="24"/>
          <w:highlight w:val="none"/>
        </w:rPr>
        <w:t>本招标文件使用的下列词语具有如下规定的意义：</w:t>
      </w:r>
    </w:p>
    <w:p>
      <w:pPr>
        <w:pStyle w:val="5"/>
        <w:spacing w:after="0" w:line="360" w:lineRule="auto"/>
        <w:ind w:firstLine="480" w:firstLineChars="200"/>
        <w:rPr>
          <w:rFonts w:ascii="宋体" w:hAnsi="宋体" w:cs="宋体"/>
          <w:b/>
          <w:bCs/>
          <w:color w:val="auto"/>
          <w:sz w:val="24"/>
          <w:highlight w:val="none"/>
          <w:u w:val="single"/>
        </w:rPr>
      </w:pPr>
      <w:r>
        <w:rPr>
          <w:rFonts w:hint="eastAsia" w:ascii="宋体" w:hAnsi="宋体" w:cs="宋体"/>
          <w:color w:val="auto"/>
          <w:sz w:val="24"/>
          <w:highlight w:val="none"/>
        </w:rPr>
        <w:t>（1）“招标人”（即发包人）、“项目建设管理单位”（或称“项目代建单位”）、“招标代理”、“设计单位”、“监理单位”均已在投标须知前附表中列明。</w:t>
      </w:r>
    </w:p>
    <w:p>
      <w:pPr>
        <w:pStyle w:val="5"/>
        <w:spacing w:after="0"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 xml:space="preserve">（2）“投标人”指向招标人提交投标文件的当事人。   </w:t>
      </w:r>
    </w:p>
    <w:p>
      <w:pPr>
        <w:pStyle w:val="5"/>
        <w:spacing w:after="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（3）“承包人”指其投标被招标人接受并与其签订承包合同的当事人。</w:t>
      </w:r>
    </w:p>
    <w:p>
      <w:pPr>
        <w:pStyle w:val="5"/>
        <w:spacing w:after="0"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（4）“招标文件”指由招标代理发出的本文件（包括全部章节、附件）及招标答疑会会议纪要和</w:t>
      </w:r>
      <w:r>
        <w:rPr>
          <w:rFonts w:hint="eastAsia" w:ascii="宋体" w:hAnsi="宋体" w:cs="宋体"/>
          <w:bCs/>
          <w:color w:val="auto"/>
          <w:sz w:val="24"/>
          <w:highlight w:val="none"/>
        </w:rPr>
        <w:t>招标文件的澄清与修改</w:t>
      </w:r>
      <w:r>
        <w:rPr>
          <w:rFonts w:hint="eastAsia" w:ascii="宋体" w:hAnsi="宋体" w:cs="宋体"/>
          <w:color w:val="auto"/>
          <w:sz w:val="24"/>
          <w:highlight w:val="none"/>
        </w:rPr>
        <w:t>文件。</w:t>
      </w:r>
    </w:p>
    <w:p>
      <w:pPr>
        <w:pStyle w:val="5"/>
        <w:spacing w:after="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（5）“投标文件”指投标人根据本项目招标文件向招标人提交的全部文件。</w:t>
      </w:r>
    </w:p>
    <w:p>
      <w:pPr>
        <w:pStyle w:val="5"/>
        <w:spacing w:after="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（6）“书面形式”指打字或印刷的文件和数据电文（包括电报、电传、传真、电子数据交换和电子邮件）。</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2、招标说明</w:t>
      </w:r>
    </w:p>
    <w:p>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2.1本招标工程项目按照《中华人民共和国招标投标法》等有关法律、行政法规、规章和规范性文件，通过招标方式选定承包人。</w:t>
      </w:r>
    </w:p>
    <w:p>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2.2工程名称、建设地点、建设规模、承包方式、质量标准、招标范围、工期要求等均在投标须知前附表中列明。</w:t>
      </w:r>
    </w:p>
    <w:p>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2.3设计说明：详见招标图纸。</w:t>
      </w:r>
    </w:p>
    <w:p>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2.4工程施工特点：详见招标图纸。</w:t>
      </w:r>
    </w:p>
    <w:p>
      <w:pPr>
        <w:tabs>
          <w:tab w:val="left" w:pos="105"/>
        </w:tabs>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3．资金来源</w:t>
      </w:r>
    </w:p>
    <w:p>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3.1本招标工程项目资金来源见投标须知前附表第9项</w:t>
      </w:r>
    </w:p>
    <w:p>
      <w:pPr>
        <w:tabs>
          <w:tab w:val="left" w:pos="105"/>
        </w:tabs>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4．合格投标人的条件</w:t>
      </w:r>
    </w:p>
    <w:p>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4.1详见本项目招标公告</w:t>
      </w:r>
    </w:p>
    <w:p>
      <w:pPr>
        <w:tabs>
          <w:tab w:val="left" w:pos="105"/>
        </w:tabs>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5．踏勘现场</w:t>
      </w:r>
    </w:p>
    <w:p>
      <w:pPr>
        <w:spacing w:line="360" w:lineRule="auto"/>
        <w:ind w:firstLine="480" w:firstLineChars="200"/>
        <w:rPr>
          <w:rFonts w:ascii="宋体" w:hAnsi="宋体" w:cs="宋体"/>
          <w:bCs/>
          <w:color w:val="auto"/>
          <w:sz w:val="24"/>
          <w:highlight w:val="none"/>
          <w:u w:val="single"/>
        </w:rPr>
      </w:pPr>
      <w:r>
        <w:rPr>
          <w:rFonts w:hint="eastAsia" w:ascii="宋体" w:hAnsi="宋体" w:cs="宋体"/>
          <w:bCs/>
          <w:color w:val="auto"/>
          <w:sz w:val="24"/>
          <w:highlight w:val="none"/>
        </w:rPr>
        <w:t>5.1 投标人应按本投标须知前附表第15项所述时间和要求对工程现场及周围环境进行踏勘，</w:t>
      </w:r>
      <w:r>
        <w:rPr>
          <w:rFonts w:hint="eastAsia" w:ascii="宋体" w:hAnsi="宋体" w:cs="宋体"/>
          <w:color w:val="auto"/>
          <w:sz w:val="24"/>
          <w:highlight w:val="none"/>
        </w:rPr>
        <w:t>投标人应充分重视和仔细地进行这种考察，</w:t>
      </w:r>
      <w:r>
        <w:rPr>
          <w:rFonts w:hint="eastAsia" w:ascii="宋体" w:hAnsi="宋体" w:cs="宋体"/>
          <w:bCs/>
          <w:color w:val="auto"/>
          <w:sz w:val="24"/>
          <w:highlight w:val="none"/>
        </w:rPr>
        <w:t>以便投标人获取</w:t>
      </w:r>
      <w:r>
        <w:rPr>
          <w:rFonts w:hint="eastAsia" w:ascii="宋体" w:hAnsi="宋体" w:cs="宋体"/>
          <w:color w:val="auto"/>
          <w:sz w:val="24"/>
          <w:highlight w:val="none"/>
        </w:rPr>
        <w:t>那些须投标人自己负责的</w:t>
      </w:r>
      <w:r>
        <w:rPr>
          <w:rFonts w:hint="eastAsia" w:ascii="宋体" w:hAnsi="宋体" w:cs="宋体"/>
          <w:bCs/>
          <w:color w:val="auto"/>
          <w:sz w:val="24"/>
          <w:highlight w:val="none"/>
        </w:rPr>
        <w:t>有关编制投标文件和签署合同所涉及现场所有的资料。</w:t>
      </w:r>
      <w:r>
        <w:rPr>
          <w:rFonts w:hint="eastAsia" w:ascii="宋体" w:hAnsi="宋体" w:cs="宋体"/>
          <w:color w:val="auto"/>
          <w:sz w:val="24"/>
          <w:highlight w:val="none"/>
        </w:rPr>
        <w:t>一旦中标，这种考察即被认为其结果已在中标文件中得到充分反映。考察现场的费用由投标人自己承担。</w:t>
      </w:r>
    </w:p>
    <w:p>
      <w:pPr>
        <w:tabs>
          <w:tab w:val="left" w:pos="105"/>
        </w:tabs>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5.2 招标人向投标人提供的有关现场的数据和资料，是招标人现有的能被投标人利用的资料，招标人对投标人做出的任何推论、理解和结论均不负责任。</w:t>
      </w:r>
    </w:p>
    <w:p>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5.3 经招标人允许，投标人可为踏勘目的进入招标人的项目现场。</w:t>
      </w:r>
      <w:r>
        <w:rPr>
          <w:rFonts w:hint="eastAsia" w:ascii="宋体" w:hAnsi="宋体" w:cs="宋体"/>
          <w:color w:val="auto"/>
          <w:sz w:val="24"/>
          <w:highlight w:val="none"/>
        </w:rPr>
        <w:t>在考察过程中，投标人及其代表必须承担那些进入现场后，由于他们的行为所造成的人身伤害（不管是否致命）、财产损失或损坏，以及其他任何原因造成的损失、损坏或费用，</w:t>
      </w:r>
      <w:r>
        <w:rPr>
          <w:rFonts w:hint="eastAsia" w:ascii="宋体" w:hAnsi="宋体" w:cs="宋体"/>
          <w:bCs/>
          <w:color w:val="auto"/>
          <w:sz w:val="24"/>
          <w:highlight w:val="none"/>
        </w:rPr>
        <w:t>投标人不得因此使招标人承担有关的责任和蒙受损失。</w:t>
      </w:r>
    </w:p>
    <w:p>
      <w:pPr>
        <w:tabs>
          <w:tab w:val="left" w:pos="105"/>
        </w:tabs>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6．投标费用</w:t>
      </w:r>
    </w:p>
    <w:p>
      <w:pPr>
        <w:tabs>
          <w:tab w:val="left" w:pos="105"/>
        </w:tabs>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6.1</w:t>
      </w:r>
      <w:r>
        <w:rPr>
          <w:rFonts w:hint="eastAsia" w:ascii="宋体" w:hAnsi="宋体" w:cs="宋体"/>
          <w:color w:val="auto"/>
          <w:sz w:val="24"/>
          <w:highlight w:val="none"/>
        </w:rPr>
        <w:t>不论投标结果如何，投标人应承担</w:t>
      </w:r>
      <w:r>
        <w:rPr>
          <w:rFonts w:hint="eastAsia" w:ascii="宋体" w:hAnsi="宋体" w:cs="宋体"/>
          <w:bCs/>
          <w:color w:val="auto"/>
          <w:sz w:val="24"/>
          <w:highlight w:val="none"/>
        </w:rPr>
        <w:t>自身</w:t>
      </w:r>
      <w:r>
        <w:rPr>
          <w:rFonts w:hint="eastAsia" w:ascii="宋体" w:hAnsi="宋体" w:cs="宋体"/>
          <w:color w:val="auto"/>
          <w:sz w:val="24"/>
          <w:highlight w:val="none"/>
        </w:rPr>
        <w:t>因投标文件编制、递交及其他</w:t>
      </w:r>
      <w:r>
        <w:rPr>
          <w:rFonts w:hint="eastAsia" w:ascii="宋体" w:hAnsi="宋体" w:cs="宋体"/>
          <w:bCs/>
          <w:color w:val="auto"/>
          <w:sz w:val="24"/>
          <w:highlight w:val="none"/>
        </w:rPr>
        <w:t>参加本招标活动</w:t>
      </w:r>
      <w:r>
        <w:rPr>
          <w:rFonts w:hint="eastAsia" w:ascii="宋体" w:hAnsi="宋体" w:cs="宋体"/>
          <w:color w:val="auto"/>
          <w:sz w:val="24"/>
          <w:highlight w:val="none"/>
        </w:rPr>
        <w:t>所涉及的一切费用，招标人对上述费用不负任何责任。</w:t>
      </w:r>
    </w:p>
    <w:p>
      <w:pPr>
        <w:pStyle w:val="9"/>
        <w:spacing w:before="156" w:after="156"/>
        <w:rPr>
          <w:rFonts w:cs="宋体"/>
          <w:color w:val="auto"/>
          <w:highlight w:val="none"/>
        </w:rPr>
      </w:pPr>
      <w:bookmarkStart w:id="8" w:name="_Toc21525494"/>
      <w:bookmarkStart w:id="9" w:name="_Toc2272550"/>
      <w:r>
        <w:rPr>
          <w:rFonts w:hint="eastAsia" w:cs="宋体"/>
          <w:color w:val="auto"/>
          <w:highlight w:val="none"/>
        </w:rPr>
        <w:t>（二）招标文件</w:t>
      </w:r>
      <w:bookmarkEnd w:id="8"/>
      <w:bookmarkEnd w:id="9"/>
    </w:p>
    <w:p>
      <w:pPr>
        <w:tabs>
          <w:tab w:val="left" w:pos="105"/>
        </w:tabs>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7.招标文件的组成</w:t>
      </w:r>
    </w:p>
    <w:p>
      <w:pPr>
        <w:spacing w:line="360" w:lineRule="auto"/>
        <w:ind w:firstLine="480" w:firstLineChars="200"/>
        <w:rPr>
          <w:rFonts w:ascii="宋体" w:hAnsi="宋体" w:cs="宋体"/>
          <w:color w:val="auto"/>
          <w:sz w:val="24"/>
          <w:highlight w:val="none"/>
        </w:rPr>
      </w:pPr>
      <w:r>
        <w:rPr>
          <w:rFonts w:hint="eastAsia" w:ascii="宋体" w:hAnsi="宋体" w:cs="宋体"/>
          <w:bCs/>
          <w:color w:val="auto"/>
          <w:sz w:val="24"/>
          <w:highlight w:val="none"/>
        </w:rPr>
        <w:t>7.1</w:t>
      </w:r>
      <w:r>
        <w:rPr>
          <w:rFonts w:hint="eastAsia" w:ascii="宋体" w:hAnsi="宋体" w:cs="宋体"/>
          <w:color w:val="auto"/>
          <w:sz w:val="24"/>
          <w:highlight w:val="none"/>
        </w:rPr>
        <w:t>本招标文件包括下列文件，以及所有按本须知第8条发出的招标答疑会会议纪要和按本须知第9条发出的澄清或修改：</w:t>
      </w:r>
    </w:p>
    <w:p>
      <w:pPr>
        <w:pStyle w:val="5"/>
        <w:spacing w:after="0" w:line="360" w:lineRule="auto"/>
        <w:ind w:left="-2" w:firstLine="480" w:firstLineChars="200"/>
        <w:rPr>
          <w:rFonts w:ascii="宋体" w:hAnsi="宋体" w:cs="宋体"/>
          <w:color w:val="auto"/>
          <w:sz w:val="24"/>
          <w:highlight w:val="none"/>
        </w:rPr>
      </w:pPr>
      <w:r>
        <w:rPr>
          <w:rFonts w:hint="eastAsia" w:ascii="宋体" w:hAnsi="宋体" w:cs="宋体"/>
          <w:bCs/>
          <w:color w:val="auto"/>
          <w:sz w:val="24"/>
          <w:highlight w:val="none"/>
        </w:rPr>
        <w:t xml:space="preserve">第一章  </w:t>
      </w:r>
      <w:r>
        <w:rPr>
          <w:rFonts w:hint="eastAsia" w:ascii="宋体" w:hAnsi="宋体" w:cs="宋体"/>
          <w:color w:val="auto"/>
          <w:sz w:val="24"/>
          <w:highlight w:val="none"/>
        </w:rPr>
        <w:t>投标须知</w:t>
      </w:r>
    </w:p>
    <w:p>
      <w:pPr>
        <w:pStyle w:val="5"/>
        <w:spacing w:after="0" w:line="360" w:lineRule="auto"/>
        <w:ind w:left="-2" w:firstLine="480" w:firstLineChars="200"/>
        <w:rPr>
          <w:rFonts w:ascii="宋体" w:hAnsi="宋体" w:cs="宋体"/>
          <w:color w:val="auto"/>
          <w:sz w:val="24"/>
          <w:highlight w:val="none"/>
        </w:rPr>
      </w:pPr>
      <w:r>
        <w:rPr>
          <w:rFonts w:hint="eastAsia" w:ascii="宋体" w:hAnsi="宋体" w:cs="宋体"/>
          <w:bCs/>
          <w:color w:val="auto"/>
          <w:sz w:val="24"/>
          <w:highlight w:val="none"/>
        </w:rPr>
        <w:t xml:space="preserve">第二章  </w:t>
      </w:r>
      <w:r>
        <w:rPr>
          <w:rFonts w:hint="eastAsia" w:ascii="宋体" w:hAnsi="宋体" w:cs="宋体"/>
          <w:color w:val="auto"/>
          <w:sz w:val="24"/>
          <w:highlight w:val="none"/>
        </w:rPr>
        <w:t>开标、评标及定标办法</w:t>
      </w:r>
    </w:p>
    <w:p>
      <w:pPr>
        <w:pStyle w:val="5"/>
        <w:spacing w:after="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第三章  合同条款</w:t>
      </w:r>
    </w:p>
    <w:p>
      <w:pPr>
        <w:pStyle w:val="5"/>
        <w:spacing w:after="0" w:line="360" w:lineRule="auto"/>
        <w:ind w:firstLine="480" w:firstLineChars="200"/>
        <w:rPr>
          <w:rFonts w:ascii="宋体" w:hAnsi="宋体" w:cs="宋体"/>
          <w:color w:val="auto"/>
          <w:sz w:val="24"/>
          <w:highlight w:val="none"/>
        </w:rPr>
      </w:pPr>
      <w:r>
        <w:rPr>
          <w:rFonts w:hint="eastAsia" w:ascii="宋体" w:hAnsi="宋体" w:cs="宋体"/>
          <w:bCs/>
          <w:color w:val="auto"/>
          <w:sz w:val="24"/>
          <w:highlight w:val="none"/>
        </w:rPr>
        <w:t xml:space="preserve">第四章  </w:t>
      </w:r>
      <w:r>
        <w:rPr>
          <w:rFonts w:hint="eastAsia" w:ascii="宋体" w:hAnsi="宋体" w:cs="宋体"/>
          <w:color w:val="auto"/>
          <w:sz w:val="24"/>
          <w:highlight w:val="none"/>
        </w:rPr>
        <w:t>投标文件格式</w:t>
      </w:r>
    </w:p>
    <w:p>
      <w:pPr>
        <w:pStyle w:val="5"/>
        <w:spacing w:after="0" w:line="360" w:lineRule="auto"/>
        <w:ind w:left="-2" w:firstLine="480" w:firstLineChars="200"/>
        <w:rPr>
          <w:rFonts w:ascii="宋体" w:hAnsi="宋体" w:cs="宋体"/>
          <w:color w:val="auto"/>
          <w:sz w:val="24"/>
          <w:highlight w:val="none"/>
        </w:rPr>
      </w:pPr>
      <w:r>
        <w:rPr>
          <w:rFonts w:hint="eastAsia" w:ascii="宋体" w:hAnsi="宋体" w:cs="宋体"/>
          <w:bCs/>
          <w:color w:val="auto"/>
          <w:sz w:val="24"/>
          <w:highlight w:val="none"/>
        </w:rPr>
        <w:t xml:space="preserve">第五章  </w:t>
      </w:r>
      <w:r>
        <w:rPr>
          <w:rFonts w:hint="eastAsia" w:ascii="宋体" w:hAnsi="宋体" w:cs="宋体"/>
          <w:color w:val="auto"/>
          <w:sz w:val="24"/>
          <w:highlight w:val="none"/>
        </w:rPr>
        <w:t>技术条件（工程建设标准）（另册）</w:t>
      </w:r>
    </w:p>
    <w:p>
      <w:pPr>
        <w:pStyle w:val="5"/>
        <w:spacing w:after="0" w:line="360" w:lineRule="auto"/>
        <w:ind w:left="-2" w:firstLine="480" w:firstLineChars="200"/>
        <w:rPr>
          <w:rFonts w:ascii="宋体" w:hAnsi="宋体" w:cs="宋体"/>
          <w:color w:val="auto"/>
          <w:sz w:val="24"/>
          <w:highlight w:val="none"/>
        </w:rPr>
      </w:pPr>
      <w:r>
        <w:rPr>
          <w:rFonts w:hint="eastAsia" w:ascii="宋体" w:hAnsi="宋体" w:cs="宋体"/>
          <w:bCs/>
          <w:color w:val="auto"/>
          <w:sz w:val="24"/>
          <w:highlight w:val="none"/>
        </w:rPr>
        <w:t xml:space="preserve">第六章  </w:t>
      </w:r>
      <w:r>
        <w:rPr>
          <w:rFonts w:hint="eastAsia" w:ascii="宋体" w:hAnsi="宋体" w:cs="宋体"/>
          <w:color w:val="auto"/>
          <w:sz w:val="24"/>
          <w:highlight w:val="none"/>
        </w:rPr>
        <w:t>图纸及勘察资料（另册）</w:t>
      </w:r>
    </w:p>
    <w:p>
      <w:pPr>
        <w:pStyle w:val="5"/>
        <w:spacing w:after="0" w:line="360" w:lineRule="auto"/>
        <w:ind w:left="-2" w:firstLine="480" w:firstLineChars="200"/>
        <w:rPr>
          <w:rFonts w:ascii="宋体" w:hAnsi="宋体" w:cs="宋体"/>
          <w:color w:val="auto"/>
          <w:sz w:val="24"/>
          <w:highlight w:val="none"/>
        </w:rPr>
      </w:pPr>
      <w:r>
        <w:rPr>
          <w:rFonts w:hint="eastAsia" w:ascii="宋体" w:hAnsi="宋体" w:cs="宋体"/>
          <w:bCs/>
          <w:color w:val="auto"/>
          <w:sz w:val="24"/>
          <w:highlight w:val="none"/>
        </w:rPr>
        <w:t>第七章  招标</w:t>
      </w:r>
      <w:r>
        <w:rPr>
          <w:rFonts w:hint="eastAsia" w:ascii="宋体" w:hAnsi="宋体" w:cs="宋体"/>
          <w:color w:val="auto"/>
          <w:sz w:val="24"/>
          <w:highlight w:val="none"/>
        </w:rPr>
        <w:t>工程量清单（另册）</w:t>
      </w:r>
    </w:p>
    <w:p>
      <w:pPr>
        <w:pStyle w:val="5"/>
        <w:spacing w:after="0" w:line="360" w:lineRule="auto"/>
        <w:ind w:left="-2" w:firstLine="480" w:firstLineChars="200"/>
        <w:rPr>
          <w:rFonts w:ascii="宋体" w:hAnsi="宋体" w:cs="宋体"/>
          <w:color w:val="auto"/>
          <w:sz w:val="24"/>
          <w:highlight w:val="none"/>
        </w:rPr>
      </w:pPr>
      <w:r>
        <w:rPr>
          <w:rFonts w:hint="eastAsia" w:ascii="宋体" w:hAnsi="宋体" w:cs="宋体"/>
          <w:color w:val="auto"/>
          <w:sz w:val="24"/>
          <w:highlight w:val="none"/>
        </w:rPr>
        <w:t>第八章  最高投标限价</w:t>
      </w:r>
    </w:p>
    <w:p>
      <w:pPr>
        <w:pStyle w:val="5"/>
        <w:spacing w:after="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7.2 投标人获取招标文件后，应仔细检查招标文件的所有内容，认真审阅招标文件中所有的事项、格式、条款和规范要求等，若投标人的投标文件没有按招标文件要求提交全部资料，或投标文件实质上没有响应招标文件的要求，招标人将按评标办法的规定予以拒绝，并且不允许投标人通过修改或撤消其不符合要求的差异或保留使之成为具有响应性的投标文件。</w:t>
      </w:r>
    </w:p>
    <w:p>
      <w:pPr>
        <w:pStyle w:val="5"/>
        <w:spacing w:after="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7.3 投标人一旦中标，招标文件的内容对招标人和中标人双方均有约束力。</w:t>
      </w:r>
    </w:p>
    <w:p>
      <w:pPr>
        <w:pStyle w:val="5"/>
        <w:spacing w:after="0"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8．招标答疑</w:t>
      </w:r>
    </w:p>
    <w:p>
      <w:pPr>
        <w:pStyle w:val="5"/>
        <w:spacing w:after="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8.1 投标人若对招标文件（包括招标图纸）中有疑问，可以书面形式</w:t>
      </w:r>
      <w:r>
        <w:rPr>
          <w:rFonts w:hint="eastAsia" w:ascii="宋体" w:hAnsi="宋体" w:cs="宋体"/>
          <w:color w:val="auto"/>
          <w:sz w:val="24"/>
          <w:szCs w:val="24"/>
          <w:highlight w:val="none"/>
        </w:rPr>
        <w:t>通过</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交易平台提交</w:t>
      </w:r>
      <w:r>
        <w:rPr>
          <w:rFonts w:hint="eastAsia" w:ascii="宋体" w:hAnsi="宋体" w:cs="宋体"/>
          <w:color w:val="auto"/>
          <w:sz w:val="24"/>
          <w:highlight w:val="none"/>
        </w:rPr>
        <w:t>给招标人或招标代理人，提交形式见本须知前附表第16项。</w:t>
      </w:r>
    </w:p>
    <w:p>
      <w:pPr>
        <w:pStyle w:val="5"/>
        <w:spacing w:after="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8.2招标答疑会会议纪要将在提交投标文件截止时间15日前在</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交易平台</w:t>
      </w:r>
      <w:r>
        <w:rPr>
          <w:rFonts w:hint="eastAsia" w:ascii="宋体" w:hAnsi="宋体" w:cs="宋体"/>
          <w:color w:val="auto"/>
          <w:sz w:val="24"/>
          <w:highlight w:val="none"/>
        </w:rPr>
        <w:t xml:space="preserve"> “项目答疑纪要”专区公开发布。答疑纪要一经在</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交易平台</w:t>
      </w:r>
      <w:r>
        <w:rPr>
          <w:rFonts w:hint="eastAsia" w:ascii="宋体" w:hAnsi="宋体" w:cs="宋体"/>
          <w:color w:val="auto"/>
          <w:sz w:val="24"/>
          <w:highlight w:val="none"/>
        </w:rPr>
        <w:t>发布，视作已发放给所有投标人。</w:t>
      </w:r>
    </w:p>
    <w:p>
      <w:pPr>
        <w:pStyle w:val="5"/>
        <w:spacing w:after="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8.3答疑会会议纪要为招标文件的一部分。</w:t>
      </w:r>
    </w:p>
    <w:p>
      <w:pPr>
        <w:pStyle w:val="5"/>
        <w:spacing w:after="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8.4若招标答疑会会议纪要与招标文件有矛盾，以答疑会议纪要最后发出的书面形式的文件为准。</w:t>
      </w:r>
    </w:p>
    <w:p>
      <w:pPr>
        <w:pStyle w:val="5"/>
        <w:spacing w:after="0"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9.招标文件的澄清与修改</w:t>
      </w:r>
    </w:p>
    <w:p>
      <w:pPr>
        <w:pStyle w:val="5"/>
        <w:spacing w:after="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9.1招标文件发出后,在提交投标文件截止时间15日前，招标人可对招标文件进行必要的澄清或修改。</w:t>
      </w:r>
    </w:p>
    <w:p>
      <w:pPr>
        <w:pStyle w:val="5"/>
        <w:spacing w:after="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9.2招标文件的澄清或修改将在</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交易平台</w:t>
      </w:r>
      <w:r>
        <w:rPr>
          <w:rFonts w:hint="eastAsia" w:ascii="宋体" w:hAnsi="宋体" w:cs="宋体"/>
          <w:color w:val="auto"/>
          <w:sz w:val="24"/>
          <w:highlight w:val="none"/>
        </w:rPr>
        <w:t>“项目答疑纪要”专区公开发布。答疑纪要一经在</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交易平台</w:t>
      </w:r>
      <w:r>
        <w:rPr>
          <w:rFonts w:hint="eastAsia" w:ascii="宋体" w:hAnsi="宋体" w:cs="宋体"/>
          <w:color w:val="auto"/>
          <w:sz w:val="24"/>
          <w:highlight w:val="none"/>
        </w:rPr>
        <w:t>发布，视作已发放给所有投标人，以</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交易平台</w:t>
      </w:r>
      <w:r>
        <w:rPr>
          <w:rFonts w:hint="eastAsia" w:ascii="宋体" w:hAnsi="宋体" w:cs="宋体"/>
          <w:color w:val="auto"/>
          <w:sz w:val="24"/>
          <w:highlight w:val="none"/>
        </w:rPr>
        <w:t>上网发布时间作为送达时间。</w:t>
      </w:r>
    </w:p>
    <w:p>
      <w:pPr>
        <w:pStyle w:val="5"/>
        <w:spacing w:after="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9.3招标文件的修改内容为招标文件的组成部分。</w:t>
      </w:r>
    </w:p>
    <w:p>
      <w:pPr>
        <w:pStyle w:val="5"/>
        <w:spacing w:after="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9.4招标文件的澄清或修改均以书面形式明确的内容为准。当招标文件的澄清、修改、补充等在同一内容的表述不一致时，以最后发出的书面形式的文件为准。</w:t>
      </w:r>
    </w:p>
    <w:p>
      <w:pPr>
        <w:pStyle w:val="5"/>
        <w:spacing w:after="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9.5为使投标人在编制投标文件时有充分的时间对招标文件的澄清或修改等内容考虑进去，招标人将酌情延长提交投标文件的截止时间，具体时间将在招标文件的澄清或修改中予以明确。若澄清或修改中没有明确延长时间，即表示投标时间不延长。</w:t>
      </w:r>
    </w:p>
    <w:p>
      <w:pPr>
        <w:pStyle w:val="9"/>
        <w:spacing w:before="156" w:after="156"/>
        <w:rPr>
          <w:rFonts w:cs="宋体"/>
          <w:color w:val="auto"/>
          <w:highlight w:val="none"/>
        </w:rPr>
      </w:pPr>
      <w:bookmarkStart w:id="10" w:name="_Toc21525495"/>
      <w:bookmarkStart w:id="11" w:name="_Toc2272551"/>
      <w:r>
        <w:rPr>
          <w:rFonts w:hint="eastAsia" w:cs="宋体"/>
          <w:color w:val="auto"/>
          <w:highlight w:val="none"/>
        </w:rPr>
        <w:t>（三）投标文件的编制</w:t>
      </w:r>
      <w:bookmarkEnd w:id="10"/>
      <w:bookmarkEnd w:id="11"/>
    </w:p>
    <w:p>
      <w:pPr>
        <w:pStyle w:val="5"/>
        <w:spacing w:after="0"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10．投标文件的语言及度量衡单位</w:t>
      </w:r>
    </w:p>
    <w:p>
      <w:pPr>
        <w:pStyle w:val="5"/>
        <w:spacing w:after="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10.1 投标文件和与投标有关的所有文件均应使用中文。</w:t>
      </w:r>
    </w:p>
    <w:p>
      <w:pPr>
        <w:pStyle w:val="5"/>
        <w:spacing w:after="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10.2 除工程规范另有规定外，投标文件使用的度量衡单位，均采用中华人民共和国法定计量单位。</w:t>
      </w:r>
    </w:p>
    <w:p>
      <w:pPr>
        <w:pStyle w:val="5"/>
        <w:spacing w:after="0"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11．投标文件的组成</w:t>
      </w:r>
    </w:p>
    <w:p>
      <w:pPr>
        <w:pStyle w:val="5"/>
        <w:spacing w:after="0"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11.1 投标文件由技术部分（含资格审查文件）和经济部分二部分投标文件组成</w:t>
      </w:r>
      <w:r>
        <w:rPr>
          <w:rFonts w:hint="eastAsia" w:ascii="宋体" w:hAnsi="宋体" w:cs="宋体"/>
          <w:b/>
          <w:color w:val="auto"/>
          <w:sz w:val="24"/>
          <w:highlight w:val="none"/>
        </w:rPr>
        <w:t>。</w:t>
      </w:r>
    </w:p>
    <w:p>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11.2投标文件技术标部分主要包括下列内容:</w:t>
      </w:r>
    </w:p>
    <w:p>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11.2.1 技术投标文件</w:t>
      </w:r>
      <w:r>
        <w:rPr>
          <w:rFonts w:hint="eastAsia" w:ascii="宋体" w:hAnsi="宋体" w:cs="宋体"/>
          <w:color w:val="auto"/>
          <w:sz w:val="24"/>
          <w:highlight w:val="none"/>
        </w:rPr>
        <w:t>(按招标文件的要求填写)</w:t>
      </w:r>
      <w:r>
        <w:rPr>
          <w:rFonts w:hint="eastAsia" w:ascii="宋体" w:hAnsi="宋体" w:cs="宋体"/>
          <w:bCs/>
          <w:color w:val="auto"/>
          <w:sz w:val="24"/>
          <w:highlight w:val="none"/>
        </w:rPr>
        <w:t>；</w:t>
      </w:r>
    </w:p>
    <w:p>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11.2.2 资格审查文件：</w:t>
      </w:r>
    </w:p>
    <w:p>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 xml:space="preserve">（1）投标人声明； </w:t>
      </w:r>
    </w:p>
    <w:p>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（2）法定代表人证明书、法定代表人签字或盖章的本投标文件授权委托证明书；</w:t>
      </w:r>
    </w:p>
    <w:p>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（3）企业营业执照（取自平台内上传件）；</w:t>
      </w:r>
    </w:p>
    <w:p>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（4）企业资质证书（取自平台内上传件）；</w:t>
      </w:r>
    </w:p>
    <w:p>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（5）建筑施工企业安全生产许可证（取自平台内上传件）；</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highlight w:val="none"/>
        </w:rPr>
        <w:t>（6）</w:t>
      </w:r>
      <w:r>
        <w:rPr>
          <w:rFonts w:hint="eastAsia" w:ascii="宋体" w:hAnsi="宋体" w:cs="宋体"/>
          <w:bCs/>
          <w:color w:val="auto"/>
          <w:sz w:val="24"/>
          <w:szCs w:val="24"/>
          <w:highlight w:val="none"/>
        </w:rPr>
        <w:t>项目负责人（按网上投标登记时选择拟投标的项目负责人）</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（7）专职安全员（按网上投标登记时选择拟投标的专职安全员）</w:t>
      </w:r>
    </w:p>
    <w:p>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（8）拟委托技术负责人的相关证书、资料（具体要求由招标人明确）</w:t>
      </w:r>
    </w:p>
    <w:p>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 xml:space="preserve">（9）拟委派项目负责人的建造师注册证书或小型项目负责人相关证明（取自平台内上传件）； </w:t>
      </w:r>
    </w:p>
    <w:p>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（10）项目负责人安全培训考核合格证明或在有效期内的安全考核合格证书（B类）或建筑施工企业项目负责人安全生产考核合格证书（取自平台内上传件）</w:t>
      </w:r>
      <w:r>
        <w:rPr>
          <w:rFonts w:hint="eastAsia" w:ascii="宋体" w:hAnsi="宋体" w:cs="宋体"/>
          <w:bCs/>
          <w:color w:val="auto"/>
          <w:sz w:val="24"/>
          <w:szCs w:val="24"/>
          <w:highlight w:val="none"/>
        </w:rPr>
        <w:t>；</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highlight w:val="none"/>
        </w:rPr>
        <w:t>（11）专职安全员须具有在有效期内的安全考核合格证书（C类）或建筑施工企业专职安全生产管理人员安全生产考核合格证书</w:t>
      </w:r>
      <w:r>
        <w:rPr>
          <w:rFonts w:hint="eastAsia" w:ascii="宋体" w:hAnsi="宋体" w:cs="宋体"/>
          <w:bCs/>
          <w:color w:val="auto"/>
          <w:sz w:val="24"/>
          <w:szCs w:val="24"/>
          <w:highlight w:val="none"/>
        </w:rPr>
        <w:t>（取自平台内上传件）；</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（12）用于资格审查的业绩（设置业绩要求时选择此项，投标人</w:t>
      </w:r>
      <w:r>
        <w:rPr>
          <w:rFonts w:hint="eastAsia" w:ascii="宋体" w:hAnsi="宋体" w:cs="宋体"/>
          <w:color w:val="auto"/>
          <w:sz w:val="24"/>
          <w:highlight w:val="none"/>
        </w:rPr>
        <w:t>须提供类似工程业绩的项目名称及项目编号，具体格式由招标人自定</w:t>
      </w:r>
      <w:r>
        <w:rPr>
          <w:rFonts w:hint="eastAsia" w:ascii="宋体" w:hAnsi="宋体" w:cs="宋体"/>
          <w:bCs/>
          <w:color w:val="auto"/>
          <w:sz w:val="24"/>
          <w:szCs w:val="24"/>
          <w:highlight w:val="none"/>
        </w:rPr>
        <w:t>）；</w:t>
      </w:r>
    </w:p>
    <w:p>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（13）资格审查前，投标人须在广州市住房和城乡建设局建立企业信用档案，拟担任本工程项目负责人、专职安全员须是本企业信用档案中的在册人员。</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（14）列明主办单位的联合体工作协议（采用联合体投标时需递交，投标人拟任本工程项目负责人应为联合体主办方信用档案中的在册人员，</w:t>
      </w:r>
      <w:r>
        <w:rPr>
          <w:rFonts w:hint="eastAsia" w:ascii="宋体" w:hAnsi="宋体" w:cs="宋体"/>
          <w:color w:val="auto"/>
          <w:sz w:val="24"/>
          <w:szCs w:val="24"/>
          <w:highlight w:val="none"/>
        </w:rPr>
        <w:t>联合体工作协议应明确约定各方拟承担的工作和责任</w:t>
      </w:r>
      <w:r>
        <w:rPr>
          <w:rFonts w:hint="eastAsia" w:ascii="宋体" w:hAnsi="宋体" w:cs="宋体"/>
          <w:bCs/>
          <w:color w:val="auto"/>
          <w:sz w:val="24"/>
          <w:szCs w:val="24"/>
          <w:highlight w:val="none"/>
        </w:rPr>
        <w:t xml:space="preserve">）； </w:t>
      </w:r>
    </w:p>
    <w:p>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szCs w:val="24"/>
          <w:highlight w:val="none"/>
        </w:rPr>
        <w:t>（15）</w:t>
      </w:r>
      <w:r>
        <w:rPr>
          <w:rFonts w:hint="eastAsia" w:ascii="宋体" w:hAnsi="宋体" w:cs="宋体"/>
          <w:color w:val="auto"/>
          <w:sz w:val="24"/>
          <w:szCs w:val="24"/>
          <w:highlight w:val="none"/>
        </w:rPr>
        <w:t>投标人具有在广州地区可使用适合本工程的机械设备的证明文件（</w:t>
      </w:r>
      <w:r>
        <w:rPr>
          <w:rFonts w:hint="eastAsia" w:ascii="宋体" w:hAnsi="宋体" w:cs="宋体"/>
          <w:color w:val="auto"/>
          <w:sz w:val="24"/>
          <w:highlight w:val="none"/>
        </w:rPr>
        <w:t>提供沥青摊铺机自有发票或权属证明及设备现场全貌彩照（彩照须能反映其规格型号）</w:t>
      </w:r>
      <w:r>
        <w:rPr>
          <w:rFonts w:hint="eastAsia" w:ascii="宋体" w:hAnsi="宋体" w:cs="宋体"/>
          <w:color w:val="auto"/>
          <w:sz w:val="24"/>
          <w:szCs w:val="24"/>
          <w:highlight w:val="none"/>
        </w:rPr>
        <w:t>）。（含有市政道路面层沥青摊铺且沥青摊铺占预计发包价50%或以上的大、中修市政公用工程需提供该项内容的证明文件）。</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11.2.3项目管理机构配备。</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（1）投标人应列出该项目工程的施工组织机构构成和画出机构框架图及其负责人；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（2）投标人应详细列出该施工组织机构中主要成员的名单、简历资料、职务职称和在本项目中拟担任的职务等资料，并附上有关证明材料扫描件；</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（3）其他辅助说明资料。</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11.2.4投标人在广州市可使用适合本工程的机械设备（附：机械设备为自有或租赁的说明；及承诺机械设备如属于租赁的，其租赁是不属于重复租赁）。</w:t>
      </w:r>
    </w:p>
    <w:p>
      <w:pPr>
        <w:tabs>
          <w:tab w:val="left" w:pos="1125"/>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11.2.5施工组织设计或施工方案。</w:t>
      </w:r>
    </w:p>
    <w:p>
      <w:pPr>
        <w:tabs>
          <w:tab w:val="left" w:pos="1125"/>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11.2.6按照</w:t>
      </w:r>
      <w:r>
        <w:rPr>
          <w:rFonts w:hint="eastAsia" w:ascii="宋体" w:hAnsi="宋体" w:cs="宋体"/>
          <w:bCs/>
          <w:color w:val="auto"/>
          <w:sz w:val="24"/>
          <w:highlight w:val="none"/>
        </w:rPr>
        <w:t>招标文件要求</w:t>
      </w:r>
      <w:r>
        <w:rPr>
          <w:rFonts w:hint="eastAsia" w:ascii="宋体" w:hAnsi="宋体" w:cs="宋体"/>
          <w:color w:val="auto"/>
          <w:sz w:val="24"/>
          <w:highlight w:val="none"/>
        </w:rPr>
        <w:t>填写的《参与编制技术标投标文件人员名单》。</w:t>
      </w:r>
    </w:p>
    <w:p>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11.3 经济部分投标文件主要包括下列内容：</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11.3.1 经济投标文件(按招标文件的要求填写)。</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11.3.2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w:t>
      </w:r>
      <w:r>
        <w:rPr>
          <w:rFonts w:hint="eastAsia" w:ascii="宋体" w:hAnsi="宋体" w:cs="宋体"/>
          <w:color w:val="auto"/>
          <w:sz w:val="24"/>
          <w:szCs w:val="24"/>
          <w:highlight w:val="none"/>
        </w:rPr>
        <w:t>其中包括如下：</w:t>
      </w:r>
      <w:r>
        <w:rPr>
          <w:rFonts w:hint="eastAsia" w:ascii="宋体" w:hAnsi="宋体" w:cs="宋体"/>
          <w:color w:val="auto"/>
          <w:sz w:val="24"/>
          <w:highlight w:val="none"/>
        </w:rPr>
        <w:t xml:space="preserve"> </w:t>
      </w:r>
    </w:p>
    <w:p>
      <w:pPr>
        <w:spacing w:line="360" w:lineRule="auto"/>
        <w:ind w:firstLine="566" w:firstLineChars="236"/>
        <w:rPr>
          <w:rFonts w:ascii="宋体" w:hAnsi="宋体" w:cs="宋体"/>
          <w:color w:val="auto"/>
          <w:sz w:val="24"/>
          <w:highlight w:val="none"/>
        </w:rPr>
      </w:pPr>
      <w:r>
        <w:rPr>
          <w:rFonts w:hint="eastAsia" w:ascii="宋体" w:hAnsi="宋体" w:cs="宋体"/>
          <w:color w:val="auto"/>
          <w:sz w:val="24"/>
          <w:highlight w:val="none"/>
        </w:rPr>
        <w:t>（1）投标总价封面、扉页；</w:t>
      </w:r>
    </w:p>
    <w:p>
      <w:pPr>
        <w:spacing w:line="360" w:lineRule="auto"/>
        <w:ind w:firstLine="566" w:firstLineChars="236"/>
        <w:rPr>
          <w:rFonts w:ascii="宋体" w:hAnsi="宋体" w:cs="宋体"/>
          <w:color w:val="auto"/>
          <w:sz w:val="24"/>
          <w:szCs w:val="24"/>
          <w:highlight w:val="none"/>
        </w:rPr>
      </w:pPr>
      <w:r>
        <w:rPr>
          <w:rFonts w:hint="eastAsia" w:ascii="宋体" w:hAnsi="宋体" w:cs="宋体"/>
          <w:color w:val="auto"/>
          <w:sz w:val="24"/>
          <w:szCs w:val="24"/>
          <w:highlight w:val="none"/>
        </w:rPr>
        <w:t>（2）总说明</w:t>
      </w:r>
    </w:p>
    <w:p>
      <w:pPr>
        <w:spacing w:line="360" w:lineRule="auto"/>
        <w:ind w:firstLine="566" w:firstLineChars="236"/>
        <w:rPr>
          <w:rFonts w:ascii="宋体" w:hAnsi="宋体" w:cs="宋体"/>
          <w:color w:val="auto"/>
          <w:sz w:val="24"/>
          <w:szCs w:val="24"/>
          <w:highlight w:val="none"/>
        </w:rPr>
      </w:pPr>
      <w:r>
        <w:rPr>
          <w:rFonts w:hint="eastAsia" w:ascii="宋体" w:hAnsi="宋体" w:cs="宋体"/>
          <w:color w:val="auto"/>
          <w:sz w:val="24"/>
          <w:szCs w:val="24"/>
          <w:highlight w:val="none"/>
        </w:rPr>
        <w:t>（3）工程项目投标报价汇总表；</w:t>
      </w:r>
    </w:p>
    <w:p>
      <w:pPr>
        <w:spacing w:line="360" w:lineRule="auto"/>
        <w:ind w:firstLine="566" w:firstLineChars="236"/>
        <w:rPr>
          <w:rFonts w:ascii="宋体" w:hAnsi="宋体" w:cs="宋体"/>
          <w:color w:val="auto"/>
          <w:sz w:val="24"/>
          <w:szCs w:val="24"/>
          <w:highlight w:val="none"/>
        </w:rPr>
      </w:pPr>
      <w:r>
        <w:rPr>
          <w:rFonts w:hint="eastAsia" w:ascii="宋体" w:hAnsi="宋体" w:cs="宋体"/>
          <w:color w:val="auto"/>
          <w:sz w:val="24"/>
          <w:szCs w:val="24"/>
          <w:highlight w:val="none"/>
        </w:rPr>
        <w:t>（4）单项工程投标报价汇总表；</w:t>
      </w:r>
    </w:p>
    <w:p>
      <w:pPr>
        <w:spacing w:line="360" w:lineRule="auto"/>
        <w:ind w:firstLine="566" w:firstLineChars="236"/>
        <w:rPr>
          <w:rFonts w:ascii="宋体" w:hAnsi="宋体" w:cs="宋体"/>
          <w:color w:val="auto"/>
          <w:sz w:val="24"/>
          <w:szCs w:val="24"/>
          <w:highlight w:val="none"/>
        </w:rPr>
      </w:pPr>
      <w:r>
        <w:rPr>
          <w:rFonts w:hint="eastAsia" w:ascii="宋体" w:hAnsi="宋体" w:cs="宋体"/>
          <w:color w:val="auto"/>
          <w:sz w:val="24"/>
          <w:szCs w:val="24"/>
          <w:highlight w:val="none"/>
        </w:rPr>
        <w:t>（5）单位工程投标报价汇总表；</w:t>
      </w:r>
    </w:p>
    <w:p>
      <w:pPr>
        <w:spacing w:line="360" w:lineRule="auto"/>
        <w:ind w:firstLine="566" w:firstLineChars="236"/>
        <w:rPr>
          <w:rFonts w:ascii="宋体" w:hAnsi="宋体" w:cs="宋体"/>
          <w:color w:val="auto"/>
          <w:sz w:val="24"/>
          <w:szCs w:val="24"/>
          <w:highlight w:val="none"/>
        </w:rPr>
      </w:pPr>
      <w:r>
        <w:rPr>
          <w:rFonts w:hint="eastAsia" w:ascii="宋体" w:hAnsi="宋体" w:cs="宋体"/>
          <w:color w:val="auto"/>
          <w:sz w:val="24"/>
          <w:szCs w:val="24"/>
          <w:highlight w:val="none"/>
        </w:rPr>
        <w:t>（6）分部分项工程清单与计价表；</w:t>
      </w:r>
    </w:p>
    <w:p>
      <w:pPr>
        <w:spacing w:line="360" w:lineRule="auto"/>
        <w:ind w:firstLine="566" w:firstLineChars="236"/>
        <w:rPr>
          <w:rFonts w:ascii="宋体" w:hAnsi="宋体" w:cs="宋体"/>
          <w:color w:val="auto"/>
          <w:sz w:val="24"/>
          <w:szCs w:val="24"/>
          <w:highlight w:val="none"/>
        </w:rPr>
      </w:pPr>
      <w:r>
        <w:rPr>
          <w:rFonts w:hint="eastAsia" w:ascii="宋体" w:hAnsi="宋体" w:cs="宋体"/>
          <w:color w:val="auto"/>
          <w:sz w:val="24"/>
          <w:szCs w:val="24"/>
          <w:highlight w:val="none"/>
        </w:rPr>
        <w:t>（7）单价措施项目清单与计价表；</w:t>
      </w:r>
    </w:p>
    <w:p>
      <w:pPr>
        <w:spacing w:line="360" w:lineRule="auto"/>
        <w:ind w:firstLine="566" w:firstLineChars="236"/>
        <w:rPr>
          <w:rFonts w:ascii="宋体" w:hAnsi="宋体" w:cs="宋体"/>
          <w:color w:val="auto"/>
          <w:sz w:val="24"/>
          <w:szCs w:val="24"/>
          <w:highlight w:val="none"/>
        </w:rPr>
      </w:pPr>
      <w:r>
        <w:rPr>
          <w:rFonts w:hint="eastAsia" w:ascii="宋体" w:hAnsi="宋体" w:cs="宋体"/>
          <w:color w:val="auto"/>
          <w:sz w:val="24"/>
          <w:szCs w:val="24"/>
          <w:highlight w:val="none"/>
        </w:rPr>
        <w:t>（8）总价措施项目清单与计价表；</w:t>
      </w:r>
    </w:p>
    <w:p>
      <w:pPr>
        <w:spacing w:line="360" w:lineRule="auto"/>
        <w:ind w:firstLine="566" w:firstLineChars="236"/>
        <w:rPr>
          <w:rFonts w:ascii="宋体" w:hAnsi="宋体" w:cs="宋体"/>
          <w:color w:val="auto"/>
          <w:sz w:val="24"/>
          <w:szCs w:val="24"/>
          <w:highlight w:val="none"/>
        </w:rPr>
      </w:pPr>
      <w:r>
        <w:rPr>
          <w:rFonts w:hint="eastAsia" w:ascii="宋体" w:hAnsi="宋体" w:cs="宋体"/>
          <w:color w:val="auto"/>
          <w:sz w:val="24"/>
          <w:szCs w:val="24"/>
          <w:highlight w:val="none"/>
        </w:rPr>
        <w:t>（9）综合单价分析表；</w:t>
      </w:r>
    </w:p>
    <w:p>
      <w:pPr>
        <w:spacing w:line="360" w:lineRule="auto"/>
        <w:ind w:firstLine="566" w:firstLineChars="236"/>
        <w:rPr>
          <w:rFonts w:ascii="宋体" w:hAnsi="宋体" w:cs="宋体"/>
          <w:color w:val="auto"/>
          <w:sz w:val="24"/>
          <w:szCs w:val="24"/>
          <w:highlight w:val="none"/>
        </w:rPr>
      </w:pPr>
      <w:r>
        <w:rPr>
          <w:rFonts w:hint="eastAsia" w:ascii="宋体" w:hAnsi="宋体" w:cs="宋体"/>
          <w:color w:val="auto"/>
          <w:sz w:val="24"/>
          <w:szCs w:val="24"/>
          <w:highlight w:val="none"/>
        </w:rPr>
        <w:t>（10）其他项目清单与计价汇总表；</w:t>
      </w:r>
    </w:p>
    <w:p>
      <w:pPr>
        <w:spacing w:line="360" w:lineRule="auto"/>
        <w:ind w:firstLine="566" w:firstLineChars="236"/>
        <w:rPr>
          <w:rFonts w:ascii="宋体" w:hAnsi="宋体" w:cs="宋体"/>
          <w:color w:val="auto"/>
          <w:sz w:val="24"/>
          <w:szCs w:val="24"/>
          <w:highlight w:val="none"/>
        </w:rPr>
      </w:pPr>
      <w:r>
        <w:rPr>
          <w:rFonts w:hint="eastAsia" w:ascii="宋体" w:hAnsi="宋体" w:cs="宋体"/>
          <w:color w:val="auto"/>
          <w:sz w:val="24"/>
          <w:szCs w:val="24"/>
          <w:highlight w:val="none"/>
        </w:rPr>
        <w:t>（11）暂列金额明细表；</w:t>
      </w:r>
    </w:p>
    <w:p>
      <w:pPr>
        <w:spacing w:line="360" w:lineRule="auto"/>
        <w:ind w:firstLine="566" w:firstLineChars="236"/>
        <w:rPr>
          <w:rFonts w:ascii="宋体" w:hAnsi="宋体" w:cs="宋体"/>
          <w:color w:val="auto"/>
          <w:sz w:val="24"/>
          <w:szCs w:val="24"/>
          <w:highlight w:val="none"/>
        </w:rPr>
      </w:pPr>
      <w:r>
        <w:rPr>
          <w:rFonts w:hint="eastAsia" w:ascii="宋体" w:hAnsi="宋体" w:cs="宋体"/>
          <w:color w:val="auto"/>
          <w:sz w:val="24"/>
          <w:szCs w:val="24"/>
          <w:highlight w:val="none"/>
        </w:rPr>
        <w:t>（12）材料（工程设备）暂估价明细表；</w:t>
      </w:r>
    </w:p>
    <w:p>
      <w:pPr>
        <w:spacing w:line="360" w:lineRule="auto"/>
        <w:ind w:firstLine="566" w:firstLineChars="236"/>
        <w:rPr>
          <w:rFonts w:ascii="宋体" w:hAnsi="宋体" w:cs="宋体"/>
          <w:color w:val="auto"/>
          <w:sz w:val="24"/>
          <w:szCs w:val="24"/>
          <w:highlight w:val="none"/>
        </w:rPr>
      </w:pPr>
      <w:r>
        <w:rPr>
          <w:rFonts w:hint="eastAsia" w:ascii="宋体" w:hAnsi="宋体" w:cs="宋体"/>
          <w:color w:val="auto"/>
          <w:sz w:val="24"/>
          <w:szCs w:val="24"/>
          <w:highlight w:val="none"/>
        </w:rPr>
        <w:t>（13）专业工程暂估价明细表；</w:t>
      </w:r>
    </w:p>
    <w:p>
      <w:pPr>
        <w:spacing w:line="360" w:lineRule="auto"/>
        <w:ind w:firstLine="566" w:firstLineChars="236"/>
        <w:rPr>
          <w:rFonts w:ascii="宋体" w:hAnsi="宋体" w:cs="宋体"/>
          <w:color w:val="auto"/>
          <w:sz w:val="24"/>
          <w:szCs w:val="24"/>
          <w:highlight w:val="none"/>
        </w:rPr>
      </w:pPr>
      <w:r>
        <w:rPr>
          <w:rFonts w:hint="eastAsia" w:ascii="宋体" w:hAnsi="宋体" w:cs="宋体"/>
          <w:color w:val="auto"/>
          <w:sz w:val="24"/>
          <w:szCs w:val="24"/>
          <w:highlight w:val="none"/>
        </w:rPr>
        <w:t>（14）计日工表；</w:t>
      </w:r>
    </w:p>
    <w:p>
      <w:pPr>
        <w:spacing w:line="360" w:lineRule="auto"/>
        <w:ind w:firstLine="566" w:firstLineChars="236"/>
        <w:rPr>
          <w:rFonts w:ascii="宋体" w:hAnsi="宋体" w:cs="宋体"/>
          <w:color w:val="auto"/>
          <w:sz w:val="24"/>
          <w:szCs w:val="24"/>
          <w:highlight w:val="none"/>
        </w:rPr>
      </w:pPr>
      <w:r>
        <w:rPr>
          <w:rFonts w:hint="eastAsia" w:ascii="宋体" w:hAnsi="宋体" w:cs="宋体"/>
          <w:color w:val="auto"/>
          <w:sz w:val="24"/>
          <w:szCs w:val="24"/>
          <w:highlight w:val="none"/>
        </w:rPr>
        <w:t>（15）总承包服务计价表；</w:t>
      </w:r>
    </w:p>
    <w:p>
      <w:pPr>
        <w:spacing w:line="360" w:lineRule="auto"/>
        <w:ind w:firstLine="566" w:firstLineChars="236"/>
        <w:rPr>
          <w:rFonts w:ascii="宋体" w:hAnsi="宋体" w:cs="宋体"/>
          <w:color w:val="auto"/>
          <w:sz w:val="24"/>
          <w:szCs w:val="24"/>
          <w:highlight w:val="none"/>
        </w:rPr>
      </w:pPr>
      <w:r>
        <w:rPr>
          <w:rFonts w:hint="eastAsia" w:ascii="宋体" w:hAnsi="宋体" w:cs="宋体"/>
          <w:color w:val="auto"/>
          <w:sz w:val="24"/>
          <w:szCs w:val="24"/>
          <w:highlight w:val="none"/>
        </w:rPr>
        <w:t>（16）规费和税金项目计价表；</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szCs w:val="24"/>
          <w:highlight w:val="none"/>
        </w:rPr>
        <w:t xml:space="preserve"> （17）人工、主要材料和设备一览表</w:t>
      </w:r>
    </w:p>
    <w:p>
      <w:pPr>
        <w:tabs>
          <w:tab w:val="left" w:pos="1125"/>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11.3.3按照</w:t>
      </w:r>
      <w:r>
        <w:rPr>
          <w:rFonts w:hint="eastAsia" w:ascii="宋体" w:hAnsi="宋体" w:cs="宋体"/>
          <w:bCs/>
          <w:color w:val="auto"/>
          <w:sz w:val="24"/>
          <w:highlight w:val="none"/>
        </w:rPr>
        <w:t>招标文件要求</w:t>
      </w:r>
      <w:r>
        <w:rPr>
          <w:rFonts w:hint="eastAsia" w:ascii="宋体" w:hAnsi="宋体" w:cs="宋体"/>
          <w:color w:val="auto"/>
          <w:sz w:val="24"/>
          <w:highlight w:val="none"/>
        </w:rPr>
        <w:t>填写的《参与编制经济标投标文件人员名单》。</w:t>
      </w:r>
    </w:p>
    <w:p>
      <w:pPr>
        <w:tabs>
          <w:tab w:val="left" w:pos="1125"/>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11.3.4若投标人的投标报价低于工程成本警戒价的，投标人还须提供详细的施工组织设计、单价、措施性费用、单价分析表、主要材料价格表、投标人成本分析供评标委员会评审。</w:t>
      </w:r>
    </w:p>
    <w:p>
      <w:pPr>
        <w:pStyle w:val="5"/>
        <w:spacing w:after="0"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12．投标文件格式</w:t>
      </w:r>
    </w:p>
    <w:p>
      <w:pPr>
        <w:pStyle w:val="5"/>
        <w:spacing w:after="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12.1 投标文件包括本须知第11条中规定的内容，投标人提交的投标文件应当使用招标文件所提供的投标文件全部格式（表格可以按同样格式扩展）。</w:t>
      </w:r>
    </w:p>
    <w:p>
      <w:pPr>
        <w:pStyle w:val="5"/>
        <w:spacing w:after="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12.2 投标文件全部采用电子文档，投标文件所附证书证件均为原件扫描件，并采用单位数字证书，按招标文件要求在相应位置加盖电子印章。投标文件中需个人签字或盖章的，应加盖个人电子印章或在线下完成后扫描上传。按照交易平台关于</w:t>
      </w:r>
      <w:r>
        <w:rPr>
          <w:rFonts w:hint="eastAsia" w:ascii="宋体" w:hAnsi="宋体" w:cs="宋体"/>
          <w:color w:val="auto"/>
          <w:sz w:val="24"/>
          <w:szCs w:val="24"/>
          <w:highlight w:val="none"/>
        </w:rPr>
        <w:t>全流程电子化项目的相关指南进行操作。详见：</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w:t>
      </w:r>
    </w:p>
    <w:p>
      <w:pPr>
        <w:pStyle w:val="5"/>
        <w:spacing w:after="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12.3 </w:t>
      </w:r>
      <w:r>
        <w:rPr>
          <w:rFonts w:hint="eastAsia" w:ascii="宋体" w:hAnsi="宋体" w:cs="宋体"/>
          <w:bCs/>
          <w:color w:val="auto"/>
          <w:sz w:val="24"/>
          <w:szCs w:val="24"/>
          <w:highlight w:val="none"/>
        </w:rPr>
        <w:t>投标文件应按</w:t>
      </w:r>
      <w:r>
        <w:rPr>
          <w:rFonts w:hint="eastAsia" w:ascii="宋体" w:hAnsi="宋体" w:cs="宋体"/>
          <w:color w:val="auto"/>
          <w:sz w:val="24"/>
          <w:highlight w:val="none"/>
        </w:rPr>
        <w:t>照交易平台关于全流程电子化项目的相关指南进行编制，详见：</w:t>
      </w:r>
      <w:r>
        <w:rPr>
          <w:rFonts w:hint="eastAsia" w:ascii="宋体" w:hAnsi="宋体" w:cs="宋体"/>
          <w:color w:val="auto"/>
          <w:sz w:val="24"/>
          <w:szCs w:val="24"/>
          <w:highlight w:val="none"/>
          <w:u w:val="single"/>
        </w:rPr>
        <w:t xml:space="preserve">            </w:t>
      </w:r>
      <w:r>
        <w:rPr>
          <w:rFonts w:hint="eastAsia" w:ascii="宋体" w:hAnsi="宋体" w:cs="宋体"/>
          <w:color w:val="auto"/>
          <w:sz w:val="24"/>
          <w:highlight w:val="none"/>
        </w:rPr>
        <w:t xml:space="preserve">。               </w:t>
      </w:r>
    </w:p>
    <w:p>
      <w:pPr>
        <w:pStyle w:val="5"/>
        <w:spacing w:after="0" w:line="360" w:lineRule="auto"/>
        <w:ind w:firstLine="0"/>
        <w:rPr>
          <w:rFonts w:ascii="宋体" w:hAnsi="宋体" w:cs="宋体"/>
          <w:color w:val="auto"/>
          <w:sz w:val="24"/>
          <w:highlight w:val="none"/>
        </w:rPr>
      </w:pPr>
      <w:r>
        <w:rPr>
          <w:rFonts w:hint="eastAsia" w:ascii="宋体" w:hAnsi="宋体" w:cs="宋体"/>
          <w:bCs/>
          <w:color w:val="auto"/>
          <w:sz w:val="24"/>
          <w:szCs w:val="24"/>
          <w:highlight w:val="none"/>
        </w:rPr>
        <w:t>如不按上述要求编制引起系统无法检索、读取相关信息的，其后果由投标人承担。</w:t>
      </w:r>
    </w:p>
    <w:p>
      <w:pPr>
        <w:pStyle w:val="5"/>
        <w:spacing w:after="0"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13．投标报价及造价承包和变更结算方式</w:t>
      </w:r>
    </w:p>
    <w:p>
      <w:pPr>
        <w:pStyle w:val="5"/>
        <w:spacing w:after="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13.1 本工程的投标报价采用投标须知前附表第12项所规定的方式。投标报价（含单价及总价）精确到“分”。</w:t>
      </w:r>
    </w:p>
    <w:p>
      <w:pPr>
        <w:pStyle w:val="5"/>
        <w:spacing w:after="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13.2招标人按照招标图纸制定招标工程量清单，该清单载于本招标文件第七章中，投标人按照招标人提供的招标工程量清单中列出的工程项目和工程量填报单价和合价，每一项目只允许有一个报价，任何有选择的报价将不予接受。投标人未填报单价或合价的工程项目，视为此项费用已包含在已标价工程量清单中其他项目的单价和合价之中，在实施后，此项目不得重新组价予以调整，招标人将不予支付。</w:t>
      </w:r>
    </w:p>
    <w:p>
      <w:pPr>
        <w:pStyle w:val="5"/>
        <w:spacing w:after="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13.3投标人的投标报价，应是按照投标须知前附表第8项的工期要求，在投标须知前附表第3项的建设地点，完成投标须知前附表第7项的招标范围内已由招标人制定的工程量清单列明工作的全部费用，包括但不限于完成工作的成本、利润、税金、技术措施费、大型机械进出场费、风险费以及政策性文件规定费用等，不得以任何理由予以重复计算。招标人提供的工程量清单或招标文件其他部分</w:t>
      </w:r>
      <w:r>
        <w:rPr>
          <w:rFonts w:hint="eastAsia" w:ascii="宋体" w:hAnsi="宋体" w:cs="宋体"/>
          <w:color w:val="auto"/>
          <w:sz w:val="24"/>
          <w:szCs w:val="24"/>
          <w:highlight w:val="none"/>
        </w:rPr>
        <w:t>中有关规费、暂列金额、暂估价、绿色施工安全防护措施费等非竞争性项目明列了单价或合价的金额的，投标人应按照明列的单价或合价的金额报价，未按照规定金额报价的，由评标委员会按照招标文件规定的金额进行修正。</w:t>
      </w:r>
    </w:p>
    <w:p>
      <w:pPr>
        <w:pStyle w:val="5"/>
        <w:spacing w:after="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13.4投标人一旦中标，投标人对招标人提供的招标工程量清单中列出的工程项目所报出的综合单价，在工程结算时将不得变更，招标人应在招标文件及合同中明确在人工、材料、设备或机械台班市场价格发生异常变动情况时合同价款的调整办法。因应计算的实际工程量与招标工程量清单出现偏差或因工程变更等原因导致的工程量偏差，引起相关措施项目相应发生变化时，按系数或单一总价方式计价的措施项目费，工程量增加的措施项目费调增，工程量减少的措施项目费调减。</w:t>
      </w:r>
    </w:p>
    <w:p>
      <w:pPr>
        <w:pStyle w:val="5"/>
        <w:spacing w:after="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13.5工程项目实施期间和结算时，招标文件工程量清单中漏列而由监理单位和招标人现场签证确认的工程项目、原设计没有而由招标人批准设计变更产生的工程项目，视为新增项目，按以下顺序确定价格：</w:t>
      </w:r>
    </w:p>
    <w:p>
      <w:pPr>
        <w:pStyle w:val="5"/>
        <w:spacing w:after="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13.5.1中标的投标文件工程量清单中已有相同项目的适用综合单价，则沿用；</w:t>
      </w:r>
    </w:p>
    <w:p>
      <w:pPr>
        <w:pStyle w:val="5"/>
        <w:spacing w:after="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13.5.2中标的投标文件工程量清单中已有类似项目的综合单价，则按类似项目的综合单价对相应子目、消耗量、单价等进行调整换算，原管理费、利润水平不变。如中标的投标文件工程量清单中类似项目的综合单价有两个以上，则由招标人按消耗量最少、管理费和利润取费最低的优先顺序选择类似项目综合单价进行换算。如换算时出现类似项目中没有的材料单价，按广州市造价管理站同期《广州地区建设工程常用材料税前综合价格》计算，《广州地区建设工程常用材料税前综合价格》没有的材料单价，由招标人在招标文件中依法确定计价方式。</w:t>
      </w:r>
    </w:p>
    <w:p>
      <w:pPr>
        <w:pStyle w:val="5"/>
        <w:spacing w:after="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13.5.3 中标的投标文件工程量清单中没有相同项目或类似项目的，如可套取相关定额，则以相关定额为基数下浮计算单价,下浮率为中标价</w:t>
      </w:r>
      <w:r>
        <w:rPr>
          <w:rFonts w:hint="eastAsia" w:ascii="宋体" w:hAnsi="宋体" w:cs="宋体"/>
          <w:color w:val="auto"/>
          <w:sz w:val="24"/>
          <w:szCs w:val="24"/>
          <w:highlight w:val="none"/>
        </w:rPr>
        <w:t>相对于最高投标限价的下</w:t>
      </w:r>
      <w:r>
        <w:rPr>
          <w:rFonts w:hint="eastAsia" w:ascii="宋体" w:hAnsi="宋体" w:cs="宋体"/>
          <w:color w:val="auto"/>
          <w:sz w:val="24"/>
          <w:highlight w:val="none"/>
        </w:rPr>
        <w:t>浮率（下浮率=(</w:t>
      </w:r>
      <w:r>
        <w:rPr>
          <w:rFonts w:hint="eastAsia" w:ascii="宋体" w:hAnsi="宋体" w:cs="宋体"/>
          <w:color w:val="auto"/>
          <w:sz w:val="24"/>
          <w:szCs w:val="24"/>
          <w:highlight w:val="none"/>
        </w:rPr>
        <w:t>最高投标限价</w:t>
      </w:r>
      <w:r>
        <w:rPr>
          <w:rFonts w:hint="eastAsia" w:ascii="宋体" w:hAnsi="宋体" w:cs="宋体"/>
          <w:color w:val="auto"/>
          <w:sz w:val="24"/>
          <w:highlight w:val="none"/>
        </w:rPr>
        <w:t>-中标价)/</w:t>
      </w:r>
      <w:r>
        <w:rPr>
          <w:rFonts w:hint="eastAsia" w:ascii="宋体" w:hAnsi="宋体" w:cs="宋体"/>
          <w:color w:val="auto"/>
          <w:sz w:val="24"/>
          <w:szCs w:val="24"/>
          <w:highlight w:val="none"/>
        </w:rPr>
        <w:t xml:space="preserve"> 最高投标限价</w:t>
      </w:r>
      <w:r>
        <w:rPr>
          <w:rFonts w:hint="eastAsia" w:ascii="宋体" w:hAnsi="宋体" w:cs="宋体"/>
          <w:color w:val="auto"/>
          <w:sz w:val="24"/>
          <w:highlight w:val="none"/>
        </w:rPr>
        <w:t>）。</w:t>
      </w:r>
    </w:p>
    <w:p>
      <w:pPr>
        <w:pStyle w:val="5"/>
        <w:spacing w:after="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13.5.4 如相关定额没有相应子目的，其计价方式由招标人在本招标文件第三章中另行规定。未规定的，中标后双方协商约定。</w:t>
      </w:r>
    </w:p>
    <w:p>
      <w:pPr>
        <w:pStyle w:val="5"/>
        <w:spacing w:after="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13.6暂列金额、暂估价</w:t>
      </w:r>
    </w:p>
    <w:p>
      <w:pPr>
        <w:pStyle w:val="5"/>
        <w:spacing w:after="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13.6.1暂列金额指招标人在工程量清单中暂定并包括在合同价款中的一笔款项。用于施工合同签订时尚未确定或者不可预见的所需材料、设备、服务的采购，施工中可能发生的工程量变更、合同约定调整因素出现时的工程价款调整以及发生的索赔、现场签证等费用。</w:t>
      </w:r>
    </w:p>
    <w:p>
      <w:pPr>
        <w:pStyle w:val="5"/>
        <w:spacing w:after="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暂估价是指招标人在工程量清单中提供的用于支付必然发生但暂时不能确定价格的材料的单价以及专业工程的金额。</w:t>
      </w:r>
    </w:p>
    <w:p>
      <w:pPr>
        <w:pStyle w:val="5"/>
        <w:spacing w:after="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13.6.2在工程实施中，暂列金额、暂估价所包含的工作范围和图纸、标准深化固定后，按照工程专业、设备、材料类别等分类汇总的金额，达到法定招标范围标准的，应由招标人同中标人联合招标，确定承包人和承包价格。</w:t>
      </w:r>
    </w:p>
    <w:p>
      <w:pPr>
        <w:pStyle w:val="5"/>
        <w:spacing w:after="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13.6.3在工程实施中，暂列金额、暂估价所包含的工作范围和图纸、标准深化固定后，按照工程专业、设备、材料类别等分类汇总的金额，未达到法定招标范围标准但适用政府采购规定的，应按照政府采购规定确定承包人和承包价格。</w:t>
      </w:r>
    </w:p>
    <w:p>
      <w:pPr>
        <w:pStyle w:val="5"/>
        <w:spacing w:after="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13.6.4在工程实施中，暂列金额、暂估价所包含的工作范围和图纸、标准深化固定后，按照工程专业、设备、材料类别等分类汇总的金额，未达到法定招标范围标准也不适用政府采购规定，承包人有法定的承包资格的，由承包人承包，承包人无法定的承包资格但有法定的分包权的，由承包人分包，招标人同承包人结算的价格按本投标须知13.5款规定确定。</w:t>
      </w:r>
    </w:p>
    <w:p>
      <w:pPr>
        <w:pStyle w:val="5"/>
        <w:spacing w:after="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13.6.5在工程实施中，暂列金额、暂估价所包含的工作范围和图纸、标准深化固定后，按照工程专业、设备、材料类别等分类汇总的金额，未达到法定招标范围标准也不适用政府采购规定，承包人既无法定的承包资格又无法定的分包权的，由招标人另行发包。</w:t>
      </w:r>
    </w:p>
    <w:p>
      <w:pPr>
        <w:pStyle w:val="5"/>
        <w:spacing w:after="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13.6.6 在工程实施中，暂列金额、暂估价所包含的工作范围由其他承包人承包的，纳入本项目承包人的管理和协调范围，由其他承包人向本项目承包人承担质量、安全、文明施工、工期责任，本项目承包人向招标人承担责任。投标人应当充分考虑此项管理和协调所发生的费用，并将其纳入招标人提供的工程量清单中的适当项目报价中。招标人将视为此项管理和协调所发生的费用已包含在其它有价款的竞争性报价内，在实施后，招标人将不予支付。</w:t>
      </w:r>
    </w:p>
    <w:p>
      <w:pPr>
        <w:pStyle w:val="5"/>
        <w:spacing w:after="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13.7投标人可先到工地踏勘以充分了解工地位置、情况、道路、储存空间、装卸限制及任何其他足以影响承包价的情况，任何因忽视或误解工地情况而导致的索赔或工期延长申请将不被批准。</w:t>
      </w:r>
    </w:p>
    <w:p>
      <w:pPr>
        <w:pStyle w:val="5"/>
        <w:spacing w:after="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13.8属于承包人自行采购的主要材料、设备，招标人应当在招标文件中提出材料、设备的技术标准或者质量要求，或者提出不少于3个同等档次品牌或分包商供投标人报价时选择,凡招标人在招标文件中提出参考品牌的，必须在参考品牌后面加上“或相当于”字样。投标人在投标文件中应明确所选用主要材料、设备的品牌、厂家以及质量等级，并且应当符合招标文件的要求。</w:t>
      </w:r>
    </w:p>
    <w:p>
      <w:pPr>
        <w:pStyle w:val="5"/>
        <w:spacing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highlight w:val="none"/>
        </w:rPr>
        <w:t>13.9</w:t>
      </w:r>
      <w:r>
        <w:rPr>
          <w:rFonts w:hint="eastAsia" w:ascii="宋体" w:hAnsi="宋体" w:cs="宋体"/>
          <w:color w:val="auto"/>
          <w:sz w:val="24"/>
          <w:szCs w:val="24"/>
          <w:highlight w:val="none"/>
        </w:rPr>
        <w:t>招标人与中标人应本着实事求是、风险共担的原则，充分考虑施工合同履行期间人工、建筑材料、机械设备价格因素的影响。对于各类钢筋、混凝土等主要材料以及人工、机械设备等，应结合合同工期、各价格因素对工程总造价的影响等，合理约定调价机制。调价机制应由招标人在招标文件及合同中明确，内容包括调价范围（含材料、机械的具体名称、工种等）、价格变动时限、幅度以及相应的合同价款调整方法。</w:t>
      </w:r>
    </w:p>
    <w:p>
      <w:pPr>
        <w:pStyle w:val="5"/>
        <w:spacing w:after="0"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14．投标货币</w:t>
      </w:r>
    </w:p>
    <w:p>
      <w:pPr>
        <w:pStyle w:val="5"/>
        <w:spacing w:after="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14.1 本工程投标报价采用的币种为人民币。</w:t>
      </w:r>
    </w:p>
    <w:p>
      <w:pPr>
        <w:pStyle w:val="5"/>
        <w:spacing w:after="0" w:line="360" w:lineRule="auto"/>
        <w:ind w:firstLine="482" w:firstLineChars="200"/>
        <w:rPr>
          <w:rFonts w:ascii="宋体" w:hAnsi="宋体" w:cs="宋体"/>
          <w:color w:val="auto"/>
          <w:sz w:val="24"/>
          <w:highlight w:val="none"/>
        </w:rPr>
      </w:pPr>
      <w:r>
        <w:rPr>
          <w:rFonts w:hint="eastAsia" w:ascii="宋体" w:hAnsi="宋体" w:cs="宋体"/>
          <w:b/>
          <w:bCs/>
          <w:color w:val="auto"/>
          <w:sz w:val="24"/>
          <w:highlight w:val="none"/>
        </w:rPr>
        <w:t>15．投标有效期</w:t>
      </w:r>
    </w:p>
    <w:p>
      <w:pPr>
        <w:pStyle w:val="5"/>
        <w:spacing w:after="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15.1 投标有效期见投标须知前附表第13项所规定的期限，在此期限内，凡符合本招标文件要求的投标文件均保持有效。</w:t>
      </w:r>
    </w:p>
    <w:p>
      <w:pPr>
        <w:pStyle w:val="5"/>
        <w:spacing w:after="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15.2 在特殊情况下，招标人在原定投标有效期内，可以根据需要以书面形式向投标人提出延长投标有效期的要求，对此要求投标人须以书面形式予以答复。投标人可以拒绝招标人这种要求，而不影响退还其投标保证金。同意延长投标有效期的投标人既不能要求也不允许修改其投标文件，但需要相应的延长投标保证金的有效期，在延长的投标有效期内，本须知第16条关于投标保证金的退还与不予退还的规定仍然适用。</w:t>
      </w:r>
    </w:p>
    <w:p>
      <w:pPr>
        <w:pStyle w:val="5"/>
        <w:spacing w:after="0"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16．投标保证金</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16.1投标人应按投标须知前附表第14项所述金额和时间递交</w:t>
      </w:r>
      <w:r>
        <w:rPr>
          <w:rFonts w:hint="eastAsia" w:ascii="宋体" w:hAnsi="宋体" w:cs="宋体"/>
          <w:bCs/>
          <w:color w:val="auto"/>
          <w:sz w:val="24"/>
          <w:highlight w:val="none"/>
        </w:rPr>
        <w:t>投标保证金</w:t>
      </w:r>
      <w:r>
        <w:rPr>
          <w:rFonts w:hint="eastAsia" w:ascii="宋体" w:hAnsi="宋体" w:cs="宋体"/>
          <w:color w:val="auto"/>
          <w:sz w:val="24"/>
          <w:highlight w:val="none"/>
        </w:rPr>
        <w:t>。招标人应当允许投标人自主选择现金、银行保函、保证保险、专业工程担保公司担保等方式缴纳投标保证金。</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16.1.1 采用现金或者支票形式提交的，投标保证金须从投标人的银行基本账户转出。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16.1.2 依法必须招标的房屋建筑工程如采用非电子形式的银行保函、专业工程担保公司担保或保证保险提交投标保证金的，在开标前不强制要求投标人提交纸质原件，由中标候选人在中标候选人公示前提交并在网上公示，投标人应在投标文件中提交保函、担保或保证保险扫描件并加盖投标人电子印章。如投标人存在16.4条款所列情形的，应将纸质原件提交给招标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16.1.3 采用电子形式的保函、担保或保证保险提交投标保证金的，应在招标文件中明确电子递交途径。</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16.2开标时投标人没有按要求提供投标保证金的，其投标文件将被否决；未按招标文件要求提交符合免予提供投标保证金相关证明材料，且未提交投标保证金的投标人，视为未按要求提供投标保证金。</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16.3投标保证金应依据法律法规的相关规定退还。</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16.4如有下列情况之一的，招标人可以不予退还投标保证金（是否退还投标保证金由招标人在招标文件中规定）：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16.4.1因投标人原因造成投标文件未解密的；</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16.4.2投标人在投标有效期内撤销投标文件；</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16.4.3中标人未能在规定期限内按要求提交履约担保；</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16.4.4中标人未能在规定期限内签署合同协议。</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16.5投标人如存在下列情况之一的，将被拒绝在一定时期内参与招标人后续工程投标（拒绝时限需在招标文件中明确）：</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16.5.1投标人存在16.4条款所列情形且投标人提交的保函、担保或保证保险无法兑付的；</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16.5.2采用非电子形式提交投标保证金的投标人存在16.4条款所列情形，且未按招标人要求补交银行保函、专业工程担保公司担保或保证保险原件的；</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16.5.3按招标文件要求免于提供投标保证金的投标人存在16.4条款所列情形，且未按招标人要求补交投标保证金的；</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16.5.3按招标文件要求免于提供投标保证金的投标人存在16.4条款所列情形的。</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注：16.5.3款由招标人二选一，需在招标文件中明确。</w:t>
      </w:r>
    </w:p>
    <w:p>
      <w:pPr>
        <w:pStyle w:val="5"/>
        <w:spacing w:after="0"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17．投标文件的签署</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17.1投标人应采用单位数字证书，按招标文件要求在相应位置加盖电子印章。投标文件中需个人签字或盖章的，应加盖个人电子印章或在线下完成后扫描上传。按照交易平台关于全流程电子化项目的相关指南进行操作。详见：</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pPr>
        <w:pStyle w:val="9"/>
        <w:spacing w:before="156" w:after="156"/>
        <w:rPr>
          <w:rFonts w:cs="宋体"/>
          <w:color w:val="auto"/>
          <w:highlight w:val="none"/>
        </w:rPr>
      </w:pPr>
      <w:bookmarkStart w:id="12" w:name="_Toc2272552"/>
      <w:bookmarkStart w:id="13" w:name="_Toc21525496"/>
      <w:r>
        <w:rPr>
          <w:rFonts w:hint="eastAsia" w:cs="宋体"/>
          <w:color w:val="auto"/>
          <w:highlight w:val="none"/>
        </w:rPr>
        <w:t>（四）投标文件的提交</w:t>
      </w:r>
      <w:bookmarkEnd w:id="12"/>
      <w:bookmarkEnd w:id="13"/>
    </w:p>
    <w:p>
      <w:pPr>
        <w:pStyle w:val="5"/>
        <w:spacing w:after="0"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18．</w:t>
      </w:r>
      <w:r>
        <w:rPr>
          <w:rFonts w:hint="eastAsia" w:ascii="宋体" w:hAnsi="宋体" w:cs="宋体"/>
          <w:b/>
          <w:color w:val="auto"/>
          <w:sz w:val="24"/>
          <w:szCs w:val="24"/>
          <w:highlight w:val="none"/>
        </w:rPr>
        <w:t>投标文件的密封和标记</w:t>
      </w:r>
    </w:p>
    <w:p>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18.1递交的电子投标文件（不含备用光盘）必须进行加密。按照交易平台关于</w:t>
      </w:r>
      <w:r>
        <w:rPr>
          <w:rFonts w:hint="eastAsia" w:ascii="宋体" w:hAnsi="宋体" w:cs="宋体"/>
          <w:color w:val="auto"/>
          <w:sz w:val="24"/>
          <w:szCs w:val="24"/>
          <w:highlight w:val="none"/>
        </w:rPr>
        <w:t>全流程电子化项目的相关指南进行操作。详见：</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w:t>
      </w:r>
    </w:p>
    <w:p>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18.2 未按要求加密的投标文件，</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交易平台</w:t>
      </w:r>
      <w:r>
        <w:rPr>
          <w:rFonts w:hint="eastAsia" w:ascii="宋体" w:hAnsi="宋体" w:cs="宋体"/>
          <w:bCs/>
          <w:color w:val="auto"/>
          <w:sz w:val="24"/>
          <w:highlight w:val="none"/>
        </w:rPr>
        <w:t>将予以拒收。</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19．投标文件的递交和接收</w:t>
      </w:r>
    </w:p>
    <w:p>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19.1投标人通过</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交易平台</w:t>
      </w:r>
      <w:r>
        <w:rPr>
          <w:rFonts w:hint="eastAsia" w:ascii="宋体" w:hAnsi="宋体" w:cs="宋体"/>
          <w:color w:val="auto"/>
          <w:sz w:val="24"/>
          <w:highlight w:val="none"/>
        </w:rPr>
        <w:t>递交电子投标文件。</w:t>
      </w:r>
    </w:p>
    <w:p>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19.2投标人完成电子</w:t>
      </w:r>
      <w:r>
        <w:rPr>
          <w:rFonts w:hint="eastAsia" w:ascii="宋体" w:hAnsi="宋体" w:cs="宋体"/>
          <w:color w:val="auto"/>
          <w:sz w:val="24"/>
          <w:highlight w:val="none"/>
        </w:rPr>
        <w:t>投标文件</w:t>
      </w:r>
      <w:r>
        <w:rPr>
          <w:rFonts w:hint="eastAsia" w:ascii="宋体" w:hAnsi="宋体" w:cs="宋体"/>
          <w:bCs/>
          <w:color w:val="auto"/>
          <w:sz w:val="24"/>
          <w:highlight w:val="none"/>
        </w:rPr>
        <w:t>上传后，</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交易平台</w:t>
      </w:r>
      <w:r>
        <w:rPr>
          <w:rFonts w:hint="eastAsia" w:ascii="宋体" w:hAnsi="宋体" w:cs="宋体"/>
          <w:color w:val="auto"/>
          <w:sz w:val="24"/>
          <w:highlight w:val="none"/>
        </w:rPr>
        <w:t>即时向投标人发出递交回执通知。递交时间以递交回执通知载明的传输完成时间为准。</w:t>
      </w:r>
    </w:p>
    <w:p>
      <w:pPr>
        <w:spacing w:line="360" w:lineRule="auto"/>
        <w:ind w:firstLine="480" w:firstLineChars="200"/>
        <w:rPr>
          <w:rFonts w:ascii="宋体" w:hAnsi="宋体" w:cs="宋体"/>
          <w:color w:val="auto"/>
          <w:sz w:val="24"/>
          <w:highlight w:val="none"/>
        </w:rPr>
      </w:pPr>
      <w:r>
        <w:rPr>
          <w:rFonts w:hint="eastAsia" w:ascii="宋体" w:hAnsi="宋体" w:cs="宋体"/>
          <w:bCs/>
          <w:color w:val="auto"/>
          <w:sz w:val="24"/>
          <w:highlight w:val="none"/>
        </w:rPr>
        <w:t>19.3</w:t>
      </w:r>
      <w:r>
        <w:rPr>
          <w:rFonts w:hint="eastAsia" w:ascii="宋体" w:hAnsi="宋体" w:cs="宋体"/>
          <w:bCs/>
          <w:color w:val="auto"/>
          <w:sz w:val="24"/>
          <w:szCs w:val="24"/>
          <w:highlight w:val="none"/>
        </w:rPr>
        <w:t>逾期送达的</w:t>
      </w:r>
      <w:r>
        <w:rPr>
          <w:rFonts w:hint="eastAsia" w:ascii="宋体" w:hAnsi="宋体" w:cs="宋体"/>
          <w:bCs/>
          <w:color w:val="auto"/>
          <w:sz w:val="24"/>
          <w:highlight w:val="none"/>
        </w:rPr>
        <w:t>电子投标文件，</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交易平台</w:t>
      </w:r>
      <w:r>
        <w:rPr>
          <w:rFonts w:hint="eastAsia" w:ascii="宋体" w:hAnsi="宋体" w:cs="宋体"/>
          <w:color w:val="auto"/>
          <w:sz w:val="24"/>
          <w:highlight w:val="none"/>
        </w:rPr>
        <w:t>将予以拒收。</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19.4 </w:t>
      </w:r>
      <w:r>
        <w:rPr>
          <w:rFonts w:hint="eastAsia" w:ascii="宋体" w:hAnsi="宋体" w:cs="宋体"/>
          <w:color w:val="auto"/>
          <w:sz w:val="24"/>
          <w:szCs w:val="24"/>
          <w:highlight w:val="none"/>
        </w:rPr>
        <w:t>投标截止前，招标人拒绝接收符合条件的投标文件，投标人可向招标投标监督机构投诉。</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19.5如技术标和经济标先后分别开启，</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交易平台</w:t>
      </w:r>
      <w:r>
        <w:rPr>
          <w:rFonts w:hint="eastAsia" w:ascii="宋体" w:hAnsi="宋体" w:cs="宋体"/>
          <w:color w:val="auto"/>
          <w:sz w:val="24"/>
          <w:highlight w:val="none"/>
        </w:rPr>
        <w:t>将按招标文件规定的时间分别开启技术标和经济标。</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szCs w:val="24"/>
          <w:highlight w:val="none"/>
        </w:rPr>
        <w:t>19.6在规定的时间内，项目负责人须到自助签到。按照交易平台有关项目负责人自助签到流程进行操作。项目负责人凡未凭身份证按时到达指定地点签到的，</w:t>
      </w:r>
      <w:r>
        <w:rPr>
          <w:rFonts w:hint="eastAsia" w:ascii="宋体" w:hAnsi="宋体" w:cs="宋体"/>
          <w:color w:val="auto"/>
          <w:sz w:val="24"/>
          <w:highlight w:val="none"/>
        </w:rPr>
        <w:t>该投标文件将不能参与资格审查和评标</w:t>
      </w:r>
      <w:r>
        <w:rPr>
          <w:rFonts w:hint="eastAsia" w:ascii="宋体" w:hAnsi="宋体" w:cs="宋体"/>
          <w:color w:val="auto"/>
          <w:sz w:val="24"/>
          <w:szCs w:val="24"/>
          <w:highlight w:val="none"/>
        </w:rPr>
        <w:t>（选择性条款）。</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20．投标文件提交的截止时间</w:t>
      </w:r>
    </w:p>
    <w:p>
      <w:pPr>
        <w:spacing w:line="360" w:lineRule="auto"/>
        <w:ind w:firstLine="480" w:firstLineChars="200"/>
        <w:rPr>
          <w:rFonts w:ascii="宋体" w:hAnsi="宋体" w:cs="宋体"/>
          <w:b/>
          <w:bCs/>
          <w:color w:val="auto"/>
          <w:sz w:val="24"/>
          <w:highlight w:val="none"/>
        </w:rPr>
      </w:pPr>
      <w:r>
        <w:rPr>
          <w:rFonts w:hint="eastAsia" w:ascii="宋体" w:hAnsi="宋体" w:cs="宋体"/>
          <w:color w:val="auto"/>
          <w:sz w:val="24"/>
          <w:highlight w:val="none"/>
        </w:rPr>
        <w:t>20.1投标人应在投标须知前附表第17项所述的时间前提交投标文件。</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20.2招标人可按本须知第9条规定以招标文件修改的方式，酌情延长提交投标文件的截止时间。在此情况下，投标人的所有权利和义务以及投标人受制约的截止时间，均以延长后新的投标截止时间为准。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20.3 到投标截止时间止，招标人收到的投标文件少于3家的，招标人将重新组织招标</w:t>
      </w:r>
      <w:r>
        <w:rPr>
          <w:rFonts w:hint="eastAsia" w:ascii="宋体" w:hAnsi="宋体" w:cs="宋体"/>
          <w:color w:val="auto"/>
          <w:sz w:val="24"/>
          <w:szCs w:val="24"/>
          <w:highlight w:val="none"/>
        </w:rPr>
        <w:t>（当N个标段同时招标且不允许兼中时，若有效投标人不足N+2家，则重新组织招标）</w:t>
      </w:r>
      <w:r>
        <w:rPr>
          <w:rFonts w:hint="eastAsia" w:ascii="宋体" w:hAnsi="宋体" w:cs="宋体"/>
          <w:color w:val="auto"/>
          <w:sz w:val="24"/>
          <w:highlight w:val="none"/>
        </w:rPr>
        <w:t>。</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21．迟交的投标文件</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21.1 本须知前附表第17项规定的投标截止时间</w:t>
      </w:r>
      <w:r>
        <w:rPr>
          <w:rFonts w:hint="eastAsia" w:ascii="宋体" w:hAnsi="宋体" w:cs="宋体"/>
          <w:bCs/>
          <w:color w:val="auto"/>
          <w:sz w:val="24"/>
          <w:szCs w:val="24"/>
          <w:highlight w:val="none"/>
        </w:rPr>
        <w:t>后送达的</w:t>
      </w:r>
      <w:r>
        <w:rPr>
          <w:rFonts w:hint="eastAsia" w:ascii="宋体" w:hAnsi="宋体" w:cs="宋体"/>
          <w:bCs/>
          <w:color w:val="auto"/>
          <w:sz w:val="24"/>
          <w:highlight w:val="none"/>
        </w:rPr>
        <w:t>电子投标文件，</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交易平台</w:t>
      </w:r>
      <w:r>
        <w:rPr>
          <w:rFonts w:hint="eastAsia" w:ascii="宋体" w:hAnsi="宋体" w:cs="宋体"/>
          <w:color w:val="auto"/>
          <w:sz w:val="24"/>
          <w:highlight w:val="none"/>
        </w:rPr>
        <w:t>将予以拒收。</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22．投标文件的修改与撤回</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22.1在规定的投标截止时间前，投标人可以修改或撤回已递交的投标文件，但应以书面形式通知招标人。</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22.2投标人修改或撤回已递交的投标文件，需在</w:t>
      </w:r>
      <w:r>
        <w:rPr>
          <w:rFonts w:hint="eastAsia" w:ascii="宋体" w:hAnsi="宋体" w:cs="宋体"/>
          <w:color w:val="auto"/>
          <w:sz w:val="24"/>
          <w:highlight w:val="none"/>
        </w:rPr>
        <w:t>交易平台发出修改或撤回</w:t>
      </w:r>
      <w:r>
        <w:rPr>
          <w:rFonts w:hint="eastAsia" w:ascii="宋体" w:hAnsi="宋体" w:cs="宋体"/>
          <w:color w:val="auto"/>
          <w:sz w:val="24"/>
          <w:szCs w:val="24"/>
          <w:highlight w:val="none"/>
        </w:rPr>
        <w:t>通知，并按要求加盖电子印章。</w:t>
      </w:r>
      <w:r>
        <w:rPr>
          <w:rFonts w:hint="eastAsia" w:ascii="宋体" w:hAnsi="宋体" w:cs="宋体"/>
          <w:bCs/>
          <w:iCs/>
          <w:color w:val="auto"/>
          <w:sz w:val="24"/>
          <w:szCs w:val="24"/>
          <w:highlight w:val="none"/>
        </w:rPr>
        <w:t>电子招标投标交易平台收到通知后，</w:t>
      </w:r>
      <w:r>
        <w:rPr>
          <w:rFonts w:hint="eastAsia" w:ascii="宋体" w:hAnsi="宋体" w:cs="宋体"/>
          <w:color w:val="auto"/>
          <w:sz w:val="24"/>
          <w:szCs w:val="24"/>
          <w:highlight w:val="none"/>
        </w:rPr>
        <w:t>即时向投标人发出确认回执通知。</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22.3修改后再次递交的，按19点的规定执行。</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22.4 在投标截止时间之后，投标人不得补充、修改和更换投标文件。</w:t>
      </w:r>
    </w:p>
    <w:p>
      <w:pPr>
        <w:pStyle w:val="9"/>
        <w:spacing w:before="156" w:after="156"/>
        <w:rPr>
          <w:rFonts w:cs="宋体"/>
          <w:color w:val="auto"/>
          <w:highlight w:val="none"/>
        </w:rPr>
      </w:pPr>
      <w:bookmarkStart w:id="14" w:name="_Toc2272553"/>
      <w:bookmarkStart w:id="15" w:name="_Toc21525497"/>
      <w:r>
        <w:rPr>
          <w:rFonts w:hint="eastAsia" w:cs="宋体"/>
          <w:color w:val="auto"/>
          <w:highlight w:val="none"/>
        </w:rPr>
        <w:t>（五）开标、评标、定标及合同签定</w:t>
      </w:r>
      <w:bookmarkEnd w:id="14"/>
      <w:bookmarkEnd w:id="15"/>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23、开标。</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详见第二章开标、评标及定标办法</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24．评标过程的保密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24.1 开标后，直至中标公示为止，凡属于对投标文件的审查、澄清、评价和比较有关的资料以及中标候选人的推荐情况，与评标有关的其他任何情况均严格保密。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24.2 在投标文件的评审和比较、中标候选人推荐以及授予合同的过程中，投标人向招标人和评标委员会施加不公正影响的任何行为，都将会导致其投标被拒绝。</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25．投标文件的澄清，计算错误的修正</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详见招标文件第二章开标、评标及定标办法</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26．投标文件的评审、比较和否决</w:t>
      </w:r>
    </w:p>
    <w:p>
      <w:pPr>
        <w:spacing w:line="360" w:lineRule="auto"/>
        <w:ind w:firstLine="480" w:firstLineChars="200"/>
        <w:rPr>
          <w:rFonts w:ascii="宋体" w:hAnsi="宋体" w:cs="宋体"/>
          <w:bCs/>
          <w:color w:val="auto"/>
          <w:sz w:val="24"/>
          <w:szCs w:val="24"/>
          <w:highlight w:val="none"/>
        </w:rPr>
      </w:pPr>
      <w:r>
        <w:rPr>
          <w:rFonts w:hint="eastAsia" w:ascii="宋体" w:hAnsi="宋体" w:cs="宋体"/>
          <w:color w:val="auto"/>
          <w:sz w:val="24"/>
          <w:highlight w:val="none"/>
        </w:rPr>
        <w:t>详见招标文件第二章开标、评标及定标办法。</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27．中标通知书</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27.1招标人将在</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交易平台</w:t>
      </w:r>
      <w:r>
        <w:rPr>
          <w:rFonts w:hint="eastAsia" w:ascii="宋体" w:hAnsi="宋体" w:cs="宋体"/>
          <w:color w:val="auto"/>
          <w:sz w:val="24"/>
          <w:highlight w:val="none"/>
        </w:rPr>
        <w:t>、广东省招标投标监管网和中国招标投标公共服务平台公示中标候选人，公示期为三天。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27.2招标人应当自确定中标人后，向招标投标监管机构提交招标投标情况的书面报告；经招投标监管机构备案后，方可发出中标通知书。</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27.3中标人必须在收到中标通知书后24小时之内以书面形式回复招标人，确认收到。</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27.4在产生中标候选人后，招标人将中标候选人的投标文件商务部分文件的所有内容（包括报价清单、人员、业绩、奖项等资料）在</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交易平台和广东省招标投标监管网</w:t>
      </w:r>
      <w:r>
        <w:rPr>
          <w:rFonts w:hint="eastAsia" w:ascii="宋体" w:hAnsi="宋体" w:cs="宋体"/>
          <w:color w:val="auto"/>
          <w:sz w:val="24"/>
          <w:highlight w:val="none"/>
        </w:rPr>
        <w:t>公开。</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28．合同协议书的签订</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28.1 招标人与中标人将于中标通知书发出之日起30日内，按照招标文件和中标人的投标文件商定和签订合同，招标人和中标人不得再行订立背离合同实质性内容的其他协议。</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28.2中标通知书发出之日起30日后，中标人未按上款的规定与招标人订立合同，招标人将解除中标通知书，原中标人的投标保证金不予退还，且依法承担相应法律责任。原中标人给招标人造成的损失超过投标保证金数额的，还应当对超过部分予以赔偿。原中标人有异议的，可以向人民法院起诉。</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28.3非经招标人同意，中标人在投标过程中使用的银行名称及帐号至完成竣工结算不得变更，否则招标人有权停止工程款项的拔付及至解除合同，由此造成的一切责任由中标人承担。</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28.4招标人支付工程款时，中标人应按规定开具发票。</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29．履约担保</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29.1 在收到中标通知书后的</w:t>
      </w:r>
      <w:r>
        <w:rPr>
          <w:rFonts w:hint="eastAsia" w:ascii="宋体" w:hAnsi="宋体" w:cs="宋体"/>
          <w:b/>
          <w:color w:val="auto"/>
          <w:sz w:val="24"/>
          <w:highlight w:val="none"/>
        </w:rPr>
        <w:t>15日</w:t>
      </w:r>
      <w:r>
        <w:rPr>
          <w:rFonts w:hint="eastAsia" w:ascii="宋体" w:hAnsi="宋体" w:cs="宋体"/>
          <w:color w:val="auto"/>
          <w:sz w:val="24"/>
          <w:highlight w:val="none"/>
        </w:rPr>
        <w:t>内，中标人应按本须知前附表第20项的规定向招标人提交履约担保。</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29.2中标通知书发出之日起15日后，中标人未按上款的规定提交履约担保，招标人将解除中标通知书，原中标人的投标保证金不予退还，且依法承担相应法律责任。原中标人给招标人造成的损失超过投标保证金数额的，还应当对超过部分予以赔偿。原中标人有异议的，可以向人民法院起诉。</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30．合同生效</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30.1在合同双方全权代表在合同协议书上签字，并分别加盖双方单位的公章后，合同正式生效。</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31．其它费用</w:t>
      </w:r>
    </w:p>
    <w:p>
      <w:pPr>
        <w:pStyle w:val="5"/>
        <w:spacing w:after="0"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32．腐败与欺诈行为</w:t>
      </w:r>
    </w:p>
    <w:p>
      <w:pPr>
        <w:pStyle w:val="5"/>
        <w:spacing w:after="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在招标和合同实施期间，招标人要求投标人和承包人遵守最高的道德标准。</w:t>
      </w:r>
    </w:p>
    <w:p>
      <w:pPr>
        <w:pStyle w:val="5"/>
        <w:spacing w:after="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32．1对本条款的规定，特定义如下词汇：</w:t>
      </w:r>
    </w:p>
    <w:p>
      <w:pPr>
        <w:pStyle w:val="5"/>
        <w:spacing w:after="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1）、“腐败行为”是指在招标或合同执行期间，通过提供、给予、接受或索要任何有价值的东西，从而影响招标人有关人员工作的行为；</w:t>
      </w:r>
    </w:p>
    <w:p>
      <w:pPr>
        <w:pStyle w:val="5"/>
        <w:spacing w:after="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欺诈行为”是指通过提供伪证影响招标或合同执行，从而损害招标人利益的行为；也包括投标人之间串通（在提交投标文件之前或之后），人为地使招标过程失去竞争性，从而使招标人无法从公开的自由竞争中获得利益的行为。</w:t>
      </w:r>
    </w:p>
    <w:p>
      <w:pPr>
        <w:pStyle w:val="5"/>
        <w:spacing w:after="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32．2如果投标人被认定在本招标的竞争中有腐败或欺诈行为，则会被取消投标资格。</w:t>
      </w:r>
    </w:p>
    <w:p>
      <w:pPr>
        <w:pStyle w:val="5"/>
        <w:spacing w:after="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32.3投标人如在本项目中存在串通投标、弄虚作假、行贿情形的，中标无效，行政监督部门将对其违法行为进行政处罚并通报。该投标人将被招标人列入黑名单并限制其参与招标人后续项目的投标。</w:t>
      </w:r>
    </w:p>
    <w:p>
      <w:pPr>
        <w:spacing w:line="480" w:lineRule="auto"/>
        <w:ind w:firstLine="540" w:firstLineChars="224"/>
        <w:rPr>
          <w:rFonts w:ascii="宋体" w:hAnsi="宋体" w:cs="宋体"/>
          <w:b/>
          <w:color w:val="auto"/>
          <w:sz w:val="24"/>
          <w:highlight w:val="none"/>
        </w:rPr>
      </w:pPr>
      <w:r>
        <w:rPr>
          <w:rFonts w:hint="eastAsia" w:ascii="宋体" w:hAnsi="宋体" w:cs="宋体"/>
          <w:b/>
          <w:color w:val="auto"/>
          <w:sz w:val="24"/>
          <w:highlight w:val="none"/>
        </w:rPr>
        <w:t>33. 投标人信誉的要求</w:t>
      </w:r>
    </w:p>
    <w:p>
      <w:pPr>
        <w:spacing w:line="480" w:lineRule="auto"/>
        <w:ind w:firstLine="537" w:firstLineChars="224"/>
        <w:rPr>
          <w:rFonts w:ascii="宋体" w:hAnsi="宋体" w:cs="宋体"/>
          <w:color w:val="auto"/>
          <w:sz w:val="24"/>
          <w:highlight w:val="none"/>
        </w:rPr>
      </w:pPr>
      <w:r>
        <w:rPr>
          <w:rFonts w:hint="eastAsia" w:ascii="宋体" w:hAnsi="宋体" w:cs="宋体"/>
          <w:color w:val="auto"/>
          <w:sz w:val="24"/>
          <w:highlight w:val="none"/>
        </w:rPr>
        <w:t>存在下列情形之一的，招标人可以限制其投标（需在招标文件中明确评定方法）</w:t>
      </w:r>
    </w:p>
    <w:p>
      <w:pPr>
        <w:spacing w:line="480" w:lineRule="auto"/>
        <w:ind w:firstLine="537" w:firstLineChars="224"/>
        <w:rPr>
          <w:rFonts w:ascii="宋体" w:hAnsi="宋体" w:cs="宋体"/>
          <w:color w:val="auto"/>
          <w:sz w:val="24"/>
          <w:highlight w:val="none"/>
        </w:rPr>
      </w:pPr>
      <w:r>
        <w:rPr>
          <w:rFonts w:hint="eastAsia" w:ascii="宋体" w:hAnsi="宋体" w:cs="宋体"/>
          <w:color w:val="auto"/>
          <w:sz w:val="24"/>
          <w:highlight w:val="none"/>
        </w:rPr>
        <w:t>（1）被住房城乡建设行政主管部门在全国建筑市场监管一体化工作平台列入建筑市场主体“黑名单”；</w:t>
      </w:r>
    </w:p>
    <w:p>
      <w:pPr>
        <w:pStyle w:val="5"/>
        <w:spacing w:after="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（2）被发改委、人力资源社会保障、质检总局等有关部门、单位在“信用中国”网站中列入联合惩戒失信黑名单。</w:t>
      </w:r>
      <w:bookmarkEnd w:id="7"/>
    </w:p>
    <w:p>
      <w:pPr>
        <w:pStyle w:val="3"/>
        <w:rPr>
          <w:rFonts w:ascii="宋体" w:hAnsi="宋体" w:cs="宋体"/>
          <w:color w:val="auto"/>
          <w:highlight w:val="none"/>
        </w:rPr>
      </w:pPr>
      <w:r>
        <w:rPr>
          <w:rFonts w:hint="eastAsia" w:ascii="宋体" w:hAnsi="宋体" w:cs="宋体"/>
          <w:color w:val="auto"/>
          <w:sz w:val="24"/>
          <w:highlight w:val="none"/>
        </w:rPr>
        <w:br w:type="page"/>
      </w:r>
      <w:bookmarkStart w:id="16" w:name="_Toc286"/>
      <w:r>
        <w:rPr>
          <w:rFonts w:hint="eastAsia" w:ascii="宋体" w:hAnsi="宋体" w:cs="宋体"/>
          <w:color w:val="auto"/>
          <w:highlight w:val="none"/>
        </w:rPr>
        <w:t>第二章  开标、评标及定标办法</w:t>
      </w:r>
      <w:bookmarkEnd w:id="16"/>
    </w:p>
    <w:p>
      <w:pPr>
        <w:pStyle w:val="7"/>
        <w:rPr>
          <w:rFonts w:ascii="宋体" w:hAnsi="宋体" w:cs="宋体"/>
          <w:color w:val="auto"/>
          <w:highlight w:val="none"/>
        </w:rPr>
      </w:pPr>
      <w:bookmarkStart w:id="17" w:name="_Toc20398"/>
      <w:r>
        <w:rPr>
          <w:rFonts w:hint="eastAsia" w:ascii="宋体" w:hAnsi="宋体" w:cs="宋体"/>
          <w:color w:val="auto"/>
          <w:sz w:val="28"/>
          <w:szCs w:val="28"/>
          <w:highlight w:val="none"/>
        </w:rPr>
        <w:t>一、</w:t>
      </w:r>
      <w:r>
        <w:rPr>
          <w:rFonts w:hint="eastAsia" w:ascii="宋体" w:hAnsi="宋体" w:cs="宋体"/>
          <w:color w:val="auto"/>
          <w:highlight w:val="none"/>
        </w:rPr>
        <w:t>开标、评标及定标办法修改表</w:t>
      </w:r>
      <w:bookmarkEnd w:id="17"/>
    </w:p>
    <w:p>
      <w:pPr>
        <w:pStyle w:val="5"/>
        <w:spacing w:after="0" w:line="360" w:lineRule="auto"/>
        <w:rPr>
          <w:rFonts w:ascii="宋体" w:hAnsi="宋体" w:cs="宋体"/>
          <w:b/>
          <w:color w:val="auto"/>
          <w:szCs w:val="21"/>
          <w:highlight w:val="none"/>
        </w:rPr>
      </w:pPr>
      <w:r>
        <w:rPr>
          <w:rFonts w:hint="eastAsia" w:ascii="宋体" w:hAnsi="宋体" w:cs="宋体"/>
          <w:b/>
          <w:color w:val="auto"/>
          <w:szCs w:val="21"/>
          <w:highlight w:val="none"/>
        </w:rPr>
        <w:t>声明：本</w:t>
      </w:r>
      <w:r>
        <w:rPr>
          <w:rFonts w:hint="eastAsia" w:ascii="宋体" w:hAnsi="宋体" w:cs="宋体"/>
          <w:b/>
          <w:color w:val="auto"/>
          <w:highlight w:val="none"/>
        </w:rPr>
        <w:t>开标、评标及定标办法使用GZZB2018-3招标文件范本的开标、评标及定标办法通用条款，与该通用条款不同之处，均在本表中列明，并以现文为准，原</w:t>
      </w:r>
      <w:r>
        <w:rPr>
          <w:rFonts w:hint="eastAsia" w:ascii="宋体" w:hAnsi="宋体" w:cs="宋体"/>
          <w:b/>
          <w:color w:val="auto"/>
          <w:szCs w:val="21"/>
          <w:highlight w:val="none"/>
        </w:rPr>
        <w:t>文不再有效。本招标文件中不再转录</w:t>
      </w:r>
      <w:r>
        <w:rPr>
          <w:rFonts w:hint="eastAsia" w:ascii="宋体" w:hAnsi="宋体" w:cs="宋体"/>
          <w:b/>
          <w:color w:val="auto"/>
          <w:highlight w:val="none"/>
        </w:rPr>
        <w:t>开标、评标及定标办法</w:t>
      </w:r>
      <w:r>
        <w:rPr>
          <w:rFonts w:hint="eastAsia" w:ascii="宋体" w:hAnsi="宋体" w:cs="宋体"/>
          <w:b/>
          <w:color w:val="auto"/>
          <w:szCs w:val="21"/>
          <w:highlight w:val="none"/>
        </w:rPr>
        <w:t>通用条款，请投标人自行到广州市住房和城乡建设局网站（网址：</w:t>
      </w:r>
      <w:r>
        <w:rPr>
          <w:color w:val="auto"/>
          <w:highlight w:val="none"/>
        </w:rPr>
        <w:fldChar w:fldCharType="begin"/>
      </w:r>
      <w:r>
        <w:rPr>
          <w:color w:val="auto"/>
          <w:highlight w:val="none"/>
        </w:rPr>
        <w:instrText xml:space="preserve"> HYPERLINK "http://www.gzcc.gov.cn/）下载GZZB2018-3" </w:instrText>
      </w:r>
      <w:r>
        <w:rPr>
          <w:color w:val="auto"/>
          <w:highlight w:val="none"/>
        </w:rPr>
        <w:fldChar w:fldCharType="separate"/>
      </w:r>
      <w:r>
        <w:rPr>
          <w:rStyle w:val="46"/>
          <w:rFonts w:hint="eastAsia" w:ascii="宋体" w:hAnsi="宋体" w:cs="宋体"/>
          <w:b/>
          <w:color w:val="auto"/>
          <w:szCs w:val="21"/>
          <w:highlight w:val="none"/>
          <w:lang w:eastAsia="zh-CN"/>
        </w:rPr>
        <w:t>http://zfcj.gz.gov.cn/</w:t>
      </w:r>
      <w:r>
        <w:rPr>
          <w:rStyle w:val="46"/>
          <w:rFonts w:hint="eastAsia" w:ascii="宋体" w:hAnsi="宋体" w:cs="宋体"/>
          <w:b/>
          <w:color w:val="auto"/>
          <w:szCs w:val="21"/>
          <w:highlight w:val="none"/>
        </w:rPr>
        <w:t>）下载GZZB2018-3</w:t>
      </w:r>
      <w:r>
        <w:rPr>
          <w:rStyle w:val="46"/>
          <w:rFonts w:hint="eastAsia" w:ascii="宋体" w:hAnsi="宋体" w:cs="宋体"/>
          <w:b/>
          <w:color w:val="auto"/>
          <w:szCs w:val="21"/>
          <w:highlight w:val="none"/>
        </w:rPr>
        <w:fldChar w:fldCharType="end"/>
      </w:r>
      <w:r>
        <w:rPr>
          <w:rFonts w:hint="eastAsia" w:ascii="宋体" w:hAnsi="宋体" w:cs="宋体"/>
          <w:b/>
          <w:color w:val="auto"/>
          <w:szCs w:val="21"/>
          <w:highlight w:val="none"/>
        </w:rPr>
        <w:t>范本查阅。</w:t>
      </w:r>
    </w:p>
    <w:p>
      <w:pPr>
        <w:spacing w:line="360" w:lineRule="auto"/>
        <w:ind w:firstLine="540" w:firstLineChars="224"/>
        <w:rPr>
          <w:rFonts w:ascii="宋体" w:hAnsi="宋体" w:cs="宋体"/>
          <w:b/>
          <w:color w:val="auto"/>
          <w:sz w:val="24"/>
          <w:szCs w:val="24"/>
          <w:highlight w:val="none"/>
        </w:rPr>
      </w:pPr>
      <w:r>
        <w:rPr>
          <w:rFonts w:hint="eastAsia" w:ascii="宋体" w:hAnsi="宋体" w:cs="宋体"/>
          <w:b/>
          <w:color w:val="auto"/>
          <w:sz w:val="24"/>
          <w:szCs w:val="24"/>
          <w:highlight w:val="none"/>
        </w:rPr>
        <w:t>条款号：</w:t>
      </w:r>
      <w:r>
        <w:rPr>
          <w:rFonts w:hint="eastAsia" w:ascii="宋体" w:hAnsi="宋体" w:cs="宋体"/>
          <w:color w:val="auto"/>
          <w:sz w:val="24"/>
          <w:szCs w:val="24"/>
          <w:highlight w:val="none"/>
        </w:rPr>
        <w:t xml:space="preserve">36.1            </w:t>
      </w:r>
      <w:r>
        <w:rPr>
          <w:rFonts w:hint="eastAsia" w:ascii="宋体" w:hAnsi="宋体" w:cs="宋体"/>
          <w:b/>
          <w:color w:val="auto"/>
          <w:sz w:val="24"/>
          <w:szCs w:val="24"/>
          <w:highlight w:val="none"/>
        </w:rPr>
        <w:t>修改类型：修改</w:t>
      </w:r>
    </w:p>
    <w:p>
      <w:pPr>
        <w:spacing w:line="360" w:lineRule="auto"/>
        <w:ind w:firstLine="540" w:firstLineChars="224"/>
        <w:rPr>
          <w:rFonts w:ascii="宋体" w:hAnsi="宋体" w:cs="宋体"/>
          <w:b/>
          <w:color w:val="auto"/>
          <w:sz w:val="24"/>
          <w:szCs w:val="24"/>
          <w:highlight w:val="none"/>
        </w:rPr>
      </w:pPr>
      <w:r>
        <w:rPr>
          <w:rFonts w:hint="eastAsia" w:ascii="宋体" w:hAnsi="宋体" w:cs="宋体"/>
          <w:b/>
          <w:color w:val="auto"/>
          <w:sz w:val="24"/>
          <w:szCs w:val="24"/>
          <w:highlight w:val="none"/>
        </w:rPr>
        <w:t>原文：</w:t>
      </w:r>
      <w:r>
        <w:rPr>
          <w:rFonts w:hint="eastAsia" w:ascii="宋体" w:hAnsi="宋体" w:cs="宋体"/>
          <w:color w:val="auto"/>
          <w:sz w:val="24"/>
          <w:szCs w:val="24"/>
          <w:highlight w:val="none"/>
        </w:rPr>
        <w:t>36.1 招标人按投标须知前附表第18项所规定的时间和地点公开开标，并邀请所有投标人参加。截标后，开标开始时间因故推迟的，相关评标信息仍以原定的开标开始时间的信息为准。</w:t>
      </w:r>
    </w:p>
    <w:p>
      <w:pPr>
        <w:pBdr>
          <w:bottom w:val="single" w:color="auto" w:sz="6" w:space="1"/>
        </w:pBdr>
        <w:spacing w:line="360" w:lineRule="auto"/>
        <w:ind w:firstLine="482" w:firstLineChars="200"/>
        <w:rPr>
          <w:rFonts w:ascii="宋体" w:hAnsi="宋体" w:cs="宋体"/>
          <w:b/>
          <w:color w:val="auto"/>
          <w:sz w:val="24"/>
          <w:szCs w:val="24"/>
          <w:highlight w:val="none"/>
        </w:rPr>
      </w:pPr>
      <w:r>
        <w:rPr>
          <w:rFonts w:hint="eastAsia" w:ascii="宋体" w:hAnsi="宋体" w:cs="宋体"/>
          <w:b/>
          <w:color w:val="auto"/>
          <w:sz w:val="24"/>
          <w:szCs w:val="24"/>
          <w:highlight w:val="none"/>
        </w:rPr>
        <w:t>现文：</w:t>
      </w:r>
      <w:r>
        <w:rPr>
          <w:rFonts w:hint="eastAsia" w:ascii="宋体" w:hAnsi="宋体" w:cs="宋体"/>
          <w:color w:val="auto"/>
          <w:sz w:val="24"/>
          <w:szCs w:val="24"/>
          <w:highlight w:val="none"/>
        </w:rPr>
        <w:t>36.1 招标人按投标须知前附表第18项所规定的时间和地点公开开标，并邀请所有投标人参加。截标后，开标开始时间因故推迟的，相关评标信息仍以原定的开标开始时间的信息为准。</w:t>
      </w:r>
      <w:r>
        <w:rPr>
          <w:rFonts w:hint="eastAsia" w:ascii="宋体" w:hAnsi="宋体" w:cs="宋体"/>
          <w:color w:val="auto"/>
          <w:sz w:val="24"/>
          <w:szCs w:val="24"/>
          <w:highlight w:val="none"/>
          <w:u w:val="single"/>
        </w:rPr>
        <w:t>若投标人不参加开标会的，其投标文件在开标现场的投标人或招标人代表、招标代理机构代表及交易中心代表见证下公开开启、解密、公布，并视同该投标人认可开标结果。</w:t>
      </w:r>
    </w:p>
    <w:p>
      <w:pPr>
        <w:spacing w:line="360" w:lineRule="auto"/>
        <w:ind w:firstLine="540" w:firstLineChars="224"/>
        <w:rPr>
          <w:rFonts w:ascii="宋体" w:hAnsi="宋体" w:cs="宋体"/>
          <w:b/>
          <w:color w:val="auto"/>
          <w:sz w:val="24"/>
          <w:szCs w:val="24"/>
          <w:highlight w:val="none"/>
        </w:rPr>
      </w:pPr>
      <w:r>
        <w:rPr>
          <w:rFonts w:hint="eastAsia" w:ascii="宋体" w:hAnsi="宋体" w:cs="宋体"/>
          <w:b/>
          <w:color w:val="auto"/>
          <w:sz w:val="24"/>
          <w:szCs w:val="24"/>
          <w:highlight w:val="none"/>
        </w:rPr>
        <w:t>条款号：</w:t>
      </w:r>
      <w:r>
        <w:rPr>
          <w:rFonts w:hint="eastAsia" w:ascii="宋体" w:hAnsi="宋体" w:cs="宋体"/>
          <w:color w:val="auto"/>
          <w:sz w:val="24"/>
          <w:szCs w:val="24"/>
          <w:highlight w:val="none"/>
        </w:rPr>
        <w:t xml:space="preserve">36.3                </w:t>
      </w:r>
      <w:r>
        <w:rPr>
          <w:rFonts w:hint="eastAsia" w:ascii="宋体" w:hAnsi="宋体" w:cs="宋体"/>
          <w:b/>
          <w:color w:val="auto"/>
          <w:sz w:val="24"/>
          <w:szCs w:val="24"/>
          <w:highlight w:val="none"/>
        </w:rPr>
        <w:t>修改类型：删除</w:t>
      </w:r>
    </w:p>
    <w:p>
      <w:pPr>
        <w:pBdr>
          <w:bottom w:val="single" w:color="auto" w:sz="6" w:space="1"/>
        </w:pBdr>
        <w:spacing w:line="360" w:lineRule="auto"/>
        <w:ind w:firstLine="482" w:firstLineChars="200"/>
        <w:rPr>
          <w:rFonts w:ascii="宋体" w:hAnsi="宋体" w:cs="宋体"/>
          <w:b/>
          <w:color w:val="auto"/>
          <w:sz w:val="24"/>
          <w:szCs w:val="24"/>
          <w:highlight w:val="none"/>
        </w:rPr>
      </w:pPr>
      <w:r>
        <w:rPr>
          <w:rFonts w:hint="eastAsia" w:ascii="宋体" w:hAnsi="宋体" w:cs="宋体"/>
          <w:b/>
          <w:color w:val="auto"/>
          <w:sz w:val="24"/>
          <w:szCs w:val="24"/>
          <w:highlight w:val="none"/>
        </w:rPr>
        <w:t>原文：</w:t>
      </w:r>
      <w:r>
        <w:rPr>
          <w:rFonts w:hint="eastAsia" w:ascii="宋体" w:hAnsi="宋体" w:cs="宋体"/>
          <w:color w:val="auto"/>
          <w:sz w:val="24"/>
          <w:szCs w:val="24"/>
          <w:highlight w:val="none"/>
        </w:rPr>
        <w:t>36.3根据投标须知前附表第19项，如需抽取某一种评标办法供评标时使用的，应在开标前抽取。首先对招标文件中约定的若干种评标方法进行编号，再随机抽取某一编号，该编号所对应的评标办法供评标时使用。</w:t>
      </w:r>
    </w:p>
    <w:p>
      <w:pPr>
        <w:spacing w:line="360" w:lineRule="auto"/>
        <w:ind w:firstLine="540" w:firstLineChars="224"/>
        <w:rPr>
          <w:rFonts w:ascii="宋体" w:hAnsi="宋体" w:cs="宋体"/>
          <w:b/>
          <w:color w:val="auto"/>
          <w:sz w:val="24"/>
          <w:szCs w:val="24"/>
          <w:highlight w:val="none"/>
        </w:rPr>
      </w:pPr>
      <w:r>
        <w:rPr>
          <w:rFonts w:hint="eastAsia" w:ascii="宋体" w:hAnsi="宋体" w:cs="宋体"/>
          <w:b/>
          <w:color w:val="auto"/>
          <w:sz w:val="24"/>
          <w:szCs w:val="24"/>
          <w:highlight w:val="none"/>
        </w:rPr>
        <w:t>条款号：36.4                修改类型：修改</w:t>
      </w:r>
    </w:p>
    <w:p>
      <w:pPr>
        <w:spacing w:line="360" w:lineRule="auto"/>
        <w:ind w:firstLine="482" w:firstLineChars="200"/>
        <w:rPr>
          <w:rFonts w:ascii="宋体" w:hAnsi="宋体" w:cs="宋体"/>
          <w:bCs/>
          <w:color w:val="auto"/>
          <w:sz w:val="24"/>
          <w:szCs w:val="24"/>
          <w:highlight w:val="none"/>
        </w:rPr>
      </w:pPr>
      <w:r>
        <w:rPr>
          <w:rFonts w:hint="eastAsia" w:ascii="宋体" w:hAnsi="宋体" w:cs="宋体"/>
          <w:b/>
          <w:color w:val="auto"/>
          <w:sz w:val="24"/>
          <w:szCs w:val="24"/>
          <w:highlight w:val="none"/>
        </w:rPr>
        <w:t>原文：</w:t>
      </w:r>
      <w:r>
        <w:rPr>
          <w:rFonts w:hint="eastAsia" w:ascii="宋体" w:hAnsi="宋体" w:cs="宋体"/>
          <w:bCs/>
          <w:color w:val="auto"/>
          <w:sz w:val="24"/>
          <w:szCs w:val="24"/>
          <w:highlight w:val="none"/>
        </w:rPr>
        <w:t>36.4若递交投标文件的投标人不足3家，则重新组织招标。（当N个标段同时招标且不允许兼中时，若有效投标人不足N+2家，则重新组织招标）。</w:t>
      </w:r>
    </w:p>
    <w:p>
      <w:pPr>
        <w:pBdr>
          <w:bottom w:val="single" w:color="auto" w:sz="6" w:space="1"/>
        </w:pBdr>
        <w:spacing w:line="360" w:lineRule="auto"/>
        <w:ind w:firstLine="540" w:firstLineChars="224"/>
        <w:rPr>
          <w:rFonts w:ascii="宋体" w:hAnsi="宋体" w:cs="宋体"/>
          <w:bCs/>
          <w:color w:val="auto"/>
          <w:sz w:val="24"/>
          <w:szCs w:val="24"/>
          <w:highlight w:val="none"/>
        </w:rPr>
      </w:pPr>
      <w:r>
        <w:rPr>
          <w:rFonts w:hint="eastAsia" w:ascii="宋体" w:hAnsi="宋体" w:cs="宋体"/>
          <w:b/>
          <w:color w:val="auto"/>
          <w:sz w:val="24"/>
          <w:szCs w:val="24"/>
          <w:highlight w:val="none"/>
        </w:rPr>
        <w:t>现文：</w:t>
      </w:r>
      <w:r>
        <w:rPr>
          <w:rFonts w:hint="eastAsia" w:ascii="宋体" w:hAnsi="宋体" w:cs="宋体"/>
          <w:bCs/>
          <w:color w:val="auto"/>
          <w:sz w:val="24"/>
          <w:szCs w:val="24"/>
          <w:highlight w:val="none"/>
        </w:rPr>
        <w:t>36.4若递交投标文件的投标人不足3家，则重新组织招标。</w:t>
      </w:r>
    </w:p>
    <w:p>
      <w:pPr>
        <w:spacing w:line="360" w:lineRule="auto"/>
        <w:ind w:firstLine="540" w:firstLineChars="224"/>
        <w:rPr>
          <w:rFonts w:ascii="宋体" w:hAnsi="宋体" w:cs="宋体"/>
          <w:b/>
          <w:color w:val="auto"/>
          <w:sz w:val="24"/>
          <w:szCs w:val="24"/>
          <w:highlight w:val="none"/>
        </w:rPr>
      </w:pPr>
      <w:r>
        <w:rPr>
          <w:rFonts w:hint="eastAsia" w:ascii="宋体" w:hAnsi="宋体" w:cs="宋体"/>
          <w:b/>
          <w:color w:val="auto"/>
          <w:sz w:val="24"/>
          <w:szCs w:val="24"/>
          <w:highlight w:val="none"/>
        </w:rPr>
        <w:t>条款号：</w:t>
      </w:r>
      <w:r>
        <w:rPr>
          <w:rFonts w:hint="eastAsia" w:ascii="宋体" w:hAnsi="宋体" w:cs="宋体"/>
          <w:bCs/>
          <w:color w:val="auto"/>
          <w:sz w:val="24"/>
          <w:szCs w:val="24"/>
          <w:highlight w:val="none"/>
        </w:rPr>
        <w:t xml:space="preserve">36.5.1              </w:t>
      </w:r>
      <w:r>
        <w:rPr>
          <w:rFonts w:hint="eastAsia" w:ascii="宋体" w:hAnsi="宋体" w:cs="宋体"/>
          <w:b/>
          <w:color w:val="auto"/>
          <w:sz w:val="24"/>
          <w:szCs w:val="24"/>
          <w:highlight w:val="none"/>
        </w:rPr>
        <w:t>修改类型：修改</w:t>
      </w:r>
    </w:p>
    <w:p>
      <w:pPr>
        <w:spacing w:line="360" w:lineRule="auto"/>
        <w:ind w:firstLine="482" w:firstLineChars="200"/>
        <w:rPr>
          <w:rFonts w:ascii="宋体" w:hAnsi="宋体" w:cs="宋体"/>
          <w:b/>
          <w:color w:val="auto"/>
          <w:sz w:val="24"/>
          <w:szCs w:val="24"/>
          <w:highlight w:val="none"/>
        </w:rPr>
      </w:pPr>
      <w:r>
        <w:rPr>
          <w:rFonts w:hint="eastAsia" w:ascii="宋体" w:hAnsi="宋体" w:cs="宋体"/>
          <w:b/>
          <w:color w:val="auto"/>
          <w:sz w:val="24"/>
          <w:szCs w:val="24"/>
          <w:highlight w:val="none"/>
        </w:rPr>
        <w:t>原文：</w:t>
      </w:r>
      <w:r>
        <w:rPr>
          <w:rFonts w:hint="eastAsia" w:ascii="宋体" w:hAnsi="宋体" w:cs="宋体"/>
          <w:color w:val="auto"/>
          <w:sz w:val="24"/>
          <w:szCs w:val="24"/>
          <w:highlight w:val="none"/>
        </w:rPr>
        <w:t>36.5.1在投标截止时间后半小时内，投标人通过交易平台对已递交的电子投标文件进行解密。投标人完成解密后，再由招标人进行解密（如有项目负责人签到环节，应在项目负责人签到完成后，招标人再进行解密）。解密完成后，公布招标项目名称、投标人名称、投标保证金的递交情况、投标报价、工期及其他内容；</w:t>
      </w:r>
    </w:p>
    <w:p>
      <w:pPr>
        <w:pBdr>
          <w:bottom w:val="single" w:color="auto" w:sz="6" w:space="1"/>
        </w:pBdr>
        <w:spacing w:line="360" w:lineRule="auto"/>
        <w:ind w:firstLine="602" w:firstLineChars="250"/>
        <w:rPr>
          <w:rFonts w:hint="eastAsia" w:ascii="宋体" w:hAnsi="宋体" w:cs="宋体"/>
          <w:color w:val="auto"/>
          <w:sz w:val="24"/>
          <w:szCs w:val="24"/>
          <w:highlight w:val="none"/>
        </w:rPr>
      </w:pPr>
      <w:r>
        <w:rPr>
          <w:rFonts w:hint="eastAsia" w:ascii="宋体" w:hAnsi="宋体" w:cs="宋体"/>
          <w:b/>
          <w:color w:val="auto"/>
          <w:sz w:val="24"/>
          <w:szCs w:val="24"/>
          <w:highlight w:val="none"/>
        </w:rPr>
        <w:t>现文：</w:t>
      </w:r>
      <w:r>
        <w:rPr>
          <w:rFonts w:hint="eastAsia" w:ascii="宋体" w:hAnsi="宋体" w:cs="宋体"/>
          <w:color w:val="auto"/>
          <w:sz w:val="24"/>
          <w:szCs w:val="24"/>
          <w:highlight w:val="none"/>
        </w:rPr>
        <w:t>36.5.1在投标截止时间后半小时内，投标人通过</w:t>
      </w:r>
      <w:r>
        <w:rPr>
          <w:rFonts w:hint="eastAsia" w:ascii="宋体" w:hAnsi="宋体" w:cs="宋体"/>
          <w:color w:val="auto"/>
          <w:sz w:val="24"/>
          <w:szCs w:val="24"/>
          <w:highlight w:val="none"/>
          <w:u w:val="single"/>
        </w:rPr>
        <w:t>广州公共资源交易中心</w:t>
      </w:r>
      <w:r>
        <w:rPr>
          <w:rFonts w:hint="eastAsia" w:ascii="宋体" w:hAnsi="宋体" w:cs="宋体"/>
          <w:color w:val="auto"/>
          <w:sz w:val="24"/>
          <w:szCs w:val="24"/>
          <w:highlight w:val="none"/>
        </w:rPr>
        <w:t>交易平台对已递交的电子投标文件进行解密。投标人完成解密后，再由招标人进行解密（如有项目负责人签到环节，应在项目负责人签到完成后，招标人再进行解密）。解密完成后，公布招标项目名称、投标人名称、投标保证金的递交情况、投标报价、工期及其他内容；</w:t>
      </w:r>
    </w:p>
    <w:p>
      <w:pPr>
        <w:spacing w:line="360" w:lineRule="auto"/>
        <w:ind w:firstLine="540" w:firstLineChars="224"/>
        <w:rPr>
          <w:rFonts w:hint="eastAsia" w:ascii="宋体" w:hAnsi="宋体" w:cs="宋体"/>
          <w:b/>
          <w:color w:val="auto"/>
          <w:sz w:val="24"/>
          <w:szCs w:val="24"/>
          <w:highlight w:val="none"/>
        </w:rPr>
      </w:pPr>
      <w:r>
        <w:rPr>
          <w:rFonts w:hint="eastAsia" w:ascii="宋体" w:hAnsi="宋体" w:cs="宋体"/>
          <w:b/>
          <w:color w:val="auto"/>
          <w:sz w:val="24"/>
          <w:szCs w:val="24"/>
          <w:highlight w:val="none"/>
        </w:rPr>
        <w:t>条款号：</w:t>
      </w:r>
      <w:r>
        <w:rPr>
          <w:rFonts w:hint="eastAsia" w:ascii="宋体" w:hAnsi="宋体" w:cs="宋体"/>
          <w:bCs/>
          <w:color w:val="auto"/>
          <w:sz w:val="24"/>
          <w:szCs w:val="24"/>
          <w:highlight w:val="none"/>
        </w:rPr>
        <w:t>36.5.</w:t>
      </w:r>
      <w:r>
        <w:rPr>
          <w:rFonts w:hint="eastAsia" w:ascii="宋体" w:hAnsi="宋体" w:cs="宋体"/>
          <w:bCs/>
          <w:color w:val="auto"/>
          <w:sz w:val="24"/>
          <w:szCs w:val="24"/>
          <w:highlight w:val="none"/>
          <w:lang w:val="en-US" w:eastAsia="zh-CN"/>
        </w:rPr>
        <w:t>3</w:t>
      </w:r>
      <w:r>
        <w:rPr>
          <w:rFonts w:hint="eastAsia" w:ascii="宋体" w:hAnsi="宋体" w:cs="宋体"/>
          <w:bCs/>
          <w:color w:val="auto"/>
          <w:sz w:val="24"/>
          <w:szCs w:val="24"/>
          <w:highlight w:val="none"/>
        </w:rPr>
        <w:t xml:space="preserve">              </w:t>
      </w:r>
      <w:r>
        <w:rPr>
          <w:rFonts w:hint="eastAsia" w:ascii="宋体" w:hAnsi="宋体" w:cs="宋体"/>
          <w:b/>
          <w:color w:val="auto"/>
          <w:sz w:val="24"/>
          <w:szCs w:val="24"/>
          <w:highlight w:val="none"/>
        </w:rPr>
        <w:t>修改类型：修改</w:t>
      </w:r>
    </w:p>
    <w:p>
      <w:pPr>
        <w:pBdr>
          <w:bottom w:val="none" w:color="auto" w:sz="0" w:space="0"/>
        </w:pBdr>
        <w:spacing w:line="360" w:lineRule="auto"/>
        <w:ind w:firstLine="482" w:firstLineChars="200"/>
        <w:rPr>
          <w:rFonts w:hint="eastAsia" w:ascii="宋体" w:hAnsi="宋体" w:cs="宋体"/>
          <w:color w:val="auto"/>
          <w:sz w:val="24"/>
          <w:szCs w:val="24"/>
          <w:highlight w:val="none"/>
        </w:rPr>
      </w:pPr>
      <w:r>
        <w:rPr>
          <w:rFonts w:hint="eastAsia" w:ascii="宋体" w:hAnsi="宋体" w:cs="宋体"/>
          <w:b/>
          <w:color w:val="auto"/>
          <w:sz w:val="24"/>
          <w:szCs w:val="24"/>
          <w:highlight w:val="none"/>
        </w:rPr>
        <w:t>原文：</w:t>
      </w:r>
      <w:r>
        <w:rPr>
          <w:rFonts w:hint="eastAsia" w:ascii="宋体" w:hAnsi="宋体" w:cs="宋体"/>
          <w:color w:val="auto"/>
          <w:sz w:val="24"/>
          <w:szCs w:val="24"/>
          <w:highlight w:val="none"/>
        </w:rPr>
        <w:t>36.5.3投标人代表、招标人代表、监标人、记录人等有关人员在开标记录上签字确认；若有关人员不签字的，不影响开标程序；</w:t>
      </w:r>
    </w:p>
    <w:p>
      <w:pPr>
        <w:pBdr>
          <w:bottom w:val="single" w:color="auto" w:sz="6" w:space="1"/>
        </w:pBdr>
        <w:spacing w:line="360" w:lineRule="auto"/>
        <w:ind w:firstLine="482" w:firstLineChars="200"/>
        <w:rPr>
          <w:color w:val="auto"/>
          <w:highlight w:val="none"/>
        </w:rPr>
      </w:pPr>
      <w:r>
        <w:rPr>
          <w:rFonts w:hint="eastAsia" w:ascii="宋体" w:hAnsi="宋体" w:cs="宋体"/>
          <w:b/>
          <w:color w:val="auto"/>
          <w:sz w:val="24"/>
          <w:szCs w:val="24"/>
          <w:highlight w:val="none"/>
        </w:rPr>
        <w:t>现文：</w:t>
      </w:r>
      <w:r>
        <w:rPr>
          <w:rFonts w:hint="eastAsia" w:ascii="宋体" w:hAnsi="宋体" w:cs="宋体"/>
          <w:b w:val="0"/>
          <w:bCs/>
          <w:color w:val="auto"/>
          <w:sz w:val="24"/>
          <w:szCs w:val="24"/>
          <w:highlight w:val="none"/>
        </w:rPr>
        <w:t>36.5.</w:t>
      </w:r>
      <w:r>
        <w:rPr>
          <w:rFonts w:hint="eastAsia" w:ascii="宋体" w:hAnsi="宋体" w:cs="宋体"/>
          <w:b w:val="0"/>
          <w:bCs/>
          <w:color w:val="auto"/>
          <w:sz w:val="24"/>
          <w:szCs w:val="24"/>
          <w:highlight w:val="none"/>
          <w:lang w:val="en-US" w:eastAsia="zh-CN"/>
        </w:rPr>
        <w:t>3</w:t>
      </w:r>
      <w:r>
        <w:rPr>
          <w:rFonts w:hint="eastAsia" w:ascii="宋体" w:hAnsi="宋体" w:cs="宋体"/>
          <w:b w:val="0"/>
          <w:bCs/>
          <w:color w:val="auto"/>
          <w:sz w:val="24"/>
          <w:szCs w:val="24"/>
          <w:highlight w:val="none"/>
        </w:rPr>
        <w:t>投标人代表、招标人代表、监标人、记录人等有关人员在开标记录上签字确认；若有关人员不签字的，不影响开标程序；</w:t>
      </w:r>
      <w:r>
        <w:rPr>
          <w:rFonts w:hint="eastAsia" w:ascii="宋体" w:hAnsi="宋体" w:cs="宋体"/>
          <w:b w:val="0"/>
          <w:bCs/>
          <w:color w:val="auto"/>
          <w:sz w:val="24"/>
          <w:szCs w:val="24"/>
          <w:highlight w:val="none"/>
          <w:u w:val="single"/>
        </w:rPr>
        <w:t>若投标人不参加开标会的，或不签字确认的，视同该投标人认可开标结果。</w:t>
      </w:r>
    </w:p>
    <w:p>
      <w:pPr>
        <w:pStyle w:val="35"/>
        <w:widowControl/>
        <w:spacing w:line="360" w:lineRule="auto"/>
        <w:ind w:firstLine="482" w:firstLineChars="200"/>
        <w:rPr>
          <w:rFonts w:ascii="宋体" w:hAnsi="宋体" w:cs="宋体"/>
          <w:b/>
          <w:bCs/>
          <w:color w:val="auto"/>
          <w:szCs w:val="24"/>
          <w:highlight w:val="none"/>
          <w:shd w:val="clear" w:color="auto" w:fill="FFFFFF"/>
        </w:rPr>
      </w:pPr>
      <w:r>
        <w:rPr>
          <w:rFonts w:hint="eastAsia" w:ascii="宋体" w:hAnsi="宋体" w:cs="宋体"/>
          <w:b/>
          <w:bCs/>
          <w:color w:val="auto"/>
          <w:szCs w:val="24"/>
          <w:highlight w:val="none"/>
          <w:shd w:val="clear" w:color="auto" w:fill="FFFFFF"/>
        </w:rPr>
        <w:t>条款号：39.3                   修改类型：修改</w:t>
      </w:r>
    </w:p>
    <w:p>
      <w:pPr>
        <w:widowControl/>
        <w:spacing w:line="360" w:lineRule="auto"/>
        <w:ind w:firstLine="472" w:firstLineChars="196"/>
        <w:jc w:val="left"/>
        <w:rPr>
          <w:rFonts w:ascii="宋体" w:hAnsi="宋体" w:cs="宋体"/>
          <w:color w:val="auto"/>
          <w:sz w:val="24"/>
          <w:szCs w:val="24"/>
          <w:highlight w:val="none"/>
          <w:shd w:val="clear" w:color="auto" w:fill="FFFFFF"/>
        </w:rPr>
      </w:pPr>
      <w:r>
        <w:rPr>
          <w:rFonts w:hint="eastAsia" w:ascii="宋体" w:hAnsi="宋体" w:cs="宋体"/>
          <w:b/>
          <w:color w:val="auto"/>
          <w:kern w:val="0"/>
          <w:sz w:val="24"/>
          <w:szCs w:val="24"/>
          <w:highlight w:val="none"/>
          <w:shd w:val="clear" w:color="auto" w:fill="FFFFFF"/>
        </w:rPr>
        <w:t>原文：</w:t>
      </w:r>
      <w:r>
        <w:rPr>
          <w:rFonts w:hint="eastAsia" w:ascii="宋体" w:hAnsi="宋体" w:cs="宋体"/>
          <w:color w:val="auto"/>
          <w:sz w:val="24"/>
          <w:szCs w:val="24"/>
          <w:highlight w:val="none"/>
        </w:rPr>
        <w:t>排名第一的中标候选人放弃中标、或因不可抗力提出不能履行合同，或者招标文件规定应当提交履约担保而在规定的期限内未能提交的，招标人可以确定排名第二的中标候选人为中标人。</w:t>
      </w:r>
    </w:p>
    <w:p>
      <w:pPr>
        <w:pBdr>
          <w:bottom w:val="single" w:color="auto" w:sz="6" w:space="1"/>
        </w:pBdr>
        <w:spacing w:line="360" w:lineRule="auto"/>
        <w:ind w:firstLine="482" w:firstLineChars="200"/>
        <w:rPr>
          <w:rFonts w:ascii="宋体" w:hAnsi="宋体" w:cs="宋体"/>
          <w:b/>
          <w:color w:val="auto"/>
          <w:sz w:val="24"/>
          <w:szCs w:val="24"/>
          <w:highlight w:val="none"/>
        </w:rPr>
      </w:pPr>
      <w:r>
        <w:rPr>
          <w:rFonts w:hint="eastAsia" w:ascii="宋体" w:hAnsi="宋体" w:cs="宋体"/>
          <w:b/>
          <w:color w:val="auto"/>
          <w:sz w:val="24"/>
          <w:szCs w:val="24"/>
          <w:highlight w:val="none"/>
          <w:shd w:val="clear" w:color="auto" w:fill="FFFFFF"/>
        </w:rPr>
        <w:t>现文：</w:t>
      </w:r>
      <w:r>
        <w:rPr>
          <w:rFonts w:hint="eastAsia" w:ascii="宋体" w:hAnsi="宋体" w:cs="宋体"/>
          <w:color w:val="auto"/>
          <w:sz w:val="24"/>
          <w:szCs w:val="24"/>
          <w:highlight w:val="none"/>
        </w:rPr>
        <w:t>排名第一的中标候选人放弃中标、或因不可抗力提出不能履行合同，或者招标文件规定应当提交履约担保而在规定的期限内未能提交的，</w:t>
      </w:r>
      <w:r>
        <w:rPr>
          <w:rFonts w:hint="eastAsia" w:ascii="宋体" w:hAnsi="宋体" w:cs="宋体"/>
          <w:b/>
          <w:bCs/>
          <w:color w:val="auto"/>
          <w:sz w:val="24"/>
          <w:szCs w:val="24"/>
          <w:highlight w:val="none"/>
          <w:u w:val="single"/>
          <w:shd w:val="clear" w:color="auto" w:fill="FFFFFF"/>
        </w:rPr>
        <w:t>或经核查发现委派的项目负责人已在其他在建项目中担任施工单位项目负责人的，或者被查实存在影响中标结果的违法行为等情形，不符合中标条件的，</w:t>
      </w:r>
      <w:r>
        <w:rPr>
          <w:rFonts w:hint="eastAsia" w:ascii="宋体" w:hAnsi="宋体" w:cs="宋体"/>
          <w:color w:val="auto"/>
          <w:sz w:val="24"/>
          <w:szCs w:val="24"/>
          <w:highlight w:val="none"/>
          <w:u w:val="single"/>
        </w:rPr>
        <w:t>招标人可以确定排名第二的中标候选人为中标人。</w:t>
      </w:r>
    </w:p>
    <w:p>
      <w:pPr>
        <w:adjustRightInd w:val="0"/>
        <w:spacing w:line="360" w:lineRule="auto"/>
        <w:ind w:firstLine="482" w:firstLineChars="200"/>
        <w:rPr>
          <w:rFonts w:ascii="宋体" w:hAnsi="宋体" w:cs="宋体"/>
          <w:color w:val="auto"/>
          <w:sz w:val="24"/>
          <w:szCs w:val="24"/>
          <w:highlight w:val="none"/>
        </w:rPr>
      </w:pPr>
      <w:r>
        <w:rPr>
          <w:rFonts w:hint="eastAsia" w:ascii="宋体" w:hAnsi="宋体" w:cs="宋体"/>
          <w:b/>
          <w:color w:val="auto"/>
          <w:sz w:val="24"/>
          <w:szCs w:val="24"/>
          <w:highlight w:val="none"/>
        </w:rPr>
        <w:t>条款号：（二）开标评标办法程序和细则　注       　修改类型：删除</w:t>
      </w:r>
    </w:p>
    <w:p>
      <w:pPr>
        <w:adjustRightInd w:val="0"/>
        <w:spacing w:line="360" w:lineRule="auto"/>
        <w:ind w:firstLine="482" w:firstLineChars="200"/>
        <w:rPr>
          <w:rFonts w:ascii="宋体" w:hAnsi="宋体" w:cs="宋体"/>
          <w:color w:val="auto"/>
          <w:sz w:val="24"/>
          <w:szCs w:val="24"/>
          <w:highlight w:val="none"/>
        </w:rPr>
      </w:pPr>
      <w:r>
        <w:rPr>
          <w:rFonts w:hint="eastAsia" w:ascii="宋体" w:hAnsi="宋体" w:cs="宋体"/>
          <w:b/>
          <w:bCs/>
          <w:color w:val="auto"/>
          <w:sz w:val="24"/>
          <w:szCs w:val="24"/>
          <w:highlight w:val="none"/>
        </w:rPr>
        <w:t>原文：</w:t>
      </w:r>
      <w:r>
        <w:rPr>
          <w:rFonts w:hint="eastAsia" w:ascii="宋体" w:hAnsi="宋体" w:cs="宋体"/>
          <w:color w:val="auto"/>
          <w:sz w:val="24"/>
          <w:szCs w:val="24"/>
          <w:highlight w:val="none"/>
        </w:rPr>
        <w:t>（二）开标评标办法程序和细则</w:t>
      </w:r>
    </w:p>
    <w:p>
      <w:pPr>
        <w:adjustRightIn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注：以下八种评标办法所述企业综合诚信评价分数即投标截止当日广州市工程招标代理行业协会网站上公布的企业综合诚信评价60日诚信分。</w:t>
      </w:r>
    </w:p>
    <w:p>
      <w:pPr>
        <w:pBdr>
          <w:bottom w:val="single" w:color="auto" w:sz="6" w:space="1"/>
        </w:pBdr>
        <w:adjustRightInd w:val="0"/>
        <w:spacing w:line="360" w:lineRule="auto"/>
        <w:rPr>
          <w:rFonts w:ascii="宋体" w:hAnsi="宋体" w:cs="宋体"/>
          <w:color w:val="auto"/>
          <w:sz w:val="24"/>
          <w:szCs w:val="24"/>
          <w:highlight w:val="none"/>
        </w:rPr>
      </w:pPr>
    </w:p>
    <w:p>
      <w:pPr>
        <w:spacing w:line="360" w:lineRule="auto"/>
        <w:ind w:firstLine="540" w:firstLineChars="224"/>
        <w:rPr>
          <w:rFonts w:ascii="宋体" w:hAnsi="宋体" w:cs="宋体"/>
          <w:b/>
          <w:color w:val="auto"/>
          <w:sz w:val="24"/>
          <w:szCs w:val="24"/>
          <w:highlight w:val="none"/>
        </w:rPr>
      </w:pPr>
      <w:r>
        <w:rPr>
          <w:rFonts w:hint="eastAsia" w:ascii="宋体" w:hAnsi="宋体" w:cs="宋体"/>
          <w:b/>
          <w:color w:val="auto"/>
          <w:sz w:val="24"/>
          <w:szCs w:val="24"/>
          <w:highlight w:val="none"/>
        </w:rPr>
        <w:t>条款号： 评标办法        修改类型：删除</w:t>
      </w:r>
    </w:p>
    <w:p>
      <w:pPr>
        <w:pBdr>
          <w:bottom w:val="single" w:color="auto" w:sz="6" w:space="1"/>
        </w:pBdr>
        <w:spacing w:line="360" w:lineRule="auto"/>
        <w:ind w:firstLine="602" w:firstLineChars="250"/>
        <w:rPr>
          <w:rStyle w:val="46"/>
          <w:rFonts w:ascii="宋体" w:hAnsi="宋体" w:cs="宋体"/>
          <w:color w:val="auto"/>
          <w:szCs w:val="21"/>
          <w:highlight w:val="none"/>
        </w:rPr>
      </w:pPr>
      <w:r>
        <w:rPr>
          <w:rFonts w:hint="eastAsia" w:ascii="宋体" w:hAnsi="宋体" w:cs="宋体"/>
          <w:b/>
          <w:color w:val="auto"/>
          <w:sz w:val="24"/>
          <w:szCs w:val="24"/>
          <w:highlight w:val="none"/>
        </w:rPr>
        <w:t>原文：</w:t>
      </w:r>
      <w:r>
        <w:rPr>
          <w:rStyle w:val="46"/>
          <w:rFonts w:hint="eastAsia" w:ascii="宋体" w:hAnsi="宋体" w:cs="宋体"/>
          <w:color w:val="auto"/>
          <w:sz w:val="24"/>
          <w:szCs w:val="24"/>
          <w:highlight w:val="none"/>
        </w:rPr>
        <w:t>可选</w:t>
      </w:r>
      <w:r>
        <w:rPr>
          <w:rFonts w:hint="eastAsia" w:ascii="宋体" w:hAnsi="宋体" w:cs="宋体"/>
          <w:color w:val="auto"/>
          <w:sz w:val="24"/>
          <w:szCs w:val="24"/>
          <w:highlight w:val="none"/>
        </w:rPr>
        <w:t>办法</w:t>
      </w:r>
      <w:r>
        <w:rPr>
          <w:rStyle w:val="46"/>
          <w:rFonts w:hint="eastAsia" w:ascii="宋体" w:hAnsi="宋体" w:cs="宋体"/>
          <w:color w:val="auto"/>
          <w:sz w:val="24"/>
          <w:szCs w:val="24"/>
          <w:highlight w:val="none"/>
        </w:rPr>
        <w:t>一（适合</w:t>
      </w:r>
      <w:r>
        <w:rPr>
          <w:rStyle w:val="46"/>
          <w:rFonts w:hint="eastAsia" w:ascii="宋体" w:hAnsi="宋体" w:cs="宋体"/>
          <w:color w:val="auto"/>
          <w:kern w:val="0"/>
          <w:sz w:val="24"/>
          <w:szCs w:val="24"/>
          <w:highlight w:val="none"/>
        </w:rPr>
        <w:t>综合评分法一</w:t>
      </w:r>
      <w:r>
        <w:rPr>
          <w:rStyle w:val="46"/>
          <w:rFonts w:hint="eastAsia" w:ascii="宋体" w:hAnsi="宋体" w:cs="宋体"/>
          <w:color w:val="auto"/>
          <w:sz w:val="24"/>
          <w:szCs w:val="24"/>
          <w:highlight w:val="none"/>
        </w:rPr>
        <w:t>，技术标与经济标先后分别开启）</w:t>
      </w:r>
    </w:p>
    <w:p>
      <w:pPr>
        <w:pBdr>
          <w:bottom w:val="single" w:color="auto" w:sz="6" w:space="1"/>
        </w:pBdr>
        <w:spacing w:line="360" w:lineRule="auto"/>
        <w:ind w:firstLine="1320" w:firstLineChars="550"/>
        <w:rPr>
          <w:rStyle w:val="46"/>
          <w:rFonts w:ascii="宋体" w:hAnsi="宋体" w:cs="宋体"/>
          <w:color w:val="auto"/>
          <w:sz w:val="24"/>
          <w:szCs w:val="24"/>
          <w:highlight w:val="none"/>
        </w:rPr>
      </w:pPr>
      <w:r>
        <w:rPr>
          <w:rStyle w:val="46"/>
          <w:rFonts w:hint="eastAsia" w:ascii="宋体" w:hAnsi="宋体" w:cs="宋体"/>
          <w:color w:val="auto"/>
          <w:sz w:val="24"/>
          <w:szCs w:val="24"/>
          <w:highlight w:val="none"/>
        </w:rPr>
        <w:t>可选</w:t>
      </w:r>
      <w:r>
        <w:rPr>
          <w:rFonts w:hint="eastAsia" w:ascii="宋体" w:hAnsi="宋体" w:cs="宋体"/>
          <w:color w:val="auto"/>
          <w:sz w:val="24"/>
          <w:szCs w:val="24"/>
          <w:highlight w:val="none"/>
        </w:rPr>
        <w:t>办法</w:t>
      </w:r>
      <w:r>
        <w:rPr>
          <w:rStyle w:val="46"/>
          <w:rFonts w:hint="eastAsia" w:ascii="宋体" w:hAnsi="宋体" w:cs="宋体"/>
          <w:color w:val="auto"/>
          <w:sz w:val="24"/>
          <w:szCs w:val="24"/>
          <w:highlight w:val="none"/>
        </w:rPr>
        <w:t>二（适合综合评分法一，技术标与经济标同时开启）</w:t>
      </w:r>
    </w:p>
    <w:p>
      <w:pPr>
        <w:pBdr>
          <w:bottom w:val="single" w:color="auto" w:sz="6" w:space="1"/>
        </w:pBdr>
        <w:spacing w:line="360" w:lineRule="auto"/>
        <w:ind w:firstLine="1320" w:firstLineChars="550"/>
        <w:rPr>
          <w:rStyle w:val="46"/>
          <w:rFonts w:ascii="宋体" w:hAnsi="宋体" w:cs="宋体"/>
          <w:color w:val="auto"/>
          <w:sz w:val="24"/>
          <w:szCs w:val="24"/>
          <w:highlight w:val="none"/>
        </w:rPr>
      </w:pPr>
      <w:r>
        <w:rPr>
          <w:rStyle w:val="46"/>
          <w:rFonts w:hint="eastAsia" w:ascii="宋体" w:hAnsi="宋体" w:cs="宋体"/>
          <w:color w:val="auto"/>
          <w:sz w:val="24"/>
          <w:szCs w:val="24"/>
          <w:highlight w:val="none"/>
        </w:rPr>
        <w:t>可选办法三（适合综合评分法二，技术标与经济标先后分别开启）</w:t>
      </w:r>
    </w:p>
    <w:p>
      <w:pPr>
        <w:pBdr>
          <w:bottom w:val="single" w:color="auto" w:sz="6" w:space="1"/>
        </w:pBdr>
        <w:spacing w:line="360" w:lineRule="auto"/>
        <w:ind w:firstLine="1320" w:firstLineChars="550"/>
        <w:rPr>
          <w:rStyle w:val="46"/>
          <w:rFonts w:ascii="宋体" w:hAnsi="宋体" w:cs="宋体"/>
          <w:color w:val="auto"/>
          <w:sz w:val="24"/>
          <w:szCs w:val="24"/>
          <w:highlight w:val="none"/>
        </w:rPr>
      </w:pPr>
      <w:r>
        <w:rPr>
          <w:rStyle w:val="46"/>
          <w:rFonts w:hint="eastAsia" w:ascii="宋体" w:hAnsi="宋体" w:cs="宋体"/>
          <w:color w:val="auto"/>
          <w:sz w:val="24"/>
          <w:szCs w:val="24"/>
          <w:highlight w:val="none"/>
        </w:rPr>
        <w:t>可选办法四（适合综合评分法二，技术标与经济标同时开启）</w:t>
      </w:r>
    </w:p>
    <w:p>
      <w:pPr>
        <w:pBdr>
          <w:bottom w:val="single" w:color="auto" w:sz="6" w:space="1"/>
        </w:pBdr>
        <w:spacing w:line="360" w:lineRule="auto"/>
        <w:ind w:firstLine="1320" w:firstLineChars="550"/>
        <w:rPr>
          <w:rStyle w:val="46"/>
          <w:rFonts w:ascii="宋体" w:hAnsi="宋体" w:cs="宋体"/>
          <w:color w:val="auto"/>
          <w:sz w:val="24"/>
          <w:szCs w:val="24"/>
          <w:highlight w:val="none"/>
        </w:rPr>
      </w:pPr>
      <w:r>
        <w:rPr>
          <w:rStyle w:val="46"/>
          <w:rFonts w:hint="eastAsia" w:ascii="宋体" w:hAnsi="宋体" w:cs="宋体"/>
          <w:color w:val="auto"/>
          <w:sz w:val="24"/>
          <w:szCs w:val="24"/>
          <w:highlight w:val="none"/>
        </w:rPr>
        <w:t>可选办法五（适合综合评分法三，技术标与经济标先后分别开启）</w:t>
      </w:r>
    </w:p>
    <w:p>
      <w:pPr>
        <w:pBdr>
          <w:bottom w:val="single" w:color="auto" w:sz="6" w:space="1"/>
        </w:pBdr>
        <w:spacing w:line="360" w:lineRule="auto"/>
        <w:ind w:firstLine="1320" w:firstLineChars="550"/>
        <w:rPr>
          <w:rStyle w:val="46"/>
          <w:rFonts w:ascii="宋体" w:hAnsi="宋体" w:cs="宋体"/>
          <w:color w:val="auto"/>
          <w:sz w:val="24"/>
          <w:szCs w:val="24"/>
          <w:highlight w:val="none"/>
        </w:rPr>
      </w:pPr>
      <w:r>
        <w:rPr>
          <w:rStyle w:val="46"/>
          <w:rFonts w:hint="eastAsia" w:ascii="宋体" w:hAnsi="宋体" w:cs="宋体"/>
          <w:color w:val="auto"/>
          <w:sz w:val="24"/>
          <w:szCs w:val="24"/>
          <w:highlight w:val="none"/>
        </w:rPr>
        <w:t>可选办法六（适合综合评分法三，技术标与经济标同时开启）</w:t>
      </w:r>
    </w:p>
    <w:p>
      <w:pPr>
        <w:pBdr>
          <w:bottom w:val="single" w:color="auto" w:sz="6" w:space="1"/>
        </w:pBdr>
        <w:spacing w:line="360" w:lineRule="auto"/>
        <w:ind w:firstLine="1320" w:firstLineChars="550"/>
        <w:rPr>
          <w:rFonts w:ascii="宋体" w:hAnsi="宋体" w:cs="宋体"/>
          <w:b/>
          <w:color w:val="auto"/>
          <w:sz w:val="24"/>
          <w:szCs w:val="24"/>
          <w:highlight w:val="none"/>
        </w:rPr>
      </w:pPr>
      <w:r>
        <w:rPr>
          <w:rStyle w:val="46"/>
          <w:rFonts w:hint="eastAsia" w:ascii="宋体" w:hAnsi="宋体" w:cs="宋体"/>
          <w:color w:val="auto"/>
          <w:sz w:val="24"/>
          <w:szCs w:val="24"/>
          <w:highlight w:val="none"/>
        </w:rPr>
        <w:t>可选办法八（适合经评审的最低投标价法，技术标与经济标同时开启）</w:t>
      </w:r>
    </w:p>
    <w:p>
      <w:pPr>
        <w:spacing w:line="360" w:lineRule="auto"/>
        <w:ind w:firstLine="482" w:firstLineChars="200"/>
        <w:rPr>
          <w:rFonts w:ascii="宋体" w:hAnsi="宋体" w:cs="宋体"/>
          <w:b/>
          <w:color w:val="auto"/>
          <w:sz w:val="24"/>
          <w:szCs w:val="24"/>
          <w:highlight w:val="none"/>
        </w:rPr>
      </w:pPr>
      <w:r>
        <w:rPr>
          <w:rFonts w:hint="eastAsia" w:ascii="宋体" w:hAnsi="宋体" w:cs="宋体"/>
          <w:b/>
          <w:color w:val="auto"/>
          <w:sz w:val="24"/>
          <w:szCs w:val="24"/>
          <w:highlight w:val="none"/>
        </w:rPr>
        <w:t>条款号： 41.1         修改类型：修改</w:t>
      </w:r>
    </w:p>
    <w:p>
      <w:pPr>
        <w:pBdr>
          <w:bottom w:val="single" w:color="auto" w:sz="6" w:space="1"/>
        </w:pBdr>
        <w:spacing w:line="360" w:lineRule="auto"/>
        <w:ind w:firstLine="602" w:firstLineChars="250"/>
        <w:rPr>
          <w:rFonts w:ascii="宋体" w:hAnsi="宋体" w:cs="宋体"/>
          <w:b/>
          <w:color w:val="auto"/>
          <w:sz w:val="24"/>
          <w:szCs w:val="24"/>
          <w:highlight w:val="none"/>
        </w:rPr>
      </w:pPr>
      <w:r>
        <w:rPr>
          <w:rFonts w:hint="eastAsia" w:ascii="宋体" w:hAnsi="宋体" w:cs="宋体"/>
          <w:b/>
          <w:color w:val="auto"/>
          <w:sz w:val="24"/>
          <w:szCs w:val="24"/>
          <w:highlight w:val="none"/>
        </w:rPr>
        <w:t>原文：</w:t>
      </w:r>
      <w:r>
        <w:rPr>
          <w:rFonts w:hint="eastAsia" w:ascii="宋体" w:hAnsi="宋体" w:cs="宋体"/>
          <w:color w:val="auto"/>
          <w:sz w:val="24"/>
          <w:szCs w:val="24"/>
          <w:highlight w:val="none"/>
        </w:rPr>
        <w:t>41.1 开标由招标人主持；</w:t>
      </w:r>
    </w:p>
    <w:p>
      <w:pPr>
        <w:pBdr>
          <w:bottom w:val="single" w:color="auto" w:sz="6" w:space="1"/>
        </w:pBdr>
        <w:spacing w:line="360" w:lineRule="auto"/>
        <w:ind w:firstLine="602" w:firstLineChars="250"/>
        <w:rPr>
          <w:rFonts w:ascii="宋体" w:hAnsi="宋体" w:cs="宋体"/>
          <w:b/>
          <w:color w:val="auto"/>
          <w:sz w:val="24"/>
          <w:szCs w:val="24"/>
          <w:highlight w:val="none"/>
        </w:rPr>
      </w:pPr>
      <w:r>
        <w:rPr>
          <w:rFonts w:hint="eastAsia" w:ascii="宋体" w:hAnsi="宋体" w:cs="宋体"/>
          <w:b/>
          <w:color w:val="auto"/>
          <w:sz w:val="24"/>
          <w:szCs w:val="24"/>
          <w:highlight w:val="none"/>
        </w:rPr>
        <w:t>现文：</w:t>
      </w:r>
      <w:r>
        <w:rPr>
          <w:rFonts w:hint="eastAsia" w:ascii="宋体" w:hAnsi="宋体" w:cs="宋体"/>
          <w:color w:val="auto"/>
          <w:sz w:val="24"/>
          <w:szCs w:val="24"/>
          <w:highlight w:val="none"/>
        </w:rPr>
        <w:t xml:space="preserve">41.1 </w:t>
      </w:r>
      <w:r>
        <w:rPr>
          <w:rFonts w:hint="eastAsia" w:ascii="宋体" w:hAnsi="宋体" w:cs="宋体"/>
          <w:color w:val="auto"/>
          <w:sz w:val="24"/>
          <w:szCs w:val="24"/>
          <w:highlight w:val="none"/>
          <w:u w:val="single"/>
        </w:rPr>
        <w:t>开标由招标人或招标代理主持；</w:t>
      </w:r>
    </w:p>
    <w:p>
      <w:pPr>
        <w:spacing w:line="360" w:lineRule="auto"/>
        <w:ind w:firstLine="540" w:firstLineChars="224"/>
        <w:rPr>
          <w:rFonts w:ascii="宋体" w:hAnsi="宋体" w:cs="宋体"/>
          <w:b/>
          <w:color w:val="auto"/>
          <w:sz w:val="24"/>
          <w:szCs w:val="24"/>
          <w:highlight w:val="none"/>
        </w:rPr>
      </w:pPr>
      <w:r>
        <w:rPr>
          <w:rFonts w:hint="eastAsia" w:ascii="宋体" w:hAnsi="宋体" w:cs="宋体"/>
          <w:b/>
          <w:color w:val="auto"/>
          <w:sz w:val="24"/>
          <w:szCs w:val="24"/>
          <w:highlight w:val="none"/>
        </w:rPr>
        <w:t>条款号：41.2.1             修改类型：修改</w:t>
      </w:r>
    </w:p>
    <w:p>
      <w:pPr>
        <w:spacing w:line="360" w:lineRule="auto"/>
        <w:ind w:firstLine="540" w:firstLineChars="224"/>
        <w:rPr>
          <w:rFonts w:ascii="宋体" w:hAnsi="宋体" w:cs="宋体"/>
          <w:b/>
          <w:color w:val="auto"/>
          <w:sz w:val="24"/>
          <w:szCs w:val="24"/>
          <w:highlight w:val="none"/>
        </w:rPr>
      </w:pPr>
      <w:r>
        <w:rPr>
          <w:rFonts w:hint="eastAsia" w:ascii="宋体" w:hAnsi="宋体" w:cs="宋体"/>
          <w:b/>
          <w:color w:val="auto"/>
          <w:sz w:val="24"/>
          <w:szCs w:val="24"/>
          <w:highlight w:val="none"/>
        </w:rPr>
        <w:t>原文：</w:t>
      </w:r>
      <w:r>
        <w:rPr>
          <w:rFonts w:hint="eastAsia" w:ascii="宋体" w:hAnsi="宋体" w:cs="宋体"/>
          <w:b/>
          <w:bCs/>
          <w:color w:val="auto"/>
          <w:sz w:val="24"/>
          <w:szCs w:val="24"/>
          <w:highlight w:val="none"/>
        </w:rPr>
        <w:t>41.2.1</w:t>
      </w:r>
      <w:r>
        <w:rPr>
          <w:rFonts w:hint="eastAsia" w:ascii="宋体" w:hAnsi="宋体" w:cs="宋体"/>
          <w:bCs/>
          <w:color w:val="auto"/>
          <w:sz w:val="24"/>
          <w:szCs w:val="24"/>
          <w:highlight w:val="none"/>
        </w:rPr>
        <w:t xml:space="preserve">投标截止期前，各投标人递交投标文件（包括技术标投标文件、经济标投标文件）至交易平台。有关投标文件提交的事项详见第一章投标须知。 </w:t>
      </w:r>
    </w:p>
    <w:p>
      <w:pPr>
        <w:pBdr>
          <w:bottom w:val="single" w:color="auto" w:sz="6" w:space="1"/>
        </w:pBdr>
        <w:spacing w:line="360" w:lineRule="auto"/>
        <w:ind w:firstLine="602" w:firstLineChars="250"/>
        <w:rPr>
          <w:rFonts w:ascii="宋体" w:hAnsi="宋体" w:cs="宋体"/>
          <w:color w:val="auto"/>
          <w:sz w:val="24"/>
          <w:szCs w:val="24"/>
          <w:highlight w:val="none"/>
        </w:rPr>
      </w:pPr>
      <w:r>
        <w:rPr>
          <w:rFonts w:hint="eastAsia" w:ascii="宋体" w:hAnsi="宋体" w:cs="宋体"/>
          <w:b/>
          <w:color w:val="auto"/>
          <w:sz w:val="24"/>
          <w:szCs w:val="24"/>
          <w:highlight w:val="none"/>
        </w:rPr>
        <w:t>现文：</w:t>
      </w:r>
      <w:r>
        <w:rPr>
          <w:rFonts w:hint="eastAsia" w:ascii="宋体" w:hAnsi="宋体" w:cs="宋体"/>
          <w:b/>
          <w:bCs/>
          <w:color w:val="auto"/>
          <w:sz w:val="24"/>
          <w:szCs w:val="24"/>
          <w:highlight w:val="none"/>
        </w:rPr>
        <w:t>41.2.1</w:t>
      </w:r>
      <w:r>
        <w:rPr>
          <w:rFonts w:hint="eastAsia" w:ascii="宋体" w:hAnsi="宋体" w:cs="宋体"/>
          <w:bCs/>
          <w:color w:val="auto"/>
          <w:sz w:val="24"/>
          <w:szCs w:val="24"/>
          <w:highlight w:val="none"/>
        </w:rPr>
        <w:t>投标截止期前，各投标人递交投标文件（包括技术标投标文件、经济标投标文件）至</w:t>
      </w:r>
      <w:r>
        <w:rPr>
          <w:rFonts w:hint="eastAsia" w:ascii="宋体" w:hAnsi="宋体" w:cs="宋体"/>
          <w:bCs/>
          <w:color w:val="auto"/>
          <w:sz w:val="24"/>
          <w:szCs w:val="24"/>
          <w:highlight w:val="none"/>
          <w:u w:val="single"/>
        </w:rPr>
        <w:t>广州公共资源交易中心</w:t>
      </w:r>
      <w:r>
        <w:rPr>
          <w:rFonts w:hint="eastAsia" w:ascii="宋体" w:hAnsi="宋体" w:cs="宋体"/>
          <w:bCs/>
          <w:color w:val="auto"/>
          <w:sz w:val="24"/>
          <w:szCs w:val="24"/>
          <w:highlight w:val="none"/>
        </w:rPr>
        <w:t>交易平台。有关投标文件提交的事项详见第一章投标须知。</w:t>
      </w:r>
    </w:p>
    <w:p>
      <w:pPr>
        <w:spacing w:line="360" w:lineRule="auto"/>
        <w:ind w:firstLine="540" w:firstLineChars="224"/>
        <w:rPr>
          <w:rFonts w:ascii="宋体" w:hAnsi="宋体" w:cs="宋体"/>
          <w:b/>
          <w:color w:val="auto"/>
          <w:sz w:val="24"/>
          <w:szCs w:val="24"/>
          <w:highlight w:val="none"/>
        </w:rPr>
      </w:pPr>
      <w:r>
        <w:rPr>
          <w:rFonts w:hint="eastAsia" w:ascii="宋体" w:hAnsi="宋体" w:cs="宋体"/>
          <w:b/>
          <w:color w:val="auto"/>
          <w:sz w:val="24"/>
          <w:szCs w:val="24"/>
          <w:highlight w:val="none"/>
        </w:rPr>
        <w:t>条款号：42.2                    修改类型：修改</w:t>
      </w:r>
    </w:p>
    <w:p>
      <w:pPr>
        <w:pStyle w:val="5"/>
        <w:tabs>
          <w:tab w:val="left" w:pos="7380"/>
        </w:tabs>
        <w:snapToGrid w:val="0"/>
        <w:spacing w:after="0" w:line="360" w:lineRule="auto"/>
        <w:ind w:firstLine="482" w:firstLineChars="200"/>
        <w:rPr>
          <w:rFonts w:ascii="宋体" w:hAnsi="宋体" w:cs="宋体"/>
          <w:color w:val="auto"/>
          <w:sz w:val="24"/>
          <w:szCs w:val="24"/>
          <w:highlight w:val="none"/>
        </w:rPr>
      </w:pPr>
      <w:r>
        <w:rPr>
          <w:rFonts w:hint="eastAsia" w:ascii="宋体" w:hAnsi="宋体" w:cs="宋体"/>
          <w:b/>
          <w:color w:val="auto"/>
          <w:sz w:val="24"/>
          <w:szCs w:val="24"/>
          <w:highlight w:val="none"/>
        </w:rPr>
        <w:t>原文：</w:t>
      </w:r>
      <w:r>
        <w:rPr>
          <w:rFonts w:hint="eastAsia" w:ascii="宋体" w:hAnsi="宋体" w:cs="宋体"/>
          <w:color w:val="auto"/>
          <w:sz w:val="24"/>
          <w:szCs w:val="24"/>
          <w:highlight w:val="none"/>
        </w:rPr>
        <w:t>42.2评标委员会的组成：方式。</w:t>
      </w:r>
    </w:p>
    <w:p>
      <w:pPr>
        <w:pStyle w:val="5"/>
        <w:tabs>
          <w:tab w:val="left" w:pos="7380"/>
        </w:tabs>
        <w:snapToGrid w:val="0"/>
        <w:spacing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方式一：评标委员会为综合评标委员会，负责资格审查及评标工作。</w:t>
      </w:r>
    </w:p>
    <w:p>
      <w:pPr>
        <w:pStyle w:val="5"/>
        <w:tabs>
          <w:tab w:val="left" w:pos="7380"/>
        </w:tabs>
        <w:snapToGrid w:val="0"/>
        <w:spacing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方式二：评标委员会由技术评审组和经济评审组组成。其中：资格审查及技术评审由技术评标组负责，经济评审由经济评审组负责。</w:t>
      </w:r>
    </w:p>
    <w:p>
      <w:pPr>
        <w:pBdr>
          <w:bottom w:val="single" w:color="auto" w:sz="6" w:space="1"/>
        </w:pBdr>
        <w:spacing w:line="360" w:lineRule="auto"/>
        <w:ind w:firstLine="602" w:firstLineChars="250"/>
        <w:rPr>
          <w:rFonts w:ascii="宋体" w:hAnsi="宋体" w:cs="宋体"/>
          <w:color w:val="auto"/>
          <w:sz w:val="24"/>
          <w:szCs w:val="24"/>
          <w:highlight w:val="none"/>
        </w:rPr>
      </w:pPr>
      <w:r>
        <w:rPr>
          <w:rFonts w:hint="eastAsia" w:ascii="宋体" w:hAnsi="宋体" w:cs="宋体"/>
          <w:b/>
          <w:color w:val="auto"/>
          <w:sz w:val="24"/>
          <w:szCs w:val="24"/>
          <w:highlight w:val="none"/>
        </w:rPr>
        <w:t>现文：</w:t>
      </w:r>
      <w:r>
        <w:rPr>
          <w:rFonts w:hint="eastAsia" w:ascii="宋体" w:hAnsi="宋体" w:cs="宋体"/>
          <w:color w:val="auto"/>
          <w:sz w:val="24"/>
          <w:szCs w:val="24"/>
          <w:highlight w:val="none"/>
        </w:rPr>
        <w:t>42.2评标委员会的组成：方式</w:t>
      </w:r>
      <w:r>
        <w:rPr>
          <w:rFonts w:hint="eastAsia" w:ascii="宋体" w:hAnsi="宋体" w:cs="宋体"/>
          <w:color w:val="auto"/>
          <w:sz w:val="24"/>
          <w:szCs w:val="24"/>
          <w:highlight w:val="none"/>
          <w:u w:val="single"/>
        </w:rPr>
        <w:t xml:space="preserve"> 一 </w:t>
      </w:r>
      <w:r>
        <w:rPr>
          <w:rFonts w:hint="eastAsia" w:ascii="宋体" w:hAnsi="宋体" w:cs="宋体"/>
          <w:color w:val="auto"/>
          <w:sz w:val="24"/>
          <w:szCs w:val="24"/>
          <w:highlight w:val="none"/>
        </w:rPr>
        <w:t>。</w:t>
      </w:r>
    </w:p>
    <w:p>
      <w:pPr>
        <w:pBdr>
          <w:bottom w:val="single" w:color="auto" w:sz="6" w:space="1"/>
        </w:pBdr>
        <w:spacing w:line="360" w:lineRule="auto"/>
        <w:ind w:firstLine="600" w:firstLineChars="250"/>
        <w:rPr>
          <w:rFonts w:ascii="宋体" w:hAnsi="宋体" w:cs="宋体"/>
          <w:color w:val="auto"/>
          <w:sz w:val="24"/>
          <w:szCs w:val="24"/>
          <w:highlight w:val="none"/>
        </w:rPr>
      </w:pPr>
      <w:r>
        <w:rPr>
          <w:rFonts w:hint="eastAsia" w:ascii="宋体" w:hAnsi="宋体" w:cs="宋体"/>
          <w:color w:val="auto"/>
          <w:sz w:val="24"/>
          <w:szCs w:val="24"/>
          <w:highlight w:val="none"/>
        </w:rPr>
        <w:t>方式一：评标委员会为综合评标委员会，负责资格审查及评标工作。</w:t>
      </w:r>
    </w:p>
    <w:p>
      <w:pPr>
        <w:spacing w:line="360" w:lineRule="auto"/>
        <w:ind w:firstLine="540" w:firstLineChars="224"/>
        <w:rPr>
          <w:rFonts w:ascii="宋体" w:hAnsi="宋体" w:cs="宋体"/>
          <w:b/>
          <w:color w:val="auto"/>
          <w:sz w:val="24"/>
          <w:szCs w:val="24"/>
          <w:highlight w:val="none"/>
        </w:rPr>
      </w:pPr>
      <w:r>
        <w:rPr>
          <w:rFonts w:hint="eastAsia" w:ascii="宋体" w:hAnsi="宋体" w:cs="宋体"/>
          <w:b/>
          <w:color w:val="auto"/>
          <w:sz w:val="24"/>
          <w:szCs w:val="24"/>
          <w:highlight w:val="none"/>
        </w:rPr>
        <w:t>条款号：43.6                          修改类型：修改</w:t>
      </w:r>
    </w:p>
    <w:p>
      <w:pPr>
        <w:pBdr>
          <w:bottom w:val="single" w:color="auto" w:sz="6" w:space="1"/>
        </w:pBdr>
        <w:spacing w:line="360" w:lineRule="auto"/>
        <w:ind w:firstLine="540" w:firstLineChars="224"/>
        <w:rPr>
          <w:rFonts w:ascii="宋体" w:hAnsi="宋体" w:cs="宋体"/>
          <w:bCs/>
          <w:color w:val="auto"/>
          <w:sz w:val="24"/>
          <w:szCs w:val="24"/>
          <w:highlight w:val="none"/>
        </w:rPr>
      </w:pPr>
      <w:r>
        <w:rPr>
          <w:rFonts w:hint="eastAsia" w:ascii="宋体" w:hAnsi="宋体" w:cs="宋体"/>
          <w:b/>
          <w:color w:val="auto"/>
          <w:sz w:val="24"/>
          <w:szCs w:val="24"/>
          <w:highlight w:val="none"/>
        </w:rPr>
        <w:t>原文：</w:t>
      </w:r>
      <w:r>
        <w:rPr>
          <w:rFonts w:hint="eastAsia" w:ascii="宋体" w:hAnsi="宋体" w:cs="宋体"/>
          <w:bCs/>
          <w:color w:val="auto"/>
          <w:sz w:val="24"/>
          <w:szCs w:val="24"/>
          <w:highlight w:val="none"/>
        </w:rPr>
        <w:t>43.6资格审查合格的投标人少于3名的（当N个标段同时招标且不允许兼中时，资格审查合格的投标人少于N+2名），则本项目招标失败。</w:t>
      </w:r>
    </w:p>
    <w:p>
      <w:pPr>
        <w:pBdr>
          <w:bottom w:val="single" w:color="auto" w:sz="6" w:space="1"/>
        </w:pBdr>
        <w:spacing w:line="360" w:lineRule="auto"/>
        <w:ind w:firstLine="540" w:firstLineChars="224"/>
        <w:rPr>
          <w:rFonts w:ascii="宋体" w:hAnsi="宋体" w:cs="宋体"/>
          <w:color w:val="auto"/>
          <w:sz w:val="24"/>
          <w:szCs w:val="24"/>
          <w:highlight w:val="none"/>
        </w:rPr>
      </w:pPr>
      <w:r>
        <w:rPr>
          <w:rFonts w:hint="eastAsia" w:ascii="宋体" w:hAnsi="宋体" w:cs="宋体"/>
          <w:b/>
          <w:color w:val="auto"/>
          <w:sz w:val="24"/>
          <w:szCs w:val="24"/>
          <w:highlight w:val="none"/>
        </w:rPr>
        <w:t>现文：</w:t>
      </w:r>
      <w:r>
        <w:rPr>
          <w:rFonts w:hint="eastAsia" w:ascii="宋体" w:hAnsi="宋体" w:cs="宋体"/>
          <w:bCs/>
          <w:color w:val="auto"/>
          <w:sz w:val="24"/>
          <w:szCs w:val="24"/>
          <w:highlight w:val="none"/>
        </w:rPr>
        <w:t>43.6</w:t>
      </w:r>
      <w:r>
        <w:rPr>
          <w:rFonts w:hint="eastAsia" w:ascii="宋体" w:hAnsi="宋体" w:cs="宋体"/>
          <w:color w:val="auto"/>
          <w:sz w:val="24"/>
          <w:szCs w:val="24"/>
          <w:highlight w:val="none"/>
          <w:u w:val="single"/>
        </w:rPr>
        <w:t>资格审查合格的投标人少于3名的，则本项目招标失败</w:t>
      </w:r>
      <w:r>
        <w:rPr>
          <w:rFonts w:hint="eastAsia" w:ascii="宋体" w:hAnsi="宋体" w:cs="宋体"/>
          <w:color w:val="auto"/>
          <w:sz w:val="24"/>
          <w:szCs w:val="24"/>
          <w:highlight w:val="none"/>
        </w:rPr>
        <w:t>。</w:t>
      </w:r>
    </w:p>
    <w:p>
      <w:pPr>
        <w:spacing w:line="360" w:lineRule="auto"/>
        <w:ind w:firstLine="540" w:firstLineChars="224"/>
        <w:rPr>
          <w:rFonts w:ascii="宋体" w:hAnsi="宋体" w:cs="宋体"/>
          <w:b/>
          <w:color w:val="auto"/>
          <w:sz w:val="24"/>
          <w:szCs w:val="24"/>
          <w:highlight w:val="none"/>
        </w:rPr>
      </w:pPr>
      <w:r>
        <w:rPr>
          <w:rFonts w:hint="eastAsia" w:ascii="宋体" w:hAnsi="宋体" w:cs="宋体"/>
          <w:b/>
          <w:color w:val="auto"/>
          <w:sz w:val="24"/>
          <w:szCs w:val="24"/>
          <w:highlight w:val="none"/>
        </w:rPr>
        <w:t>条款号：45.1             修改类型：修改</w:t>
      </w:r>
    </w:p>
    <w:p>
      <w:pPr>
        <w:pBdr>
          <w:bottom w:val="single" w:color="auto" w:sz="6" w:space="1"/>
        </w:pBdr>
        <w:spacing w:line="360" w:lineRule="auto"/>
        <w:ind w:firstLine="540" w:firstLineChars="224"/>
        <w:rPr>
          <w:rFonts w:ascii="宋体" w:hAnsi="宋体" w:cs="宋体"/>
          <w:b/>
          <w:color w:val="auto"/>
          <w:sz w:val="24"/>
          <w:szCs w:val="24"/>
          <w:highlight w:val="none"/>
        </w:rPr>
      </w:pPr>
      <w:r>
        <w:rPr>
          <w:rFonts w:hint="eastAsia" w:ascii="宋体" w:hAnsi="宋体" w:cs="宋体"/>
          <w:b/>
          <w:color w:val="auto"/>
          <w:sz w:val="24"/>
          <w:szCs w:val="24"/>
          <w:highlight w:val="none"/>
        </w:rPr>
        <w:t>原文：</w:t>
      </w:r>
      <w:r>
        <w:rPr>
          <w:rFonts w:hint="eastAsia" w:ascii="宋体" w:hAnsi="宋体" w:cs="宋体"/>
          <w:bCs/>
          <w:color w:val="auto"/>
          <w:sz w:val="24"/>
          <w:szCs w:val="24"/>
          <w:highlight w:val="none"/>
        </w:rPr>
        <w:t>若通过技术标有效性审查的投标人中有投标报价均大于等于最高投标限价*D%（D的取值范围为[94,100],由招标人自主确定）的（具体金额为：元），则本项目招标失败，由招标人依法重新招标。</w:t>
      </w:r>
    </w:p>
    <w:p>
      <w:pPr>
        <w:pBdr>
          <w:bottom w:val="single" w:color="auto" w:sz="6" w:space="1"/>
        </w:pBdr>
        <w:spacing w:line="360" w:lineRule="auto"/>
        <w:ind w:firstLine="540" w:firstLineChars="224"/>
        <w:rPr>
          <w:rFonts w:ascii="宋体" w:hAnsi="宋体" w:cs="宋体"/>
          <w:bCs/>
          <w:color w:val="auto"/>
          <w:sz w:val="24"/>
          <w:szCs w:val="24"/>
          <w:highlight w:val="none"/>
        </w:rPr>
      </w:pPr>
      <w:r>
        <w:rPr>
          <w:rFonts w:hint="eastAsia" w:ascii="宋体" w:hAnsi="宋体" w:cs="宋体"/>
          <w:b/>
          <w:color w:val="auto"/>
          <w:sz w:val="24"/>
          <w:szCs w:val="24"/>
          <w:highlight w:val="none"/>
        </w:rPr>
        <w:t>现文：</w:t>
      </w:r>
      <w:r>
        <w:rPr>
          <w:rFonts w:hint="eastAsia" w:ascii="宋体" w:hAnsi="宋体" w:cs="宋体"/>
          <w:bCs/>
          <w:color w:val="auto"/>
          <w:sz w:val="24"/>
          <w:szCs w:val="24"/>
          <w:highlight w:val="none"/>
          <w:u w:val="single"/>
        </w:rPr>
        <w:t>若通过技术标有效性审查的投标人中所有投标报价均大于等于最高投标限价100%的（具体金额为：24198044.56元），则本项目招标失败，由招标人依法重新招标。</w:t>
      </w:r>
    </w:p>
    <w:p>
      <w:pPr>
        <w:spacing w:line="360" w:lineRule="auto"/>
        <w:ind w:firstLine="540" w:firstLineChars="224"/>
        <w:rPr>
          <w:rFonts w:ascii="宋体" w:hAnsi="宋体" w:cs="宋体"/>
          <w:b/>
          <w:color w:val="auto"/>
          <w:sz w:val="24"/>
          <w:szCs w:val="24"/>
          <w:highlight w:val="none"/>
        </w:rPr>
      </w:pPr>
      <w:r>
        <w:rPr>
          <w:rFonts w:hint="eastAsia" w:ascii="宋体" w:hAnsi="宋体" w:cs="宋体"/>
          <w:b/>
          <w:color w:val="auto"/>
          <w:sz w:val="24"/>
          <w:szCs w:val="24"/>
          <w:highlight w:val="none"/>
        </w:rPr>
        <w:t>条款号：45.2              修改类型：修改</w:t>
      </w:r>
    </w:p>
    <w:p>
      <w:pPr>
        <w:spacing w:line="360" w:lineRule="auto"/>
        <w:ind w:firstLine="540" w:firstLineChars="224"/>
        <w:rPr>
          <w:rFonts w:ascii="宋体" w:hAnsi="宋体" w:cs="宋体"/>
          <w:b/>
          <w:color w:val="auto"/>
          <w:sz w:val="24"/>
          <w:szCs w:val="24"/>
          <w:highlight w:val="none"/>
        </w:rPr>
      </w:pPr>
      <w:r>
        <w:rPr>
          <w:rFonts w:hint="eastAsia" w:ascii="宋体" w:hAnsi="宋体" w:cs="宋体"/>
          <w:b/>
          <w:color w:val="auto"/>
          <w:sz w:val="24"/>
          <w:szCs w:val="24"/>
          <w:highlight w:val="none"/>
        </w:rPr>
        <w:t>原文：</w:t>
      </w:r>
      <w:r>
        <w:rPr>
          <w:rFonts w:hint="eastAsia" w:ascii="宋体" w:hAnsi="宋体" w:cs="宋体"/>
          <w:color w:val="auto"/>
          <w:sz w:val="24"/>
          <w:szCs w:val="24"/>
          <w:highlight w:val="none"/>
        </w:rPr>
        <w:t>45.2按方法计算评标参考价：</w:t>
      </w:r>
    </w:p>
    <w:p>
      <w:pPr>
        <w:pBdr>
          <w:bottom w:val="single" w:color="auto" w:sz="6" w:space="1"/>
        </w:pBdr>
        <w:spacing w:line="360" w:lineRule="auto"/>
        <w:ind w:firstLine="602" w:firstLineChars="250"/>
        <w:rPr>
          <w:rFonts w:ascii="宋体" w:hAnsi="宋体" w:cs="宋体"/>
          <w:color w:val="auto"/>
          <w:sz w:val="24"/>
          <w:szCs w:val="24"/>
          <w:highlight w:val="none"/>
        </w:rPr>
      </w:pPr>
      <w:r>
        <w:rPr>
          <w:rFonts w:hint="eastAsia" w:ascii="宋体" w:hAnsi="宋体" w:cs="宋体"/>
          <w:b/>
          <w:color w:val="auto"/>
          <w:sz w:val="24"/>
          <w:szCs w:val="24"/>
          <w:highlight w:val="none"/>
        </w:rPr>
        <w:t>现文：</w:t>
      </w:r>
      <w:r>
        <w:rPr>
          <w:rFonts w:hint="eastAsia" w:ascii="宋体" w:hAnsi="宋体" w:cs="宋体"/>
          <w:color w:val="auto"/>
          <w:sz w:val="24"/>
          <w:szCs w:val="24"/>
          <w:highlight w:val="none"/>
        </w:rPr>
        <w:t>45.2按方法</w:t>
      </w:r>
      <w:r>
        <w:rPr>
          <w:rFonts w:hint="eastAsia" w:ascii="宋体" w:hAnsi="宋体" w:cs="宋体"/>
          <w:color w:val="auto"/>
          <w:sz w:val="24"/>
          <w:szCs w:val="24"/>
          <w:highlight w:val="none"/>
          <w:u w:val="single"/>
        </w:rPr>
        <w:t>一</w:t>
      </w:r>
      <w:r>
        <w:rPr>
          <w:rFonts w:hint="eastAsia" w:ascii="宋体" w:hAnsi="宋体" w:cs="宋体"/>
          <w:color w:val="auto"/>
          <w:sz w:val="24"/>
          <w:szCs w:val="24"/>
          <w:highlight w:val="none"/>
        </w:rPr>
        <w:t xml:space="preserve">计算评标参考价： </w:t>
      </w:r>
    </w:p>
    <w:p>
      <w:pPr>
        <w:spacing w:line="360" w:lineRule="auto"/>
        <w:ind w:firstLine="540" w:firstLineChars="224"/>
        <w:rPr>
          <w:rFonts w:ascii="宋体" w:hAnsi="宋体" w:cs="宋体"/>
          <w:b/>
          <w:color w:val="auto"/>
          <w:sz w:val="24"/>
          <w:szCs w:val="24"/>
          <w:highlight w:val="none"/>
        </w:rPr>
      </w:pPr>
      <w:r>
        <w:rPr>
          <w:rFonts w:hint="eastAsia" w:ascii="宋体" w:hAnsi="宋体" w:cs="宋体"/>
          <w:b/>
          <w:color w:val="auto"/>
          <w:sz w:val="24"/>
          <w:szCs w:val="24"/>
          <w:highlight w:val="none"/>
        </w:rPr>
        <w:t>条款号：方法一：加权平均法              修改类型：修改</w:t>
      </w:r>
    </w:p>
    <w:p>
      <w:pPr>
        <w:widowControl/>
        <w:spacing w:line="360" w:lineRule="auto"/>
        <w:ind w:firstLine="482" w:firstLineChars="200"/>
        <w:rPr>
          <w:rFonts w:ascii="宋体" w:hAnsi="宋体" w:cs="宋体"/>
          <w:b/>
          <w:bCs/>
          <w:color w:val="auto"/>
          <w:kern w:val="0"/>
          <w:sz w:val="24"/>
          <w:szCs w:val="24"/>
          <w:highlight w:val="none"/>
        </w:rPr>
      </w:pPr>
      <w:r>
        <w:rPr>
          <w:rFonts w:hint="eastAsia" w:ascii="宋体" w:hAnsi="宋体" w:cs="宋体"/>
          <w:b/>
          <w:color w:val="auto"/>
          <w:sz w:val="24"/>
          <w:szCs w:val="24"/>
          <w:highlight w:val="none"/>
        </w:rPr>
        <w:t>原文：方法一：加权平均法</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技术标或技术标加诚信得分（具体由招标人自定）前N名（N≥5，具体由招标人自定）的经济报价加权平均，计算评标参考价。公式如下：</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评标参考价=Σ（投标人的投标报价*报价权重）。</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其中：报价权重的计算方法为：将N名投标人按技术分由高至低进行排序，第一名投标人的权重为（</w:t>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QUOTE </w:instrText>
      </w:r>
      <w:r>
        <w:rPr>
          <w:rFonts w:hint="eastAsia" w:ascii="宋体" w:hAnsi="宋体" w:cs="宋体"/>
          <w:color w:val="auto"/>
          <w:sz w:val="24"/>
          <w:szCs w:val="24"/>
          <w:highlight w:val="none"/>
        </w:rPr>
        <w:drawing>
          <wp:inline distT="0" distB="0" distL="114300" distR="114300">
            <wp:extent cx="379730" cy="451485"/>
            <wp:effectExtent l="0" t="0" r="1270" b="57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3">
                      <a:clrChange>
                        <a:clrFrom>
                          <a:srgbClr val="FFFFFF"/>
                        </a:clrFrom>
                        <a:clrTo>
                          <a:srgbClr val="FFFFFF">
                            <a:alpha val="0"/>
                          </a:srgbClr>
                        </a:clrTo>
                      </a:clrChange>
                    </a:blip>
                    <a:stretch>
                      <a:fillRect/>
                    </a:stretch>
                  </pic:blipFill>
                  <pic:spPr>
                    <a:xfrm>
                      <a:off x="0" y="0"/>
                      <a:ext cx="379730" cy="451485"/>
                    </a:xfrm>
                    <a:prstGeom prst="rect">
                      <a:avLst/>
                    </a:prstGeom>
                    <a:noFill/>
                    <a:ln>
                      <a:noFill/>
                    </a:ln>
                  </pic:spPr>
                </pic:pic>
              </a:graphicData>
            </a:graphic>
          </wp:inline>
        </w:drawing>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drawing>
          <wp:inline distT="0" distB="0" distL="114300" distR="114300">
            <wp:extent cx="379730" cy="451485"/>
            <wp:effectExtent l="0" t="0" r="1270" b="57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3">
                      <a:clrChange>
                        <a:clrFrom>
                          <a:srgbClr val="FFFFFF"/>
                        </a:clrFrom>
                        <a:clrTo>
                          <a:srgbClr val="FFFFFF">
                            <a:alpha val="0"/>
                          </a:srgbClr>
                        </a:clrTo>
                      </a:clrChange>
                    </a:blip>
                    <a:stretch>
                      <a:fillRect/>
                    </a:stretch>
                  </pic:blipFill>
                  <pic:spPr>
                    <a:xfrm>
                      <a:off x="0" y="0"/>
                      <a:ext cx="379730" cy="451485"/>
                    </a:xfrm>
                    <a:prstGeom prst="rect">
                      <a:avLst/>
                    </a:prstGeom>
                    <a:noFill/>
                    <a:ln>
                      <a:noFill/>
                    </a:ln>
                  </pic:spPr>
                </pic:pic>
              </a:graphicData>
            </a:graphic>
          </wp:inline>
        </w:drawing>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t>），第二名投标人的权重为（</w:t>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QUOTE </w:instrText>
      </w:r>
      <w:r>
        <w:rPr>
          <w:rFonts w:hint="eastAsia" w:ascii="宋体" w:hAnsi="宋体" w:cs="宋体"/>
          <w:color w:val="auto"/>
          <w:sz w:val="24"/>
          <w:szCs w:val="24"/>
          <w:highlight w:val="none"/>
        </w:rPr>
        <w:drawing>
          <wp:inline distT="0" distB="0" distL="114300" distR="114300">
            <wp:extent cx="320675" cy="403860"/>
            <wp:effectExtent l="0" t="0" r="3175" b="152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4">
                      <a:clrChange>
                        <a:clrFrom>
                          <a:srgbClr val="FFFFFF"/>
                        </a:clrFrom>
                        <a:clrTo>
                          <a:srgbClr val="FFFFFF">
                            <a:alpha val="0"/>
                          </a:srgbClr>
                        </a:clrTo>
                      </a:clrChange>
                    </a:blip>
                    <a:stretch>
                      <a:fillRect/>
                    </a:stretch>
                  </pic:blipFill>
                  <pic:spPr>
                    <a:xfrm>
                      <a:off x="0" y="0"/>
                      <a:ext cx="320675" cy="403860"/>
                    </a:xfrm>
                    <a:prstGeom prst="rect">
                      <a:avLst/>
                    </a:prstGeom>
                    <a:noFill/>
                    <a:ln>
                      <a:noFill/>
                    </a:ln>
                  </pic:spPr>
                </pic:pic>
              </a:graphicData>
            </a:graphic>
          </wp:inline>
        </w:drawing>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drawing>
          <wp:inline distT="0" distB="0" distL="114300" distR="114300">
            <wp:extent cx="320675" cy="403860"/>
            <wp:effectExtent l="0" t="0" r="3175" b="1524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4">
                      <a:clrChange>
                        <a:clrFrom>
                          <a:srgbClr val="FFFFFF"/>
                        </a:clrFrom>
                        <a:clrTo>
                          <a:srgbClr val="FFFFFF">
                            <a:alpha val="0"/>
                          </a:srgbClr>
                        </a:clrTo>
                      </a:clrChange>
                    </a:blip>
                    <a:stretch>
                      <a:fillRect/>
                    </a:stretch>
                  </pic:blipFill>
                  <pic:spPr>
                    <a:xfrm>
                      <a:off x="0" y="0"/>
                      <a:ext cx="320675" cy="403860"/>
                    </a:xfrm>
                    <a:prstGeom prst="rect">
                      <a:avLst/>
                    </a:prstGeom>
                    <a:noFill/>
                    <a:ln>
                      <a:noFill/>
                    </a:ln>
                  </pic:spPr>
                </pic:pic>
              </a:graphicData>
            </a:graphic>
          </wp:inline>
        </w:drawing>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t>），以此类推，最后一名投标人的权重为（</w:t>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QUOTE </w:instrText>
      </w:r>
      <w:r>
        <w:rPr>
          <w:rFonts w:hint="eastAsia" w:ascii="宋体" w:hAnsi="宋体" w:cs="宋体"/>
          <w:color w:val="auto"/>
          <w:sz w:val="24"/>
          <w:szCs w:val="24"/>
          <w:highlight w:val="none"/>
        </w:rPr>
        <w:drawing>
          <wp:inline distT="0" distB="0" distL="114300" distR="114300">
            <wp:extent cx="320675" cy="403860"/>
            <wp:effectExtent l="0" t="0" r="3175" b="1587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5">
                      <a:clrChange>
                        <a:clrFrom>
                          <a:srgbClr val="FFFFFF"/>
                        </a:clrFrom>
                        <a:clrTo>
                          <a:srgbClr val="FFFFFF">
                            <a:alpha val="0"/>
                          </a:srgbClr>
                        </a:clrTo>
                      </a:clrChange>
                    </a:blip>
                    <a:stretch>
                      <a:fillRect/>
                    </a:stretch>
                  </pic:blipFill>
                  <pic:spPr>
                    <a:xfrm>
                      <a:off x="0" y="0"/>
                      <a:ext cx="320675" cy="403860"/>
                    </a:xfrm>
                    <a:prstGeom prst="rect">
                      <a:avLst/>
                    </a:prstGeom>
                    <a:noFill/>
                    <a:ln>
                      <a:noFill/>
                    </a:ln>
                  </pic:spPr>
                </pic:pic>
              </a:graphicData>
            </a:graphic>
          </wp:inline>
        </w:drawing>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drawing>
          <wp:inline distT="0" distB="0" distL="114300" distR="114300">
            <wp:extent cx="320675" cy="403860"/>
            <wp:effectExtent l="0" t="0" r="3175" b="1587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5">
                      <a:clrChange>
                        <a:clrFrom>
                          <a:srgbClr val="FFFFFF"/>
                        </a:clrFrom>
                        <a:clrTo>
                          <a:srgbClr val="FFFFFF">
                            <a:alpha val="0"/>
                          </a:srgbClr>
                        </a:clrTo>
                      </a:clrChange>
                    </a:blip>
                    <a:stretch>
                      <a:fillRect/>
                    </a:stretch>
                  </pic:blipFill>
                  <pic:spPr>
                    <a:xfrm>
                      <a:off x="0" y="0"/>
                      <a:ext cx="320675" cy="403860"/>
                    </a:xfrm>
                    <a:prstGeom prst="rect">
                      <a:avLst/>
                    </a:prstGeom>
                    <a:noFill/>
                    <a:ln>
                      <a:noFill/>
                    </a:ln>
                  </pic:spPr>
                </pic:pic>
              </a:graphicData>
            </a:graphic>
          </wp:inline>
        </w:drawing>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t>）。</w:t>
      </w:r>
    </w:p>
    <w:p>
      <w:pPr>
        <w:widowControl/>
        <w:spacing w:line="360" w:lineRule="auto"/>
        <w:ind w:firstLine="482" w:firstLineChars="200"/>
        <w:rPr>
          <w:rFonts w:ascii="宋体" w:hAnsi="宋体" w:cs="宋体"/>
          <w:b/>
          <w:bCs/>
          <w:color w:val="auto"/>
          <w:kern w:val="0"/>
          <w:sz w:val="24"/>
          <w:szCs w:val="24"/>
          <w:highlight w:val="none"/>
        </w:rPr>
      </w:pPr>
      <w:r>
        <w:rPr>
          <w:rFonts w:hint="eastAsia" w:ascii="宋体" w:hAnsi="宋体" w:cs="宋体"/>
          <w:b/>
          <w:color w:val="auto"/>
          <w:sz w:val="24"/>
          <w:szCs w:val="24"/>
          <w:highlight w:val="none"/>
        </w:rPr>
        <w:t>现文：方法一：加权平均法</w:t>
      </w:r>
    </w:p>
    <w:p>
      <w:pPr>
        <w:pBdr>
          <w:bottom w:val="single" w:color="auto" w:sz="6" w:space="1"/>
        </w:pBdr>
        <w:spacing w:line="360" w:lineRule="auto"/>
        <w:ind w:firstLine="600" w:firstLineChars="250"/>
        <w:rPr>
          <w:rFonts w:ascii="宋体" w:hAnsi="宋体" w:cs="宋体"/>
          <w:color w:val="auto"/>
          <w:sz w:val="24"/>
          <w:szCs w:val="24"/>
          <w:highlight w:val="none"/>
        </w:rPr>
      </w:pPr>
      <w:r>
        <w:rPr>
          <w:rFonts w:hint="eastAsia" w:ascii="宋体" w:hAnsi="宋体" w:cs="宋体"/>
          <w:color w:val="auto"/>
          <w:sz w:val="24"/>
          <w:szCs w:val="24"/>
          <w:highlight w:val="none"/>
          <w:u w:val="single"/>
        </w:rPr>
        <w:t>技术标得分前N名（若通过技术标有效性审查的家数大于等于5家时，N=5；若小于5家时，N=通过技术标有效性审查的家数；技术标得分相同的，以投标报价较低的排前；如仍有相同情况，则由评标会对出现该情况的投标人进行编号，然后通过投票方式依次确定投标人的排序。）</w:t>
      </w:r>
      <w:r>
        <w:rPr>
          <w:rFonts w:hint="eastAsia" w:ascii="宋体" w:hAnsi="宋体" w:cs="宋体"/>
          <w:color w:val="auto"/>
          <w:sz w:val="24"/>
          <w:szCs w:val="24"/>
          <w:highlight w:val="none"/>
        </w:rPr>
        <w:t>的经济报价加权平均，计算评标参考价。公式如下：</w:t>
      </w:r>
    </w:p>
    <w:p>
      <w:pPr>
        <w:pBdr>
          <w:bottom w:val="single" w:color="auto" w:sz="6" w:space="1"/>
        </w:pBdr>
        <w:spacing w:line="360" w:lineRule="auto"/>
        <w:ind w:firstLine="600" w:firstLineChars="250"/>
        <w:rPr>
          <w:rFonts w:ascii="宋体" w:hAnsi="宋体" w:cs="宋体"/>
          <w:color w:val="auto"/>
          <w:sz w:val="24"/>
          <w:szCs w:val="24"/>
          <w:highlight w:val="none"/>
        </w:rPr>
      </w:pPr>
      <w:r>
        <w:rPr>
          <w:rFonts w:hint="eastAsia" w:ascii="宋体" w:hAnsi="宋体" w:cs="宋体"/>
          <w:color w:val="auto"/>
          <w:sz w:val="24"/>
          <w:szCs w:val="24"/>
          <w:highlight w:val="none"/>
        </w:rPr>
        <w:t>评标参考价=Σ（投标人的投标报价*报价权重）。</w:t>
      </w:r>
    </w:p>
    <w:p>
      <w:pPr>
        <w:pBdr>
          <w:bottom w:val="single" w:color="auto" w:sz="6" w:space="1"/>
        </w:pBdr>
        <w:spacing w:line="360" w:lineRule="auto"/>
        <w:ind w:firstLine="600" w:firstLineChars="250"/>
        <w:rPr>
          <w:rFonts w:ascii="宋体" w:hAnsi="宋体" w:cs="宋体"/>
          <w:color w:val="auto"/>
          <w:sz w:val="24"/>
          <w:szCs w:val="24"/>
          <w:highlight w:val="none"/>
        </w:rPr>
      </w:pPr>
      <w:r>
        <w:rPr>
          <w:rFonts w:hint="eastAsia" w:ascii="宋体" w:hAnsi="宋体" w:cs="宋体"/>
          <w:color w:val="auto"/>
          <w:sz w:val="24"/>
          <w:szCs w:val="24"/>
          <w:highlight w:val="none"/>
        </w:rPr>
        <w:t>其中：报价权重的计算方法为：将N名投标人按技术分由高至低进行排序，第一名投标人的权重为（</w:t>
      </w:r>
      <w:r>
        <w:rPr>
          <w:rFonts w:hint="eastAsia" w:ascii="宋体" w:hAnsi="宋体" w:cs="宋体"/>
          <w:color w:val="auto"/>
          <w:spacing w:val="-4"/>
          <w:sz w:val="24"/>
          <w:szCs w:val="24"/>
          <w:highlight w:val="none"/>
        </w:rPr>
        <w:drawing>
          <wp:inline distT="0" distB="0" distL="114300" distR="114300">
            <wp:extent cx="237490" cy="285115"/>
            <wp:effectExtent l="0" t="0" r="10160" b="635"/>
            <wp:docPr id="7"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0"/>
                    <pic:cNvPicPr>
                      <a:picLocks noChangeAspect="1"/>
                    </pic:cNvPicPr>
                  </pic:nvPicPr>
                  <pic:blipFill>
                    <a:blip r:embed="rId13">
                      <a:clrChange>
                        <a:clrFrom>
                          <a:srgbClr val="FFFFFF"/>
                        </a:clrFrom>
                        <a:clrTo>
                          <a:srgbClr val="FFFFFF">
                            <a:alpha val="0"/>
                          </a:srgbClr>
                        </a:clrTo>
                      </a:clrChange>
                    </a:blip>
                    <a:stretch>
                      <a:fillRect/>
                    </a:stretch>
                  </pic:blipFill>
                  <pic:spPr>
                    <a:xfrm>
                      <a:off x="0" y="0"/>
                      <a:ext cx="237490" cy="285115"/>
                    </a:xfrm>
                    <a:prstGeom prst="rect">
                      <a:avLst/>
                    </a:prstGeom>
                    <a:noFill/>
                    <a:ln>
                      <a:noFill/>
                    </a:ln>
                  </pic:spPr>
                </pic:pic>
              </a:graphicData>
            </a:graphic>
          </wp:inline>
        </w:drawing>
      </w:r>
      <w:r>
        <w:rPr>
          <w:rFonts w:hint="eastAsia" w:ascii="宋体" w:hAnsi="宋体" w:cs="宋体"/>
          <w:color w:val="auto"/>
          <w:sz w:val="24"/>
          <w:szCs w:val="24"/>
          <w:highlight w:val="none"/>
        </w:rPr>
        <w:t>），第二名投标人的权重为（</w:t>
      </w:r>
      <w:r>
        <w:rPr>
          <w:rFonts w:hint="eastAsia" w:ascii="宋体" w:hAnsi="宋体" w:cs="宋体"/>
          <w:color w:val="auto"/>
          <w:spacing w:val="-4"/>
          <w:sz w:val="24"/>
          <w:szCs w:val="24"/>
          <w:highlight w:val="none"/>
        </w:rPr>
        <w:drawing>
          <wp:inline distT="0" distB="0" distL="114300" distR="114300">
            <wp:extent cx="237490" cy="285115"/>
            <wp:effectExtent l="0" t="0" r="10160" b="635"/>
            <wp:docPr id="8"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1"/>
                    <pic:cNvPicPr>
                      <a:picLocks noChangeAspect="1"/>
                    </pic:cNvPicPr>
                  </pic:nvPicPr>
                  <pic:blipFill>
                    <a:blip r:embed="rId14">
                      <a:clrChange>
                        <a:clrFrom>
                          <a:srgbClr val="FFFFFF"/>
                        </a:clrFrom>
                        <a:clrTo>
                          <a:srgbClr val="FFFFFF">
                            <a:alpha val="0"/>
                          </a:srgbClr>
                        </a:clrTo>
                      </a:clrChange>
                    </a:blip>
                    <a:stretch>
                      <a:fillRect/>
                    </a:stretch>
                  </pic:blipFill>
                  <pic:spPr>
                    <a:xfrm>
                      <a:off x="0" y="0"/>
                      <a:ext cx="237490" cy="285115"/>
                    </a:xfrm>
                    <a:prstGeom prst="rect">
                      <a:avLst/>
                    </a:prstGeom>
                    <a:noFill/>
                    <a:ln>
                      <a:noFill/>
                    </a:ln>
                  </pic:spPr>
                </pic:pic>
              </a:graphicData>
            </a:graphic>
          </wp:inline>
        </w:drawing>
      </w:r>
      <w:r>
        <w:rPr>
          <w:rFonts w:hint="eastAsia" w:ascii="宋体" w:hAnsi="宋体" w:cs="宋体"/>
          <w:color w:val="auto"/>
          <w:sz w:val="24"/>
          <w:szCs w:val="24"/>
          <w:highlight w:val="none"/>
        </w:rPr>
        <w:t>），以此类推，最后一名投标人的权重为（</w:t>
      </w:r>
      <w:r>
        <w:rPr>
          <w:rFonts w:hint="eastAsia" w:ascii="宋体" w:hAnsi="宋体" w:cs="宋体"/>
          <w:color w:val="auto"/>
          <w:spacing w:val="-4"/>
          <w:sz w:val="24"/>
          <w:szCs w:val="24"/>
          <w:highlight w:val="none"/>
        </w:rPr>
        <w:drawing>
          <wp:inline distT="0" distB="0" distL="114300" distR="114300">
            <wp:extent cx="237490" cy="285115"/>
            <wp:effectExtent l="0" t="0" r="10160" b="635"/>
            <wp:docPr id="9"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2"/>
                    <pic:cNvPicPr>
                      <a:picLocks noChangeAspect="1"/>
                    </pic:cNvPicPr>
                  </pic:nvPicPr>
                  <pic:blipFill>
                    <a:blip r:embed="rId15">
                      <a:clrChange>
                        <a:clrFrom>
                          <a:srgbClr val="FFFFFF"/>
                        </a:clrFrom>
                        <a:clrTo>
                          <a:srgbClr val="FFFFFF">
                            <a:alpha val="0"/>
                          </a:srgbClr>
                        </a:clrTo>
                      </a:clrChange>
                    </a:blip>
                    <a:stretch>
                      <a:fillRect/>
                    </a:stretch>
                  </pic:blipFill>
                  <pic:spPr>
                    <a:xfrm>
                      <a:off x="0" y="0"/>
                      <a:ext cx="237490" cy="285115"/>
                    </a:xfrm>
                    <a:prstGeom prst="rect">
                      <a:avLst/>
                    </a:prstGeom>
                    <a:noFill/>
                    <a:ln>
                      <a:noFill/>
                    </a:ln>
                  </pic:spPr>
                </pic:pic>
              </a:graphicData>
            </a:graphic>
          </wp:inline>
        </w:drawing>
      </w:r>
      <w:r>
        <w:rPr>
          <w:rFonts w:hint="eastAsia" w:ascii="宋体" w:hAnsi="宋体" w:cs="宋体"/>
          <w:color w:val="auto"/>
          <w:sz w:val="24"/>
          <w:szCs w:val="24"/>
          <w:highlight w:val="none"/>
        </w:rPr>
        <w:t>）。</w:t>
      </w:r>
    </w:p>
    <w:p>
      <w:pPr>
        <w:adjustRightInd w:val="0"/>
        <w:spacing w:line="360" w:lineRule="auto"/>
        <w:ind w:firstLine="482" w:firstLineChars="200"/>
        <w:rPr>
          <w:rFonts w:ascii="宋体" w:hAnsi="宋体" w:cs="宋体"/>
          <w:b/>
          <w:color w:val="auto"/>
          <w:sz w:val="24"/>
          <w:szCs w:val="24"/>
          <w:highlight w:val="none"/>
        </w:rPr>
      </w:pPr>
      <w:r>
        <w:rPr>
          <w:rFonts w:hint="eastAsia" w:ascii="宋体" w:hAnsi="宋体" w:cs="宋体"/>
          <w:b/>
          <w:color w:val="auto"/>
          <w:sz w:val="24"/>
          <w:szCs w:val="24"/>
          <w:highlight w:val="none"/>
        </w:rPr>
        <w:t>条款号：</w:t>
      </w:r>
      <w:r>
        <w:rPr>
          <w:rFonts w:hint="eastAsia" w:ascii="宋体" w:hAnsi="宋体" w:cs="宋体"/>
          <w:b/>
          <w:color w:val="auto"/>
          <w:kern w:val="0"/>
          <w:sz w:val="24"/>
          <w:szCs w:val="24"/>
          <w:highlight w:val="none"/>
        </w:rPr>
        <w:t>45.3</w:t>
      </w:r>
      <w:r>
        <w:rPr>
          <w:rFonts w:hint="eastAsia" w:ascii="宋体" w:hAnsi="宋体" w:cs="宋体"/>
          <w:b/>
          <w:color w:val="auto"/>
          <w:sz w:val="24"/>
          <w:szCs w:val="24"/>
          <w:highlight w:val="none"/>
        </w:rPr>
        <w:t xml:space="preserve">           修改类型：修改</w:t>
      </w:r>
    </w:p>
    <w:p>
      <w:pPr>
        <w:adjustRightInd w:val="0"/>
        <w:spacing w:line="360" w:lineRule="auto"/>
        <w:ind w:firstLine="482" w:firstLineChars="200"/>
        <w:rPr>
          <w:rFonts w:ascii="宋体" w:hAnsi="宋体" w:cs="宋体"/>
          <w:color w:val="auto"/>
          <w:sz w:val="24"/>
          <w:szCs w:val="24"/>
          <w:highlight w:val="none"/>
        </w:rPr>
      </w:pPr>
      <w:r>
        <w:rPr>
          <w:rFonts w:hint="eastAsia" w:ascii="宋体" w:hAnsi="宋体" w:cs="宋体"/>
          <w:b/>
          <w:color w:val="auto"/>
          <w:sz w:val="24"/>
          <w:szCs w:val="24"/>
          <w:highlight w:val="none"/>
        </w:rPr>
        <w:t>原文：</w:t>
      </w:r>
      <w:r>
        <w:rPr>
          <w:rFonts w:hint="eastAsia" w:ascii="宋体" w:hAnsi="宋体" w:cs="宋体"/>
          <w:color w:val="auto"/>
          <w:kern w:val="0"/>
          <w:sz w:val="24"/>
          <w:szCs w:val="24"/>
          <w:highlight w:val="none"/>
        </w:rPr>
        <w:t>45.3</w:t>
      </w:r>
      <w:r>
        <w:rPr>
          <w:rFonts w:hint="eastAsia" w:ascii="宋体" w:hAnsi="宋体" w:cs="宋体"/>
          <w:color w:val="auto"/>
          <w:sz w:val="24"/>
          <w:szCs w:val="24"/>
          <w:highlight w:val="none"/>
        </w:rPr>
        <w:t>当标价等于评标参考价时得100分，标价每高于评标参考价1%，扣1.5分，每低于评标参考价1%，扣1分，扣至0分为止，得出经济分，精确到小数点后两位。</w:t>
      </w:r>
    </w:p>
    <w:p>
      <w:pPr>
        <w:pBdr>
          <w:bottom w:val="single" w:color="auto" w:sz="6" w:space="1"/>
        </w:pBdr>
        <w:adjustRightInd w:val="0"/>
        <w:spacing w:line="360" w:lineRule="auto"/>
        <w:ind w:firstLine="482" w:firstLineChars="200"/>
        <w:rPr>
          <w:rFonts w:ascii="宋体" w:hAnsi="宋体" w:cs="宋体"/>
          <w:color w:val="auto"/>
          <w:sz w:val="24"/>
          <w:szCs w:val="24"/>
          <w:highlight w:val="none"/>
        </w:rPr>
      </w:pPr>
      <w:r>
        <w:rPr>
          <w:rFonts w:hint="eastAsia" w:ascii="宋体" w:hAnsi="宋体" w:cs="宋体"/>
          <w:b/>
          <w:color w:val="auto"/>
          <w:sz w:val="24"/>
          <w:szCs w:val="24"/>
          <w:highlight w:val="none"/>
        </w:rPr>
        <w:t>现文</w:t>
      </w:r>
      <w:r>
        <w:rPr>
          <w:rFonts w:hint="eastAsia" w:ascii="宋体" w:hAnsi="宋体" w:cs="宋体"/>
          <w:color w:val="auto"/>
          <w:sz w:val="24"/>
          <w:szCs w:val="24"/>
          <w:highlight w:val="none"/>
        </w:rPr>
        <w:t>：</w:t>
      </w:r>
      <w:r>
        <w:rPr>
          <w:rFonts w:hint="eastAsia" w:ascii="宋体" w:hAnsi="宋体" w:cs="宋体"/>
          <w:color w:val="auto"/>
          <w:kern w:val="0"/>
          <w:sz w:val="24"/>
          <w:szCs w:val="24"/>
          <w:highlight w:val="none"/>
        </w:rPr>
        <w:t>45.3</w:t>
      </w:r>
      <w:r>
        <w:rPr>
          <w:rFonts w:hint="eastAsia" w:ascii="宋体" w:hAnsi="宋体" w:cs="宋体"/>
          <w:color w:val="auto"/>
          <w:sz w:val="24"/>
          <w:szCs w:val="24"/>
          <w:highlight w:val="none"/>
        </w:rPr>
        <w:t>当</w:t>
      </w:r>
      <w:r>
        <w:rPr>
          <w:rFonts w:hint="eastAsia" w:ascii="宋体" w:hAnsi="宋体" w:cs="宋体"/>
          <w:color w:val="auto"/>
          <w:sz w:val="24"/>
          <w:szCs w:val="24"/>
          <w:highlight w:val="none"/>
          <w:u w:val="single"/>
        </w:rPr>
        <w:t>投标总报价</w:t>
      </w:r>
      <w:r>
        <w:rPr>
          <w:rFonts w:hint="eastAsia" w:ascii="宋体" w:hAnsi="宋体" w:cs="宋体"/>
          <w:color w:val="auto"/>
          <w:sz w:val="24"/>
          <w:szCs w:val="24"/>
          <w:highlight w:val="none"/>
        </w:rPr>
        <w:t>等于评标参考价时得100分，</w:t>
      </w:r>
      <w:r>
        <w:rPr>
          <w:rFonts w:hint="eastAsia" w:ascii="宋体" w:hAnsi="宋体" w:cs="宋体"/>
          <w:color w:val="auto"/>
          <w:sz w:val="24"/>
          <w:szCs w:val="24"/>
          <w:highlight w:val="none"/>
          <w:u w:val="single"/>
        </w:rPr>
        <w:t>投标总报价</w:t>
      </w:r>
      <w:r>
        <w:rPr>
          <w:rFonts w:hint="eastAsia" w:ascii="宋体" w:hAnsi="宋体" w:cs="宋体"/>
          <w:color w:val="auto"/>
          <w:sz w:val="24"/>
          <w:szCs w:val="24"/>
          <w:highlight w:val="none"/>
        </w:rPr>
        <w:t>每高于评标参考价1%，扣1分，每低于评标参考价1%，扣</w:t>
      </w:r>
      <w:r>
        <w:rPr>
          <w:rFonts w:ascii="宋体" w:hAnsi="宋体" w:cs="宋体"/>
          <w:color w:val="auto"/>
          <w:sz w:val="24"/>
          <w:szCs w:val="24"/>
          <w:highlight w:val="none"/>
        </w:rPr>
        <w:t>0.5</w:t>
      </w:r>
      <w:r>
        <w:rPr>
          <w:rFonts w:hint="eastAsia" w:ascii="宋体" w:hAnsi="宋体" w:cs="宋体"/>
          <w:color w:val="auto"/>
          <w:sz w:val="24"/>
          <w:szCs w:val="24"/>
          <w:highlight w:val="none"/>
        </w:rPr>
        <w:t>分，扣至0分为止，得出经济分，精确到小数点后两位。</w:t>
      </w:r>
    </w:p>
    <w:p>
      <w:pPr>
        <w:spacing w:line="360" w:lineRule="auto"/>
        <w:ind w:firstLine="540" w:firstLineChars="224"/>
        <w:rPr>
          <w:rFonts w:ascii="宋体" w:hAnsi="宋体" w:cs="宋体"/>
          <w:b/>
          <w:color w:val="auto"/>
          <w:sz w:val="24"/>
          <w:szCs w:val="24"/>
          <w:highlight w:val="none"/>
        </w:rPr>
      </w:pPr>
      <w:r>
        <w:rPr>
          <w:rFonts w:hint="eastAsia" w:ascii="宋体" w:hAnsi="宋体" w:cs="宋体"/>
          <w:b/>
          <w:color w:val="auto"/>
          <w:sz w:val="24"/>
          <w:szCs w:val="24"/>
          <w:highlight w:val="none"/>
        </w:rPr>
        <w:t>条款号：45.4修改类型：修改</w:t>
      </w:r>
    </w:p>
    <w:p>
      <w:pPr>
        <w:widowControl/>
        <w:spacing w:line="360" w:lineRule="auto"/>
        <w:ind w:firstLine="482" w:firstLineChars="200"/>
        <w:rPr>
          <w:rFonts w:ascii="宋体" w:hAnsi="宋体" w:cs="宋体"/>
          <w:b/>
          <w:color w:val="auto"/>
          <w:sz w:val="24"/>
          <w:szCs w:val="24"/>
          <w:highlight w:val="none"/>
        </w:rPr>
      </w:pPr>
      <w:r>
        <w:rPr>
          <w:rFonts w:hint="eastAsia" w:ascii="宋体" w:hAnsi="宋体" w:cs="宋体"/>
          <w:b/>
          <w:color w:val="auto"/>
          <w:sz w:val="24"/>
          <w:szCs w:val="24"/>
          <w:highlight w:val="none"/>
        </w:rPr>
        <w:t>原文：</w:t>
      </w:r>
      <w:r>
        <w:rPr>
          <w:rFonts w:hint="eastAsia" w:ascii="宋体" w:hAnsi="宋体" w:cs="宋体"/>
          <w:bCs/>
          <w:color w:val="auto"/>
          <w:sz w:val="24"/>
          <w:szCs w:val="24"/>
          <w:highlight w:val="none"/>
        </w:rPr>
        <w:t>计算通过技术标有效性审查的投标人总得分。投标人总得分=（技术得分×技术得分权重＋经济得分×经济得分权重）×（1-综合诚信评价分数权重）＋综合诚信评价排名得分×综合诚信评价分数权重）。技术、经济得分权重按投标须知前附表的规定执行。总得分四舍五入保留两位小数。</w:t>
      </w:r>
    </w:p>
    <w:p>
      <w:pPr>
        <w:pBdr>
          <w:bottom w:val="single" w:color="auto" w:sz="6" w:space="1"/>
        </w:pBdr>
        <w:spacing w:line="360" w:lineRule="auto"/>
        <w:ind w:firstLine="482" w:firstLineChars="200"/>
        <w:rPr>
          <w:rFonts w:ascii="宋体" w:hAnsi="宋体" w:cs="宋体"/>
          <w:color w:val="auto"/>
          <w:sz w:val="24"/>
          <w:szCs w:val="24"/>
          <w:highlight w:val="none"/>
        </w:rPr>
      </w:pPr>
      <w:r>
        <w:rPr>
          <w:rFonts w:hint="eastAsia" w:ascii="宋体" w:hAnsi="宋体" w:cs="宋体"/>
          <w:b/>
          <w:color w:val="auto"/>
          <w:sz w:val="24"/>
          <w:szCs w:val="24"/>
          <w:highlight w:val="none"/>
        </w:rPr>
        <w:t>现文：</w:t>
      </w:r>
      <w:r>
        <w:rPr>
          <w:rFonts w:hint="eastAsia" w:ascii="宋体" w:hAnsi="宋体" w:cs="宋体"/>
          <w:bCs/>
          <w:color w:val="auto"/>
          <w:sz w:val="24"/>
          <w:szCs w:val="24"/>
          <w:highlight w:val="none"/>
        </w:rPr>
        <w:t>计算通过技术标有效性审查的投标人总得分。投标人总得分=技术得分（20分）＋经济得分（100分）×经济得分权重（80%）。技术、经济得分权重按投标须知前附表的规定执行。总得分四舍五入保留两位小数。总分相同的，以技术得分高的排前；总分与技术得分均相同，以投标报价较低的排前；如仍存在相同情况，则对具有相同情况的投标人，按中标候选人数量规定，由评标委员会采用随机抽取方式，确定中标候选人的排序。</w:t>
      </w:r>
    </w:p>
    <w:p>
      <w:pPr>
        <w:spacing w:line="360" w:lineRule="auto"/>
        <w:ind w:firstLine="482" w:firstLineChars="200"/>
        <w:rPr>
          <w:rFonts w:ascii="宋体" w:hAnsi="宋体" w:cs="宋体"/>
          <w:b/>
          <w:color w:val="auto"/>
          <w:sz w:val="24"/>
          <w:szCs w:val="24"/>
          <w:highlight w:val="none"/>
        </w:rPr>
      </w:pPr>
      <w:r>
        <w:rPr>
          <w:rFonts w:hint="eastAsia" w:ascii="宋体" w:hAnsi="宋体" w:cs="宋体"/>
          <w:b/>
          <w:color w:val="auto"/>
          <w:sz w:val="24"/>
          <w:szCs w:val="24"/>
          <w:highlight w:val="none"/>
        </w:rPr>
        <w:t>条款号：附表一《资格审查表》          修改类型：修改</w:t>
      </w:r>
    </w:p>
    <w:p>
      <w:pPr>
        <w:spacing w:line="360" w:lineRule="auto"/>
        <w:ind w:firstLine="482" w:firstLineChars="200"/>
        <w:rPr>
          <w:rFonts w:ascii="宋体" w:hAnsi="宋体" w:cs="宋体"/>
          <w:bCs/>
          <w:color w:val="auto"/>
          <w:sz w:val="24"/>
          <w:szCs w:val="24"/>
          <w:highlight w:val="none"/>
        </w:rPr>
      </w:pPr>
      <w:r>
        <w:rPr>
          <w:rFonts w:hint="eastAsia" w:ascii="宋体" w:hAnsi="宋体" w:cs="宋体"/>
          <w:b/>
          <w:color w:val="auto"/>
          <w:sz w:val="24"/>
          <w:szCs w:val="24"/>
          <w:highlight w:val="none"/>
        </w:rPr>
        <w:t>原文：</w:t>
      </w:r>
      <w:r>
        <w:rPr>
          <w:rFonts w:hint="eastAsia" w:ascii="宋体" w:hAnsi="宋体" w:cs="宋体"/>
          <w:bCs/>
          <w:color w:val="auto"/>
          <w:sz w:val="24"/>
          <w:szCs w:val="24"/>
          <w:highlight w:val="none"/>
        </w:rPr>
        <w:t>详见《广州市建设工程施工公开招标项目招标文件范本GZZB2018-3》</w:t>
      </w:r>
    </w:p>
    <w:p>
      <w:pPr>
        <w:pBdr>
          <w:bottom w:val="single" w:color="auto" w:sz="6" w:space="1"/>
        </w:pBdr>
        <w:spacing w:line="360" w:lineRule="auto"/>
        <w:ind w:firstLine="482" w:firstLineChars="200"/>
        <w:rPr>
          <w:rFonts w:ascii="宋体" w:hAnsi="宋体" w:cs="宋体"/>
          <w:color w:val="auto"/>
          <w:sz w:val="24"/>
          <w:szCs w:val="24"/>
          <w:highlight w:val="none"/>
        </w:rPr>
      </w:pPr>
      <w:r>
        <w:rPr>
          <w:rFonts w:hint="eastAsia" w:ascii="宋体" w:hAnsi="宋体" w:cs="宋体"/>
          <w:b/>
          <w:color w:val="auto"/>
          <w:sz w:val="24"/>
          <w:szCs w:val="24"/>
          <w:highlight w:val="none"/>
        </w:rPr>
        <w:t>现文：</w:t>
      </w:r>
      <w:r>
        <w:rPr>
          <w:rFonts w:hint="eastAsia" w:ascii="宋体" w:hAnsi="宋体" w:cs="宋体"/>
          <w:bCs/>
          <w:color w:val="auto"/>
          <w:sz w:val="24"/>
          <w:szCs w:val="24"/>
          <w:highlight w:val="none"/>
        </w:rPr>
        <w:t>详见附表一《资格审查表》</w:t>
      </w:r>
    </w:p>
    <w:p>
      <w:pPr>
        <w:spacing w:line="360" w:lineRule="auto"/>
        <w:ind w:firstLine="482" w:firstLineChars="200"/>
        <w:rPr>
          <w:rFonts w:ascii="宋体" w:hAnsi="宋体" w:cs="宋体"/>
          <w:b/>
          <w:color w:val="auto"/>
          <w:sz w:val="24"/>
          <w:szCs w:val="24"/>
          <w:highlight w:val="none"/>
        </w:rPr>
      </w:pPr>
      <w:r>
        <w:rPr>
          <w:rFonts w:hint="eastAsia" w:ascii="宋体" w:hAnsi="宋体" w:cs="宋体"/>
          <w:b/>
          <w:color w:val="auto"/>
          <w:sz w:val="24"/>
          <w:szCs w:val="24"/>
          <w:highlight w:val="none"/>
        </w:rPr>
        <w:t>条款号：附表二《技术标有效性审查表》          修改类型：修改</w:t>
      </w:r>
    </w:p>
    <w:p>
      <w:pPr>
        <w:spacing w:line="360" w:lineRule="auto"/>
        <w:ind w:firstLine="482" w:firstLineChars="200"/>
        <w:rPr>
          <w:rFonts w:ascii="宋体" w:hAnsi="宋体" w:cs="宋体"/>
          <w:bCs/>
          <w:color w:val="auto"/>
          <w:sz w:val="24"/>
          <w:szCs w:val="24"/>
          <w:highlight w:val="none"/>
        </w:rPr>
      </w:pPr>
      <w:r>
        <w:rPr>
          <w:rFonts w:hint="eastAsia" w:ascii="宋体" w:hAnsi="宋体" w:cs="宋体"/>
          <w:b/>
          <w:color w:val="auto"/>
          <w:sz w:val="24"/>
          <w:szCs w:val="24"/>
          <w:highlight w:val="none"/>
        </w:rPr>
        <w:t>原文：</w:t>
      </w:r>
      <w:r>
        <w:rPr>
          <w:rFonts w:hint="eastAsia" w:ascii="宋体" w:hAnsi="宋体" w:cs="宋体"/>
          <w:bCs/>
          <w:color w:val="auto"/>
          <w:sz w:val="24"/>
          <w:szCs w:val="24"/>
          <w:highlight w:val="none"/>
        </w:rPr>
        <w:t>详见《广州市建设工程施工公开招标项目招标文件范本GZZB2018-3》</w:t>
      </w:r>
    </w:p>
    <w:p>
      <w:pPr>
        <w:pBdr>
          <w:bottom w:val="single" w:color="auto" w:sz="6" w:space="1"/>
        </w:pBdr>
        <w:spacing w:line="360" w:lineRule="auto"/>
        <w:ind w:firstLine="482" w:firstLineChars="200"/>
        <w:rPr>
          <w:rFonts w:ascii="宋体" w:hAnsi="宋体" w:cs="宋体"/>
          <w:color w:val="auto"/>
          <w:sz w:val="24"/>
          <w:szCs w:val="24"/>
          <w:highlight w:val="none"/>
        </w:rPr>
      </w:pPr>
      <w:r>
        <w:rPr>
          <w:rFonts w:hint="eastAsia" w:ascii="宋体" w:hAnsi="宋体" w:cs="宋体"/>
          <w:b/>
          <w:color w:val="auto"/>
          <w:sz w:val="24"/>
          <w:szCs w:val="24"/>
          <w:highlight w:val="none"/>
        </w:rPr>
        <w:t>现文：</w:t>
      </w:r>
      <w:r>
        <w:rPr>
          <w:rFonts w:hint="eastAsia" w:ascii="宋体" w:hAnsi="宋体" w:cs="宋体"/>
          <w:bCs/>
          <w:color w:val="auto"/>
          <w:sz w:val="24"/>
          <w:szCs w:val="24"/>
          <w:highlight w:val="none"/>
        </w:rPr>
        <w:t>详见附表二《技术标有效性审查表》</w:t>
      </w:r>
    </w:p>
    <w:p>
      <w:pPr>
        <w:spacing w:line="360" w:lineRule="auto"/>
        <w:ind w:firstLine="482" w:firstLineChars="200"/>
        <w:rPr>
          <w:rFonts w:ascii="宋体" w:hAnsi="宋体" w:cs="宋体"/>
          <w:b/>
          <w:color w:val="auto"/>
          <w:sz w:val="24"/>
          <w:szCs w:val="24"/>
          <w:highlight w:val="none"/>
        </w:rPr>
      </w:pPr>
      <w:r>
        <w:rPr>
          <w:rFonts w:hint="eastAsia" w:ascii="宋体" w:hAnsi="宋体" w:cs="宋体"/>
          <w:b/>
          <w:color w:val="auto"/>
          <w:sz w:val="24"/>
          <w:szCs w:val="24"/>
          <w:highlight w:val="none"/>
        </w:rPr>
        <w:t>条款号：附表三《经济标有效性审查表》          修改类型：修改</w:t>
      </w:r>
    </w:p>
    <w:p>
      <w:pPr>
        <w:spacing w:line="360" w:lineRule="auto"/>
        <w:ind w:firstLine="482" w:firstLineChars="200"/>
        <w:rPr>
          <w:rFonts w:ascii="宋体" w:hAnsi="宋体" w:cs="宋体"/>
          <w:bCs/>
          <w:color w:val="auto"/>
          <w:sz w:val="24"/>
          <w:szCs w:val="24"/>
          <w:highlight w:val="none"/>
        </w:rPr>
      </w:pPr>
      <w:r>
        <w:rPr>
          <w:rFonts w:hint="eastAsia" w:ascii="宋体" w:hAnsi="宋体" w:cs="宋体"/>
          <w:b/>
          <w:color w:val="auto"/>
          <w:sz w:val="24"/>
          <w:szCs w:val="24"/>
          <w:highlight w:val="none"/>
        </w:rPr>
        <w:t>原文：</w:t>
      </w:r>
      <w:r>
        <w:rPr>
          <w:rFonts w:hint="eastAsia" w:ascii="宋体" w:hAnsi="宋体" w:cs="宋体"/>
          <w:bCs/>
          <w:color w:val="auto"/>
          <w:sz w:val="24"/>
          <w:szCs w:val="24"/>
          <w:highlight w:val="none"/>
        </w:rPr>
        <w:t>详见《广州市建设工程施工公开招标项目招标文件范本GZZB2018-3》</w:t>
      </w:r>
    </w:p>
    <w:p>
      <w:pPr>
        <w:pBdr>
          <w:bottom w:val="single" w:color="auto" w:sz="6" w:space="1"/>
        </w:pBdr>
        <w:spacing w:line="360" w:lineRule="auto"/>
        <w:ind w:firstLine="482" w:firstLineChars="200"/>
        <w:rPr>
          <w:rFonts w:ascii="宋体" w:hAnsi="宋体" w:cs="宋体"/>
          <w:color w:val="auto"/>
          <w:sz w:val="24"/>
          <w:szCs w:val="24"/>
          <w:highlight w:val="none"/>
        </w:rPr>
      </w:pPr>
      <w:r>
        <w:rPr>
          <w:rFonts w:hint="eastAsia" w:ascii="宋体" w:hAnsi="宋体" w:cs="宋体"/>
          <w:b/>
          <w:color w:val="auto"/>
          <w:sz w:val="24"/>
          <w:szCs w:val="24"/>
          <w:highlight w:val="none"/>
        </w:rPr>
        <w:t>现文：</w:t>
      </w:r>
      <w:r>
        <w:rPr>
          <w:rFonts w:hint="eastAsia" w:ascii="宋体" w:hAnsi="宋体" w:cs="宋体"/>
          <w:bCs/>
          <w:color w:val="auto"/>
          <w:sz w:val="24"/>
          <w:szCs w:val="24"/>
          <w:highlight w:val="none"/>
        </w:rPr>
        <w:t>详见附表三《经济标有效性审查表》</w:t>
      </w:r>
    </w:p>
    <w:p>
      <w:pPr>
        <w:spacing w:line="360" w:lineRule="auto"/>
        <w:ind w:firstLine="482" w:firstLineChars="200"/>
        <w:rPr>
          <w:rFonts w:ascii="宋体" w:hAnsi="宋体" w:cs="宋体"/>
          <w:b/>
          <w:color w:val="auto"/>
          <w:sz w:val="24"/>
          <w:szCs w:val="24"/>
          <w:highlight w:val="none"/>
        </w:rPr>
      </w:pPr>
      <w:r>
        <w:rPr>
          <w:rFonts w:hint="eastAsia" w:ascii="宋体" w:hAnsi="宋体" w:cs="宋体"/>
          <w:b/>
          <w:color w:val="auto"/>
          <w:sz w:val="24"/>
          <w:szCs w:val="24"/>
          <w:highlight w:val="none"/>
        </w:rPr>
        <w:t>条款号：附表四《技术标详细审查评分表》          修改类型：修改</w:t>
      </w:r>
    </w:p>
    <w:p>
      <w:pPr>
        <w:spacing w:line="360" w:lineRule="auto"/>
        <w:ind w:firstLine="482" w:firstLineChars="200"/>
        <w:rPr>
          <w:rFonts w:ascii="宋体" w:hAnsi="宋体" w:cs="宋体"/>
          <w:bCs/>
          <w:color w:val="auto"/>
          <w:sz w:val="24"/>
          <w:szCs w:val="24"/>
          <w:highlight w:val="none"/>
        </w:rPr>
      </w:pPr>
      <w:r>
        <w:rPr>
          <w:rFonts w:hint="eastAsia" w:ascii="宋体" w:hAnsi="宋体" w:cs="宋体"/>
          <w:b/>
          <w:color w:val="auto"/>
          <w:sz w:val="24"/>
          <w:szCs w:val="24"/>
          <w:highlight w:val="none"/>
        </w:rPr>
        <w:t>原文：</w:t>
      </w:r>
      <w:r>
        <w:rPr>
          <w:rFonts w:hint="eastAsia" w:ascii="宋体" w:hAnsi="宋体" w:cs="宋体"/>
          <w:bCs/>
          <w:color w:val="auto"/>
          <w:sz w:val="24"/>
          <w:szCs w:val="24"/>
          <w:highlight w:val="none"/>
        </w:rPr>
        <w:t>详见《广州市建设工程施工公开招标项目招标文件范本GZZB2018-3》</w:t>
      </w:r>
    </w:p>
    <w:p>
      <w:pPr>
        <w:pBdr>
          <w:bottom w:val="single" w:color="auto" w:sz="6" w:space="1"/>
        </w:pBdr>
        <w:spacing w:line="360" w:lineRule="auto"/>
        <w:ind w:firstLine="602" w:firstLineChars="250"/>
        <w:rPr>
          <w:rFonts w:ascii="宋体" w:hAnsi="宋体" w:cs="宋体"/>
          <w:color w:val="auto"/>
          <w:sz w:val="24"/>
          <w:szCs w:val="24"/>
          <w:highlight w:val="none"/>
        </w:rPr>
      </w:pPr>
      <w:r>
        <w:rPr>
          <w:rFonts w:hint="eastAsia" w:ascii="宋体" w:hAnsi="宋体" w:cs="宋体"/>
          <w:b/>
          <w:color w:val="auto"/>
          <w:sz w:val="24"/>
          <w:szCs w:val="24"/>
          <w:highlight w:val="none"/>
        </w:rPr>
        <w:t>现文：</w:t>
      </w:r>
      <w:r>
        <w:rPr>
          <w:rFonts w:hint="eastAsia" w:ascii="宋体" w:hAnsi="宋体" w:cs="宋体"/>
          <w:bCs/>
          <w:color w:val="auto"/>
          <w:sz w:val="24"/>
          <w:szCs w:val="24"/>
          <w:highlight w:val="none"/>
        </w:rPr>
        <w:t>详见附表四《技术标详细审查评分表》</w:t>
      </w:r>
    </w:p>
    <w:p>
      <w:pPr>
        <w:spacing w:line="360" w:lineRule="auto"/>
        <w:ind w:firstLine="540" w:firstLineChars="224"/>
        <w:rPr>
          <w:rFonts w:ascii="宋体" w:hAnsi="宋体" w:cs="宋体"/>
          <w:b/>
          <w:color w:val="auto"/>
          <w:sz w:val="24"/>
          <w:szCs w:val="24"/>
          <w:highlight w:val="none"/>
        </w:rPr>
      </w:pPr>
      <w:r>
        <w:rPr>
          <w:rFonts w:hint="eastAsia" w:ascii="宋体" w:hAnsi="宋体" w:cs="宋体"/>
          <w:b/>
          <w:color w:val="auto"/>
          <w:sz w:val="24"/>
          <w:szCs w:val="24"/>
          <w:highlight w:val="none"/>
        </w:rPr>
        <w:t>条款号：附表五《经济标评分表》             修改类型：修改</w:t>
      </w:r>
    </w:p>
    <w:p>
      <w:pPr>
        <w:pBdr>
          <w:bottom w:val="single" w:color="auto" w:sz="6" w:space="1"/>
        </w:pBdr>
        <w:spacing w:line="360" w:lineRule="auto"/>
        <w:ind w:firstLine="540" w:firstLineChars="224"/>
        <w:rPr>
          <w:rFonts w:ascii="宋体" w:hAnsi="宋体" w:cs="宋体"/>
          <w:bCs/>
          <w:color w:val="auto"/>
          <w:sz w:val="24"/>
          <w:szCs w:val="24"/>
          <w:highlight w:val="none"/>
        </w:rPr>
      </w:pPr>
      <w:r>
        <w:rPr>
          <w:rFonts w:hint="eastAsia" w:ascii="宋体" w:hAnsi="宋体" w:cs="宋体"/>
          <w:b/>
          <w:color w:val="auto"/>
          <w:sz w:val="24"/>
          <w:szCs w:val="24"/>
          <w:highlight w:val="none"/>
        </w:rPr>
        <w:t>原文：</w:t>
      </w:r>
      <w:r>
        <w:rPr>
          <w:rFonts w:hint="eastAsia" w:ascii="宋体" w:hAnsi="宋体" w:cs="宋体"/>
          <w:bCs/>
          <w:color w:val="auto"/>
          <w:sz w:val="24"/>
          <w:szCs w:val="24"/>
          <w:highlight w:val="none"/>
        </w:rPr>
        <w:t>详见《广州市建设工程施工公开招标项目招标文件范本GZZB2018-3》</w:t>
      </w:r>
    </w:p>
    <w:p>
      <w:pPr>
        <w:pBdr>
          <w:bottom w:val="single" w:color="auto" w:sz="6" w:space="1"/>
        </w:pBdr>
        <w:tabs>
          <w:tab w:val="center" w:pos="4535"/>
        </w:tabs>
        <w:spacing w:line="360" w:lineRule="auto"/>
        <w:ind w:firstLine="602" w:firstLineChars="250"/>
        <w:rPr>
          <w:rFonts w:ascii="宋体" w:hAnsi="宋体" w:cs="宋体"/>
          <w:bCs/>
          <w:color w:val="auto"/>
          <w:sz w:val="24"/>
          <w:szCs w:val="24"/>
          <w:highlight w:val="none"/>
        </w:rPr>
      </w:pPr>
      <w:r>
        <w:rPr>
          <w:rFonts w:hint="eastAsia" w:ascii="宋体" w:hAnsi="宋体" w:cs="宋体"/>
          <w:b/>
          <w:color w:val="auto"/>
          <w:sz w:val="24"/>
          <w:szCs w:val="24"/>
          <w:highlight w:val="none"/>
        </w:rPr>
        <w:t>现文：</w:t>
      </w:r>
      <w:r>
        <w:rPr>
          <w:rFonts w:hint="eastAsia" w:ascii="宋体" w:hAnsi="宋体" w:cs="宋体"/>
          <w:bCs/>
          <w:color w:val="auto"/>
          <w:sz w:val="24"/>
          <w:szCs w:val="24"/>
          <w:highlight w:val="none"/>
        </w:rPr>
        <w:t>详见附表五《经济标评分表》</w:t>
      </w:r>
      <w:r>
        <w:rPr>
          <w:rFonts w:hint="eastAsia" w:ascii="宋体" w:hAnsi="宋体" w:cs="宋体"/>
          <w:bCs/>
          <w:color w:val="auto"/>
          <w:sz w:val="24"/>
          <w:szCs w:val="24"/>
          <w:highlight w:val="none"/>
        </w:rPr>
        <w:tab/>
      </w:r>
    </w:p>
    <w:p>
      <w:pPr>
        <w:spacing w:line="360" w:lineRule="auto"/>
        <w:ind w:firstLine="241" w:firstLineChars="100"/>
        <w:rPr>
          <w:rFonts w:ascii="宋体" w:hAnsi="宋体" w:cs="宋体"/>
          <w:b/>
          <w:color w:val="auto"/>
          <w:sz w:val="24"/>
          <w:szCs w:val="24"/>
          <w:highlight w:val="none"/>
        </w:rPr>
      </w:pPr>
      <w:r>
        <w:rPr>
          <w:rFonts w:hint="eastAsia" w:ascii="宋体" w:hAnsi="宋体" w:cs="宋体"/>
          <w:b/>
          <w:color w:val="auto"/>
          <w:sz w:val="24"/>
          <w:szCs w:val="24"/>
          <w:highlight w:val="none"/>
        </w:rPr>
        <w:t>注：以上修改，仅限于本范本中有可供选择条款的情形。</w:t>
      </w:r>
    </w:p>
    <w:p>
      <w:pPr>
        <w:spacing w:line="360" w:lineRule="auto"/>
        <w:rPr>
          <w:rFonts w:ascii="宋体" w:hAnsi="宋体" w:cs="宋体"/>
          <w:color w:val="auto"/>
          <w:sz w:val="24"/>
          <w:szCs w:val="24"/>
          <w:highlight w:val="none"/>
        </w:rPr>
      </w:pPr>
      <w:r>
        <w:rPr>
          <w:rFonts w:hint="eastAsia" w:ascii="宋体" w:hAnsi="宋体" w:cs="宋体"/>
          <w:b/>
          <w:color w:val="auto"/>
          <w:sz w:val="24"/>
          <w:szCs w:val="24"/>
          <w:highlight w:val="none"/>
        </w:rPr>
        <w:t>（以下无正文）</w:t>
      </w:r>
    </w:p>
    <w:p>
      <w:pPr>
        <w:pStyle w:val="8"/>
        <w:spacing w:line="360" w:lineRule="auto"/>
        <w:rPr>
          <w:rFonts w:ascii="宋体" w:hAnsi="宋体" w:cs="宋体"/>
          <w:color w:val="auto"/>
          <w:highlight w:val="none"/>
        </w:rPr>
      </w:pPr>
    </w:p>
    <w:p>
      <w:pPr>
        <w:pStyle w:val="7"/>
        <w:ind w:firstLine="525"/>
        <w:rPr>
          <w:rFonts w:ascii="宋体" w:hAnsi="宋体" w:cs="宋体"/>
          <w:color w:val="auto"/>
          <w:highlight w:val="none"/>
        </w:rPr>
      </w:pPr>
      <w:r>
        <w:rPr>
          <w:rFonts w:hint="eastAsia" w:ascii="宋体" w:hAnsi="宋体" w:cs="宋体"/>
          <w:color w:val="auto"/>
          <w:highlight w:val="none"/>
        </w:rPr>
        <w:br w:type="page"/>
      </w:r>
      <w:bookmarkStart w:id="18" w:name="_Toc11460"/>
      <w:r>
        <w:rPr>
          <w:rFonts w:hint="eastAsia" w:ascii="宋体" w:hAnsi="宋体" w:cs="宋体"/>
          <w:color w:val="auto"/>
          <w:highlight w:val="none"/>
        </w:rPr>
        <w:t>二、开标、评标及定标办法</w:t>
      </w:r>
      <w:r>
        <w:rPr>
          <w:rFonts w:hint="eastAsia" w:ascii="宋体" w:hAnsi="宋体" w:cs="宋体"/>
          <w:color w:val="auto"/>
          <w:szCs w:val="30"/>
          <w:highlight w:val="none"/>
        </w:rPr>
        <w:t>通用条款</w:t>
      </w:r>
      <w:bookmarkEnd w:id="18"/>
    </w:p>
    <w:p>
      <w:pPr>
        <w:pStyle w:val="9"/>
        <w:spacing w:before="156" w:after="156"/>
        <w:ind w:firstLine="540" w:firstLineChars="200"/>
        <w:rPr>
          <w:rFonts w:cs="宋体"/>
          <w:color w:val="auto"/>
          <w:highlight w:val="none"/>
        </w:rPr>
      </w:pPr>
      <w:bookmarkStart w:id="19" w:name="_Toc19940"/>
      <w:r>
        <w:rPr>
          <w:rFonts w:hint="eastAsia" w:cs="宋体"/>
          <w:color w:val="auto"/>
          <w:highlight w:val="none"/>
        </w:rPr>
        <w:t>（一）总则</w:t>
      </w:r>
      <w:bookmarkEnd w:id="19"/>
    </w:p>
    <w:p>
      <w:pPr>
        <w:spacing w:line="360" w:lineRule="auto"/>
        <w:ind w:firstLine="480" w:firstLineChars="200"/>
        <w:rPr>
          <w:rFonts w:ascii="宋体" w:hAnsi="宋体" w:cs="宋体"/>
          <w:b/>
          <w:color w:val="auto"/>
          <w:sz w:val="24"/>
          <w:szCs w:val="24"/>
          <w:highlight w:val="none"/>
        </w:rPr>
      </w:pPr>
      <w:r>
        <w:rPr>
          <w:rFonts w:hint="eastAsia" w:ascii="宋体" w:hAnsi="宋体" w:cs="宋体"/>
          <w:color w:val="auto"/>
          <w:sz w:val="24"/>
          <w:szCs w:val="24"/>
          <w:highlight w:val="none"/>
        </w:rPr>
        <w:t>35 开标、评标及定标所依据的规则</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35.1《中华人民共和国招标投标法》；</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35.2《中华人民共和国招标投标法实施条例》；</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35.3《评标委员会和评标方法暂行规定》（七部委第12号令）</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35.4《工程建设项目施工招标投标办法》（七部委2003年第30号令）</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35.5《广东省实施〈中华人民共和国招标投标法〉办法》；</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35.6《房屋建筑和市政基础设施工程施工招标投标管理办法》（建设部令第89号）</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35.7《广东省加强建设工程招标投标监督管理的若干规定》（粤发[2004]4号）；</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35.8《广州市工程建设项目招标投标管理办法》（穗府办规〔2017〕5号）。</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35.9本项目招标文件。</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36．开标</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36.1 招标人按投标须知前附表第18项所规定的时间和地点公开开标，并邀请所有投标人参加。截标后，开标开始时间因故推迟的，相关评标信息仍以原定的开标开始时间的信息为准。</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36.2 招标人在招标文件要求提交投标文件的截止时间前收到的投标文件，开标时都当众予以解密、公布。</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36.3根据投标须知前附表第19项，如需抽取某一种评标办法供评标时使用的，应在开标前抽取。首先对招标文件中约定的若干种评标方法进行编号，再随机抽取某一编号，该编号所对应的评标办法供评标时使用。</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36.4若递交投标文件的投标人不足3家，则重新组织招标。（当N个标段同时招标且不允许兼中时，若有效投标人不足N+2家，则重新组织招标）</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36.5按下列程序进行开标：</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36.5.1在投标截止时间后半小时内，投标人通过交易平台对已递交的电子投标文件进行解密。投标人完成解密后，再由招标人进行解密（如有项目负责人签到环节，应在项目负责人签到完成后，招标人再进行解密）。解密完成后，公布招标项目名称、投标人名称、投标保证金的递交情况、投标报价、工期及其他内容；</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36.5.2备用光盘的读取按投标须知前附表第36项的规定执行；</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36.5.3投标人代表、招标人代表、监标人、记录人等有关人员在开标记录上签字确认；若有关人员不签字的，不影响开标程序；</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36.5.4开标结束。</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36.6投标截止时间前未完成投标文件传输的或因投标人之外的原因造成投标文件未解密且未按要求递交备用光盘的，视为投标人撤回投标文件。因投标人原因造成投标文件未解密或未在规定的时间内解密的，视为撤销其投标文件。</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36.7开标时，两个（含两个）以上的投标人加密打包投标文件电脑机器特征码一致的，不参与下一程序，并由评标委员会否决其投标。</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37．评标</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37.1评标委员会由招标人依法组建。</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37.2评标委员会的职责及守则：</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37.2.1根据评标细则，对投标文件进行认真评审，完成评审报告；</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37.2.2向招标人报告评审意见，推荐合格的中标候选人。</w:t>
      </w:r>
    </w:p>
    <w:p>
      <w:pPr>
        <w:spacing w:line="360" w:lineRule="auto"/>
        <w:ind w:firstLine="480" w:firstLineChars="200"/>
        <w:rPr>
          <w:rFonts w:ascii="宋体" w:hAnsi="宋体" w:cs="宋体"/>
          <w:color w:val="auto"/>
          <w:sz w:val="24"/>
          <w:szCs w:val="24"/>
          <w:highlight w:val="none"/>
        </w:rPr>
      </w:pPr>
      <w:r>
        <w:rPr>
          <w:rFonts w:hint="eastAsia" w:ascii="宋体" w:hAnsi="宋体" w:cs="宋体"/>
          <w:bCs/>
          <w:color w:val="auto"/>
          <w:sz w:val="24"/>
          <w:szCs w:val="24"/>
          <w:highlight w:val="none"/>
        </w:rPr>
        <w:t>37.2.3</w:t>
      </w:r>
      <w:r>
        <w:rPr>
          <w:rFonts w:hint="eastAsia" w:ascii="宋体" w:hAnsi="宋体" w:cs="宋体"/>
          <w:color w:val="auto"/>
          <w:sz w:val="24"/>
          <w:szCs w:val="24"/>
          <w:highlight w:val="none"/>
        </w:rPr>
        <w:t>所有参加评标人员必须遵守国家、地方政府制定的有关工程招标投标的法则、规定，遵守有关工程招标投标的保密制度；如有违反者，给予行政处分；情节严重，构成犯罪的，由司法机关依法追究其刑事责任。</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37.2.4全体参与评标人员：</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37.2.4.1 必须遵守评标纪律、不得泄密；</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37.2.4.2 必须公正、不得循私；</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37.2.4.3 必须科学、不得草率；</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37.2.4.4 必须客观、不得带有成见；</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37.2.4.5 必须平等、不得强加于人；</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37.2.4.6 必须严谨、不得随意马虎。</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37.3 评标结束后，评标委员会递交评标报告并依法推荐中标候选人。</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38．投标文件的澄清</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38.1为有助于投标文件的审查、评价和比较，评标期间，经评标委员会或评标委员会专业评审组中两人以上（含两人）以书面形式提出动议，评标委员会或评标委员会专业评审组应当书面发出澄清通知，要求投标人对投标文件含义不明确的内容作出澄清。</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38.2 投标人应以书面形式进行澄清，澄清中的承诺性意思表示在投标文件有效期内均对投标人有约束力。除评标委员会对评标中发现算术错误进行修正后要求投标人以澄清形式进行的核实和确认外，澄清不得超出投标文件的范围或改变投标文件的实质性内容，超出部分不作为评标委员会评审的依据。</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38.3 评标委员会或评标委员会专业评审组成员均应当阅读投标人的澄清，但应独立参考澄清对投标文件进行评审。</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38.4如果投标文件实质上不响应招标文件的各项要求，评标委员会将按照符合性审查标准予以拒绝，不接受投标人通过修改或撤销其不符合要求的差异或保留，使之成为具有响应性的投标。</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38.5投标人如在本项目中存在串通投标、弄虚作假、行贿情形且在评标过程中未被发现的，该投标不改变本项目评标结果排序，其中标无效。招标人按照《中华人民共和国招标投标法实施条例》第五十五条的规定依次确定中标人或重新招标。</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39．定标</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39.1 招标人根据评标委员会递交的评标报告，最终审定中标人。</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39.2 依法必须进行公开招标的项目，招标人应当确定排名第一的中标候选人为中标人。</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39.3排名第一的中标候选人放弃中标、或因不可抗力提出不能履行合同，或者招标文件规定应当提交履约担保而在规定的期限内未能提交的，招标人可以确定排名第二的中标候选人为中标人。</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39.4排名第二的中标候选人出现前款所列的情形的，招标人可以确定排名第三的中标候选人为中标人。以此类推，如所有中标候选人均出现前款所列的情形，为招标失败，招标人依法重新招标。</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39.5 重新评标的，评标信息（含业绩、奖项等）仍以投标截止时投标人的信息为准。因特殊原因需要延长投标有效期，投标人拒绝延长投标有效期的，仍参与评标，但不被推荐为中标候选人。</w:t>
      </w:r>
    </w:p>
    <w:p>
      <w:pPr>
        <w:pStyle w:val="9"/>
        <w:spacing w:before="156" w:after="156"/>
        <w:ind w:firstLine="480" w:firstLineChars="200"/>
        <w:rPr>
          <w:rFonts w:cs="宋体"/>
          <w:color w:val="auto"/>
          <w:sz w:val="24"/>
          <w:szCs w:val="24"/>
          <w:highlight w:val="none"/>
        </w:rPr>
      </w:pPr>
      <w:bookmarkStart w:id="20" w:name="_Toc18768"/>
      <w:r>
        <w:rPr>
          <w:rFonts w:hint="eastAsia" w:cs="宋体"/>
          <w:color w:val="auto"/>
          <w:sz w:val="24"/>
          <w:szCs w:val="24"/>
          <w:highlight w:val="none"/>
        </w:rPr>
        <w:t>（二）开标评标办法程序和细则</w:t>
      </w:r>
      <w:bookmarkEnd w:id="20"/>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注：评标办法所述企业综合诚信评价分数即投标截止当日广州市住房和城乡建设局网站上公布的企业综合诚信评价60日诚信分。</w:t>
      </w:r>
    </w:p>
    <w:p>
      <w:pPr>
        <w:pStyle w:val="9"/>
        <w:spacing w:before="156" w:after="156"/>
        <w:ind w:firstLine="540" w:firstLineChars="200"/>
        <w:rPr>
          <w:rFonts w:cs="宋体"/>
          <w:color w:val="auto"/>
          <w:highlight w:val="none"/>
        </w:rPr>
      </w:pPr>
      <w:bookmarkStart w:id="21" w:name="_Toc21525509"/>
      <w:bookmarkStart w:id="22" w:name="_Toc2272564"/>
      <w:bookmarkStart w:id="23" w:name="_Toc25301"/>
      <w:r>
        <w:rPr>
          <w:rFonts w:hint="eastAsia" w:cs="宋体"/>
          <w:color w:val="auto"/>
          <w:highlight w:val="none"/>
        </w:rPr>
        <w:t>可选办法七（适合综合评分法四，技术标与经济标同时开启）</w:t>
      </w:r>
      <w:bookmarkEnd w:id="21"/>
    </w:p>
    <w:p>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40．开标和评标程序</w:t>
      </w:r>
    </w:p>
    <w:p>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40.1技术标（含资格审查文件）与经济标投标文件同时公开开标；</w:t>
      </w:r>
    </w:p>
    <w:p>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40.2由评标委员会对所有已公开开标的投标人进行资格审查；</w:t>
      </w:r>
    </w:p>
    <w:p>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40.3技术标投标文件有效性审查；</w:t>
      </w:r>
    </w:p>
    <w:p>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40.4技术标详细审查评分；</w:t>
      </w:r>
    </w:p>
    <w:p>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40.5经济标详细审查评分； </w:t>
      </w:r>
    </w:p>
    <w:p>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40.6评标委员会按照投标人总得分由高至低排序；</w:t>
      </w:r>
    </w:p>
    <w:p>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40.7经济标投标文件有效性审查；</w:t>
      </w:r>
    </w:p>
    <w:p>
      <w:pPr>
        <w:snapToGrid w:val="0"/>
        <w:spacing w:line="360" w:lineRule="auto"/>
        <w:ind w:firstLine="480" w:firstLineChars="200"/>
        <w:rPr>
          <w:rFonts w:ascii="宋体" w:hAnsi="宋体" w:cs="宋体"/>
          <w:color w:val="auto"/>
          <w:szCs w:val="21"/>
          <w:highlight w:val="none"/>
        </w:rPr>
      </w:pPr>
      <w:r>
        <w:rPr>
          <w:rFonts w:hint="eastAsia" w:ascii="宋体" w:hAnsi="宋体" w:cs="宋体"/>
          <w:color w:val="auto"/>
          <w:sz w:val="24"/>
          <w:szCs w:val="24"/>
          <w:highlight w:val="none"/>
        </w:rPr>
        <w:t>40.8评标委员会按排序向招标人推荐中标候选人名单，并递交资格审查报告及评标报告。</w:t>
      </w:r>
    </w:p>
    <w:p>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41．开标细则</w:t>
      </w:r>
    </w:p>
    <w:p>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41.1开标由招标人主持；</w:t>
      </w:r>
    </w:p>
    <w:p>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41.2 细则</w:t>
      </w:r>
    </w:p>
    <w:p>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41.2.1投标截止期前，各投标人递交投标文件（包括技术标投标文件、经济标投标文件）至</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交易平台。有关投标文件提交的事项详见第一章投标须知。 </w:t>
      </w:r>
    </w:p>
    <w:p>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41.2.2开标前，首先由招标人随机抽取确定该工程计算评标参考价的等分点值X。</w:t>
      </w:r>
    </w:p>
    <w:p>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41.2.3开标时，投标人代表有权出席开标会，也可以自主决定不参加开标会，若投标人代表对开标过程提出异议，该投标人代表须同时出示本人身份证原件。</w:t>
      </w:r>
    </w:p>
    <w:p>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41.2.4按36.5.1的规定完成解密后，公布下列内容，并予以记录，记录提交评标委员会评审： </w:t>
      </w:r>
    </w:p>
    <w:p>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41.2.4.1开标时，公布：a、投标人名称；b、</w:t>
      </w:r>
      <w:r>
        <w:rPr>
          <w:rFonts w:hint="eastAsia" w:ascii="宋体" w:hAnsi="宋体" w:cs="宋体"/>
          <w:color w:val="auto"/>
          <w:sz w:val="24"/>
          <w:highlight w:val="none"/>
        </w:rPr>
        <w:t>投标文件</w:t>
      </w:r>
      <w:r>
        <w:rPr>
          <w:rFonts w:hint="eastAsia" w:ascii="宋体" w:hAnsi="宋体" w:cs="宋体"/>
          <w:color w:val="auto"/>
          <w:sz w:val="24"/>
          <w:szCs w:val="24"/>
          <w:highlight w:val="none"/>
        </w:rPr>
        <w:t>密封情况；c、投标报价；d、投标保证金；e、项目经理（负责人）名称；f、法定代表人证明及授权委托等主要内容及开标记录表中的其他必要内容。投标报价以数字和文字两种方式表述的，应公布文字表述的投标报价。</w:t>
      </w:r>
    </w:p>
    <w:p>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41.3招标人对开标过程进行记录，并存档备查，投标人在技术标开标记录上签字。</w:t>
      </w:r>
    </w:p>
    <w:p>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41.4 招标人将上述符合要求的投标文件，送至评标委员会进行评审。</w:t>
      </w:r>
    </w:p>
    <w:p>
      <w:pPr>
        <w:pStyle w:val="5"/>
        <w:tabs>
          <w:tab w:val="left" w:pos="7380"/>
        </w:tabs>
        <w:snapToGrid w:val="0"/>
        <w:spacing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42. 资格审查及评标细则</w:t>
      </w:r>
    </w:p>
    <w:p>
      <w:pPr>
        <w:pStyle w:val="5"/>
        <w:tabs>
          <w:tab w:val="left" w:pos="7380"/>
        </w:tabs>
        <w:snapToGrid w:val="0"/>
        <w:spacing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42.1资格审查及评标均由招标人依法组建的评标委员会负责。</w:t>
      </w:r>
    </w:p>
    <w:p>
      <w:pPr>
        <w:pStyle w:val="5"/>
        <w:tabs>
          <w:tab w:val="left" w:pos="7380"/>
        </w:tabs>
        <w:snapToGrid w:val="0"/>
        <w:spacing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42.2评标委员会的组成：方式</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方式一：评标委员会为综合评标委员会，负责资格审查及评标工作。</w:t>
      </w:r>
    </w:p>
    <w:p>
      <w:pPr>
        <w:pStyle w:val="5"/>
        <w:tabs>
          <w:tab w:val="left" w:pos="7380"/>
        </w:tabs>
        <w:snapToGrid w:val="0"/>
        <w:spacing w:after="0" w:line="360" w:lineRule="auto"/>
        <w:rPr>
          <w:rFonts w:ascii="宋体" w:hAnsi="宋体" w:cs="宋体"/>
          <w:color w:val="auto"/>
          <w:sz w:val="24"/>
          <w:szCs w:val="24"/>
          <w:highlight w:val="none"/>
        </w:rPr>
      </w:pPr>
      <w:r>
        <w:rPr>
          <w:rFonts w:hint="eastAsia" w:ascii="宋体" w:hAnsi="宋体" w:cs="宋体"/>
          <w:color w:val="auto"/>
          <w:sz w:val="24"/>
          <w:szCs w:val="24"/>
          <w:highlight w:val="none"/>
        </w:rPr>
        <w:t>方式二：评标委员会由技术评审组和经济评审组组成。其中：资格审查及技术评审由技术评标组负责，经济评审由经济评审组负责。</w:t>
      </w:r>
    </w:p>
    <w:p>
      <w:pPr>
        <w:pStyle w:val="5"/>
        <w:tabs>
          <w:tab w:val="left" w:pos="7380"/>
        </w:tabs>
        <w:snapToGrid w:val="0"/>
        <w:spacing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43．投标人资格审查</w:t>
      </w:r>
    </w:p>
    <w:p>
      <w:pPr>
        <w:pStyle w:val="5"/>
        <w:tabs>
          <w:tab w:val="left" w:pos="7380"/>
        </w:tabs>
        <w:snapToGrid w:val="0"/>
        <w:spacing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43.1资格审查文件中全部符合附表一《资格审查表》中情形的，为资格审查合格；否则为资格审查不合格。如评标委员会成员的评审意见不一致时，以评标委员会过半数成员的意见作为评标委员会对该情形的认定结论。</w:t>
      </w:r>
    </w:p>
    <w:p>
      <w:pPr>
        <w:pStyle w:val="5"/>
        <w:tabs>
          <w:tab w:val="left" w:pos="7380"/>
        </w:tabs>
        <w:snapToGrid w:val="0"/>
        <w:spacing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43.2汇总资格审查情况，编写资格审查报告。</w:t>
      </w:r>
    </w:p>
    <w:p>
      <w:pPr>
        <w:pStyle w:val="5"/>
        <w:tabs>
          <w:tab w:val="left" w:pos="7380"/>
        </w:tabs>
        <w:snapToGrid w:val="0"/>
        <w:spacing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43.3资格审查不合格的投标文件不参加下一阶段的评标，不参与评标参考价的计算。</w:t>
      </w:r>
    </w:p>
    <w:p>
      <w:pPr>
        <w:pStyle w:val="5"/>
        <w:tabs>
          <w:tab w:val="left" w:pos="7380"/>
        </w:tabs>
        <w:snapToGrid w:val="0"/>
        <w:spacing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43.4资格审查时，投标企业名称已经工商变更的，但企业及个人的资质证书未完成企业名称变更，仍然承认其有效。资质证书、安全生产许可证之间登记的信息不一致，应当允许投标人澄清，不得直接否决其投标。</w:t>
      </w:r>
    </w:p>
    <w:p>
      <w:pPr>
        <w:pStyle w:val="5"/>
        <w:tabs>
          <w:tab w:val="left" w:pos="7380"/>
        </w:tabs>
        <w:snapToGrid w:val="0"/>
        <w:spacing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43.5资审合格后，投标人的资格发生变化而不满足投标人合格条件，在发出中标通知书前，资格问题仍未解决的，招标人将取消其中标资格。</w:t>
      </w:r>
    </w:p>
    <w:p>
      <w:pPr>
        <w:pStyle w:val="5"/>
        <w:tabs>
          <w:tab w:val="left" w:pos="7380"/>
        </w:tabs>
        <w:snapToGrid w:val="0"/>
        <w:spacing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43.6资格审查合格的投标人少于3名的（当N个标段同时招标且不允许兼中时，资格审查合格的投标人少于N+2名），则本项目招标失败。</w:t>
      </w:r>
    </w:p>
    <w:p>
      <w:pPr>
        <w:pStyle w:val="5"/>
        <w:tabs>
          <w:tab w:val="left" w:pos="7380"/>
        </w:tabs>
        <w:snapToGrid w:val="0"/>
        <w:spacing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44．技术标评审</w:t>
      </w:r>
    </w:p>
    <w:p>
      <w:pPr>
        <w:pStyle w:val="5"/>
        <w:tabs>
          <w:tab w:val="left" w:pos="7380"/>
        </w:tabs>
        <w:snapToGrid w:val="0"/>
        <w:spacing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44.1技术标的有效性审查：投标文件中没有任一种列于本办法附表二《技术标有效性审查表》中情形的，为有效投标文件。否则其投标文件将被否决。被否决的投标人不参与下一阶段评审，不参与评标参考价的计算。如评标委员会的评审意见不一致时，以评标委员会过半数成员的意见作为评标委员会对该情形的认定结论。若通过技术标有效性审查的投标人不足3名（当N个标段同时招标且不允许兼中时，若通过技术标有效性审查投标人不足N+2名），则本项目招标失败。</w:t>
      </w:r>
    </w:p>
    <w:p>
      <w:pPr>
        <w:pStyle w:val="5"/>
        <w:tabs>
          <w:tab w:val="left" w:pos="7380"/>
        </w:tabs>
        <w:snapToGrid w:val="0"/>
        <w:spacing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44.2技术标详细审查评分：评标委员会按照附表四《技术标详细审查评分表》的标准，对通过技术标有效性审查的投标文件技术标进行详细审查，评出技术分，得分四舍五入精确到小数点后两位。</w:t>
      </w:r>
    </w:p>
    <w:p>
      <w:pPr>
        <w:pStyle w:val="5"/>
        <w:tabs>
          <w:tab w:val="left" w:pos="7380"/>
        </w:tabs>
        <w:snapToGrid w:val="0"/>
        <w:spacing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45．经济标评审和得分汇总</w:t>
      </w:r>
    </w:p>
    <w:p>
      <w:pPr>
        <w:pStyle w:val="5"/>
        <w:tabs>
          <w:tab w:val="left" w:pos="7380"/>
        </w:tabs>
        <w:snapToGrid w:val="0"/>
        <w:spacing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45.1若通过技术标有效性审查的投标人中所有投标报价均大于等于最高投标限价*D%（D的取值范围为[94,100],由招标人自主确定）的（具体金额为：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元），则本项目招标失败，由招标人依法重新招标。</w:t>
      </w:r>
    </w:p>
    <w:p>
      <w:pPr>
        <w:pStyle w:val="5"/>
        <w:tabs>
          <w:tab w:val="left" w:pos="7380"/>
        </w:tabs>
        <w:snapToGrid w:val="0"/>
        <w:spacing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 45.2按方法</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计算评标参考价：</w:t>
      </w:r>
    </w:p>
    <w:p>
      <w:pPr>
        <w:widowControl/>
        <w:spacing w:line="360" w:lineRule="auto"/>
        <w:ind w:firstLine="482" w:firstLineChars="200"/>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方法一：加权平均法</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技术标或技术标加诚信得分（具体由招标人自定）前N名（N≥5，具体由招标人自定）的经济报价加权平均，计算评标参考价。公式如下：</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评标参考价=Σ（投标人的投标报价*报价权重）。</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其中：报价权重的计算方法为：将N名投标人按技术分由高至低进行排序，第一名投标人的权重为（</w:t>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QUOTE </w:instrText>
      </w:r>
      <w:r>
        <w:rPr>
          <w:rFonts w:hint="eastAsia" w:ascii="宋体" w:hAnsi="宋体" w:cs="宋体"/>
          <w:color w:val="auto"/>
          <w:sz w:val="24"/>
          <w:szCs w:val="24"/>
          <w:highlight w:val="none"/>
        </w:rPr>
        <w:drawing>
          <wp:inline distT="0" distB="0" distL="114300" distR="114300">
            <wp:extent cx="379730" cy="451485"/>
            <wp:effectExtent l="0" t="0" r="1270" b="5715"/>
            <wp:docPr id="10"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6"/>
                    <pic:cNvPicPr>
                      <a:picLocks noChangeAspect="1"/>
                    </pic:cNvPicPr>
                  </pic:nvPicPr>
                  <pic:blipFill>
                    <a:blip r:embed="rId13">
                      <a:clrChange>
                        <a:clrFrom>
                          <a:srgbClr val="FFFFFF"/>
                        </a:clrFrom>
                        <a:clrTo>
                          <a:srgbClr val="FFFFFF">
                            <a:alpha val="0"/>
                          </a:srgbClr>
                        </a:clrTo>
                      </a:clrChange>
                    </a:blip>
                    <a:stretch>
                      <a:fillRect/>
                    </a:stretch>
                  </pic:blipFill>
                  <pic:spPr>
                    <a:xfrm>
                      <a:off x="0" y="0"/>
                      <a:ext cx="379730" cy="451485"/>
                    </a:xfrm>
                    <a:prstGeom prst="rect">
                      <a:avLst/>
                    </a:prstGeom>
                    <a:noFill/>
                    <a:ln>
                      <a:noFill/>
                    </a:ln>
                  </pic:spPr>
                </pic:pic>
              </a:graphicData>
            </a:graphic>
          </wp:inline>
        </w:drawing>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drawing>
          <wp:inline distT="0" distB="0" distL="114300" distR="114300">
            <wp:extent cx="379730" cy="451485"/>
            <wp:effectExtent l="0" t="0" r="1270" b="5715"/>
            <wp:docPr id="1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5"/>
                    <pic:cNvPicPr>
                      <a:picLocks noChangeAspect="1"/>
                    </pic:cNvPicPr>
                  </pic:nvPicPr>
                  <pic:blipFill>
                    <a:blip r:embed="rId13">
                      <a:clrChange>
                        <a:clrFrom>
                          <a:srgbClr val="FFFFFF"/>
                        </a:clrFrom>
                        <a:clrTo>
                          <a:srgbClr val="FFFFFF">
                            <a:alpha val="0"/>
                          </a:srgbClr>
                        </a:clrTo>
                      </a:clrChange>
                    </a:blip>
                    <a:stretch>
                      <a:fillRect/>
                    </a:stretch>
                  </pic:blipFill>
                  <pic:spPr>
                    <a:xfrm>
                      <a:off x="0" y="0"/>
                      <a:ext cx="379730" cy="451485"/>
                    </a:xfrm>
                    <a:prstGeom prst="rect">
                      <a:avLst/>
                    </a:prstGeom>
                    <a:noFill/>
                    <a:ln>
                      <a:noFill/>
                    </a:ln>
                  </pic:spPr>
                </pic:pic>
              </a:graphicData>
            </a:graphic>
          </wp:inline>
        </w:drawing>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t>），第二名投标人的权重为（</w:t>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QUOTE </w:instrText>
      </w:r>
      <w:r>
        <w:rPr>
          <w:rFonts w:hint="eastAsia" w:ascii="宋体" w:hAnsi="宋体" w:cs="宋体"/>
          <w:color w:val="auto"/>
          <w:position w:val="-23"/>
          <w:sz w:val="24"/>
          <w:szCs w:val="24"/>
          <w:highlight w:val="none"/>
        </w:rPr>
        <w:drawing>
          <wp:inline distT="0" distB="0" distL="114300" distR="114300">
            <wp:extent cx="320675" cy="403860"/>
            <wp:effectExtent l="0" t="0" r="3175" b="15240"/>
            <wp:docPr id="1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4"/>
                    <pic:cNvPicPr>
                      <a:picLocks noChangeAspect="1"/>
                    </pic:cNvPicPr>
                  </pic:nvPicPr>
                  <pic:blipFill>
                    <a:blip r:embed="rId14">
                      <a:clrChange>
                        <a:clrFrom>
                          <a:srgbClr val="FFFFFF"/>
                        </a:clrFrom>
                        <a:clrTo>
                          <a:srgbClr val="FFFFFF">
                            <a:alpha val="0"/>
                          </a:srgbClr>
                        </a:clrTo>
                      </a:clrChange>
                    </a:blip>
                    <a:stretch>
                      <a:fillRect/>
                    </a:stretch>
                  </pic:blipFill>
                  <pic:spPr>
                    <a:xfrm>
                      <a:off x="0" y="0"/>
                      <a:ext cx="320675" cy="403860"/>
                    </a:xfrm>
                    <a:prstGeom prst="rect">
                      <a:avLst/>
                    </a:prstGeom>
                    <a:noFill/>
                    <a:ln>
                      <a:noFill/>
                    </a:ln>
                  </pic:spPr>
                </pic:pic>
              </a:graphicData>
            </a:graphic>
          </wp:inline>
        </w:drawing>
      </w:r>
      <w:r>
        <w:rPr>
          <w:rFonts w:hint="eastAsia" w:ascii="宋体" w:hAnsi="宋体" w:cs="宋体"/>
          <w:color w:val="auto"/>
          <w:sz w:val="24"/>
          <w:szCs w:val="24"/>
          <w:highlight w:val="none"/>
        </w:rPr>
        <w:fldChar w:fldCharType="separate"/>
      </w:r>
      <w:r>
        <w:rPr>
          <w:rFonts w:hint="eastAsia" w:ascii="宋体" w:hAnsi="宋体" w:cs="宋体"/>
          <w:color w:val="auto"/>
          <w:position w:val="-23"/>
          <w:sz w:val="24"/>
          <w:szCs w:val="24"/>
          <w:highlight w:val="none"/>
        </w:rPr>
        <w:drawing>
          <wp:inline distT="0" distB="0" distL="114300" distR="114300">
            <wp:extent cx="320675" cy="403860"/>
            <wp:effectExtent l="0" t="0" r="3175" b="15240"/>
            <wp:docPr id="1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3"/>
                    <pic:cNvPicPr>
                      <a:picLocks noChangeAspect="1"/>
                    </pic:cNvPicPr>
                  </pic:nvPicPr>
                  <pic:blipFill>
                    <a:blip r:embed="rId14">
                      <a:clrChange>
                        <a:clrFrom>
                          <a:srgbClr val="FFFFFF"/>
                        </a:clrFrom>
                        <a:clrTo>
                          <a:srgbClr val="FFFFFF">
                            <a:alpha val="0"/>
                          </a:srgbClr>
                        </a:clrTo>
                      </a:clrChange>
                    </a:blip>
                    <a:stretch>
                      <a:fillRect/>
                    </a:stretch>
                  </pic:blipFill>
                  <pic:spPr>
                    <a:xfrm>
                      <a:off x="0" y="0"/>
                      <a:ext cx="320675" cy="403860"/>
                    </a:xfrm>
                    <a:prstGeom prst="rect">
                      <a:avLst/>
                    </a:prstGeom>
                    <a:noFill/>
                    <a:ln>
                      <a:noFill/>
                    </a:ln>
                  </pic:spPr>
                </pic:pic>
              </a:graphicData>
            </a:graphic>
          </wp:inline>
        </w:drawing>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t>），以此类推，最后一名投标人的权重为（</w:t>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QUOTE </w:instrText>
      </w:r>
      <w:r>
        <w:rPr>
          <w:rFonts w:hint="eastAsia" w:ascii="宋体" w:hAnsi="宋体" w:cs="宋体"/>
          <w:color w:val="auto"/>
          <w:position w:val="-23"/>
          <w:sz w:val="24"/>
          <w:szCs w:val="24"/>
          <w:highlight w:val="none"/>
        </w:rPr>
        <w:drawing>
          <wp:inline distT="0" distB="0" distL="114300" distR="114300">
            <wp:extent cx="320675" cy="403860"/>
            <wp:effectExtent l="0" t="0" r="3175" b="15875"/>
            <wp:docPr id="1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2"/>
                    <pic:cNvPicPr>
                      <a:picLocks noChangeAspect="1"/>
                    </pic:cNvPicPr>
                  </pic:nvPicPr>
                  <pic:blipFill>
                    <a:blip r:embed="rId15">
                      <a:clrChange>
                        <a:clrFrom>
                          <a:srgbClr val="FFFFFF"/>
                        </a:clrFrom>
                        <a:clrTo>
                          <a:srgbClr val="FFFFFF">
                            <a:alpha val="0"/>
                          </a:srgbClr>
                        </a:clrTo>
                      </a:clrChange>
                    </a:blip>
                    <a:stretch>
                      <a:fillRect/>
                    </a:stretch>
                  </pic:blipFill>
                  <pic:spPr>
                    <a:xfrm>
                      <a:off x="0" y="0"/>
                      <a:ext cx="320675" cy="403860"/>
                    </a:xfrm>
                    <a:prstGeom prst="rect">
                      <a:avLst/>
                    </a:prstGeom>
                    <a:noFill/>
                    <a:ln>
                      <a:noFill/>
                    </a:ln>
                  </pic:spPr>
                </pic:pic>
              </a:graphicData>
            </a:graphic>
          </wp:inline>
        </w:drawing>
      </w:r>
      <w:r>
        <w:rPr>
          <w:rFonts w:hint="eastAsia" w:ascii="宋体" w:hAnsi="宋体" w:cs="宋体"/>
          <w:color w:val="auto"/>
          <w:sz w:val="24"/>
          <w:szCs w:val="24"/>
          <w:highlight w:val="none"/>
        </w:rPr>
        <w:fldChar w:fldCharType="separate"/>
      </w:r>
      <w:r>
        <w:rPr>
          <w:rFonts w:hint="eastAsia" w:ascii="宋体" w:hAnsi="宋体" w:cs="宋体"/>
          <w:color w:val="auto"/>
          <w:position w:val="-23"/>
          <w:sz w:val="24"/>
          <w:szCs w:val="24"/>
          <w:highlight w:val="none"/>
        </w:rPr>
        <w:drawing>
          <wp:inline distT="0" distB="0" distL="114300" distR="114300">
            <wp:extent cx="320675" cy="403860"/>
            <wp:effectExtent l="0" t="0" r="3175" b="15875"/>
            <wp:docPr id="1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
                    <pic:cNvPicPr>
                      <a:picLocks noChangeAspect="1"/>
                    </pic:cNvPicPr>
                  </pic:nvPicPr>
                  <pic:blipFill>
                    <a:blip r:embed="rId15">
                      <a:clrChange>
                        <a:clrFrom>
                          <a:srgbClr val="FFFFFF"/>
                        </a:clrFrom>
                        <a:clrTo>
                          <a:srgbClr val="FFFFFF">
                            <a:alpha val="0"/>
                          </a:srgbClr>
                        </a:clrTo>
                      </a:clrChange>
                    </a:blip>
                    <a:stretch>
                      <a:fillRect/>
                    </a:stretch>
                  </pic:blipFill>
                  <pic:spPr>
                    <a:xfrm>
                      <a:off x="0" y="0"/>
                      <a:ext cx="320675" cy="403860"/>
                    </a:xfrm>
                    <a:prstGeom prst="rect">
                      <a:avLst/>
                    </a:prstGeom>
                    <a:noFill/>
                    <a:ln>
                      <a:noFill/>
                    </a:ln>
                  </pic:spPr>
                </pic:pic>
              </a:graphicData>
            </a:graphic>
          </wp:inline>
        </w:drawing>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t>）。</w:t>
      </w:r>
    </w:p>
    <w:p>
      <w:pPr>
        <w:widowControl/>
        <w:spacing w:line="360" w:lineRule="auto"/>
        <w:ind w:firstLine="482" w:firstLineChars="200"/>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方法二：区间抽取法</w:t>
      </w:r>
    </w:p>
    <w:p>
      <w:pPr>
        <w:widowControl/>
        <w:snapToGrid w:val="0"/>
        <w:spacing w:line="360" w:lineRule="auto"/>
        <w:ind w:firstLine="480" w:firstLineChars="200"/>
        <w:rPr>
          <w:rFonts w:ascii="宋体" w:hAnsi="宋体" w:cs="宋体"/>
          <w:color w:val="auto"/>
          <w:kern w:val="0"/>
          <w:sz w:val="24"/>
          <w:szCs w:val="24"/>
          <w:highlight w:val="none"/>
        </w:rPr>
      </w:pPr>
      <w:r>
        <w:rPr>
          <w:rFonts w:hint="eastAsia" w:ascii="宋体" w:hAnsi="宋体" w:cs="宋体"/>
          <w:color w:val="auto"/>
          <w:sz w:val="24"/>
          <w:szCs w:val="24"/>
          <w:highlight w:val="none"/>
        </w:rPr>
        <w:t>设立入围合格分数线（技术标或技术标加诚信得分，具体数值由招标人在招标文件中确定），达到或超过及格线的投标人的报价方能参与评标参考价的计算。将达到或超过技术标及格分数线的投标报价由低至高进行排列，按以下公式计算评标参考价，计算公式如下：</w:t>
      </w:r>
    </w:p>
    <w:p>
      <w:pPr>
        <w:widowControl/>
        <w:snapToGrid w:val="0"/>
        <w:spacing w:line="360" w:lineRule="auto"/>
        <w:ind w:firstLine="480" w:firstLineChars="200"/>
        <w:rPr>
          <w:rFonts w:ascii="宋体" w:hAnsi="宋体" w:cs="宋体"/>
          <w:color w:val="auto"/>
          <w:kern w:val="0"/>
          <w:sz w:val="24"/>
          <w:szCs w:val="24"/>
          <w:highlight w:val="none"/>
          <w:vertAlign w:val="subscript"/>
        </w:rPr>
      </w:pPr>
      <w:r>
        <w:rPr>
          <w:rFonts w:hint="eastAsia" w:ascii="宋体" w:hAnsi="宋体" w:cs="宋体"/>
          <w:color w:val="auto"/>
          <w:kern w:val="0"/>
          <w:sz w:val="24"/>
          <w:szCs w:val="24"/>
          <w:highlight w:val="none"/>
        </w:rPr>
        <w:t>评标参考价=（Q</w:t>
      </w:r>
      <w:r>
        <w:rPr>
          <w:rFonts w:hint="eastAsia" w:ascii="宋体" w:hAnsi="宋体" w:cs="宋体"/>
          <w:color w:val="auto"/>
          <w:kern w:val="0"/>
          <w:sz w:val="24"/>
          <w:szCs w:val="24"/>
          <w:highlight w:val="none"/>
          <w:vertAlign w:val="subscript"/>
        </w:rPr>
        <w:t>高</w:t>
      </w:r>
      <w:r>
        <w:rPr>
          <w:rFonts w:hint="eastAsia" w:ascii="宋体" w:hAnsi="宋体" w:cs="宋体"/>
          <w:color w:val="auto"/>
          <w:kern w:val="0"/>
          <w:sz w:val="24"/>
          <w:szCs w:val="24"/>
          <w:highlight w:val="none"/>
        </w:rPr>
        <w:t>-Q</w:t>
      </w:r>
      <w:r>
        <w:rPr>
          <w:rFonts w:hint="eastAsia" w:ascii="宋体" w:hAnsi="宋体" w:cs="宋体"/>
          <w:color w:val="auto"/>
          <w:kern w:val="0"/>
          <w:sz w:val="24"/>
          <w:szCs w:val="24"/>
          <w:highlight w:val="none"/>
          <w:vertAlign w:val="subscript"/>
        </w:rPr>
        <w:t>低</w:t>
      </w:r>
      <w:r>
        <w:rPr>
          <w:rFonts w:hint="eastAsia" w:ascii="宋体" w:hAnsi="宋体" w:cs="宋体"/>
          <w:color w:val="auto"/>
          <w:kern w:val="0"/>
          <w:sz w:val="24"/>
          <w:szCs w:val="24"/>
          <w:highlight w:val="none"/>
        </w:rPr>
        <w:t>）/100*Ｘ+Q</w:t>
      </w:r>
      <w:r>
        <w:rPr>
          <w:rFonts w:hint="eastAsia" w:ascii="宋体" w:hAnsi="宋体" w:cs="宋体"/>
          <w:color w:val="auto"/>
          <w:kern w:val="0"/>
          <w:sz w:val="24"/>
          <w:szCs w:val="24"/>
          <w:highlight w:val="none"/>
          <w:vertAlign w:val="subscript"/>
        </w:rPr>
        <w:t>低</w:t>
      </w:r>
    </w:p>
    <w:p>
      <w:pPr>
        <w:widowControl/>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Q</w:t>
      </w:r>
      <w:r>
        <w:rPr>
          <w:rFonts w:hint="eastAsia" w:ascii="宋体" w:hAnsi="宋体" w:cs="宋体"/>
          <w:color w:val="auto"/>
          <w:sz w:val="24"/>
          <w:szCs w:val="24"/>
          <w:highlight w:val="none"/>
          <w:vertAlign w:val="subscript"/>
        </w:rPr>
        <w:t>低</w:t>
      </w:r>
      <w:r>
        <w:rPr>
          <w:rFonts w:hint="eastAsia" w:ascii="宋体" w:hAnsi="宋体" w:cs="宋体"/>
          <w:color w:val="auto"/>
          <w:sz w:val="24"/>
          <w:szCs w:val="24"/>
          <w:highlight w:val="none"/>
        </w:rPr>
        <w:t>：为达到或超过技术标及格分数线的投标人最低报价与工程成本警示价两者中的较高值；</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kern w:val="0"/>
          <w:sz w:val="24"/>
          <w:szCs w:val="24"/>
          <w:highlight w:val="none"/>
        </w:rPr>
        <w:t>Q</w:t>
      </w:r>
      <w:r>
        <w:rPr>
          <w:rFonts w:hint="eastAsia" w:ascii="宋体" w:hAnsi="宋体" w:cs="宋体"/>
          <w:color w:val="auto"/>
          <w:kern w:val="0"/>
          <w:sz w:val="24"/>
          <w:szCs w:val="24"/>
          <w:highlight w:val="none"/>
          <w:vertAlign w:val="subscript"/>
        </w:rPr>
        <w:t>高</w:t>
      </w:r>
      <w:r>
        <w:rPr>
          <w:rFonts w:hint="eastAsia" w:ascii="宋体" w:hAnsi="宋体" w:cs="宋体"/>
          <w:color w:val="auto"/>
          <w:sz w:val="24"/>
          <w:szCs w:val="24"/>
          <w:highlight w:val="none"/>
        </w:rPr>
        <w:t>：为（最高投标限价*D%）（D的取值范围为[94,100],由招标人自定）</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X:为等分点值，在开标前从[0,100]整数中随机抽取</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kern w:val="0"/>
          <w:sz w:val="24"/>
          <w:szCs w:val="24"/>
          <w:highlight w:val="none"/>
        </w:rPr>
        <w:t>45.3</w:t>
      </w:r>
      <w:r>
        <w:rPr>
          <w:rFonts w:hint="eastAsia" w:ascii="宋体" w:hAnsi="宋体" w:cs="宋体"/>
          <w:color w:val="auto"/>
          <w:sz w:val="24"/>
          <w:szCs w:val="24"/>
          <w:highlight w:val="none"/>
        </w:rPr>
        <w:t>当标价等于评标参考价时得100分，标价每高于评标参考价1%，扣1.5分，每低于评标参考价1%，扣1分，扣至0分为止，得出经济分，精确到小数点后两位。</w:t>
      </w:r>
    </w:p>
    <w:p>
      <w:pPr>
        <w:pStyle w:val="5"/>
        <w:tabs>
          <w:tab w:val="left" w:pos="7380"/>
        </w:tabs>
        <w:snapToGrid w:val="0"/>
        <w:spacing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45.4计算通过技术标有效性审查的投标人总得分。投标人总得分=（技术得分×技术得分权重＋经济得分×经济得分权重）×（1-综合诚信评价分数权重）＋综合诚信评价排名得分×综合诚信评价分数权重）。技术、经济得分权重按投标须知前附表的规定执行。总得分四舍五入保留两位小数。</w:t>
      </w:r>
    </w:p>
    <w:p>
      <w:pPr>
        <w:pStyle w:val="5"/>
        <w:tabs>
          <w:tab w:val="left" w:pos="7380"/>
        </w:tabs>
        <w:snapToGrid w:val="0"/>
        <w:spacing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46.经济标的有效性审查</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46.1经济标的有效性审查：按照投标人总得分排序，依次对投标文件进行经济标有效性审查，投标文件中没有任一种列于本办法附表三《经济标有效性审查表》中情形的，为有效</w:t>
      </w:r>
      <w:r>
        <w:rPr>
          <w:rFonts w:hint="eastAsia" w:ascii="宋体" w:hAnsi="宋体" w:cs="宋体"/>
          <w:color w:val="auto"/>
          <w:sz w:val="24"/>
          <w:highlight w:val="none"/>
        </w:rPr>
        <w:t>投标文件</w:t>
      </w:r>
      <w:r>
        <w:rPr>
          <w:rFonts w:hint="eastAsia" w:ascii="宋体" w:hAnsi="宋体" w:cs="宋体"/>
          <w:color w:val="auto"/>
          <w:sz w:val="24"/>
          <w:szCs w:val="24"/>
          <w:highlight w:val="none"/>
        </w:rPr>
        <w:t>，否则其投标文件将被否决。如评标委员会成员的评审意见不一致时，以评标委员会过半数成员的意见作为评标委员会对该情形的认定结论。</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 46.2经济标的算术校核。评标委员会对进行经济标有效性审查的投标文件投标报价按照就低不就高的原则进行算术校核，具体标准如下：</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46.2.1如果数字表示的金额和用文字表示的金额不一致时，应以文字表示的金额为准；</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 46.2.2经算术复核的投标人报价与其投标报价不一致时，按就低不就高原则确定其最终报价；</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 46.2.3当单价与数量均符合招标文件要求时，若单价与数量的乘积与合价不一致时，按就低不就高原则确定修改单价或是合价。当单价与数量的乘积小于合价，以单价为准，修改合价，除非评标委员会认为单价有明显的小数点错误，此时应以标出的合价为准，并修改单价；当单价与数量的乘积大于合价，以合价为准，修改单价；</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 46.2.4当合价、金额累加错误时，按就低不就高原则，如果累加修正值小于原累加值，则按累加修正值；如果累加修正值大于原累加值，则按原累加值；</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 46.2.5如果投标人的有关规费、暂列金额、暂估价、绿色施工安全防护措施费等未按招标文件规定的金额填写的，由评标委员会按照招标文件规定的金额进行修正；</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46.2.6①分部分项工程量比招标文件少、单位比招标文件小或错误时，以招标文件的工程量或单位为准，合价不变，修改综合单价。分部分项工程量比招标文件多或单位比招标文件大时，工程量、单位、综合单价及合价均不作修改；②分部分项项目对比招标文件（招标工程量清单）漏项的，则该漏项费用视为已分配在其他项目中，不再修改；③分部分项工程量清单中的综合单价与综合单价分析表中的综合单价不一致时，以价低者为准；④分部分项工程量计价表中的项目编码或项目名称或计量单位或工程数量缺省或不填时，由评委以招标文件中招标人工程量清单为准进行修正；若同时缺省或不填项目编码和项目名称，则该项按增项处理；⑤分部分项项目增项的，不予修改；⑥其它招标文件规定需要修改的，均以就低不就高原则进行修改；</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46.2.7按就低不就高原则，当修正后报价小于原报价，总价按修正后报价；当修正后报价大于原报价，总价按原报价，并在签订合同时载明在结算价中扣除修正报价与原报价的差额。</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46.2.8按上述修正错误的原则及方法调整或修正投标文件的投标报价，调整后的投标报价对投标人起约束作用。如果投标人不接受修正后的报价，则取消其投标资格，并且其投标保证金也将不予退还。</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47.评标委员会按只有通过有效性审查的投标人的投标文件方可进入下一阶段评审的评审原则，根据有效性审查结果，取消被否决投标的投标人的排序，其余通过有效性审查的投标人的排序依次上升替补确定，以此类推。直至评审出3名投标人通过经济标有效性审查，经济标有效性审查结束。</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48.评标委员会应在通过投标文件经济标有效性审查的投标人中，按步骤45.4确定的投标人第二阶段排序，推荐前3名依次为第一中标候选人至第三中标候选人,并编制评标报告。</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49.若通过经济标有效性审查的投标人不足三家，应当依法重新招标。（当N个标段同时招标且不允许兼中时，若有效投标人不足N+2家，应当依法重新招标）</w:t>
      </w:r>
      <w:bookmarkEnd w:id="22"/>
      <w:bookmarkEnd w:id="23"/>
    </w:p>
    <w:p>
      <w:pPr>
        <w:spacing w:line="360" w:lineRule="auto"/>
        <w:rPr>
          <w:rFonts w:ascii="宋体" w:hAnsi="宋体" w:cs="宋体"/>
          <w:color w:val="auto"/>
          <w:sz w:val="24"/>
          <w:szCs w:val="24"/>
          <w:highlight w:val="none"/>
        </w:rPr>
      </w:pPr>
    </w:p>
    <w:p>
      <w:pPr>
        <w:spacing w:line="360" w:lineRule="auto"/>
        <w:rPr>
          <w:rFonts w:ascii="宋体" w:hAnsi="宋体" w:cs="宋体"/>
          <w:color w:val="auto"/>
          <w:sz w:val="24"/>
          <w:szCs w:val="24"/>
          <w:highlight w:val="none"/>
        </w:rPr>
      </w:pPr>
    </w:p>
    <w:p>
      <w:pPr>
        <w:spacing w:line="360" w:lineRule="auto"/>
        <w:rPr>
          <w:rFonts w:ascii="宋体" w:hAnsi="宋体" w:cs="宋体"/>
          <w:color w:val="auto"/>
          <w:sz w:val="24"/>
          <w:szCs w:val="24"/>
          <w:highlight w:val="none"/>
        </w:rPr>
      </w:pPr>
    </w:p>
    <w:p>
      <w:pPr>
        <w:spacing w:line="360" w:lineRule="auto"/>
        <w:rPr>
          <w:rFonts w:ascii="宋体" w:hAnsi="宋体" w:cs="宋体"/>
          <w:color w:val="auto"/>
          <w:sz w:val="24"/>
          <w:szCs w:val="24"/>
          <w:highlight w:val="none"/>
        </w:rPr>
      </w:pPr>
    </w:p>
    <w:p>
      <w:pPr>
        <w:spacing w:line="360" w:lineRule="auto"/>
        <w:rPr>
          <w:rFonts w:ascii="宋体" w:hAnsi="宋体" w:cs="宋体"/>
          <w:color w:val="auto"/>
          <w:sz w:val="24"/>
          <w:szCs w:val="24"/>
          <w:highlight w:val="none"/>
        </w:rPr>
      </w:pPr>
    </w:p>
    <w:p>
      <w:pPr>
        <w:spacing w:line="360" w:lineRule="auto"/>
        <w:rPr>
          <w:rFonts w:ascii="宋体" w:hAnsi="宋体" w:cs="宋体"/>
          <w:color w:val="auto"/>
          <w:sz w:val="24"/>
          <w:szCs w:val="24"/>
          <w:highlight w:val="none"/>
        </w:rPr>
      </w:pPr>
    </w:p>
    <w:p>
      <w:pPr>
        <w:spacing w:line="360" w:lineRule="auto"/>
        <w:rPr>
          <w:rFonts w:ascii="宋体" w:hAnsi="宋体" w:cs="宋体"/>
          <w:color w:val="auto"/>
          <w:sz w:val="24"/>
          <w:szCs w:val="24"/>
          <w:highlight w:val="none"/>
        </w:rPr>
      </w:pPr>
    </w:p>
    <w:p>
      <w:pPr>
        <w:spacing w:line="360" w:lineRule="auto"/>
        <w:rPr>
          <w:rFonts w:ascii="宋体" w:hAnsi="宋体" w:cs="宋体"/>
          <w:color w:val="auto"/>
          <w:sz w:val="24"/>
          <w:szCs w:val="24"/>
          <w:highlight w:val="none"/>
        </w:rPr>
      </w:pPr>
    </w:p>
    <w:p>
      <w:pPr>
        <w:widowControl/>
        <w:snapToGrid w:val="0"/>
        <w:spacing w:line="360" w:lineRule="auto"/>
        <w:ind w:right="102"/>
        <w:jc w:val="left"/>
        <w:rPr>
          <w:rFonts w:ascii="宋体" w:hAnsi="宋体" w:cs="宋体"/>
          <w:color w:val="auto"/>
          <w:szCs w:val="21"/>
          <w:highlight w:val="none"/>
        </w:rPr>
        <w:sectPr>
          <w:endnotePr>
            <w:numFmt w:val="decimal"/>
          </w:endnotePr>
          <w:pgSz w:w="11906" w:h="16838"/>
          <w:pgMar w:top="1134" w:right="1418" w:bottom="1247" w:left="1418" w:header="851" w:footer="907" w:gutter="0"/>
          <w:cols w:space="720" w:num="1"/>
          <w:titlePg/>
          <w:docGrid w:type="lines" w:linePitch="312" w:charSpace="0"/>
        </w:sectPr>
      </w:pPr>
    </w:p>
    <w:p>
      <w:pPr>
        <w:widowControl/>
        <w:snapToGrid w:val="0"/>
        <w:spacing w:line="360" w:lineRule="auto"/>
        <w:ind w:right="102"/>
        <w:jc w:val="left"/>
        <w:rPr>
          <w:rFonts w:ascii="宋体" w:hAnsi="宋体" w:cs="宋体"/>
          <w:color w:val="auto"/>
          <w:sz w:val="24"/>
          <w:szCs w:val="24"/>
          <w:highlight w:val="none"/>
        </w:rPr>
      </w:pPr>
      <w:r>
        <w:rPr>
          <w:rFonts w:hint="eastAsia" w:ascii="宋体" w:hAnsi="宋体" w:cs="宋体"/>
          <w:color w:val="auto"/>
          <w:sz w:val="24"/>
          <w:szCs w:val="24"/>
          <w:highlight w:val="none"/>
        </w:rPr>
        <w:t>附表一：</w:t>
      </w:r>
    </w:p>
    <w:p>
      <w:pPr>
        <w:jc w:val="center"/>
        <w:rPr>
          <w:rFonts w:ascii="宋体" w:hAnsi="宋体" w:cs="宋体"/>
          <w:b/>
          <w:color w:val="auto"/>
          <w:sz w:val="32"/>
          <w:szCs w:val="32"/>
          <w:highlight w:val="none"/>
        </w:rPr>
      </w:pPr>
      <w:r>
        <w:rPr>
          <w:rFonts w:hint="eastAsia" w:ascii="宋体" w:hAnsi="宋体" w:cs="宋体"/>
          <w:b/>
          <w:color w:val="auto"/>
          <w:sz w:val="32"/>
          <w:szCs w:val="32"/>
          <w:highlight w:val="none"/>
        </w:rPr>
        <w:t>资格审查表</w:t>
      </w:r>
    </w:p>
    <w:p>
      <w:pPr>
        <w:spacing w:line="480" w:lineRule="auto"/>
        <w:rPr>
          <w:rFonts w:ascii="宋体" w:hAnsi="宋体" w:cs="宋体"/>
          <w:color w:val="auto"/>
          <w:sz w:val="24"/>
          <w:szCs w:val="24"/>
          <w:highlight w:val="none"/>
        </w:rPr>
      </w:pPr>
      <w:r>
        <w:rPr>
          <w:rFonts w:hint="eastAsia" w:ascii="宋体" w:hAnsi="宋体" w:cs="宋体"/>
          <w:color w:val="auto"/>
          <w:sz w:val="24"/>
          <w:szCs w:val="24"/>
          <w:highlight w:val="none"/>
        </w:rPr>
        <w:t>工程名称：</w:t>
      </w:r>
    </w:p>
    <w:p>
      <w:pPr>
        <w:spacing w:line="480" w:lineRule="auto"/>
        <w:rPr>
          <w:rFonts w:ascii="宋体" w:hAnsi="宋体" w:cs="宋体"/>
          <w:color w:val="auto"/>
          <w:sz w:val="24"/>
          <w:szCs w:val="24"/>
          <w:highlight w:val="none"/>
        </w:rPr>
      </w:pPr>
      <w:r>
        <w:rPr>
          <w:rFonts w:hint="eastAsia" w:ascii="宋体" w:hAnsi="宋体" w:cs="宋体"/>
          <w:color w:val="auto"/>
          <w:sz w:val="24"/>
          <w:szCs w:val="24"/>
          <w:highlight w:val="none"/>
        </w:rPr>
        <w:t>投标人名称：</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3780"/>
        <w:gridCol w:w="34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378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s="宋体"/>
                <w:b/>
                <w:color w:val="auto"/>
                <w:szCs w:val="21"/>
                <w:highlight w:val="none"/>
              </w:rPr>
            </w:pPr>
            <w:r>
              <w:rPr>
                <w:rFonts w:hint="eastAsia" w:ascii="宋体" w:hAnsi="宋体" w:cs="宋体"/>
                <w:b/>
                <w:color w:val="auto"/>
                <w:szCs w:val="21"/>
                <w:highlight w:val="none"/>
              </w:rPr>
              <w:t>审查项目</w:t>
            </w:r>
          </w:p>
        </w:tc>
        <w:tc>
          <w:tcPr>
            <w:tcW w:w="34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s="宋体"/>
                <w:b/>
                <w:color w:val="auto"/>
                <w:szCs w:val="21"/>
                <w:highlight w:val="none"/>
              </w:rPr>
            </w:pPr>
            <w:r>
              <w:rPr>
                <w:rFonts w:hint="eastAsia" w:ascii="宋体" w:hAnsi="宋体" w:cs="宋体"/>
                <w:b/>
                <w:color w:val="auto"/>
                <w:szCs w:val="21"/>
                <w:highlight w:val="none"/>
              </w:rPr>
              <w:t>须审查的资料</w:t>
            </w:r>
          </w:p>
        </w:tc>
        <w:tc>
          <w:tcPr>
            <w:tcW w:w="7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s="宋体"/>
                <w:b/>
                <w:color w:val="auto"/>
                <w:szCs w:val="21"/>
                <w:highlight w:val="none"/>
              </w:rPr>
            </w:pPr>
            <w:r>
              <w:rPr>
                <w:rFonts w:hint="eastAsia" w:ascii="宋体" w:hAnsi="宋体" w:cs="宋体"/>
                <w:b/>
                <w:color w:val="auto"/>
                <w:szCs w:val="21"/>
                <w:highlight w:val="none"/>
              </w:rPr>
              <w:t>审查结果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s="宋体"/>
                <w:color w:val="auto"/>
                <w:szCs w:val="21"/>
                <w:highlight w:val="none"/>
              </w:rPr>
            </w:pPr>
            <w:r>
              <w:rPr>
                <w:rFonts w:hint="eastAsia" w:ascii="宋体" w:hAnsi="宋体" w:cs="宋体"/>
                <w:color w:val="auto"/>
                <w:szCs w:val="21"/>
                <w:highlight w:val="none"/>
              </w:rPr>
              <w:t>1</w:t>
            </w:r>
          </w:p>
        </w:tc>
        <w:tc>
          <w:tcPr>
            <w:tcW w:w="3780" w:type="dxa"/>
            <w:tcBorders>
              <w:top w:val="single" w:color="auto" w:sz="4" w:space="0"/>
              <w:left w:val="single" w:color="auto" w:sz="4" w:space="0"/>
              <w:bottom w:val="single" w:color="auto" w:sz="4" w:space="0"/>
              <w:right w:val="single" w:color="auto" w:sz="4" w:space="0"/>
            </w:tcBorders>
            <w:vAlign w:val="center"/>
          </w:tcPr>
          <w:p>
            <w:pPr>
              <w:spacing w:before="120" w:after="60"/>
              <w:jc w:val="left"/>
              <w:rPr>
                <w:rFonts w:ascii="宋体" w:hAnsi="宋体" w:cs="宋体"/>
                <w:color w:val="auto"/>
                <w:szCs w:val="21"/>
                <w:highlight w:val="none"/>
              </w:rPr>
            </w:pPr>
            <w:r>
              <w:rPr>
                <w:rStyle w:val="140"/>
                <w:rFonts w:ascii="宋体" w:hAnsi="宋体"/>
                <w:color w:val="auto"/>
                <w:szCs w:val="21"/>
                <w:highlight w:val="none"/>
              </w:rPr>
              <w:t>投标人参加投标的意思表达清楚，投标人代表被授权有效</w:t>
            </w:r>
          </w:p>
        </w:tc>
        <w:tc>
          <w:tcPr>
            <w:tcW w:w="3420" w:type="dxa"/>
            <w:tcBorders>
              <w:top w:val="single" w:color="auto" w:sz="4" w:space="0"/>
              <w:left w:val="single" w:color="auto" w:sz="4" w:space="0"/>
              <w:bottom w:val="single" w:color="auto" w:sz="4" w:space="0"/>
              <w:right w:val="single" w:color="auto" w:sz="4" w:space="0"/>
            </w:tcBorders>
            <w:vAlign w:val="center"/>
          </w:tcPr>
          <w:p>
            <w:pPr>
              <w:spacing w:before="120" w:after="60"/>
              <w:jc w:val="left"/>
              <w:rPr>
                <w:rFonts w:ascii="宋体" w:hAnsi="宋体" w:cs="宋体"/>
                <w:color w:val="auto"/>
                <w:szCs w:val="21"/>
                <w:highlight w:val="none"/>
              </w:rPr>
            </w:pPr>
            <w:r>
              <w:rPr>
                <w:rStyle w:val="140"/>
                <w:rFonts w:ascii="宋体" w:hAnsi="宋体"/>
                <w:color w:val="auto"/>
                <w:szCs w:val="21"/>
                <w:highlight w:val="none"/>
              </w:rPr>
              <w:t>投标人声明、法定代表人证明书；委托投标的还应提供法人授权委托证明书</w:t>
            </w:r>
          </w:p>
        </w:tc>
        <w:tc>
          <w:tcPr>
            <w:tcW w:w="7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s="宋体"/>
                <w:color w:val="auto"/>
                <w:szCs w:val="21"/>
                <w:highlight w:val="none"/>
              </w:rPr>
            </w:pPr>
            <w:r>
              <w:rPr>
                <w:rFonts w:hint="eastAsia" w:ascii="宋体" w:hAnsi="宋体" w:cs="宋体"/>
                <w:color w:val="auto"/>
                <w:szCs w:val="21"/>
                <w:highlight w:val="none"/>
              </w:rPr>
              <w:t>2</w:t>
            </w:r>
          </w:p>
        </w:tc>
        <w:tc>
          <w:tcPr>
            <w:tcW w:w="3780" w:type="dxa"/>
            <w:tcBorders>
              <w:top w:val="single" w:color="auto" w:sz="4" w:space="0"/>
              <w:left w:val="single" w:color="auto" w:sz="4" w:space="0"/>
              <w:bottom w:val="single" w:color="auto" w:sz="4" w:space="0"/>
              <w:right w:val="single" w:color="auto" w:sz="4" w:space="0"/>
            </w:tcBorders>
            <w:vAlign w:val="center"/>
          </w:tcPr>
          <w:p>
            <w:pPr>
              <w:spacing w:before="120" w:after="60"/>
              <w:jc w:val="left"/>
              <w:rPr>
                <w:rFonts w:ascii="宋体" w:hAnsi="宋体" w:cs="宋体"/>
                <w:color w:val="auto"/>
                <w:szCs w:val="21"/>
                <w:highlight w:val="none"/>
              </w:rPr>
            </w:pPr>
            <w:r>
              <w:rPr>
                <w:rStyle w:val="140"/>
                <w:rFonts w:ascii="宋体" w:hAnsi="宋体"/>
                <w:color w:val="auto"/>
                <w:szCs w:val="21"/>
                <w:highlight w:val="none"/>
              </w:rPr>
              <w:t>投标人均具有独立法人资格，按国家法律经营</w:t>
            </w:r>
          </w:p>
        </w:tc>
        <w:tc>
          <w:tcPr>
            <w:tcW w:w="3420" w:type="dxa"/>
            <w:tcBorders>
              <w:top w:val="single" w:color="auto" w:sz="4" w:space="0"/>
              <w:left w:val="single" w:color="auto" w:sz="4" w:space="0"/>
              <w:bottom w:val="single" w:color="auto" w:sz="4" w:space="0"/>
              <w:right w:val="single" w:color="auto" w:sz="4" w:space="0"/>
            </w:tcBorders>
            <w:vAlign w:val="center"/>
          </w:tcPr>
          <w:p>
            <w:pPr>
              <w:spacing w:before="120" w:after="60"/>
              <w:jc w:val="left"/>
              <w:rPr>
                <w:rFonts w:ascii="宋体" w:hAnsi="宋体" w:cs="宋体"/>
                <w:color w:val="auto"/>
                <w:szCs w:val="21"/>
                <w:highlight w:val="none"/>
              </w:rPr>
            </w:pPr>
            <w:r>
              <w:rPr>
                <w:rStyle w:val="140"/>
                <w:rFonts w:hint="eastAsia" w:ascii="宋体" w:hAnsi="宋体"/>
                <w:color w:val="auto"/>
                <w:szCs w:val="21"/>
                <w:highlight w:val="none"/>
              </w:rPr>
              <w:t>营业执照在广州市住建行业信用管理平台内上传件</w:t>
            </w:r>
          </w:p>
        </w:tc>
        <w:tc>
          <w:tcPr>
            <w:tcW w:w="7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s="宋体"/>
                <w:color w:val="auto"/>
                <w:szCs w:val="21"/>
                <w:highlight w:val="none"/>
              </w:rPr>
            </w:pPr>
            <w:r>
              <w:rPr>
                <w:rFonts w:hint="eastAsia" w:ascii="宋体" w:hAnsi="宋体" w:cs="宋体"/>
                <w:color w:val="auto"/>
                <w:szCs w:val="21"/>
                <w:highlight w:val="none"/>
              </w:rPr>
              <w:t>3</w:t>
            </w:r>
          </w:p>
        </w:tc>
        <w:tc>
          <w:tcPr>
            <w:tcW w:w="3780" w:type="dxa"/>
            <w:tcBorders>
              <w:top w:val="single" w:color="auto" w:sz="4" w:space="0"/>
              <w:left w:val="single" w:color="auto" w:sz="4" w:space="0"/>
              <w:bottom w:val="single" w:color="auto" w:sz="4" w:space="0"/>
              <w:right w:val="single" w:color="auto" w:sz="4" w:space="0"/>
            </w:tcBorders>
            <w:vAlign w:val="center"/>
          </w:tcPr>
          <w:p>
            <w:pPr>
              <w:spacing w:before="120" w:after="60"/>
              <w:jc w:val="left"/>
              <w:rPr>
                <w:rFonts w:ascii="宋体" w:hAnsi="宋体" w:cs="宋体"/>
                <w:color w:val="auto"/>
                <w:szCs w:val="21"/>
                <w:highlight w:val="none"/>
              </w:rPr>
            </w:pPr>
            <w:r>
              <w:rPr>
                <w:rStyle w:val="140"/>
                <w:rFonts w:ascii="宋体" w:hAnsi="宋体"/>
                <w:color w:val="auto"/>
                <w:szCs w:val="21"/>
                <w:highlight w:val="none"/>
              </w:rPr>
              <w:t>投标人均持有建设行政主管部门颁发的企业资质证书及安全生产许可证；投标人资质符合公告要求</w:t>
            </w:r>
          </w:p>
        </w:tc>
        <w:tc>
          <w:tcPr>
            <w:tcW w:w="3420" w:type="dxa"/>
            <w:tcBorders>
              <w:top w:val="single" w:color="auto" w:sz="4" w:space="0"/>
              <w:left w:val="single" w:color="auto" w:sz="4" w:space="0"/>
              <w:bottom w:val="single" w:color="auto" w:sz="4" w:space="0"/>
              <w:right w:val="single" w:color="auto" w:sz="4" w:space="0"/>
            </w:tcBorders>
            <w:vAlign w:val="center"/>
          </w:tcPr>
          <w:p>
            <w:pPr>
              <w:spacing w:before="120" w:after="60"/>
              <w:jc w:val="left"/>
              <w:rPr>
                <w:rFonts w:ascii="宋体" w:hAnsi="宋体" w:cs="宋体"/>
                <w:color w:val="auto"/>
                <w:szCs w:val="21"/>
                <w:highlight w:val="none"/>
              </w:rPr>
            </w:pPr>
            <w:r>
              <w:rPr>
                <w:rStyle w:val="140"/>
                <w:rFonts w:hint="eastAsia" w:ascii="宋体" w:hAnsi="宋体"/>
                <w:color w:val="auto"/>
                <w:szCs w:val="21"/>
                <w:highlight w:val="none"/>
              </w:rPr>
              <w:t>资质证书及安全生产许可证在广州市住建行业信用管理平台内上传件</w:t>
            </w:r>
          </w:p>
        </w:tc>
        <w:tc>
          <w:tcPr>
            <w:tcW w:w="7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s="宋体"/>
                <w:color w:val="auto"/>
                <w:szCs w:val="21"/>
                <w:highlight w:val="none"/>
              </w:rPr>
            </w:pPr>
            <w:r>
              <w:rPr>
                <w:rFonts w:hint="eastAsia" w:ascii="宋体" w:hAnsi="宋体" w:cs="宋体"/>
                <w:color w:val="auto"/>
                <w:szCs w:val="21"/>
                <w:highlight w:val="none"/>
              </w:rPr>
              <w:t>4</w:t>
            </w:r>
          </w:p>
        </w:tc>
        <w:tc>
          <w:tcPr>
            <w:tcW w:w="3780" w:type="dxa"/>
            <w:tcBorders>
              <w:top w:val="single" w:color="auto" w:sz="4" w:space="0"/>
              <w:left w:val="single" w:color="auto" w:sz="4" w:space="0"/>
              <w:bottom w:val="single" w:color="auto" w:sz="4" w:space="0"/>
              <w:right w:val="single" w:color="auto" w:sz="4" w:space="0"/>
            </w:tcBorders>
            <w:vAlign w:val="center"/>
          </w:tcPr>
          <w:p>
            <w:pPr>
              <w:spacing w:before="120" w:after="60"/>
              <w:jc w:val="left"/>
              <w:rPr>
                <w:rFonts w:ascii="宋体" w:hAnsi="宋体" w:cs="宋体"/>
                <w:color w:val="auto"/>
                <w:szCs w:val="21"/>
                <w:highlight w:val="none"/>
              </w:rPr>
            </w:pPr>
            <w:r>
              <w:rPr>
                <w:rStyle w:val="140"/>
                <w:rFonts w:ascii="宋体" w:hAnsi="宋体"/>
                <w:color w:val="auto"/>
                <w:szCs w:val="21"/>
                <w:highlight w:val="none"/>
              </w:rPr>
              <w:t>投标人拟担任本工程项目负责人符合公告要求</w:t>
            </w:r>
          </w:p>
        </w:tc>
        <w:tc>
          <w:tcPr>
            <w:tcW w:w="3420" w:type="dxa"/>
            <w:tcBorders>
              <w:top w:val="single" w:color="auto" w:sz="4" w:space="0"/>
              <w:left w:val="single" w:color="auto" w:sz="4" w:space="0"/>
              <w:bottom w:val="single" w:color="auto" w:sz="4" w:space="0"/>
              <w:right w:val="single" w:color="auto" w:sz="4" w:space="0"/>
            </w:tcBorders>
            <w:vAlign w:val="center"/>
          </w:tcPr>
          <w:p>
            <w:pPr>
              <w:spacing w:before="120" w:after="60"/>
              <w:jc w:val="left"/>
              <w:rPr>
                <w:rStyle w:val="140"/>
                <w:rFonts w:hint="eastAsia" w:ascii="宋体" w:hAnsi="宋体"/>
                <w:color w:val="auto"/>
                <w:szCs w:val="21"/>
                <w:highlight w:val="none"/>
              </w:rPr>
            </w:pPr>
            <w:r>
              <w:rPr>
                <w:rStyle w:val="140"/>
                <w:rFonts w:hint="eastAsia" w:ascii="宋体" w:hAnsi="宋体"/>
                <w:color w:val="auto"/>
                <w:szCs w:val="21"/>
                <w:highlight w:val="none"/>
              </w:rPr>
              <w:t>使用有效期内的注册建造师注册证书在广州市住建行业信用平台内上传件。</w:t>
            </w:r>
          </w:p>
          <w:p>
            <w:pPr>
              <w:spacing w:before="120" w:after="60"/>
              <w:jc w:val="left"/>
              <w:rPr>
                <w:rFonts w:ascii="宋体" w:hAnsi="宋体" w:cs="宋体"/>
                <w:color w:val="auto"/>
                <w:szCs w:val="21"/>
                <w:highlight w:val="none"/>
              </w:rPr>
            </w:pPr>
            <w:r>
              <w:rPr>
                <w:rStyle w:val="140"/>
                <w:rFonts w:hint="eastAsia" w:ascii="宋体" w:hAnsi="宋体"/>
                <w:color w:val="auto"/>
                <w:szCs w:val="21"/>
                <w:highlight w:val="none"/>
              </w:rPr>
              <w:t>（注：打印建造师电子证书后，应在个人签名处手写本人签名再上传广州市住建行业信用平台，上传件未手写签名或与签名图像笔迹不一致的，该电子证书无效。）</w:t>
            </w:r>
          </w:p>
        </w:tc>
        <w:tc>
          <w:tcPr>
            <w:tcW w:w="7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s="宋体"/>
                <w:color w:val="auto"/>
                <w:szCs w:val="21"/>
                <w:highlight w:val="none"/>
              </w:rPr>
            </w:pPr>
            <w:r>
              <w:rPr>
                <w:rFonts w:hint="eastAsia" w:ascii="宋体" w:hAnsi="宋体" w:cs="宋体"/>
                <w:color w:val="auto"/>
                <w:szCs w:val="21"/>
                <w:highlight w:val="none"/>
              </w:rPr>
              <w:t>5</w:t>
            </w:r>
          </w:p>
        </w:tc>
        <w:tc>
          <w:tcPr>
            <w:tcW w:w="3780" w:type="dxa"/>
            <w:tcBorders>
              <w:top w:val="single" w:color="auto" w:sz="4" w:space="0"/>
              <w:left w:val="single" w:color="auto" w:sz="4" w:space="0"/>
              <w:bottom w:val="single" w:color="auto" w:sz="4" w:space="0"/>
              <w:right w:val="single" w:color="auto" w:sz="4" w:space="0"/>
            </w:tcBorders>
            <w:vAlign w:val="center"/>
          </w:tcPr>
          <w:p>
            <w:pPr>
              <w:spacing w:before="120" w:after="60"/>
              <w:jc w:val="left"/>
              <w:rPr>
                <w:rFonts w:ascii="宋体" w:hAnsi="宋体" w:cs="宋体"/>
                <w:color w:val="auto"/>
                <w:szCs w:val="21"/>
                <w:highlight w:val="none"/>
              </w:rPr>
            </w:pPr>
            <w:r>
              <w:rPr>
                <w:rStyle w:val="140"/>
                <w:rFonts w:hint="eastAsia" w:ascii="宋体" w:hAnsi="宋体"/>
                <w:color w:val="auto"/>
                <w:szCs w:val="21"/>
                <w:highlight w:val="none"/>
              </w:rPr>
              <w:t>持有项目负责人安全培训考核合格证（B类）或建筑施工企业项目负责人安全生产考核合格证</w:t>
            </w:r>
          </w:p>
        </w:tc>
        <w:tc>
          <w:tcPr>
            <w:tcW w:w="3420" w:type="dxa"/>
            <w:tcBorders>
              <w:top w:val="single" w:color="auto" w:sz="4" w:space="0"/>
              <w:left w:val="single" w:color="auto" w:sz="4" w:space="0"/>
              <w:bottom w:val="single" w:color="auto" w:sz="4" w:space="0"/>
              <w:right w:val="single" w:color="auto" w:sz="4" w:space="0"/>
            </w:tcBorders>
            <w:vAlign w:val="center"/>
          </w:tcPr>
          <w:p>
            <w:pPr>
              <w:spacing w:before="120" w:after="60"/>
              <w:jc w:val="left"/>
              <w:rPr>
                <w:rFonts w:ascii="宋体" w:hAnsi="宋体" w:cs="宋体"/>
                <w:color w:val="auto"/>
                <w:szCs w:val="21"/>
                <w:highlight w:val="none"/>
              </w:rPr>
            </w:pPr>
            <w:r>
              <w:rPr>
                <w:rStyle w:val="140"/>
                <w:rFonts w:hint="eastAsia" w:ascii="宋体" w:hAnsi="宋体"/>
                <w:color w:val="auto"/>
                <w:szCs w:val="21"/>
                <w:highlight w:val="none"/>
              </w:rPr>
              <w:t>项目负责人安全培训考核合格证（B证）或建筑施工企业项目负责人安全生产考核合格证在广州市住建行业信用管理平台内上传件</w:t>
            </w:r>
          </w:p>
        </w:tc>
        <w:tc>
          <w:tcPr>
            <w:tcW w:w="7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s="宋体"/>
                <w:color w:val="auto"/>
                <w:szCs w:val="21"/>
                <w:highlight w:val="none"/>
              </w:rPr>
            </w:pPr>
            <w:r>
              <w:rPr>
                <w:rFonts w:hint="eastAsia" w:ascii="宋体" w:hAnsi="宋体" w:cs="宋体"/>
                <w:color w:val="auto"/>
                <w:szCs w:val="21"/>
                <w:highlight w:val="none"/>
              </w:rPr>
              <w:t>6</w:t>
            </w:r>
          </w:p>
        </w:tc>
        <w:tc>
          <w:tcPr>
            <w:tcW w:w="3780" w:type="dxa"/>
            <w:tcBorders>
              <w:top w:val="single" w:color="auto" w:sz="4" w:space="0"/>
              <w:left w:val="single" w:color="auto" w:sz="4" w:space="0"/>
              <w:bottom w:val="single" w:color="auto" w:sz="4" w:space="0"/>
              <w:right w:val="single" w:color="auto" w:sz="4" w:space="0"/>
            </w:tcBorders>
            <w:vAlign w:val="center"/>
          </w:tcPr>
          <w:p>
            <w:pPr>
              <w:spacing w:before="120" w:after="60"/>
              <w:jc w:val="left"/>
              <w:rPr>
                <w:rFonts w:ascii="宋体" w:hAnsi="宋体" w:cs="宋体"/>
                <w:color w:val="auto"/>
                <w:szCs w:val="21"/>
                <w:highlight w:val="none"/>
              </w:rPr>
            </w:pPr>
            <w:r>
              <w:rPr>
                <w:rStyle w:val="140"/>
                <w:rFonts w:ascii="宋体" w:hAnsi="宋体"/>
                <w:color w:val="auto"/>
                <w:szCs w:val="21"/>
                <w:highlight w:val="none"/>
              </w:rPr>
              <w:t>投标人拟担任本工程技术负责人符合公告要求</w:t>
            </w:r>
          </w:p>
        </w:tc>
        <w:tc>
          <w:tcPr>
            <w:tcW w:w="3420" w:type="dxa"/>
            <w:tcBorders>
              <w:top w:val="single" w:color="auto" w:sz="4" w:space="0"/>
              <w:left w:val="single" w:color="auto" w:sz="4" w:space="0"/>
              <w:bottom w:val="single" w:color="auto" w:sz="4" w:space="0"/>
              <w:right w:val="single" w:color="auto" w:sz="4" w:space="0"/>
            </w:tcBorders>
            <w:vAlign w:val="center"/>
          </w:tcPr>
          <w:p>
            <w:pPr>
              <w:spacing w:before="120" w:after="60"/>
              <w:jc w:val="left"/>
              <w:rPr>
                <w:rFonts w:ascii="宋体" w:hAnsi="宋体" w:cs="宋体"/>
                <w:color w:val="auto"/>
                <w:szCs w:val="21"/>
                <w:highlight w:val="none"/>
              </w:rPr>
            </w:pPr>
            <w:r>
              <w:rPr>
                <w:rStyle w:val="140"/>
                <w:rFonts w:ascii="宋体" w:hAnsi="宋体"/>
                <w:color w:val="auto"/>
                <w:szCs w:val="21"/>
                <w:highlight w:val="none"/>
              </w:rPr>
              <w:t>拟委托技术负责人的相关证书</w:t>
            </w:r>
            <w:r>
              <w:rPr>
                <w:rStyle w:val="140"/>
                <w:rFonts w:hint="eastAsia" w:ascii="宋体" w:hAnsi="宋体"/>
                <w:color w:val="auto"/>
                <w:szCs w:val="21"/>
                <w:highlight w:val="none"/>
              </w:rPr>
              <w:t>扫描件</w:t>
            </w:r>
          </w:p>
        </w:tc>
        <w:tc>
          <w:tcPr>
            <w:tcW w:w="7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s="宋体"/>
                <w:color w:val="auto"/>
                <w:szCs w:val="21"/>
                <w:highlight w:val="none"/>
              </w:rPr>
            </w:pPr>
            <w:r>
              <w:rPr>
                <w:rFonts w:hint="eastAsia" w:ascii="宋体" w:hAnsi="宋体" w:cs="宋体"/>
                <w:color w:val="auto"/>
                <w:szCs w:val="21"/>
                <w:highlight w:val="none"/>
              </w:rPr>
              <w:t>7</w:t>
            </w:r>
          </w:p>
        </w:tc>
        <w:tc>
          <w:tcPr>
            <w:tcW w:w="3780" w:type="dxa"/>
            <w:tcBorders>
              <w:top w:val="single" w:color="auto" w:sz="4" w:space="0"/>
              <w:left w:val="single" w:color="auto" w:sz="4" w:space="0"/>
              <w:bottom w:val="single" w:color="auto" w:sz="4" w:space="0"/>
              <w:right w:val="single" w:color="auto" w:sz="4" w:space="0"/>
            </w:tcBorders>
            <w:vAlign w:val="center"/>
          </w:tcPr>
          <w:p>
            <w:pPr>
              <w:spacing w:before="120" w:after="60"/>
              <w:jc w:val="left"/>
              <w:rPr>
                <w:rFonts w:ascii="宋体" w:hAnsi="宋体" w:cs="宋体"/>
                <w:color w:val="auto"/>
                <w:szCs w:val="21"/>
                <w:highlight w:val="none"/>
              </w:rPr>
            </w:pPr>
            <w:r>
              <w:rPr>
                <w:rFonts w:ascii="宋体" w:hAnsi="宋体" w:cs="宋体"/>
                <w:color w:val="auto"/>
                <w:sz w:val="21"/>
                <w:szCs w:val="21"/>
                <w:highlight w:val="none"/>
              </w:rPr>
              <w:t>专职安全员须具有在有效期内的安全生产考核合格证</w:t>
            </w:r>
            <w:r>
              <w:rPr>
                <w:rFonts w:ascii="宋体" w:hAnsi="宋体" w:cs="宋体"/>
                <w:color w:val="auto"/>
                <w:sz w:val="21"/>
                <w:szCs w:val="21"/>
                <w:highlight w:val="none"/>
                <w:u w:val="single"/>
              </w:rPr>
              <w:t>（C类）</w:t>
            </w:r>
            <w:r>
              <w:rPr>
                <w:rFonts w:ascii="宋体" w:hAnsi="宋体" w:cs="宋体"/>
                <w:color w:val="auto"/>
                <w:sz w:val="21"/>
                <w:szCs w:val="21"/>
                <w:highlight w:val="none"/>
              </w:rPr>
              <w:t>或建筑施工企业专职安全生产管理人员安全生产考核合格证</w:t>
            </w:r>
            <w:r>
              <w:rPr>
                <w:rFonts w:ascii="宋体" w:hAnsi="宋体" w:cs="宋体"/>
                <w:color w:val="auto"/>
                <w:sz w:val="21"/>
                <w:szCs w:val="21"/>
                <w:highlight w:val="none"/>
                <w:u w:val="single"/>
              </w:rPr>
              <w:t>（C3）</w:t>
            </w:r>
          </w:p>
        </w:tc>
        <w:tc>
          <w:tcPr>
            <w:tcW w:w="3420" w:type="dxa"/>
            <w:tcBorders>
              <w:top w:val="single" w:color="auto" w:sz="4" w:space="0"/>
              <w:left w:val="single" w:color="auto" w:sz="4" w:space="0"/>
              <w:bottom w:val="single" w:color="auto" w:sz="4" w:space="0"/>
              <w:right w:val="single" w:color="auto" w:sz="4" w:space="0"/>
            </w:tcBorders>
            <w:vAlign w:val="center"/>
          </w:tcPr>
          <w:p>
            <w:pPr>
              <w:spacing w:before="120" w:after="60"/>
              <w:jc w:val="left"/>
              <w:rPr>
                <w:rFonts w:ascii="宋体" w:hAnsi="宋体" w:cs="宋体"/>
                <w:color w:val="auto"/>
                <w:szCs w:val="21"/>
                <w:highlight w:val="none"/>
              </w:rPr>
            </w:pPr>
            <w:r>
              <w:rPr>
                <w:rFonts w:ascii="宋体" w:hAnsi="宋体" w:cs="宋体"/>
                <w:color w:val="auto"/>
                <w:sz w:val="21"/>
                <w:szCs w:val="21"/>
                <w:highlight w:val="none"/>
              </w:rPr>
              <w:t>专职安全员须具有在有效期内的安全生产考核合格证</w:t>
            </w:r>
            <w:r>
              <w:rPr>
                <w:rFonts w:ascii="宋体" w:hAnsi="宋体" w:cs="宋体"/>
                <w:color w:val="auto"/>
                <w:sz w:val="21"/>
                <w:szCs w:val="21"/>
                <w:highlight w:val="none"/>
                <w:u w:val="single"/>
              </w:rPr>
              <w:t>（C类）</w:t>
            </w:r>
            <w:r>
              <w:rPr>
                <w:rFonts w:ascii="宋体" w:hAnsi="宋体" w:cs="宋体"/>
                <w:color w:val="auto"/>
                <w:sz w:val="21"/>
                <w:szCs w:val="21"/>
                <w:highlight w:val="none"/>
              </w:rPr>
              <w:t>或建筑施工企业专职安全生产管理人员安全生产考核合格证</w:t>
            </w:r>
            <w:r>
              <w:rPr>
                <w:rFonts w:ascii="宋体" w:hAnsi="宋体" w:cs="宋体"/>
                <w:color w:val="auto"/>
                <w:sz w:val="21"/>
                <w:szCs w:val="21"/>
                <w:highlight w:val="none"/>
                <w:u w:val="single"/>
              </w:rPr>
              <w:t>（C3）</w:t>
            </w:r>
            <w:r>
              <w:rPr>
                <w:rFonts w:ascii="宋体" w:hAnsi="宋体" w:cs="宋体"/>
                <w:color w:val="auto"/>
                <w:sz w:val="21"/>
                <w:szCs w:val="21"/>
                <w:highlight w:val="none"/>
              </w:rPr>
              <w:t>在广州市住建行业信用管理平台内上传件</w:t>
            </w:r>
          </w:p>
        </w:tc>
        <w:tc>
          <w:tcPr>
            <w:tcW w:w="7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s="宋体"/>
                <w:color w:val="auto"/>
                <w:szCs w:val="21"/>
                <w:highlight w:val="none"/>
              </w:rPr>
            </w:pPr>
            <w:r>
              <w:rPr>
                <w:rFonts w:hint="eastAsia" w:ascii="宋体" w:hAnsi="宋体" w:cs="宋体"/>
                <w:color w:val="auto"/>
                <w:szCs w:val="21"/>
                <w:highlight w:val="none"/>
              </w:rPr>
              <w:t>8</w:t>
            </w:r>
          </w:p>
        </w:tc>
        <w:tc>
          <w:tcPr>
            <w:tcW w:w="3780" w:type="dxa"/>
            <w:tcBorders>
              <w:top w:val="single" w:color="auto" w:sz="4" w:space="0"/>
              <w:left w:val="single" w:color="auto" w:sz="4" w:space="0"/>
              <w:bottom w:val="single" w:color="auto" w:sz="4" w:space="0"/>
              <w:right w:val="single" w:color="auto" w:sz="4" w:space="0"/>
            </w:tcBorders>
            <w:vAlign w:val="center"/>
          </w:tcPr>
          <w:p>
            <w:pPr>
              <w:spacing w:before="120" w:after="60"/>
              <w:jc w:val="left"/>
              <w:rPr>
                <w:rFonts w:ascii="宋体" w:hAnsi="宋体" w:cs="宋体"/>
                <w:color w:val="auto"/>
                <w:szCs w:val="21"/>
                <w:highlight w:val="none"/>
              </w:rPr>
            </w:pPr>
            <w:r>
              <w:rPr>
                <w:rStyle w:val="140"/>
                <w:rFonts w:ascii="宋体" w:hAnsi="宋体"/>
                <w:color w:val="auto"/>
                <w:szCs w:val="21"/>
                <w:highlight w:val="none"/>
              </w:rPr>
              <w:t>投标人提供的投标人声明符合公告要求</w:t>
            </w:r>
          </w:p>
        </w:tc>
        <w:tc>
          <w:tcPr>
            <w:tcW w:w="3420" w:type="dxa"/>
            <w:tcBorders>
              <w:top w:val="single" w:color="auto" w:sz="4" w:space="0"/>
              <w:left w:val="single" w:color="auto" w:sz="4" w:space="0"/>
              <w:bottom w:val="single" w:color="auto" w:sz="4" w:space="0"/>
              <w:right w:val="single" w:color="auto" w:sz="4" w:space="0"/>
            </w:tcBorders>
            <w:vAlign w:val="center"/>
          </w:tcPr>
          <w:p>
            <w:pPr>
              <w:spacing w:before="120" w:after="60"/>
              <w:jc w:val="left"/>
              <w:rPr>
                <w:rFonts w:ascii="宋体" w:hAnsi="宋体" w:cs="宋体"/>
                <w:color w:val="auto"/>
                <w:szCs w:val="21"/>
                <w:highlight w:val="none"/>
              </w:rPr>
            </w:pPr>
            <w:r>
              <w:rPr>
                <w:rStyle w:val="140"/>
                <w:rFonts w:ascii="宋体" w:hAnsi="宋体"/>
                <w:color w:val="auto"/>
                <w:szCs w:val="21"/>
                <w:highlight w:val="none"/>
              </w:rPr>
              <w:t>投标人声明</w:t>
            </w:r>
          </w:p>
        </w:tc>
        <w:tc>
          <w:tcPr>
            <w:tcW w:w="7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s="宋体"/>
                <w:color w:val="auto"/>
                <w:szCs w:val="21"/>
                <w:highlight w:val="none"/>
              </w:rPr>
            </w:pPr>
            <w:r>
              <w:rPr>
                <w:rFonts w:hint="eastAsia" w:ascii="宋体" w:hAnsi="宋体" w:cs="宋体"/>
                <w:color w:val="auto"/>
                <w:szCs w:val="21"/>
                <w:highlight w:val="none"/>
              </w:rPr>
              <w:t>9</w:t>
            </w:r>
          </w:p>
        </w:tc>
        <w:tc>
          <w:tcPr>
            <w:tcW w:w="3780" w:type="dxa"/>
            <w:tcBorders>
              <w:top w:val="single" w:color="auto" w:sz="4" w:space="0"/>
              <w:left w:val="single" w:color="auto" w:sz="4" w:space="0"/>
              <w:bottom w:val="single" w:color="auto" w:sz="4" w:space="0"/>
              <w:right w:val="single" w:color="auto" w:sz="4" w:space="0"/>
            </w:tcBorders>
            <w:vAlign w:val="center"/>
          </w:tcPr>
          <w:p>
            <w:pPr>
              <w:spacing w:before="120" w:after="60"/>
              <w:jc w:val="left"/>
              <w:rPr>
                <w:rFonts w:ascii="宋体" w:hAnsi="宋体" w:cs="宋体"/>
                <w:color w:val="auto"/>
                <w:szCs w:val="21"/>
                <w:highlight w:val="none"/>
              </w:rPr>
            </w:pPr>
            <w:r>
              <w:rPr>
                <w:rStyle w:val="140"/>
                <w:rFonts w:ascii="宋体" w:hAnsi="宋体"/>
                <w:color w:val="auto"/>
                <w:szCs w:val="21"/>
                <w:highlight w:val="none"/>
              </w:rPr>
              <w:t>投标人声明中签字的项目负责人和技术负责人与本项目拟派的项目负责人和技术负责人一致</w:t>
            </w:r>
          </w:p>
        </w:tc>
        <w:tc>
          <w:tcPr>
            <w:tcW w:w="3420" w:type="dxa"/>
            <w:tcBorders>
              <w:top w:val="single" w:color="auto" w:sz="4" w:space="0"/>
              <w:left w:val="single" w:color="auto" w:sz="4" w:space="0"/>
              <w:bottom w:val="single" w:color="auto" w:sz="4" w:space="0"/>
              <w:right w:val="single" w:color="auto" w:sz="4" w:space="0"/>
            </w:tcBorders>
            <w:vAlign w:val="center"/>
          </w:tcPr>
          <w:p>
            <w:pPr>
              <w:spacing w:before="120" w:after="60"/>
              <w:jc w:val="left"/>
              <w:rPr>
                <w:rFonts w:ascii="宋体" w:hAnsi="宋体" w:cs="宋体"/>
                <w:color w:val="auto"/>
                <w:szCs w:val="21"/>
                <w:highlight w:val="none"/>
              </w:rPr>
            </w:pPr>
            <w:r>
              <w:rPr>
                <w:rStyle w:val="140"/>
                <w:rFonts w:ascii="宋体" w:hAnsi="宋体"/>
                <w:color w:val="auto"/>
                <w:szCs w:val="21"/>
                <w:highlight w:val="none"/>
              </w:rPr>
              <w:t>网上投标时选择拟投标的项目负责人、资格审查文件中拟委派的技术负责人及投标人声明</w:t>
            </w:r>
          </w:p>
        </w:tc>
        <w:tc>
          <w:tcPr>
            <w:tcW w:w="7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s="宋体"/>
                <w:color w:val="auto"/>
                <w:szCs w:val="21"/>
                <w:highlight w:val="none"/>
              </w:rPr>
            </w:pPr>
            <w:r>
              <w:rPr>
                <w:rFonts w:hint="eastAsia" w:ascii="宋体" w:hAnsi="宋体" w:cs="宋体"/>
                <w:color w:val="auto"/>
                <w:szCs w:val="21"/>
                <w:highlight w:val="none"/>
              </w:rPr>
              <w:t>10</w:t>
            </w:r>
          </w:p>
        </w:tc>
        <w:tc>
          <w:tcPr>
            <w:tcW w:w="3780" w:type="dxa"/>
            <w:tcBorders>
              <w:top w:val="single" w:color="auto" w:sz="4" w:space="0"/>
              <w:left w:val="single" w:color="auto" w:sz="4" w:space="0"/>
              <w:bottom w:val="single" w:color="auto" w:sz="4" w:space="0"/>
              <w:right w:val="single" w:color="auto" w:sz="4" w:space="0"/>
            </w:tcBorders>
            <w:vAlign w:val="center"/>
          </w:tcPr>
          <w:p>
            <w:pPr>
              <w:spacing w:before="120" w:after="60"/>
              <w:jc w:val="left"/>
              <w:rPr>
                <w:rFonts w:ascii="宋体" w:hAnsi="宋体" w:cs="宋体"/>
                <w:color w:val="auto"/>
                <w:szCs w:val="21"/>
                <w:highlight w:val="none"/>
                <w:u w:val="single"/>
              </w:rPr>
            </w:pPr>
            <w:r>
              <w:rPr>
                <w:rStyle w:val="140"/>
                <w:rFonts w:ascii="宋体" w:hAnsi="宋体"/>
                <w:color w:val="auto"/>
                <w:szCs w:val="21"/>
                <w:highlight w:val="none"/>
              </w:rPr>
              <w:t>本次招标不接受联合体投标</w:t>
            </w:r>
          </w:p>
        </w:tc>
        <w:tc>
          <w:tcPr>
            <w:tcW w:w="3420" w:type="dxa"/>
            <w:tcBorders>
              <w:top w:val="single" w:color="auto" w:sz="4" w:space="0"/>
              <w:left w:val="single" w:color="auto" w:sz="4" w:space="0"/>
              <w:bottom w:val="single" w:color="auto" w:sz="4" w:space="0"/>
              <w:right w:val="single" w:color="auto" w:sz="4" w:space="0"/>
            </w:tcBorders>
            <w:vAlign w:val="center"/>
          </w:tcPr>
          <w:p>
            <w:pPr>
              <w:spacing w:before="120" w:after="60"/>
              <w:jc w:val="left"/>
              <w:rPr>
                <w:rFonts w:ascii="宋体" w:hAnsi="宋体" w:cs="宋体"/>
                <w:color w:val="auto"/>
                <w:szCs w:val="21"/>
                <w:highlight w:val="none"/>
                <w:u w:val="single"/>
              </w:rPr>
            </w:pPr>
            <w:r>
              <w:rPr>
                <w:rStyle w:val="140"/>
                <w:rFonts w:ascii="宋体" w:hAnsi="宋体"/>
                <w:color w:val="auto"/>
                <w:szCs w:val="21"/>
                <w:highlight w:val="none"/>
              </w:rPr>
              <w:t>投标人非联合体投标</w:t>
            </w:r>
          </w:p>
        </w:tc>
        <w:tc>
          <w:tcPr>
            <w:tcW w:w="7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s="宋体"/>
                <w:color w:val="auto"/>
                <w:szCs w:val="21"/>
                <w:highlight w:val="none"/>
              </w:rPr>
            </w:pPr>
            <w:r>
              <w:rPr>
                <w:rFonts w:hint="eastAsia" w:ascii="宋体" w:hAnsi="宋体" w:cs="宋体"/>
                <w:color w:val="auto"/>
                <w:szCs w:val="21"/>
                <w:highlight w:val="none"/>
              </w:rPr>
              <w:t>11</w:t>
            </w:r>
          </w:p>
        </w:tc>
        <w:tc>
          <w:tcPr>
            <w:tcW w:w="3780" w:type="dxa"/>
            <w:tcBorders>
              <w:top w:val="single" w:color="auto" w:sz="4" w:space="0"/>
              <w:left w:val="single" w:color="auto" w:sz="4" w:space="0"/>
              <w:bottom w:val="single" w:color="auto" w:sz="4" w:space="0"/>
              <w:right w:val="single" w:color="auto" w:sz="4" w:space="0"/>
            </w:tcBorders>
            <w:vAlign w:val="center"/>
          </w:tcPr>
          <w:p>
            <w:pPr>
              <w:spacing w:before="120" w:after="60"/>
              <w:jc w:val="left"/>
              <w:rPr>
                <w:rFonts w:ascii="宋体" w:hAnsi="宋体" w:cs="宋体"/>
                <w:color w:val="auto"/>
                <w:szCs w:val="21"/>
                <w:highlight w:val="none"/>
              </w:rPr>
            </w:pPr>
            <w:r>
              <w:rPr>
                <w:rStyle w:val="140"/>
                <w:rFonts w:hint="eastAsia" w:ascii="宋体" w:hAnsi="宋体"/>
                <w:color w:val="auto"/>
                <w:szCs w:val="21"/>
                <w:highlight w:val="none"/>
              </w:rPr>
              <w:t>资格审查前，投标人须在广州市住房和城乡建设局建立企业信用档案及拟担任本工程项目负责人、专职安全员须是本企业中的在册人员</w:t>
            </w:r>
          </w:p>
        </w:tc>
        <w:tc>
          <w:tcPr>
            <w:tcW w:w="3420" w:type="dxa"/>
            <w:tcBorders>
              <w:top w:val="single" w:color="auto" w:sz="4" w:space="0"/>
              <w:left w:val="single" w:color="auto" w:sz="4" w:space="0"/>
              <w:bottom w:val="single" w:color="auto" w:sz="4" w:space="0"/>
              <w:right w:val="single" w:color="auto" w:sz="4" w:space="0"/>
            </w:tcBorders>
            <w:vAlign w:val="center"/>
          </w:tcPr>
          <w:p>
            <w:pPr>
              <w:spacing w:before="120" w:after="60"/>
              <w:jc w:val="left"/>
              <w:rPr>
                <w:rFonts w:ascii="宋体" w:hAnsi="宋体" w:cs="宋体"/>
                <w:color w:val="auto"/>
                <w:szCs w:val="21"/>
                <w:highlight w:val="none"/>
              </w:rPr>
            </w:pPr>
            <w:r>
              <w:rPr>
                <w:rStyle w:val="140"/>
                <w:rFonts w:hint="eastAsia" w:ascii="宋体" w:hAnsi="宋体"/>
                <w:color w:val="auto"/>
                <w:szCs w:val="21"/>
                <w:highlight w:val="none"/>
              </w:rPr>
              <w:t>投标人在广州市住建行业信用管理平台内企业信用档案的企业和人员信息</w:t>
            </w:r>
          </w:p>
        </w:tc>
        <w:tc>
          <w:tcPr>
            <w:tcW w:w="7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s="宋体"/>
                <w:color w:val="auto"/>
                <w:szCs w:val="21"/>
                <w:highlight w:val="none"/>
              </w:rPr>
            </w:pPr>
            <w:r>
              <w:rPr>
                <w:rFonts w:hint="eastAsia" w:ascii="宋体" w:hAnsi="宋体" w:cs="宋体"/>
                <w:color w:val="auto"/>
                <w:szCs w:val="21"/>
                <w:highlight w:val="none"/>
              </w:rPr>
              <w:t>12</w:t>
            </w:r>
          </w:p>
        </w:tc>
        <w:tc>
          <w:tcPr>
            <w:tcW w:w="3780" w:type="dxa"/>
            <w:tcBorders>
              <w:top w:val="single" w:color="auto" w:sz="4" w:space="0"/>
              <w:left w:val="single" w:color="auto" w:sz="4" w:space="0"/>
              <w:bottom w:val="single" w:color="auto" w:sz="4" w:space="0"/>
              <w:right w:val="single" w:color="auto" w:sz="4" w:space="0"/>
            </w:tcBorders>
            <w:vAlign w:val="center"/>
          </w:tcPr>
          <w:p>
            <w:pPr>
              <w:spacing w:before="120" w:after="60"/>
              <w:jc w:val="left"/>
              <w:rPr>
                <w:rFonts w:ascii="宋体" w:hAnsi="宋体" w:cs="宋体"/>
                <w:color w:val="auto"/>
                <w:szCs w:val="21"/>
                <w:highlight w:val="none"/>
              </w:rPr>
            </w:pPr>
            <w:r>
              <w:rPr>
                <w:rStyle w:val="140"/>
                <w:rFonts w:ascii="宋体" w:hAnsi="宋体"/>
                <w:color w:val="auto"/>
                <w:szCs w:val="21"/>
                <w:highlight w:val="none"/>
              </w:rPr>
              <w:t>投标人未出现以下情形：与其它投标人的单位负责人为同一人或者存在控股、管理关系的</w:t>
            </w:r>
          </w:p>
        </w:tc>
        <w:tc>
          <w:tcPr>
            <w:tcW w:w="3420" w:type="dxa"/>
            <w:tcBorders>
              <w:top w:val="single" w:color="auto" w:sz="4" w:space="0"/>
              <w:left w:val="single" w:color="auto" w:sz="4" w:space="0"/>
              <w:bottom w:val="single" w:color="auto" w:sz="4" w:space="0"/>
              <w:right w:val="single" w:color="auto" w:sz="4" w:space="0"/>
            </w:tcBorders>
            <w:vAlign w:val="center"/>
          </w:tcPr>
          <w:p>
            <w:pPr>
              <w:spacing w:before="120" w:after="60"/>
              <w:jc w:val="left"/>
              <w:rPr>
                <w:rFonts w:ascii="宋体" w:hAnsi="宋体" w:cs="宋体"/>
                <w:color w:val="auto"/>
                <w:szCs w:val="21"/>
                <w:highlight w:val="none"/>
              </w:rPr>
            </w:pPr>
            <w:r>
              <w:rPr>
                <w:rStyle w:val="140"/>
                <w:rFonts w:hint="eastAsia" w:ascii="宋体" w:hAnsi="宋体"/>
                <w:color w:val="auto"/>
                <w:szCs w:val="21"/>
                <w:highlight w:val="none"/>
              </w:rPr>
              <w:t>投标人未出现以下情形：与其它投标人的单位负责人为同一人或者存在控股、管理关系的（按投标人提供的《投标人声明》第八条内容进行评审）</w:t>
            </w:r>
          </w:p>
        </w:tc>
        <w:tc>
          <w:tcPr>
            <w:tcW w:w="7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468"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s="宋体"/>
                <w:color w:val="auto"/>
                <w:szCs w:val="21"/>
                <w:highlight w:val="none"/>
              </w:rPr>
            </w:pPr>
            <w:r>
              <w:rPr>
                <w:rFonts w:hint="eastAsia" w:ascii="宋体" w:hAnsi="宋体" w:cs="宋体"/>
                <w:color w:val="auto"/>
                <w:szCs w:val="21"/>
                <w:highlight w:val="none"/>
              </w:rPr>
              <w:t>13</w:t>
            </w:r>
          </w:p>
        </w:tc>
        <w:tc>
          <w:tcPr>
            <w:tcW w:w="3780" w:type="dxa"/>
            <w:tcBorders>
              <w:top w:val="single" w:color="auto" w:sz="4" w:space="0"/>
              <w:left w:val="single" w:color="auto" w:sz="4" w:space="0"/>
              <w:bottom w:val="single" w:color="auto" w:sz="4" w:space="0"/>
              <w:right w:val="single" w:color="auto" w:sz="4" w:space="0"/>
            </w:tcBorders>
            <w:vAlign w:val="center"/>
          </w:tcPr>
          <w:p>
            <w:pPr>
              <w:spacing w:before="120" w:after="60"/>
              <w:jc w:val="left"/>
              <w:rPr>
                <w:rFonts w:ascii="宋体" w:hAnsi="宋体" w:cs="宋体"/>
                <w:color w:val="auto"/>
                <w:szCs w:val="21"/>
                <w:highlight w:val="none"/>
              </w:rPr>
            </w:pPr>
            <w:r>
              <w:rPr>
                <w:rFonts w:hint="eastAsia" w:ascii="宋体" w:hAnsi="宋体" w:cs="宋体"/>
                <w:color w:val="auto"/>
                <w:szCs w:val="21"/>
                <w:highlight w:val="none"/>
              </w:rPr>
              <w:t>未被纳入失信联合惩戒名单且被限制参加建设工程投标的（具体名单以递交投标文件截止时间“信用广州”https://credit1.gz.gov.cn/sgs/sgsXkNew公布的“失信黑名单”为准。不包含限制参加财政投资工程或政府投资工程的投标）。</w:t>
            </w:r>
          </w:p>
        </w:tc>
        <w:tc>
          <w:tcPr>
            <w:tcW w:w="3420" w:type="dxa"/>
            <w:tcBorders>
              <w:top w:val="single" w:color="auto" w:sz="4" w:space="0"/>
              <w:left w:val="single" w:color="auto" w:sz="4" w:space="0"/>
              <w:bottom w:val="single" w:color="auto" w:sz="4" w:space="0"/>
              <w:right w:val="single" w:color="auto" w:sz="4" w:space="0"/>
            </w:tcBorders>
            <w:vAlign w:val="center"/>
          </w:tcPr>
          <w:p>
            <w:pPr>
              <w:spacing w:before="120" w:after="60"/>
              <w:jc w:val="left"/>
              <w:rPr>
                <w:rFonts w:ascii="宋体" w:hAnsi="宋体" w:cs="宋体"/>
                <w:color w:val="auto"/>
                <w:szCs w:val="21"/>
                <w:highlight w:val="none"/>
              </w:rPr>
            </w:pPr>
            <w:r>
              <w:rPr>
                <w:rFonts w:hint="eastAsia" w:ascii="宋体" w:hAnsi="宋体" w:cs="宋体"/>
                <w:color w:val="auto"/>
                <w:szCs w:val="21"/>
                <w:highlight w:val="none"/>
              </w:rPr>
              <w:t>投标人无需提供资料，按交易系统比对的结果进行评审</w:t>
            </w:r>
          </w:p>
        </w:tc>
        <w:tc>
          <w:tcPr>
            <w:tcW w:w="7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s="宋体"/>
                <w:color w:val="auto"/>
                <w:szCs w:val="21"/>
                <w:highlight w:val="none"/>
              </w:rPr>
            </w:pPr>
          </w:p>
        </w:tc>
      </w:tr>
    </w:tbl>
    <w:p>
      <w:pPr>
        <w:spacing w:line="480" w:lineRule="auto"/>
        <w:ind w:firstLine="470" w:firstLineChars="224"/>
        <w:rPr>
          <w:rFonts w:ascii="宋体" w:hAnsi="宋体" w:cs="宋体"/>
          <w:color w:val="auto"/>
          <w:szCs w:val="21"/>
          <w:highlight w:val="none"/>
        </w:rPr>
      </w:pPr>
      <w:r>
        <w:rPr>
          <w:rFonts w:hint="eastAsia" w:ascii="宋体" w:hAnsi="宋体" w:cs="宋体"/>
          <w:color w:val="auto"/>
          <w:szCs w:val="21"/>
          <w:highlight w:val="none"/>
        </w:rPr>
        <w:t>备注：</w:t>
      </w:r>
    </w:p>
    <w:p>
      <w:pPr>
        <w:spacing w:line="480" w:lineRule="auto"/>
        <w:ind w:firstLine="470" w:firstLineChars="224"/>
        <w:rPr>
          <w:rFonts w:ascii="宋体" w:hAnsi="宋体" w:cs="宋体"/>
          <w:color w:val="auto"/>
          <w:szCs w:val="21"/>
          <w:highlight w:val="none"/>
        </w:rPr>
      </w:pPr>
      <w:r>
        <w:rPr>
          <w:rFonts w:hint="eastAsia" w:ascii="宋体" w:hAnsi="宋体" w:cs="宋体"/>
          <w:color w:val="auto"/>
          <w:szCs w:val="21"/>
          <w:highlight w:val="none"/>
        </w:rPr>
        <w:t xml:space="preserve">1、每一项目符合的打“○”，不符合的打“×”； </w:t>
      </w:r>
    </w:p>
    <w:p>
      <w:pPr>
        <w:spacing w:line="480" w:lineRule="auto"/>
        <w:ind w:firstLine="470" w:firstLineChars="224"/>
        <w:rPr>
          <w:rFonts w:ascii="宋体" w:hAnsi="宋体" w:cs="宋体"/>
          <w:color w:val="auto"/>
          <w:szCs w:val="21"/>
          <w:highlight w:val="none"/>
        </w:rPr>
      </w:pPr>
      <w:r>
        <w:rPr>
          <w:rFonts w:hint="eastAsia" w:ascii="宋体" w:hAnsi="宋体" w:cs="宋体"/>
          <w:color w:val="auto"/>
          <w:szCs w:val="21"/>
          <w:highlight w:val="none"/>
        </w:rPr>
        <w:t>2、若评委意见不一致时，则按少数服从多数的原则，作出评审结论。汇总后，出现一个“×”的结论为“不通过”。</w:t>
      </w:r>
    </w:p>
    <w:p>
      <w:pPr>
        <w:rPr>
          <w:rFonts w:ascii="宋体" w:hAnsi="宋体" w:cs="宋体"/>
          <w:color w:val="auto"/>
          <w:highlight w:val="none"/>
        </w:rPr>
        <w:sectPr>
          <w:endnotePr>
            <w:numFmt w:val="decimal"/>
          </w:endnotePr>
          <w:pgSz w:w="11906" w:h="16838"/>
          <w:pgMar w:top="1134" w:right="1418" w:bottom="1247" w:left="1418" w:header="851" w:footer="907" w:gutter="0"/>
          <w:cols w:space="720" w:num="1"/>
          <w:titlePg/>
          <w:docGrid w:type="lines" w:linePitch="312" w:charSpace="0"/>
        </w:sectPr>
      </w:pPr>
    </w:p>
    <w:p>
      <w:pPr>
        <w:rPr>
          <w:rFonts w:ascii="宋体" w:hAnsi="宋体" w:cs="宋体"/>
          <w:color w:val="auto"/>
          <w:sz w:val="24"/>
          <w:szCs w:val="24"/>
          <w:highlight w:val="none"/>
        </w:rPr>
      </w:pPr>
      <w:r>
        <w:rPr>
          <w:rFonts w:hint="eastAsia" w:ascii="宋体" w:hAnsi="宋体" w:cs="宋体"/>
          <w:color w:val="auto"/>
          <w:sz w:val="24"/>
          <w:szCs w:val="24"/>
          <w:highlight w:val="none"/>
        </w:rPr>
        <w:t>附表二</w:t>
      </w:r>
    </w:p>
    <w:p>
      <w:pPr>
        <w:jc w:val="center"/>
        <w:rPr>
          <w:rFonts w:ascii="宋体" w:hAnsi="宋体" w:cs="宋体"/>
          <w:b/>
          <w:color w:val="auto"/>
          <w:sz w:val="36"/>
          <w:szCs w:val="36"/>
          <w:highlight w:val="none"/>
        </w:rPr>
      </w:pPr>
      <w:r>
        <w:rPr>
          <w:rFonts w:hint="eastAsia" w:ascii="宋体" w:hAnsi="宋体" w:cs="宋体"/>
          <w:b/>
          <w:color w:val="auto"/>
          <w:sz w:val="36"/>
          <w:szCs w:val="36"/>
          <w:highlight w:val="none"/>
        </w:rPr>
        <w:t>技术标有效性审查表</w:t>
      </w:r>
    </w:p>
    <w:p>
      <w:pPr>
        <w:rPr>
          <w:rFonts w:ascii="宋体" w:hAnsi="宋体" w:cs="宋体"/>
          <w:color w:val="auto"/>
          <w:szCs w:val="21"/>
          <w:highlight w:val="none"/>
        </w:rPr>
      </w:pPr>
      <w:r>
        <w:rPr>
          <w:rFonts w:hint="eastAsia" w:ascii="宋体" w:hAnsi="宋体" w:cs="宋体"/>
          <w:color w:val="auto"/>
          <w:szCs w:val="21"/>
          <w:highlight w:val="none"/>
        </w:rPr>
        <w:t>工程名称：</w:t>
      </w:r>
    </w:p>
    <w:tbl>
      <w:tblPr>
        <w:tblStyle w:val="39"/>
        <w:tblW w:w="146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3"/>
        <w:gridCol w:w="4370"/>
        <w:gridCol w:w="1630"/>
        <w:gridCol w:w="1630"/>
        <w:gridCol w:w="1630"/>
        <w:gridCol w:w="1630"/>
        <w:gridCol w:w="1630"/>
        <w:gridCol w:w="1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3"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cs="宋体"/>
                <w:color w:val="auto"/>
                <w:szCs w:val="21"/>
                <w:highlight w:val="none"/>
              </w:rPr>
            </w:pPr>
            <w:r>
              <w:rPr>
                <w:rFonts w:hint="eastAsia" w:ascii="宋体" w:hAnsi="宋体" w:cs="宋体"/>
                <w:color w:val="auto"/>
                <w:szCs w:val="21"/>
                <w:highlight w:val="none"/>
              </w:rPr>
              <w:t>序号</w:t>
            </w:r>
          </w:p>
        </w:tc>
        <w:tc>
          <w:tcPr>
            <w:tcW w:w="4370" w:type="dxa"/>
            <w:tcBorders>
              <w:top w:val="single" w:color="auto" w:sz="4" w:space="0"/>
              <w:left w:val="single" w:color="auto" w:sz="4" w:space="0"/>
              <w:bottom w:val="single" w:color="auto" w:sz="4" w:space="0"/>
              <w:right w:val="single" w:color="auto" w:sz="4" w:space="0"/>
              <w:tl2br w:val="single" w:color="auto" w:sz="4" w:space="0"/>
            </w:tcBorders>
          </w:tcPr>
          <w:p>
            <w:pPr>
              <w:adjustRightInd w:val="0"/>
              <w:rPr>
                <w:rFonts w:ascii="宋体" w:hAnsi="宋体" w:cs="宋体"/>
                <w:color w:val="auto"/>
                <w:szCs w:val="21"/>
                <w:highlight w:val="none"/>
              </w:rPr>
            </w:pPr>
            <w:r>
              <w:rPr>
                <w:rFonts w:hint="eastAsia" w:ascii="宋体" w:hAnsi="宋体" w:cs="宋体"/>
                <w:color w:val="auto"/>
                <w:szCs w:val="21"/>
                <w:highlight w:val="none"/>
              </w:rPr>
              <w:t xml:space="preserve">               投标人</w:t>
            </w:r>
          </w:p>
          <w:p>
            <w:pPr>
              <w:adjustRightInd w:val="0"/>
              <w:rPr>
                <w:rFonts w:ascii="宋体" w:hAnsi="宋体" w:cs="宋体"/>
                <w:color w:val="auto"/>
                <w:szCs w:val="21"/>
                <w:highlight w:val="none"/>
              </w:rPr>
            </w:pPr>
          </w:p>
          <w:p>
            <w:pPr>
              <w:adjustRightInd w:val="0"/>
              <w:rPr>
                <w:rFonts w:ascii="宋体" w:hAnsi="宋体" w:cs="宋体"/>
                <w:color w:val="auto"/>
                <w:szCs w:val="21"/>
                <w:highlight w:val="none"/>
              </w:rPr>
            </w:pPr>
            <w:r>
              <w:rPr>
                <w:rFonts w:hint="eastAsia" w:ascii="宋体" w:hAnsi="宋体" w:cs="宋体"/>
                <w:color w:val="auto"/>
                <w:szCs w:val="21"/>
                <w:highlight w:val="none"/>
              </w:rPr>
              <w:t>评审内容</w:t>
            </w: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hAnsi="宋体" w:cs="宋体"/>
                <w:color w:val="auto"/>
                <w:szCs w:val="21"/>
                <w:highlight w:val="none"/>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hAnsi="宋体" w:cs="宋体"/>
                <w:color w:val="auto"/>
                <w:szCs w:val="21"/>
                <w:highlight w:val="none"/>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hAnsi="宋体" w:cs="宋体"/>
                <w:color w:val="auto"/>
                <w:szCs w:val="21"/>
                <w:highlight w:val="none"/>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hAnsi="宋体" w:cs="宋体"/>
                <w:color w:val="auto"/>
                <w:szCs w:val="21"/>
                <w:highlight w:val="none"/>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hAnsi="宋体" w:cs="宋体"/>
                <w:color w:val="auto"/>
                <w:szCs w:val="21"/>
                <w:highlight w:val="none"/>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3"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cs="宋体"/>
                <w:color w:val="auto"/>
                <w:szCs w:val="21"/>
                <w:highlight w:val="none"/>
              </w:rPr>
            </w:pPr>
            <w:r>
              <w:rPr>
                <w:rFonts w:hint="eastAsia" w:ascii="宋体" w:hAnsi="宋体" w:cs="宋体"/>
                <w:color w:val="auto"/>
                <w:szCs w:val="21"/>
                <w:highlight w:val="none"/>
              </w:rPr>
              <w:t>1</w:t>
            </w:r>
          </w:p>
        </w:tc>
        <w:tc>
          <w:tcPr>
            <w:tcW w:w="4370"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cs="宋体"/>
                <w:color w:val="auto"/>
                <w:szCs w:val="21"/>
                <w:highlight w:val="none"/>
              </w:rPr>
            </w:pPr>
            <w:r>
              <w:rPr>
                <w:rFonts w:hint="eastAsia" w:ascii="宋体" w:hAnsi="宋体" w:cs="宋体"/>
                <w:color w:val="auto"/>
                <w:szCs w:val="21"/>
                <w:highlight w:val="none"/>
                <w:u w:val="single"/>
              </w:rPr>
              <w:t>《广州建设工程施工技术标招标投标书》中的工期不符合招标文件要求的；</w:t>
            </w: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hAnsi="宋体" w:cs="宋体"/>
                <w:color w:val="auto"/>
                <w:szCs w:val="21"/>
                <w:highlight w:val="none"/>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hAnsi="宋体" w:cs="宋体"/>
                <w:color w:val="auto"/>
                <w:szCs w:val="21"/>
                <w:highlight w:val="none"/>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hAnsi="宋体" w:cs="宋体"/>
                <w:color w:val="auto"/>
                <w:szCs w:val="21"/>
                <w:highlight w:val="none"/>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hAnsi="宋体" w:cs="宋体"/>
                <w:color w:val="auto"/>
                <w:szCs w:val="21"/>
                <w:highlight w:val="none"/>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hAnsi="宋体" w:cs="宋体"/>
                <w:color w:val="auto"/>
                <w:szCs w:val="21"/>
                <w:highlight w:val="none"/>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3"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cs="宋体"/>
                <w:strike/>
                <w:color w:val="auto"/>
                <w:szCs w:val="21"/>
                <w:highlight w:val="none"/>
              </w:rPr>
            </w:pPr>
            <w:r>
              <w:rPr>
                <w:rFonts w:hint="eastAsia" w:ascii="宋体" w:hAnsi="宋体" w:cs="宋体"/>
                <w:color w:val="auto"/>
                <w:szCs w:val="21"/>
                <w:highlight w:val="none"/>
              </w:rPr>
              <w:t>2</w:t>
            </w:r>
          </w:p>
        </w:tc>
        <w:tc>
          <w:tcPr>
            <w:tcW w:w="4370"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cs="宋体"/>
                <w:strike/>
                <w:color w:val="auto"/>
                <w:szCs w:val="21"/>
                <w:highlight w:val="none"/>
              </w:rPr>
            </w:pPr>
            <w:r>
              <w:rPr>
                <w:rFonts w:hint="eastAsia" w:ascii="宋体" w:hAnsi="宋体" w:cs="宋体"/>
                <w:color w:val="auto"/>
                <w:szCs w:val="21"/>
                <w:highlight w:val="none"/>
                <w:u w:val="single"/>
              </w:rPr>
              <w:t>《广州建设工程施工技术标招标投标书）》中的工程质量标准不符合招标文件要求的；</w:t>
            </w: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hAnsi="宋体" w:cs="宋体"/>
                <w:color w:val="auto"/>
                <w:szCs w:val="21"/>
                <w:highlight w:val="none"/>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hAnsi="宋体" w:cs="宋体"/>
                <w:color w:val="auto"/>
                <w:szCs w:val="21"/>
                <w:highlight w:val="none"/>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hAnsi="宋体" w:cs="宋体"/>
                <w:color w:val="auto"/>
                <w:szCs w:val="21"/>
                <w:highlight w:val="none"/>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hAnsi="宋体" w:cs="宋体"/>
                <w:color w:val="auto"/>
                <w:szCs w:val="21"/>
                <w:highlight w:val="none"/>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hAnsi="宋体" w:cs="宋体"/>
                <w:color w:val="auto"/>
                <w:szCs w:val="21"/>
                <w:highlight w:val="none"/>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3"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cs="宋体"/>
                <w:color w:val="auto"/>
                <w:szCs w:val="21"/>
                <w:highlight w:val="none"/>
              </w:rPr>
            </w:pPr>
            <w:r>
              <w:rPr>
                <w:rFonts w:hint="eastAsia" w:ascii="宋体" w:hAnsi="宋体" w:cs="宋体"/>
                <w:color w:val="auto"/>
                <w:szCs w:val="21"/>
                <w:highlight w:val="none"/>
              </w:rPr>
              <w:t>3</w:t>
            </w:r>
          </w:p>
        </w:tc>
        <w:tc>
          <w:tcPr>
            <w:tcW w:w="4370"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cs="宋体"/>
                <w:color w:val="auto"/>
                <w:szCs w:val="21"/>
                <w:highlight w:val="none"/>
              </w:rPr>
            </w:pPr>
            <w:r>
              <w:rPr>
                <w:rFonts w:hint="eastAsia" w:ascii="宋体" w:hAnsi="宋体"/>
                <w:color w:val="auto"/>
                <w:szCs w:val="21"/>
                <w:highlight w:val="none"/>
              </w:rPr>
              <w:t>投标文件中没有有效的法定代表人证明书，或由委托代理人签署的投标文件中没有法定代表人授权书；</w:t>
            </w: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hAnsi="宋体" w:cs="宋体"/>
                <w:color w:val="auto"/>
                <w:szCs w:val="21"/>
                <w:highlight w:val="none"/>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hAnsi="宋体" w:cs="宋体"/>
                <w:color w:val="auto"/>
                <w:szCs w:val="21"/>
                <w:highlight w:val="none"/>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hAnsi="宋体" w:cs="宋体"/>
                <w:color w:val="auto"/>
                <w:szCs w:val="21"/>
                <w:highlight w:val="none"/>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hAnsi="宋体" w:cs="宋体"/>
                <w:color w:val="auto"/>
                <w:szCs w:val="21"/>
                <w:highlight w:val="none"/>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hAnsi="宋体" w:cs="宋体"/>
                <w:color w:val="auto"/>
                <w:szCs w:val="21"/>
                <w:highlight w:val="none"/>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3"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cs="宋体"/>
                <w:color w:val="auto"/>
                <w:szCs w:val="21"/>
                <w:highlight w:val="none"/>
              </w:rPr>
            </w:pPr>
            <w:r>
              <w:rPr>
                <w:rFonts w:hint="eastAsia" w:ascii="宋体" w:hAnsi="宋体" w:cs="宋体"/>
                <w:color w:val="auto"/>
                <w:szCs w:val="21"/>
                <w:highlight w:val="none"/>
              </w:rPr>
              <w:t>4</w:t>
            </w:r>
          </w:p>
        </w:tc>
        <w:tc>
          <w:tcPr>
            <w:tcW w:w="4370"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cs="宋体"/>
                <w:color w:val="auto"/>
                <w:szCs w:val="21"/>
                <w:highlight w:val="none"/>
              </w:rPr>
            </w:pPr>
            <w:r>
              <w:rPr>
                <w:rFonts w:hint="eastAsia" w:ascii="宋体" w:hAnsi="宋体" w:cs="宋体"/>
                <w:color w:val="auto"/>
                <w:szCs w:val="21"/>
                <w:highlight w:val="none"/>
              </w:rPr>
              <w:t>投标文件未按规定的格式填写，或主要内容不全，或关键字迹模糊、无法辨认的；</w:t>
            </w:r>
            <w:r>
              <w:rPr>
                <w:rFonts w:hint="eastAsia" w:ascii="宋体" w:hAnsi="宋体" w:cs="宋体"/>
                <w:color w:val="auto"/>
                <w:szCs w:val="21"/>
                <w:highlight w:val="none"/>
                <w:u w:val="single"/>
              </w:rPr>
              <w:t>（投标文件规定格式（即参与评审的格式）为技术标部分带★号的格式（即格式3、格式4、格式8、格式</w:t>
            </w:r>
            <w:r>
              <w:rPr>
                <w:rFonts w:hint="eastAsia" w:ascii="宋体" w:hAnsi="宋体" w:cs="宋体"/>
                <w:color w:val="auto"/>
                <w:szCs w:val="21"/>
                <w:highlight w:val="none"/>
                <w:u w:val="single"/>
                <w:lang w:val="en-US" w:eastAsia="zh-CN"/>
              </w:rPr>
              <w:t>9</w:t>
            </w:r>
            <w:r>
              <w:rPr>
                <w:rFonts w:hint="eastAsia" w:ascii="宋体" w:hAnsi="宋体" w:cs="宋体"/>
                <w:color w:val="auto"/>
                <w:szCs w:val="21"/>
                <w:highlight w:val="none"/>
                <w:u w:val="single"/>
              </w:rPr>
              <w:t>、格式1</w:t>
            </w:r>
            <w:r>
              <w:rPr>
                <w:rFonts w:hint="eastAsia" w:ascii="宋体" w:hAnsi="宋体" w:cs="宋体"/>
                <w:color w:val="auto"/>
                <w:szCs w:val="21"/>
                <w:highlight w:val="none"/>
                <w:u w:val="single"/>
                <w:lang w:val="en-US" w:eastAsia="zh-CN"/>
              </w:rPr>
              <w:t>1</w:t>
            </w:r>
            <w:r>
              <w:rPr>
                <w:rFonts w:hint="eastAsia" w:ascii="宋体" w:hAnsi="宋体" w:cs="宋体"/>
                <w:color w:val="auto"/>
                <w:szCs w:val="21"/>
                <w:highlight w:val="none"/>
                <w:u w:val="single"/>
              </w:rPr>
              <w:t>）</w:t>
            </w: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hAnsi="宋体" w:cs="宋体"/>
                <w:color w:val="auto"/>
                <w:szCs w:val="21"/>
                <w:highlight w:val="none"/>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hAnsi="宋体" w:cs="宋体"/>
                <w:color w:val="auto"/>
                <w:szCs w:val="21"/>
                <w:highlight w:val="none"/>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hAnsi="宋体" w:cs="宋体"/>
                <w:color w:val="auto"/>
                <w:szCs w:val="21"/>
                <w:highlight w:val="none"/>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hAnsi="宋体" w:cs="宋体"/>
                <w:color w:val="auto"/>
                <w:szCs w:val="21"/>
                <w:highlight w:val="none"/>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hAnsi="宋体" w:cs="宋体"/>
                <w:color w:val="auto"/>
                <w:szCs w:val="21"/>
                <w:highlight w:val="none"/>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23"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cs="宋体"/>
                <w:color w:val="auto"/>
                <w:szCs w:val="21"/>
                <w:highlight w:val="none"/>
              </w:rPr>
            </w:pPr>
            <w:r>
              <w:rPr>
                <w:rFonts w:hint="eastAsia" w:ascii="宋体" w:hAnsi="宋体" w:cs="宋体"/>
                <w:color w:val="auto"/>
                <w:szCs w:val="21"/>
                <w:highlight w:val="none"/>
              </w:rPr>
              <w:t>5</w:t>
            </w:r>
          </w:p>
        </w:tc>
        <w:tc>
          <w:tcPr>
            <w:tcW w:w="4370"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cs="宋体"/>
                <w:color w:val="auto"/>
                <w:szCs w:val="21"/>
                <w:highlight w:val="none"/>
              </w:rPr>
            </w:pPr>
            <w:r>
              <w:rPr>
                <w:rFonts w:hint="eastAsia" w:ascii="宋体" w:hAnsi="宋体"/>
                <w:color w:val="auto"/>
                <w:szCs w:val="21"/>
                <w:highlight w:val="none"/>
              </w:rPr>
              <w:t>投标人之间存在《广东省实施&lt;中华人民共和国招标投标法&gt;》第十六条所禁止的情形的；</w:t>
            </w: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hAnsi="宋体" w:cs="宋体"/>
                <w:color w:val="auto"/>
                <w:szCs w:val="21"/>
                <w:highlight w:val="none"/>
                <w:shd w:val="pct10" w:color="auto" w:fill="FFFFFF"/>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hAnsi="宋体" w:cs="宋体"/>
                <w:color w:val="auto"/>
                <w:szCs w:val="21"/>
                <w:highlight w:val="none"/>
                <w:shd w:val="pct10" w:color="auto" w:fill="FFFFFF"/>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hAnsi="宋体" w:cs="宋体"/>
                <w:color w:val="auto"/>
                <w:szCs w:val="21"/>
                <w:highlight w:val="none"/>
                <w:shd w:val="pct10" w:color="auto" w:fill="FFFFFF"/>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hAnsi="宋体" w:cs="宋体"/>
                <w:color w:val="auto"/>
                <w:szCs w:val="21"/>
                <w:highlight w:val="none"/>
                <w:shd w:val="pct10" w:color="auto" w:fill="FFFFFF"/>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hAnsi="宋体" w:cs="宋体"/>
                <w:color w:val="auto"/>
                <w:szCs w:val="21"/>
                <w:highlight w:val="none"/>
                <w:shd w:val="pct10" w:color="auto" w:fill="FFFFFF"/>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hAnsi="宋体" w:cs="宋体"/>
                <w:color w:val="auto"/>
                <w:szCs w:val="21"/>
                <w:highlight w:val="none"/>
                <w:shd w:val="pct10"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3"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cs="宋体"/>
                <w:color w:val="auto"/>
                <w:szCs w:val="21"/>
                <w:highlight w:val="none"/>
              </w:rPr>
            </w:pPr>
            <w:r>
              <w:rPr>
                <w:rFonts w:hint="eastAsia" w:ascii="宋体" w:hAnsi="宋体" w:cs="宋体"/>
                <w:color w:val="auto"/>
                <w:szCs w:val="21"/>
                <w:highlight w:val="none"/>
              </w:rPr>
              <w:t>6</w:t>
            </w:r>
          </w:p>
        </w:tc>
        <w:tc>
          <w:tcPr>
            <w:tcW w:w="4370" w:type="dxa"/>
            <w:tcBorders>
              <w:top w:val="single" w:color="auto" w:sz="4" w:space="0"/>
              <w:left w:val="single" w:color="auto" w:sz="4" w:space="0"/>
              <w:bottom w:val="single" w:color="auto" w:sz="4" w:space="0"/>
              <w:right w:val="single" w:color="auto" w:sz="4" w:space="0"/>
            </w:tcBorders>
            <w:vAlign w:val="center"/>
          </w:tcPr>
          <w:p>
            <w:pPr>
              <w:adjustRightInd w:val="0"/>
              <w:rPr>
                <w:rFonts w:hint="eastAsia" w:ascii="宋体" w:hAnsi="宋体" w:eastAsia="宋体" w:cs="宋体"/>
                <w:color w:val="auto"/>
                <w:szCs w:val="21"/>
                <w:highlight w:val="none"/>
                <w:lang w:eastAsia="zh-CN"/>
              </w:rPr>
            </w:pPr>
            <w:r>
              <w:rPr>
                <w:rFonts w:hint="eastAsia" w:ascii="宋体" w:hAnsi="宋体"/>
                <w:color w:val="auto"/>
                <w:szCs w:val="21"/>
                <w:highlight w:val="none"/>
              </w:rPr>
              <w:t>无《参与编制技术标投标文件人员名单》的</w:t>
            </w:r>
            <w:r>
              <w:rPr>
                <w:rFonts w:hint="eastAsia" w:ascii="宋体" w:hAnsi="宋体"/>
                <w:color w:val="auto"/>
                <w:szCs w:val="21"/>
                <w:highlight w:val="none"/>
                <w:lang w:eastAsia="zh-CN"/>
              </w:rPr>
              <w:t>；</w:t>
            </w: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hAnsi="宋体" w:cs="宋体"/>
                <w:color w:val="auto"/>
                <w:szCs w:val="21"/>
                <w:highlight w:val="none"/>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hAnsi="宋体" w:cs="宋体"/>
                <w:color w:val="auto"/>
                <w:szCs w:val="21"/>
                <w:highlight w:val="none"/>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hAnsi="宋体" w:cs="宋体"/>
                <w:color w:val="auto"/>
                <w:szCs w:val="21"/>
                <w:highlight w:val="none"/>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hAnsi="宋体" w:cs="宋体"/>
                <w:color w:val="auto"/>
                <w:szCs w:val="21"/>
                <w:highlight w:val="none"/>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hAnsi="宋体" w:cs="宋体"/>
                <w:color w:val="auto"/>
                <w:szCs w:val="21"/>
                <w:highlight w:val="none"/>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3"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cs="宋体"/>
                <w:color w:val="auto"/>
                <w:szCs w:val="21"/>
                <w:highlight w:val="none"/>
              </w:rPr>
            </w:pPr>
            <w:r>
              <w:rPr>
                <w:rFonts w:hint="eastAsia" w:ascii="宋体" w:hAnsi="宋体" w:cs="宋体"/>
                <w:color w:val="auto"/>
                <w:szCs w:val="21"/>
                <w:highlight w:val="none"/>
              </w:rPr>
              <w:t>7</w:t>
            </w:r>
          </w:p>
        </w:tc>
        <w:tc>
          <w:tcPr>
            <w:tcW w:w="4370" w:type="dxa"/>
            <w:tcBorders>
              <w:top w:val="single" w:color="auto" w:sz="4" w:space="0"/>
              <w:left w:val="single" w:color="auto" w:sz="4" w:space="0"/>
              <w:bottom w:val="single" w:color="auto" w:sz="4" w:space="0"/>
              <w:right w:val="single" w:color="auto" w:sz="4" w:space="0"/>
            </w:tcBorders>
            <w:vAlign w:val="center"/>
          </w:tcPr>
          <w:p>
            <w:pPr>
              <w:adjustRightInd w:val="0"/>
              <w:rPr>
                <w:rFonts w:hint="eastAsia" w:ascii="宋体" w:hAnsi="宋体" w:eastAsia="宋体" w:cs="宋体"/>
                <w:color w:val="auto"/>
                <w:szCs w:val="21"/>
                <w:highlight w:val="none"/>
                <w:lang w:eastAsia="zh-CN"/>
              </w:rPr>
            </w:pPr>
            <w:r>
              <w:rPr>
                <w:rFonts w:hint="eastAsia" w:ascii="宋体" w:hAnsi="宋体"/>
                <w:strike w:val="0"/>
                <w:color w:val="auto"/>
                <w:szCs w:val="21"/>
                <w:highlight w:val="none"/>
              </w:rPr>
              <w:t>投标人未按要求提交投标保证金的</w:t>
            </w:r>
            <w:r>
              <w:rPr>
                <w:rFonts w:hint="eastAsia" w:ascii="宋体" w:hAnsi="宋体"/>
                <w:strike w:val="0"/>
                <w:color w:val="auto"/>
                <w:szCs w:val="21"/>
                <w:highlight w:val="none"/>
                <w:lang w:eastAsia="zh-CN"/>
              </w:rPr>
              <w:t>；</w:t>
            </w: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hAnsi="宋体" w:cs="宋体"/>
                <w:color w:val="auto"/>
                <w:szCs w:val="21"/>
                <w:highlight w:val="none"/>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hAnsi="宋体" w:cs="宋体"/>
                <w:color w:val="auto"/>
                <w:szCs w:val="21"/>
                <w:highlight w:val="none"/>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hAnsi="宋体" w:cs="宋体"/>
                <w:color w:val="auto"/>
                <w:szCs w:val="21"/>
                <w:highlight w:val="none"/>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hAnsi="宋体" w:cs="宋体"/>
                <w:color w:val="auto"/>
                <w:szCs w:val="21"/>
                <w:highlight w:val="none"/>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hAnsi="宋体" w:cs="宋体"/>
                <w:color w:val="auto"/>
                <w:szCs w:val="21"/>
                <w:highlight w:val="none"/>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3"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cs="宋体"/>
                <w:color w:val="auto"/>
                <w:szCs w:val="21"/>
                <w:highlight w:val="none"/>
              </w:rPr>
            </w:pPr>
            <w:r>
              <w:rPr>
                <w:rFonts w:hint="eastAsia" w:ascii="宋体" w:hAnsi="宋体" w:cs="宋体"/>
                <w:color w:val="auto"/>
                <w:szCs w:val="21"/>
                <w:highlight w:val="none"/>
              </w:rPr>
              <w:t>8</w:t>
            </w:r>
          </w:p>
        </w:tc>
        <w:tc>
          <w:tcPr>
            <w:tcW w:w="4370" w:type="dxa"/>
            <w:tcBorders>
              <w:top w:val="single" w:color="auto" w:sz="4" w:space="0"/>
              <w:left w:val="single" w:color="auto" w:sz="4" w:space="0"/>
              <w:bottom w:val="single" w:color="auto" w:sz="4" w:space="0"/>
              <w:right w:val="single" w:color="auto" w:sz="4" w:space="0"/>
            </w:tcBorders>
            <w:vAlign w:val="center"/>
          </w:tcPr>
          <w:p>
            <w:pPr>
              <w:adjustRightInd w:val="0"/>
              <w:rPr>
                <w:rFonts w:hint="eastAsia" w:ascii="宋体" w:hAnsi="宋体" w:eastAsia="宋体" w:cs="宋体"/>
                <w:color w:val="auto"/>
                <w:szCs w:val="21"/>
                <w:highlight w:val="none"/>
                <w:lang w:eastAsia="zh-CN"/>
              </w:rPr>
            </w:pPr>
            <w:r>
              <w:rPr>
                <w:rFonts w:hint="eastAsia" w:ascii="宋体" w:hAnsi="宋体"/>
                <w:color w:val="auto"/>
                <w:szCs w:val="21"/>
                <w:highlight w:val="none"/>
              </w:rPr>
              <w:t>投标人与</w:t>
            </w:r>
            <w:r>
              <w:rPr>
                <w:rFonts w:hint="eastAsia" w:ascii="宋体" w:hAnsi="宋体"/>
                <w:color w:val="auto"/>
                <w:szCs w:val="21"/>
                <w:highlight w:val="none"/>
                <w:lang w:eastAsia="zh-CN"/>
              </w:rPr>
              <w:t>本项目</w:t>
            </w:r>
            <w:r>
              <w:rPr>
                <w:rFonts w:hint="eastAsia" w:ascii="宋体" w:hAnsi="宋体"/>
                <w:color w:val="auto"/>
                <w:szCs w:val="21"/>
                <w:highlight w:val="none"/>
              </w:rPr>
              <w:t>其他投标人加密打包投标文件电脑机器特征码一致的(以</w:t>
            </w:r>
            <w:r>
              <w:rPr>
                <w:rFonts w:hint="eastAsia" w:ascii="宋体" w:hAnsi="宋体" w:cs="宋体"/>
                <w:color w:val="auto"/>
                <w:szCs w:val="21"/>
                <w:highlight w:val="none"/>
                <w:u w:val="single"/>
              </w:rPr>
              <w:t>广州公共资源交易中心</w:t>
            </w:r>
            <w:r>
              <w:rPr>
                <w:rFonts w:hint="eastAsia" w:ascii="宋体" w:hAnsi="宋体"/>
                <w:color w:val="auto"/>
                <w:szCs w:val="21"/>
                <w:highlight w:val="none"/>
              </w:rPr>
              <w:t>交易平台评标系统的检索信息为准)</w:t>
            </w:r>
            <w:r>
              <w:rPr>
                <w:rFonts w:hint="eastAsia" w:ascii="宋体" w:hAnsi="宋体"/>
                <w:color w:val="auto"/>
                <w:szCs w:val="21"/>
                <w:highlight w:val="none"/>
                <w:lang w:eastAsia="zh-CN"/>
              </w:rPr>
              <w:t>。</w:t>
            </w: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hAnsi="宋体" w:cs="宋体"/>
                <w:color w:val="auto"/>
                <w:szCs w:val="21"/>
                <w:highlight w:val="none"/>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hAnsi="宋体" w:cs="宋体"/>
                <w:color w:val="auto"/>
                <w:szCs w:val="21"/>
                <w:highlight w:val="none"/>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hAnsi="宋体" w:cs="宋体"/>
                <w:color w:val="auto"/>
                <w:szCs w:val="21"/>
                <w:highlight w:val="none"/>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hAnsi="宋体" w:cs="宋体"/>
                <w:color w:val="auto"/>
                <w:szCs w:val="21"/>
                <w:highlight w:val="none"/>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hAnsi="宋体" w:cs="宋体"/>
                <w:color w:val="auto"/>
                <w:szCs w:val="21"/>
                <w:highlight w:val="none"/>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hAnsi="宋体" w:cs="宋体"/>
                <w:color w:val="auto"/>
                <w:szCs w:val="21"/>
                <w:highlight w:val="none"/>
              </w:rPr>
            </w:pPr>
          </w:p>
        </w:tc>
      </w:tr>
    </w:tbl>
    <w:p>
      <w:pPr>
        <w:rPr>
          <w:rFonts w:ascii="宋体" w:hAnsi="宋体" w:cs="宋体"/>
          <w:color w:val="auto"/>
          <w:szCs w:val="21"/>
          <w:highlight w:val="none"/>
        </w:rPr>
      </w:pPr>
      <w:r>
        <w:rPr>
          <w:rFonts w:hint="eastAsia" w:ascii="宋体" w:hAnsi="宋体" w:cs="宋体"/>
          <w:color w:val="auto"/>
          <w:szCs w:val="21"/>
          <w:highlight w:val="none"/>
        </w:rPr>
        <w:t>注：1.本表使用GZZB2018-3招标文件范本，与范本内容不同之处均以下划线标明。技术标评审中，响应性、承诺性内容不应作为评分因素，可在该表中对上述内容进行符合性审查。审查标准须具备可操作性。</w:t>
      </w:r>
    </w:p>
    <w:p>
      <w:pPr>
        <w:rPr>
          <w:rFonts w:ascii="宋体" w:hAnsi="宋体" w:cs="宋体"/>
          <w:color w:val="auto"/>
          <w:szCs w:val="21"/>
          <w:highlight w:val="none"/>
        </w:rPr>
      </w:pPr>
      <w:r>
        <w:rPr>
          <w:rFonts w:hint="eastAsia" w:ascii="宋体" w:hAnsi="宋体" w:cs="宋体"/>
          <w:color w:val="auto"/>
          <w:szCs w:val="21"/>
          <w:highlight w:val="none"/>
        </w:rPr>
        <w:t xml:space="preserve">    2.若出现评标委员会否决投标的，应在评标报告中载明否决投标的具体情形、原因。</w:t>
      </w:r>
    </w:p>
    <w:p>
      <w:pPr>
        <w:rPr>
          <w:rFonts w:ascii="宋体" w:hAnsi="宋体" w:cs="宋体"/>
          <w:color w:val="auto"/>
          <w:szCs w:val="21"/>
          <w:highlight w:val="none"/>
        </w:rPr>
      </w:pPr>
      <w:r>
        <w:rPr>
          <w:rFonts w:hint="eastAsia" w:ascii="宋体" w:hAnsi="宋体" w:cs="宋体"/>
          <w:color w:val="auto"/>
          <w:szCs w:val="21"/>
          <w:highlight w:val="none"/>
        </w:rPr>
        <w:t xml:space="preserve">    3.凡出现以上任何一项情形，结论均为无效，否则就为有效。</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4.如对本表中某种情形的评审意见不一致时，以评标委员会过半数成员的意见作为评标委员会对该情形的认定结论。</w:t>
      </w:r>
    </w:p>
    <w:p>
      <w:pPr>
        <w:rPr>
          <w:rFonts w:ascii="宋体" w:hAnsi="宋体" w:cs="宋体"/>
          <w:color w:val="auto"/>
          <w:szCs w:val="21"/>
          <w:highlight w:val="none"/>
        </w:rPr>
      </w:pPr>
      <w:r>
        <w:rPr>
          <w:rFonts w:hint="eastAsia" w:ascii="宋体" w:hAnsi="宋体" w:cs="宋体"/>
          <w:color w:val="auto"/>
          <w:szCs w:val="21"/>
          <w:highlight w:val="none"/>
        </w:rPr>
        <w:t>评委签名：</w:t>
      </w:r>
    </w:p>
    <w:p>
      <w:pPr>
        <w:rPr>
          <w:rFonts w:ascii="宋体" w:hAnsi="宋体" w:cs="宋体"/>
          <w:color w:val="auto"/>
          <w:szCs w:val="21"/>
          <w:highlight w:val="none"/>
        </w:rPr>
      </w:pPr>
      <w:r>
        <w:rPr>
          <w:rFonts w:hint="eastAsia" w:ascii="宋体" w:hAnsi="宋体" w:cs="宋体"/>
          <w:color w:val="auto"/>
          <w:highlight w:val="none"/>
        </w:rPr>
        <w:br w:type="page"/>
      </w:r>
      <w:r>
        <w:rPr>
          <w:rFonts w:hint="eastAsia" w:ascii="宋体" w:hAnsi="宋体" w:cs="宋体"/>
          <w:color w:val="auto"/>
          <w:sz w:val="24"/>
          <w:szCs w:val="24"/>
          <w:highlight w:val="none"/>
        </w:rPr>
        <w:t>附表三</w:t>
      </w:r>
    </w:p>
    <w:p>
      <w:pPr>
        <w:jc w:val="center"/>
        <w:rPr>
          <w:rFonts w:ascii="宋体" w:hAnsi="宋体" w:cs="宋体"/>
          <w:b/>
          <w:color w:val="auto"/>
          <w:sz w:val="36"/>
          <w:szCs w:val="36"/>
          <w:highlight w:val="none"/>
        </w:rPr>
      </w:pPr>
      <w:r>
        <w:rPr>
          <w:rFonts w:hint="eastAsia" w:ascii="宋体" w:hAnsi="宋体" w:cs="宋体"/>
          <w:b/>
          <w:color w:val="auto"/>
          <w:sz w:val="36"/>
          <w:szCs w:val="36"/>
          <w:highlight w:val="none"/>
        </w:rPr>
        <w:t>经济标有效性审查表</w:t>
      </w:r>
    </w:p>
    <w:p>
      <w:pPr>
        <w:rPr>
          <w:rFonts w:ascii="宋体" w:hAnsi="宋体" w:cs="宋体"/>
          <w:color w:val="auto"/>
          <w:szCs w:val="21"/>
          <w:highlight w:val="none"/>
        </w:rPr>
      </w:pPr>
      <w:r>
        <w:rPr>
          <w:rFonts w:hint="eastAsia" w:ascii="宋体" w:hAnsi="宋体" w:cs="宋体"/>
          <w:color w:val="auto"/>
          <w:szCs w:val="21"/>
          <w:highlight w:val="none"/>
        </w:rPr>
        <w:t>工程名称：</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
        <w:gridCol w:w="6102"/>
        <w:gridCol w:w="1397"/>
        <w:gridCol w:w="1397"/>
        <w:gridCol w:w="1397"/>
        <w:gridCol w:w="1396"/>
        <w:gridCol w:w="1397"/>
        <w:gridCol w:w="13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53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序号</w:t>
            </w:r>
          </w:p>
        </w:tc>
        <w:tc>
          <w:tcPr>
            <w:tcW w:w="6102" w:type="dxa"/>
            <w:tcBorders>
              <w:top w:val="single" w:color="auto" w:sz="4" w:space="0"/>
              <w:left w:val="single" w:color="auto" w:sz="4" w:space="0"/>
              <w:bottom w:val="single" w:color="auto" w:sz="4" w:space="0"/>
              <w:right w:val="single" w:color="auto" w:sz="4" w:space="0"/>
              <w:tl2br w:val="single" w:color="auto" w:sz="4" w:space="0"/>
            </w:tcBorders>
          </w:tcPr>
          <w:p>
            <w:pPr>
              <w:rPr>
                <w:rFonts w:ascii="宋体" w:hAnsi="宋体" w:cs="宋体"/>
                <w:color w:val="auto"/>
                <w:szCs w:val="21"/>
                <w:highlight w:val="none"/>
              </w:rPr>
            </w:pPr>
            <w:r>
              <w:rPr>
                <w:rFonts w:hint="eastAsia" w:ascii="宋体" w:hAnsi="宋体" w:cs="宋体"/>
                <w:color w:val="auto"/>
                <w:szCs w:val="21"/>
                <w:highlight w:val="none"/>
              </w:rPr>
              <w:t xml:space="preserve">               投标人</w:t>
            </w:r>
          </w:p>
          <w:p>
            <w:pPr>
              <w:rPr>
                <w:rFonts w:ascii="宋体" w:hAnsi="宋体" w:cs="宋体"/>
                <w:color w:val="auto"/>
                <w:szCs w:val="21"/>
                <w:highlight w:val="none"/>
              </w:rPr>
            </w:pPr>
          </w:p>
          <w:p>
            <w:pPr>
              <w:rPr>
                <w:rFonts w:ascii="宋体" w:hAnsi="宋体" w:cs="宋体"/>
                <w:color w:val="auto"/>
                <w:szCs w:val="21"/>
                <w:highlight w:val="none"/>
              </w:rPr>
            </w:pPr>
            <w:r>
              <w:rPr>
                <w:rFonts w:hint="eastAsia" w:ascii="宋体" w:hAnsi="宋体" w:cs="宋体"/>
                <w:color w:val="auto"/>
                <w:szCs w:val="21"/>
                <w:highlight w:val="none"/>
              </w:rPr>
              <w:t>评审内容</w:t>
            </w: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highlight w:val="none"/>
              </w:rPr>
            </w:pPr>
          </w:p>
        </w:tc>
        <w:tc>
          <w:tcPr>
            <w:tcW w:w="1396"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1</w:t>
            </w:r>
          </w:p>
        </w:tc>
        <w:tc>
          <w:tcPr>
            <w:tcW w:w="610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olor w:val="auto"/>
                <w:szCs w:val="21"/>
                <w:highlight w:val="none"/>
              </w:rPr>
              <w:t>对同一招标项目出现两个或以上的投标报价，且没有申明哪个有效；</w:t>
            </w: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highlight w:val="none"/>
              </w:rPr>
            </w:pPr>
          </w:p>
        </w:tc>
        <w:tc>
          <w:tcPr>
            <w:tcW w:w="1396"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2</w:t>
            </w:r>
          </w:p>
        </w:tc>
        <w:tc>
          <w:tcPr>
            <w:tcW w:w="610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olor w:val="auto"/>
                <w:szCs w:val="21"/>
                <w:highlight w:val="none"/>
              </w:rPr>
              <w:t>投标报价高于最高投标限价的；</w:t>
            </w: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highlight w:val="none"/>
              </w:rPr>
            </w:pPr>
          </w:p>
        </w:tc>
        <w:tc>
          <w:tcPr>
            <w:tcW w:w="1396"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3</w:t>
            </w:r>
          </w:p>
        </w:tc>
        <w:tc>
          <w:tcPr>
            <w:tcW w:w="610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left="-2" w:leftChars="-1"/>
              <w:jc w:val="left"/>
              <w:rPr>
                <w:rFonts w:ascii="宋体" w:hAnsi="宋体" w:cs="宋体"/>
                <w:color w:val="auto"/>
                <w:szCs w:val="21"/>
                <w:highlight w:val="none"/>
              </w:rPr>
            </w:pPr>
            <w:r>
              <w:rPr>
                <w:rFonts w:hint="eastAsia" w:ascii="宋体" w:hAnsi="宋体"/>
                <w:color w:val="auto"/>
                <w:szCs w:val="21"/>
                <w:highlight w:val="none"/>
              </w:rPr>
              <w:t>投标报价低于成本的；</w:t>
            </w: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highlight w:val="none"/>
              </w:rPr>
            </w:pPr>
          </w:p>
        </w:tc>
        <w:tc>
          <w:tcPr>
            <w:tcW w:w="1396"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4</w:t>
            </w:r>
          </w:p>
        </w:tc>
        <w:tc>
          <w:tcPr>
            <w:tcW w:w="610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olor w:val="auto"/>
                <w:szCs w:val="21"/>
                <w:highlight w:val="none"/>
              </w:rPr>
              <w:t>算术复核后的投标报价与原投标报价相比存在</w:t>
            </w:r>
            <w:r>
              <w:rPr>
                <w:rFonts w:ascii="宋体" w:hAnsi="宋体"/>
                <w:color w:val="auto"/>
                <w:szCs w:val="21"/>
                <w:highlight w:val="none"/>
              </w:rPr>
              <w:t>1%</w:t>
            </w:r>
            <w:r>
              <w:rPr>
                <w:rFonts w:hint="eastAsia" w:ascii="宋体" w:hAnsi="宋体"/>
                <w:color w:val="auto"/>
                <w:szCs w:val="21"/>
                <w:highlight w:val="none"/>
              </w:rPr>
              <w:t>或以上误差的；</w:t>
            </w: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highlight w:val="none"/>
              </w:rPr>
            </w:pPr>
          </w:p>
        </w:tc>
        <w:tc>
          <w:tcPr>
            <w:tcW w:w="1396"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5</w:t>
            </w:r>
          </w:p>
        </w:tc>
        <w:tc>
          <w:tcPr>
            <w:tcW w:w="610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投标文件未按规定的格式填写，或主要内容不全，或关键字迹模糊、无法辨认的；</w:t>
            </w:r>
            <w:r>
              <w:rPr>
                <w:rFonts w:hint="eastAsia" w:ascii="宋体" w:hAnsi="宋体" w:cs="宋体"/>
                <w:color w:val="auto"/>
                <w:szCs w:val="21"/>
                <w:highlight w:val="none"/>
                <w:u w:val="single"/>
              </w:rPr>
              <w:t>（投标文件规定格式（即参与评审的格式）为经济标部分带★号的格式（即格式2、格式5））</w:t>
            </w: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highlight w:val="none"/>
              </w:rPr>
            </w:pPr>
          </w:p>
        </w:tc>
        <w:tc>
          <w:tcPr>
            <w:tcW w:w="1396"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6</w:t>
            </w:r>
          </w:p>
        </w:tc>
        <w:tc>
          <w:tcPr>
            <w:tcW w:w="610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olor w:val="auto"/>
                <w:szCs w:val="21"/>
                <w:highlight w:val="none"/>
              </w:rPr>
              <w:t>不同投标人的投标报价中分部分项工程量清单综合单价相似度达到80%及以上的(以</w:t>
            </w:r>
            <w:r>
              <w:rPr>
                <w:rFonts w:hint="eastAsia" w:ascii="宋体" w:hAnsi="宋体" w:cs="宋体"/>
                <w:color w:val="auto"/>
                <w:szCs w:val="21"/>
                <w:highlight w:val="none"/>
                <w:u w:val="single"/>
              </w:rPr>
              <w:t>广州公共资源交易中心</w:t>
            </w:r>
            <w:r>
              <w:rPr>
                <w:rFonts w:hint="eastAsia" w:ascii="宋体" w:hAnsi="宋体"/>
                <w:color w:val="auto"/>
                <w:szCs w:val="21"/>
                <w:highlight w:val="none"/>
              </w:rPr>
              <w:t>交易平台评标系统的检索信息为准)</w:t>
            </w: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highlight w:val="none"/>
              </w:rPr>
            </w:pPr>
          </w:p>
        </w:tc>
        <w:tc>
          <w:tcPr>
            <w:tcW w:w="1396"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7</w:t>
            </w:r>
          </w:p>
        </w:tc>
        <w:tc>
          <w:tcPr>
            <w:tcW w:w="610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olor w:val="auto"/>
                <w:szCs w:val="21"/>
                <w:highlight w:val="none"/>
              </w:rPr>
              <w:t>投标人之间存在《广东省实施&lt;中华人民共和国招标投标法&gt;》第十六条所禁止的情形的；</w:t>
            </w: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highlight w:val="none"/>
              </w:rPr>
            </w:pPr>
          </w:p>
        </w:tc>
        <w:tc>
          <w:tcPr>
            <w:tcW w:w="1396"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8</w:t>
            </w:r>
          </w:p>
        </w:tc>
        <w:tc>
          <w:tcPr>
            <w:tcW w:w="610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olor w:val="auto"/>
                <w:szCs w:val="21"/>
                <w:highlight w:val="none"/>
              </w:rPr>
              <w:t>无《参与编制经济标投标文件人员名单》的；</w:t>
            </w: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highlight w:val="none"/>
              </w:rPr>
            </w:pPr>
          </w:p>
        </w:tc>
        <w:tc>
          <w:tcPr>
            <w:tcW w:w="1396"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9</w:t>
            </w:r>
          </w:p>
        </w:tc>
        <w:tc>
          <w:tcPr>
            <w:tcW w:w="610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Cs w:val="21"/>
                <w:highlight w:val="none"/>
                <w:lang w:eastAsia="zh-CN"/>
              </w:rPr>
            </w:pPr>
            <w:r>
              <w:rPr>
                <w:rFonts w:hint="eastAsia" w:ascii="宋体" w:hAnsi="宋体"/>
                <w:color w:val="auto"/>
                <w:szCs w:val="21"/>
                <w:highlight w:val="none"/>
              </w:rPr>
              <w:t>无《对投标文件编制的承诺》</w:t>
            </w:r>
            <w:r>
              <w:rPr>
                <w:rFonts w:hint="eastAsia" w:ascii="宋体" w:hAnsi="宋体"/>
                <w:color w:val="auto"/>
                <w:szCs w:val="21"/>
                <w:highlight w:val="none"/>
                <w:lang w:eastAsia="zh-CN"/>
              </w:rPr>
              <w:t>；</w:t>
            </w: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highlight w:val="none"/>
              </w:rPr>
            </w:pPr>
          </w:p>
        </w:tc>
        <w:tc>
          <w:tcPr>
            <w:tcW w:w="1396"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10</w:t>
            </w:r>
          </w:p>
        </w:tc>
        <w:tc>
          <w:tcPr>
            <w:tcW w:w="610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r>
              <w:rPr>
                <w:rFonts w:hint="eastAsia" w:ascii="宋体" w:hAnsi="宋体"/>
                <w:color w:val="auto"/>
                <w:szCs w:val="21"/>
                <w:highlight w:val="none"/>
              </w:rPr>
              <w:t>投标人与本项目其他投标人的投标文件工程量清单编制机器硬件</w:t>
            </w:r>
          </w:p>
          <w:p>
            <w:pPr>
              <w:rPr>
                <w:rFonts w:hint="eastAsia" w:ascii="宋体" w:hAnsi="宋体" w:eastAsia="宋体" w:cs="宋体"/>
                <w:color w:val="auto"/>
                <w:szCs w:val="21"/>
                <w:highlight w:val="none"/>
                <w:lang w:eastAsia="zh-CN"/>
              </w:rPr>
            </w:pPr>
            <w:r>
              <w:rPr>
                <w:rFonts w:hint="eastAsia" w:ascii="宋体" w:hAnsi="宋体"/>
                <w:color w:val="auto"/>
                <w:szCs w:val="21"/>
                <w:highlight w:val="none"/>
              </w:rPr>
              <w:t>信息一致的（以</w:t>
            </w:r>
            <w:r>
              <w:rPr>
                <w:rFonts w:hint="eastAsia" w:ascii="宋体" w:hAnsi="宋体"/>
                <w:color w:val="auto"/>
                <w:szCs w:val="21"/>
                <w:highlight w:val="none"/>
                <w:u w:val="single"/>
              </w:rPr>
              <w:t>广州公共资源交易中心</w:t>
            </w:r>
            <w:r>
              <w:rPr>
                <w:rFonts w:hint="eastAsia" w:ascii="宋体" w:hAnsi="宋体"/>
                <w:color w:val="auto"/>
                <w:szCs w:val="21"/>
                <w:highlight w:val="none"/>
              </w:rPr>
              <w:t>交易平台评标系统的检索信息为准）</w:t>
            </w:r>
            <w:r>
              <w:rPr>
                <w:rFonts w:hint="eastAsia" w:ascii="宋体" w:hAnsi="宋体"/>
                <w:color w:val="auto"/>
                <w:szCs w:val="21"/>
                <w:highlight w:val="none"/>
                <w:lang w:eastAsia="zh-CN"/>
              </w:rPr>
              <w:t>。</w:t>
            </w: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highlight w:val="none"/>
              </w:rPr>
            </w:pPr>
          </w:p>
        </w:tc>
        <w:tc>
          <w:tcPr>
            <w:tcW w:w="1396"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highlight w:val="none"/>
              </w:rPr>
            </w:pPr>
          </w:p>
        </w:tc>
      </w:tr>
    </w:tbl>
    <w:p>
      <w:pPr>
        <w:ind w:firstLine="458"/>
        <w:rPr>
          <w:rFonts w:ascii="宋体" w:hAnsi="宋体" w:cs="宋体"/>
          <w:color w:val="auto"/>
          <w:szCs w:val="21"/>
          <w:highlight w:val="none"/>
        </w:rPr>
      </w:pPr>
      <w:r>
        <w:rPr>
          <w:rFonts w:hint="eastAsia" w:ascii="宋体" w:hAnsi="宋体" w:cs="宋体"/>
          <w:color w:val="auto"/>
          <w:szCs w:val="21"/>
          <w:highlight w:val="none"/>
        </w:rPr>
        <w:t>注：1.本表使用GZZB2018-3招标文件范本，与范本内容不同之处均以下划线标明。</w:t>
      </w:r>
    </w:p>
    <w:p>
      <w:pPr>
        <w:ind w:firstLine="458"/>
        <w:rPr>
          <w:rFonts w:ascii="宋体" w:hAnsi="宋体" w:cs="宋体"/>
          <w:color w:val="auto"/>
          <w:szCs w:val="21"/>
          <w:highlight w:val="none"/>
        </w:rPr>
      </w:pPr>
      <w:r>
        <w:rPr>
          <w:rFonts w:hint="eastAsia" w:ascii="宋体" w:hAnsi="宋体" w:cs="宋体"/>
          <w:color w:val="auto"/>
          <w:szCs w:val="21"/>
          <w:highlight w:val="none"/>
        </w:rPr>
        <w:t>2.凡出现以上任何一项情形，结论均为无效，否则就为有效。</w:t>
      </w:r>
    </w:p>
    <w:p>
      <w:pPr>
        <w:ind w:firstLine="458"/>
        <w:rPr>
          <w:rFonts w:ascii="宋体" w:hAnsi="宋体" w:cs="宋体"/>
          <w:color w:val="auto"/>
          <w:szCs w:val="21"/>
          <w:highlight w:val="none"/>
        </w:rPr>
      </w:pPr>
      <w:r>
        <w:rPr>
          <w:rFonts w:hint="eastAsia" w:ascii="宋体" w:hAnsi="宋体" w:cs="宋体"/>
          <w:color w:val="auto"/>
          <w:szCs w:val="21"/>
          <w:highlight w:val="none"/>
        </w:rPr>
        <w:t>3.如对本表中某种情形的评审意见不一致时，以评标委员会过半数成员的意见作为评标委员会对该情形的认定结论。</w:t>
      </w:r>
    </w:p>
    <w:p>
      <w:pPr>
        <w:pStyle w:val="5"/>
        <w:ind w:firstLine="458"/>
        <w:rPr>
          <w:rFonts w:ascii="宋体" w:hAnsi="宋体" w:cs="宋体"/>
          <w:color w:val="auto"/>
          <w:szCs w:val="21"/>
          <w:highlight w:val="none"/>
        </w:rPr>
        <w:sectPr>
          <w:endnotePr>
            <w:numFmt w:val="decimal"/>
          </w:endnotePr>
          <w:pgSz w:w="16838" w:h="11906" w:orient="landscape"/>
          <w:pgMar w:top="1418" w:right="1247" w:bottom="1418" w:left="1134" w:header="851" w:footer="907" w:gutter="0"/>
          <w:cols w:space="720" w:num="1"/>
          <w:titlePg/>
          <w:docGrid w:type="lines" w:linePitch="312" w:charSpace="0"/>
        </w:sectPr>
      </w:pPr>
      <w:r>
        <w:rPr>
          <w:rFonts w:hint="eastAsia" w:ascii="宋体" w:hAnsi="宋体" w:cs="宋体"/>
          <w:color w:val="auto"/>
          <w:szCs w:val="21"/>
          <w:highlight w:val="none"/>
        </w:rPr>
        <w:t>评委签</w:t>
      </w:r>
    </w:p>
    <w:p>
      <w:pPr>
        <w:rPr>
          <w:rFonts w:ascii="宋体" w:hAnsi="宋体" w:cs="宋体"/>
          <w:color w:val="auto"/>
          <w:sz w:val="24"/>
          <w:szCs w:val="24"/>
          <w:highlight w:val="none"/>
        </w:rPr>
      </w:pPr>
      <w:r>
        <w:rPr>
          <w:rFonts w:hint="eastAsia" w:ascii="宋体" w:hAnsi="宋体" w:cs="宋体"/>
          <w:color w:val="auto"/>
          <w:sz w:val="24"/>
          <w:szCs w:val="24"/>
          <w:highlight w:val="none"/>
        </w:rPr>
        <w:t>附表四</w:t>
      </w:r>
    </w:p>
    <w:p>
      <w:pPr>
        <w:jc w:val="center"/>
        <w:rPr>
          <w:rFonts w:ascii="宋体" w:hAnsi="宋体" w:cs="宋体"/>
          <w:color w:val="auto"/>
          <w:highlight w:val="none"/>
        </w:rPr>
      </w:pPr>
      <w:r>
        <w:rPr>
          <w:rFonts w:hint="eastAsia" w:ascii="宋体" w:hAnsi="宋体" w:cs="宋体"/>
          <w:b/>
          <w:color w:val="auto"/>
          <w:sz w:val="36"/>
          <w:szCs w:val="36"/>
          <w:highlight w:val="none"/>
        </w:rPr>
        <w:t>技术标详细审查评分表</w:t>
      </w:r>
    </w:p>
    <w:p>
      <w:pPr>
        <w:ind w:firstLine="210" w:firstLineChars="100"/>
        <w:rPr>
          <w:rFonts w:ascii="宋体" w:hAnsi="宋体" w:cs="宋体"/>
          <w:color w:val="auto"/>
          <w:szCs w:val="21"/>
          <w:highlight w:val="none"/>
        </w:rPr>
      </w:pPr>
    </w:p>
    <w:tbl>
      <w:tblPr>
        <w:tblStyle w:val="39"/>
        <w:tblW w:w="157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5"/>
        <w:gridCol w:w="1106"/>
        <w:gridCol w:w="900"/>
        <w:gridCol w:w="12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5" w:type="dxa"/>
            <w:vAlign w:val="center"/>
          </w:tcPr>
          <w:p>
            <w:pPr>
              <w:widowControl/>
              <w:spacing w:before="100" w:beforeAutospacing="1" w:after="100" w:afterAutospacing="1"/>
              <w:jc w:val="center"/>
              <w:rPr>
                <w:rFonts w:ascii="宋体" w:hAnsi="宋体" w:cs="宋体"/>
                <w:b/>
                <w:color w:val="auto"/>
                <w:szCs w:val="21"/>
                <w:highlight w:val="none"/>
              </w:rPr>
            </w:pPr>
            <w:r>
              <w:rPr>
                <w:rStyle w:val="139"/>
                <w:rFonts w:hint="eastAsia" w:ascii="宋体" w:hAnsi="宋体" w:cs="宋体"/>
                <w:b/>
                <w:color w:val="auto"/>
                <w:szCs w:val="21"/>
                <w:highlight w:val="none"/>
              </w:rPr>
              <w:t>评分项目</w:t>
            </w:r>
          </w:p>
        </w:tc>
        <w:tc>
          <w:tcPr>
            <w:tcW w:w="1106" w:type="dxa"/>
            <w:vAlign w:val="center"/>
          </w:tcPr>
          <w:p>
            <w:pPr>
              <w:spacing w:before="100" w:beforeAutospacing="1" w:after="100" w:afterAutospacing="1"/>
              <w:jc w:val="center"/>
              <w:rPr>
                <w:rFonts w:ascii="宋体" w:hAnsi="宋体" w:cs="宋体"/>
                <w:b/>
                <w:color w:val="auto"/>
                <w:szCs w:val="21"/>
                <w:highlight w:val="none"/>
              </w:rPr>
            </w:pPr>
            <w:r>
              <w:rPr>
                <w:rStyle w:val="139"/>
                <w:rFonts w:hint="eastAsia" w:ascii="宋体" w:hAnsi="宋体" w:cs="宋体"/>
                <w:b/>
                <w:color w:val="auto"/>
                <w:szCs w:val="21"/>
                <w:highlight w:val="none"/>
              </w:rPr>
              <w:t>评分内容</w:t>
            </w:r>
          </w:p>
        </w:tc>
        <w:tc>
          <w:tcPr>
            <w:tcW w:w="900" w:type="dxa"/>
            <w:vAlign w:val="center"/>
          </w:tcPr>
          <w:p>
            <w:pPr>
              <w:spacing w:before="100" w:beforeAutospacing="1" w:after="100" w:afterAutospacing="1"/>
              <w:jc w:val="center"/>
              <w:rPr>
                <w:rFonts w:ascii="宋体" w:hAnsi="宋体" w:cs="宋体"/>
                <w:b/>
                <w:color w:val="auto"/>
                <w:szCs w:val="21"/>
                <w:highlight w:val="none"/>
              </w:rPr>
            </w:pPr>
            <w:r>
              <w:rPr>
                <w:rStyle w:val="139"/>
                <w:rFonts w:hint="eastAsia" w:ascii="宋体" w:hAnsi="宋体" w:cs="宋体"/>
                <w:b/>
                <w:color w:val="auto"/>
                <w:szCs w:val="21"/>
                <w:highlight w:val="none"/>
              </w:rPr>
              <w:t>分值</w:t>
            </w:r>
          </w:p>
        </w:tc>
        <w:tc>
          <w:tcPr>
            <w:tcW w:w="12717" w:type="dxa"/>
            <w:vAlign w:val="center"/>
          </w:tcPr>
          <w:p>
            <w:pPr>
              <w:spacing w:before="100" w:beforeAutospacing="1" w:after="100" w:afterAutospacing="1"/>
              <w:jc w:val="center"/>
              <w:rPr>
                <w:rFonts w:ascii="宋体" w:hAnsi="宋体" w:cs="宋体"/>
                <w:b/>
                <w:color w:val="auto"/>
                <w:szCs w:val="21"/>
                <w:highlight w:val="none"/>
              </w:rPr>
            </w:pPr>
            <w:r>
              <w:rPr>
                <w:rStyle w:val="139"/>
                <w:rFonts w:hint="eastAsia" w:ascii="宋体" w:hAnsi="宋体" w:cs="宋体"/>
                <w:b/>
                <w:color w:val="auto"/>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1" w:hRule="atLeast"/>
          <w:jc w:val="center"/>
        </w:trPr>
        <w:tc>
          <w:tcPr>
            <w:tcW w:w="1075" w:type="dxa"/>
            <w:vMerge w:val="restart"/>
            <w:vAlign w:val="center"/>
          </w:tcPr>
          <w:p>
            <w:pPr>
              <w:pStyle w:val="38"/>
              <w:numPr>
                <w:ilvl w:val="0"/>
                <w:numId w:val="4"/>
              </w:numPr>
              <w:ind w:leftChars="0" w:firstLine="0" w:firstLineChars="0"/>
              <w:jc w:val="center"/>
              <w:rPr>
                <w:rFonts w:ascii="宋体" w:hAnsi="宋体"/>
                <w:color w:val="auto"/>
                <w:sz w:val="24"/>
                <w:szCs w:val="24"/>
                <w:highlight w:val="none"/>
              </w:rPr>
            </w:pPr>
          </w:p>
          <w:p>
            <w:pPr>
              <w:pStyle w:val="38"/>
              <w:ind w:left="0" w:leftChars="0" w:firstLine="240" w:firstLineChars="100"/>
              <w:jc w:val="center"/>
              <w:rPr>
                <w:rFonts w:ascii="宋体" w:hAnsi="宋体"/>
                <w:color w:val="auto"/>
                <w:sz w:val="24"/>
                <w:szCs w:val="24"/>
                <w:highlight w:val="none"/>
              </w:rPr>
            </w:pPr>
            <w:r>
              <w:rPr>
                <w:rFonts w:hint="eastAsia" w:ascii="宋体" w:hAnsi="宋体"/>
                <w:color w:val="auto"/>
                <w:sz w:val="24"/>
                <w:szCs w:val="24"/>
                <w:highlight w:val="none"/>
              </w:rPr>
              <w:t>企</w:t>
            </w:r>
            <w:r>
              <w:rPr>
                <w:rFonts w:ascii="宋体" w:hAnsi="宋体"/>
                <w:color w:val="auto"/>
                <w:sz w:val="24"/>
                <w:szCs w:val="24"/>
                <w:highlight w:val="none"/>
              </w:rPr>
              <w:t xml:space="preserve"> </w:t>
            </w:r>
            <w:r>
              <w:rPr>
                <w:rFonts w:hint="eastAsia" w:ascii="宋体" w:hAnsi="宋体"/>
                <w:color w:val="auto"/>
                <w:sz w:val="24"/>
                <w:szCs w:val="24"/>
                <w:highlight w:val="none"/>
              </w:rPr>
              <w:t>业</w:t>
            </w:r>
          </w:p>
          <w:p>
            <w:pPr>
              <w:pStyle w:val="38"/>
              <w:ind w:left="0" w:leftChars="0" w:firstLine="0" w:firstLineChars="0"/>
              <w:jc w:val="center"/>
              <w:rPr>
                <w:rFonts w:ascii="宋体" w:hAnsi="宋体"/>
                <w:color w:val="auto"/>
                <w:sz w:val="24"/>
                <w:szCs w:val="24"/>
                <w:highlight w:val="none"/>
              </w:rPr>
            </w:pPr>
            <w:r>
              <w:rPr>
                <w:rFonts w:hint="eastAsia" w:ascii="宋体" w:hAnsi="宋体"/>
                <w:color w:val="auto"/>
                <w:sz w:val="24"/>
                <w:szCs w:val="24"/>
                <w:highlight w:val="none"/>
              </w:rPr>
              <w:t>资</w:t>
            </w:r>
            <w:r>
              <w:rPr>
                <w:rFonts w:ascii="宋体" w:hAnsi="宋体"/>
                <w:color w:val="auto"/>
                <w:sz w:val="24"/>
                <w:szCs w:val="24"/>
                <w:highlight w:val="none"/>
              </w:rPr>
              <w:t xml:space="preserve"> </w:t>
            </w:r>
            <w:r>
              <w:rPr>
                <w:rFonts w:hint="eastAsia" w:ascii="宋体" w:hAnsi="宋体"/>
                <w:color w:val="auto"/>
                <w:sz w:val="24"/>
                <w:szCs w:val="24"/>
                <w:highlight w:val="none"/>
              </w:rPr>
              <w:t>信</w:t>
            </w:r>
          </w:p>
          <w:p>
            <w:pPr>
              <w:pStyle w:val="38"/>
              <w:ind w:left="0" w:leftChars="0" w:firstLine="0" w:firstLineChars="0"/>
              <w:jc w:val="center"/>
              <w:rPr>
                <w:rFonts w:ascii="宋体" w:hAnsi="宋体"/>
                <w:color w:val="auto"/>
                <w:sz w:val="24"/>
                <w:szCs w:val="24"/>
                <w:highlight w:val="none"/>
              </w:rPr>
            </w:pPr>
            <w:r>
              <w:rPr>
                <w:rFonts w:ascii="宋体" w:hAnsi="宋体"/>
                <w:color w:val="auto"/>
                <w:sz w:val="24"/>
                <w:szCs w:val="24"/>
                <w:highlight w:val="none"/>
              </w:rPr>
              <w:t>(6分)</w:t>
            </w:r>
          </w:p>
        </w:tc>
        <w:tc>
          <w:tcPr>
            <w:tcW w:w="1106" w:type="dxa"/>
            <w:vAlign w:val="center"/>
          </w:tcPr>
          <w:p>
            <w:pPr>
              <w:pStyle w:val="38"/>
              <w:ind w:left="0" w:leftChars="0" w:firstLine="0" w:firstLineChars="0"/>
              <w:jc w:val="center"/>
              <w:rPr>
                <w:rFonts w:ascii="宋体" w:hAnsi="宋体"/>
                <w:color w:val="auto"/>
                <w:sz w:val="24"/>
                <w:szCs w:val="24"/>
                <w:highlight w:val="none"/>
              </w:rPr>
            </w:pPr>
            <w:r>
              <w:rPr>
                <w:rFonts w:hint="eastAsia" w:ascii="宋体" w:hAnsi="宋体"/>
                <w:color w:val="auto"/>
                <w:sz w:val="24"/>
                <w:szCs w:val="24"/>
                <w:highlight w:val="none"/>
              </w:rPr>
              <w:t>工程</w:t>
            </w:r>
          </w:p>
          <w:p>
            <w:pPr>
              <w:pStyle w:val="38"/>
              <w:ind w:left="0" w:leftChars="0" w:firstLine="0" w:firstLineChars="0"/>
              <w:jc w:val="center"/>
              <w:rPr>
                <w:rFonts w:ascii="宋体" w:hAnsi="宋体"/>
                <w:color w:val="auto"/>
                <w:sz w:val="24"/>
                <w:szCs w:val="24"/>
                <w:highlight w:val="none"/>
              </w:rPr>
            </w:pPr>
            <w:r>
              <w:rPr>
                <w:rFonts w:hint="eastAsia" w:ascii="宋体" w:hAnsi="宋体"/>
                <w:color w:val="auto"/>
                <w:sz w:val="24"/>
                <w:szCs w:val="24"/>
                <w:highlight w:val="none"/>
              </w:rPr>
              <w:t>获奖</w:t>
            </w:r>
          </w:p>
        </w:tc>
        <w:tc>
          <w:tcPr>
            <w:tcW w:w="900" w:type="dxa"/>
            <w:vAlign w:val="center"/>
          </w:tcPr>
          <w:p>
            <w:pPr>
              <w:pStyle w:val="38"/>
              <w:ind w:left="0" w:leftChars="0" w:firstLine="0" w:firstLineChars="0"/>
              <w:jc w:val="center"/>
              <w:rPr>
                <w:rFonts w:ascii="宋体" w:hAnsi="宋体"/>
                <w:color w:val="auto"/>
                <w:sz w:val="24"/>
                <w:szCs w:val="24"/>
                <w:highlight w:val="none"/>
              </w:rPr>
            </w:pPr>
            <w:r>
              <w:rPr>
                <w:rFonts w:ascii="宋体" w:hAnsi="宋体"/>
                <w:color w:val="auto"/>
                <w:sz w:val="24"/>
                <w:szCs w:val="24"/>
                <w:highlight w:val="none"/>
              </w:rPr>
              <w:t>1.8分</w:t>
            </w:r>
          </w:p>
        </w:tc>
        <w:tc>
          <w:tcPr>
            <w:tcW w:w="12717" w:type="dxa"/>
            <w:vAlign w:val="center"/>
          </w:tcPr>
          <w:p>
            <w:pPr>
              <w:pStyle w:val="38"/>
              <w:spacing w:line="360" w:lineRule="auto"/>
              <w:ind w:left="0" w:leftChars="0" w:firstLine="0" w:firstLineChars="0"/>
              <w:rPr>
                <w:rFonts w:ascii="宋体" w:hAnsi="宋体"/>
                <w:color w:val="auto"/>
                <w:sz w:val="24"/>
                <w:szCs w:val="24"/>
                <w:highlight w:val="none"/>
              </w:rPr>
            </w:pPr>
            <w:r>
              <w:rPr>
                <w:rFonts w:hint="eastAsia" w:ascii="宋体" w:hAnsi="宋体"/>
                <w:color w:val="auto"/>
                <w:sz w:val="24"/>
                <w:szCs w:val="24"/>
                <w:highlight w:val="none"/>
              </w:rPr>
              <w:t>投标人自</w:t>
            </w:r>
            <w:r>
              <w:rPr>
                <w:rFonts w:ascii="宋体" w:hAnsi="宋体"/>
                <w:color w:val="auto"/>
                <w:sz w:val="24"/>
                <w:szCs w:val="24"/>
                <w:highlight w:val="none"/>
              </w:rPr>
              <w:t>2019年1月1日（获奖时间以获奖证书的发证日期为准）至投标截止时间止，独立完成的房建类</w:t>
            </w:r>
            <w:r>
              <w:rPr>
                <w:rFonts w:hint="eastAsia" w:ascii="宋体" w:hAnsi="宋体"/>
                <w:color w:val="auto"/>
                <w:sz w:val="24"/>
                <w:szCs w:val="24"/>
                <w:highlight w:val="none"/>
              </w:rPr>
              <w:t>工程施工总承包业绩获得过市级或以上工程质量奖项的（不包含安全文明、绿色施工、技术创新、</w:t>
            </w:r>
            <w:r>
              <w:rPr>
                <w:rFonts w:ascii="宋体" w:hAnsi="宋体"/>
                <w:color w:val="auto"/>
                <w:sz w:val="24"/>
                <w:szCs w:val="24"/>
                <w:highlight w:val="none"/>
              </w:rPr>
              <w:t xml:space="preserve">QC成果、科技进步及技术应用类等奖项）：获得15项（不含本数）以上的，得1.8分；获得11--15项（含本数）的，得0.9分；获得6--10项（含本数）的，得0.4分； </w:t>
            </w:r>
            <w:r>
              <w:rPr>
                <w:rFonts w:hint="eastAsia" w:ascii="宋体" w:hAnsi="宋体"/>
                <w:color w:val="auto"/>
                <w:sz w:val="24"/>
                <w:szCs w:val="24"/>
                <w:highlight w:val="none"/>
              </w:rPr>
              <w:t>获得</w:t>
            </w:r>
            <w:r>
              <w:rPr>
                <w:rFonts w:ascii="宋体" w:hAnsi="宋体"/>
                <w:color w:val="auto"/>
                <w:sz w:val="24"/>
                <w:szCs w:val="24"/>
                <w:highlight w:val="none"/>
              </w:rPr>
              <w:t>1--5项（含本数）的，得0.1分</w:t>
            </w:r>
          </w:p>
          <w:p>
            <w:pPr>
              <w:pStyle w:val="38"/>
              <w:spacing w:line="360" w:lineRule="auto"/>
              <w:ind w:left="0" w:leftChars="0" w:firstLine="0" w:firstLineChars="0"/>
              <w:rPr>
                <w:rFonts w:ascii="宋体" w:hAnsi="宋体"/>
                <w:color w:val="auto"/>
                <w:sz w:val="24"/>
                <w:szCs w:val="24"/>
                <w:highlight w:val="none"/>
              </w:rPr>
            </w:pPr>
            <w:r>
              <w:rPr>
                <w:rFonts w:hint="eastAsia" w:ascii="宋体" w:hAnsi="宋体"/>
                <w:color w:val="auto"/>
                <w:sz w:val="24"/>
                <w:szCs w:val="24"/>
                <w:highlight w:val="none"/>
              </w:rPr>
              <w:t>注：本项累计最高计</w:t>
            </w:r>
            <w:r>
              <w:rPr>
                <w:rFonts w:ascii="宋体" w:hAnsi="宋体"/>
                <w:color w:val="auto"/>
                <w:sz w:val="24"/>
                <w:szCs w:val="24"/>
                <w:highlight w:val="none"/>
              </w:rPr>
              <w:t>1.8分，</w:t>
            </w:r>
            <w:r>
              <w:rPr>
                <w:rFonts w:hint="eastAsia" w:ascii="宋体" w:hAnsi="宋体"/>
                <w:color w:val="auto"/>
                <w:sz w:val="24"/>
                <w:szCs w:val="24"/>
                <w:highlight w:val="none"/>
              </w:rPr>
              <w:t>获奖项目</w:t>
            </w:r>
            <w:r>
              <w:rPr>
                <w:rFonts w:ascii="宋体" w:hAnsi="宋体"/>
                <w:color w:val="auto"/>
                <w:sz w:val="24"/>
                <w:szCs w:val="24"/>
                <w:highlight w:val="none"/>
              </w:rPr>
              <w:t>按最高级别奖项只计一次得分，</w:t>
            </w:r>
            <w:r>
              <w:rPr>
                <w:rFonts w:hint="eastAsia" w:ascii="宋体" w:hAnsi="宋体"/>
                <w:color w:val="auto"/>
                <w:sz w:val="24"/>
                <w:szCs w:val="24"/>
                <w:highlight w:val="none"/>
              </w:rPr>
              <w:t>提供的资料不齐全或不符合上述条件的，不得分</w:t>
            </w:r>
            <w:r>
              <w:rPr>
                <w:rFonts w:ascii="宋体" w:hAnsi="宋体"/>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4" w:hRule="atLeast"/>
          <w:jc w:val="center"/>
        </w:trPr>
        <w:tc>
          <w:tcPr>
            <w:tcW w:w="1075" w:type="dxa"/>
            <w:vMerge w:val="continue"/>
            <w:vAlign w:val="center"/>
          </w:tcPr>
          <w:p>
            <w:pPr>
              <w:pStyle w:val="38"/>
              <w:ind w:left="0" w:leftChars="0" w:firstLine="0" w:firstLineChars="0"/>
              <w:jc w:val="center"/>
              <w:rPr>
                <w:rFonts w:ascii="宋体" w:hAnsi="宋体"/>
                <w:color w:val="auto"/>
                <w:sz w:val="24"/>
                <w:szCs w:val="24"/>
                <w:highlight w:val="none"/>
              </w:rPr>
            </w:pPr>
          </w:p>
        </w:tc>
        <w:tc>
          <w:tcPr>
            <w:tcW w:w="1106" w:type="dxa"/>
            <w:vAlign w:val="center"/>
          </w:tcPr>
          <w:p>
            <w:pPr>
              <w:pStyle w:val="38"/>
              <w:ind w:left="0" w:leftChars="0" w:firstLine="0" w:firstLineChars="0"/>
              <w:jc w:val="center"/>
              <w:rPr>
                <w:rFonts w:ascii="宋体" w:hAnsi="宋体"/>
                <w:color w:val="auto"/>
                <w:sz w:val="24"/>
                <w:szCs w:val="24"/>
                <w:highlight w:val="none"/>
              </w:rPr>
            </w:pPr>
            <w:r>
              <w:rPr>
                <w:rFonts w:hint="eastAsia" w:ascii="宋体" w:hAnsi="宋体"/>
                <w:color w:val="auto"/>
                <w:sz w:val="24"/>
                <w:szCs w:val="24"/>
                <w:highlight w:val="none"/>
              </w:rPr>
              <w:t>工程研发能力</w:t>
            </w:r>
          </w:p>
        </w:tc>
        <w:tc>
          <w:tcPr>
            <w:tcW w:w="900" w:type="dxa"/>
            <w:vAlign w:val="center"/>
          </w:tcPr>
          <w:p>
            <w:pPr>
              <w:pStyle w:val="38"/>
              <w:ind w:left="0" w:leftChars="0" w:firstLine="0" w:firstLineChars="0"/>
              <w:jc w:val="center"/>
              <w:rPr>
                <w:rFonts w:ascii="宋体" w:hAnsi="宋体"/>
                <w:color w:val="auto"/>
                <w:sz w:val="24"/>
                <w:szCs w:val="24"/>
                <w:highlight w:val="none"/>
              </w:rPr>
            </w:pPr>
            <w:r>
              <w:rPr>
                <w:rFonts w:ascii="宋体" w:hAnsi="宋体"/>
                <w:color w:val="auto"/>
                <w:sz w:val="24"/>
                <w:szCs w:val="24"/>
                <w:highlight w:val="none"/>
              </w:rPr>
              <w:t>1.8分</w:t>
            </w:r>
          </w:p>
        </w:tc>
        <w:tc>
          <w:tcPr>
            <w:tcW w:w="12717" w:type="dxa"/>
            <w:vAlign w:val="center"/>
          </w:tcPr>
          <w:p>
            <w:pPr>
              <w:pStyle w:val="38"/>
              <w:spacing w:line="360" w:lineRule="auto"/>
              <w:ind w:left="0" w:leftChars="0" w:firstLine="0" w:firstLineChars="0"/>
              <w:rPr>
                <w:rFonts w:ascii="宋体" w:hAnsi="宋体"/>
                <w:color w:val="auto"/>
                <w:sz w:val="24"/>
                <w:szCs w:val="24"/>
                <w:highlight w:val="none"/>
              </w:rPr>
            </w:pPr>
            <w:r>
              <w:rPr>
                <w:rFonts w:hint="eastAsia" w:ascii="宋体" w:hAnsi="宋体"/>
                <w:color w:val="auto"/>
                <w:sz w:val="24"/>
                <w:szCs w:val="24"/>
                <w:highlight w:val="none"/>
              </w:rPr>
              <w:t>投标人自</w:t>
            </w:r>
            <w:r>
              <w:rPr>
                <w:rFonts w:ascii="宋体" w:hAnsi="宋体"/>
                <w:color w:val="auto"/>
                <w:sz w:val="24"/>
                <w:szCs w:val="24"/>
                <w:highlight w:val="none"/>
              </w:rPr>
              <w:t>2019年1月1日（获奖时间以获奖证书的发证日期为准）至今，作为主要完成单位获得过省级或以上建设职能部门（或其主管的行业协会）颁发的工法证书奖项：获得15项（不含本数）</w:t>
            </w:r>
            <w:r>
              <w:rPr>
                <w:rFonts w:hint="eastAsia" w:ascii="宋体" w:hAnsi="宋体"/>
                <w:color w:val="auto"/>
                <w:sz w:val="24"/>
                <w:szCs w:val="24"/>
                <w:highlight w:val="none"/>
              </w:rPr>
              <w:t>以上</w:t>
            </w:r>
            <w:r>
              <w:rPr>
                <w:rFonts w:hint="eastAsia" w:ascii="宋体" w:hAnsi="宋体"/>
                <w:color w:val="auto"/>
                <w:sz w:val="24"/>
                <w:szCs w:val="24"/>
                <w:highlight w:val="none"/>
                <w:lang w:val="zh-TW"/>
              </w:rPr>
              <w:t>工法</w:t>
            </w:r>
            <w:r>
              <w:rPr>
                <w:rFonts w:hint="eastAsia" w:ascii="宋体" w:hAnsi="宋体"/>
                <w:color w:val="auto"/>
                <w:sz w:val="24"/>
                <w:szCs w:val="24"/>
                <w:highlight w:val="none"/>
              </w:rPr>
              <w:t>证书的，得</w:t>
            </w:r>
            <w:r>
              <w:rPr>
                <w:rFonts w:ascii="宋体" w:hAnsi="宋体"/>
                <w:color w:val="auto"/>
                <w:sz w:val="24"/>
                <w:szCs w:val="24"/>
                <w:highlight w:val="none"/>
              </w:rPr>
              <w:t>1.8分；获得11-15</w:t>
            </w:r>
            <w:r>
              <w:rPr>
                <w:rFonts w:hint="eastAsia" w:ascii="宋体" w:hAnsi="宋体"/>
                <w:color w:val="auto"/>
                <w:sz w:val="24"/>
                <w:szCs w:val="24"/>
                <w:highlight w:val="none"/>
              </w:rPr>
              <w:t>项（含本数）</w:t>
            </w:r>
            <w:r>
              <w:rPr>
                <w:rFonts w:hint="eastAsia" w:ascii="宋体" w:hAnsi="宋体"/>
                <w:color w:val="auto"/>
                <w:sz w:val="24"/>
                <w:szCs w:val="24"/>
                <w:highlight w:val="none"/>
                <w:lang w:val="zh-TW"/>
              </w:rPr>
              <w:t>工法</w:t>
            </w:r>
            <w:r>
              <w:rPr>
                <w:rFonts w:hint="eastAsia" w:ascii="宋体" w:hAnsi="宋体"/>
                <w:color w:val="auto"/>
                <w:sz w:val="24"/>
                <w:szCs w:val="24"/>
                <w:highlight w:val="none"/>
              </w:rPr>
              <w:t>证书的，得</w:t>
            </w:r>
            <w:r>
              <w:rPr>
                <w:rFonts w:ascii="宋体" w:hAnsi="宋体"/>
                <w:color w:val="auto"/>
                <w:sz w:val="24"/>
                <w:szCs w:val="24"/>
                <w:highlight w:val="none"/>
              </w:rPr>
              <w:t xml:space="preserve">0.9分； </w:t>
            </w:r>
            <w:r>
              <w:rPr>
                <w:rFonts w:hint="eastAsia" w:ascii="宋体" w:hAnsi="宋体"/>
                <w:color w:val="auto"/>
                <w:sz w:val="24"/>
                <w:szCs w:val="24"/>
                <w:highlight w:val="none"/>
              </w:rPr>
              <w:t>获得</w:t>
            </w:r>
            <w:r>
              <w:rPr>
                <w:rFonts w:ascii="宋体" w:hAnsi="宋体"/>
                <w:color w:val="auto"/>
                <w:sz w:val="24"/>
                <w:szCs w:val="24"/>
                <w:highlight w:val="none"/>
              </w:rPr>
              <w:t>6--10</w:t>
            </w:r>
            <w:r>
              <w:rPr>
                <w:rFonts w:hint="eastAsia" w:ascii="宋体" w:hAnsi="宋体"/>
                <w:color w:val="auto"/>
                <w:sz w:val="24"/>
                <w:szCs w:val="24"/>
                <w:highlight w:val="none"/>
              </w:rPr>
              <w:t>项（含本数）</w:t>
            </w:r>
            <w:r>
              <w:rPr>
                <w:rFonts w:hint="eastAsia" w:ascii="宋体" w:hAnsi="宋体"/>
                <w:color w:val="auto"/>
                <w:sz w:val="24"/>
                <w:szCs w:val="24"/>
                <w:highlight w:val="none"/>
                <w:lang w:val="zh-TW"/>
              </w:rPr>
              <w:t>工法</w:t>
            </w:r>
            <w:r>
              <w:rPr>
                <w:rFonts w:hint="eastAsia" w:ascii="宋体" w:hAnsi="宋体"/>
                <w:color w:val="auto"/>
                <w:sz w:val="24"/>
                <w:szCs w:val="24"/>
                <w:highlight w:val="none"/>
              </w:rPr>
              <w:t>证书的，得</w:t>
            </w:r>
            <w:r>
              <w:rPr>
                <w:rFonts w:ascii="宋体" w:hAnsi="宋体"/>
                <w:color w:val="auto"/>
                <w:sz w:val="24"/>
                <w:szCs w:val="24"/>
                <w:highlight w:val="none"/>
              </w:rPr>
              <w:t>0.4分；获得 1--5</w:t>
            </w:r>
            <w:r>
              <w:rPr>
                <w:rFonts w:hint="eastAsia" w:ascii="宋体" w:hAnsi="宋体"/>
                <w:color w:val="auto"/>
                <w:sz w:val="24"/>
                <w:szCs w:val="24"/>
                <w:highlight w:val="none"/>
              </w:rPr>
              <w:t>项（含本数）</w:t>
            </w:r>
            <w:r>
              <w:rPr>
                <w:rFonts w:hint="eastAsia" w:ascii="宋体" w:hAnsi="宋体"/>
                <w:color w:val="auto"/>
                <w:sz w:val="24"/>
                <w:szCs w:val="24"/>
                <w:highlight w:val="none"/>
                <w:lang w:val="zh-TW"/>
              </w:rPr>
              <w:t>工法</w:t>
            </w:r>
            <w:r>
              <w:rPr>
                <w:rFonts w:hint="eastAsia" w:ascii="宋体" w:hAnsi="宋体"/>
                <w:color w:val="auto"/>
                <w:sz w:val="24"/>
                <w:szCs w:val="24"/>
                <w:highlight w:val="none"/>
              </w:rPr>
              <w:t>证书的，得</w:t>
            </w:r>
            <w:r>
              <w:rPr>
                <w:rFonts w:ascii="宋体" w:hAnsi="宋体"/>
                <w:color w:val="auto"/>
                <w:sz w:val="24"/>
                <w:szCs w:val="24"/>
                <w:highlight w:val="none"/>
              </w:rPr>
              <w:t>0.1分；</w:t>
            </w:r>
          </w:p>
          <w:p>
            <w:pPr>
              <w:pStyle w:val="38"/>
              <w:spacing w:line="360" w:lineRule="auto"/>
              <w:ind w:left="0" w:leftChars="0" w:firstLine="0" w:firstLineChars="0"/>
              <w:rPr>
                <w:rFonts w:ascii="宋体" w:hAnsi="宋体"/>
                <w:color w:val="auto"/>
                <w:sz w:val="24"/>
                <w:szCs w:val="24"/>
                <w:highlight w:val="none"/>
              </w:rPr>
            </w:pPr>
            <w:r>
              <w:rPr>
                <w:rFonts w:hint="eastAsia" w:ascii="宋体" w:hAnsi="宋体"/>
                <w:color w:val="auto"/>
                <w:sz w:val="24"/>
                <w:szCs w:val="24"/>
                <w:highlight w:val="none"/>
              </w:rPr>
              <w:t>本项最高得</w:t>
            </w:r>
            <w:r>
              <w:rPr>
                <w:rFonts w:ascii="宋体" w:hAnsi="宋体"/>
                <w:color w:val="auto"/>
                <w:sz w:val="24"/>
                <w:szCs w:val="24"/>
                <w:highlight w:val="none"/>
              </w:rPr>
              <w:t>1.8分，</w:t>
            </w:r>
            <w:r>
              <w:rPr>
                <w:rFonts w:hint="eastAsia" w:ascii="宋体" w:hAnsi="宋体"/>
                <w:color w:val="auto"/>
                <w:sz w:val="24"/>
                <w:szCs w:val="24"/>
                <w:highlight w:val="none"/>
              </w:rPr>
              <w:t>提供的资料不齐全或不符合上述条件的，不得分。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75" w:type="dxa"/>
            <w:vMerge w:val="continue"/>
            <w:vAlign w:val="center"/>
          </w:tcPr>
          <w:p>
            <w:pPr>
              <w:pStyle w:val="38"/>
              <w:ind w:left="0" w:leftChars="0" w:firstLine="0" w:firstLineChars="0"/>
              <w:jc w:val="center"/>
              <w:rPr>
                <w:rFonts w:ascii="宋体" w:hAnsi="宋体"/>
                <w:color w:val="auto"/>
                <w:sz w:val="24"/>
                <w:szCs w:val="24"/>
                <w:highlight w:val="none"/>
              </w:rPr>
            </w:pPr>
          </w:p>
        </w:tc>
        <w:tc>
          <w:tcPr>
            <w:tcW w:w="1106" w:type="dxa"/>
            <w:vAlign w:val="center"/>
          </w:tcPr>
          <w:p>
            <w:pPr>
              <w:pStyle w:val="38"/>
              <w:ind w:left="0" w:leftChars="0" w:firstLine="0" w:firstLineChars="0"/>
              <w:jc w:val="center"/>
              <w:rPr>
                <w:rFonts w:ascii="宋体" w:hAnsi="宋体"/>
                <w:color w:val="auto"/>
                <w:sz w:val="24"/>
                <w:szCs w:val="24"/>
                <w:highlight w:val="none"/>
              </w:rPr>
            </w:pPr>
            <w:r>
              <w:rPr>
                <w:rFonts w:hint="eastAsia" w:ascii="宋体" w:hAnsi="宋体"/>
                <w:color w:val="auto"/>
                <w:sz w:val="24"/>
                <w:szCs w:val="24"/>
                <w:highlight w:val="none"/>
              </w:rPr>
              <w:t>财务</w:t>
            </w:r>
          </w:p>
          <w:p>
            <w:pPr>
              <w:pStyle w:val="38"/>
              <w:ind w:left="0" w:leftChars="0" w:firstLine="0" w:firstLineChars="0"/>
              <w:jc w:val="center"/>
              <w:rPr>
                <w:rFonts w:ascii="宋体" w:hAnsi="宋体"/>
                <w:color w:val="auto"/>
                <w:sz w:val="24"/>
                <w:szCs w:val="24"/>
                <w:highlight w:val="none"/>
              </w:rPr>
            </w:pPr>
            <w:r>
              <w:rPr>
                <w:rFonts w:hint="eastAsia" w:ascii="宋体" w:hAnsi="宋体"/>
                <w:color w:val="auto"/>
                <w:sz w:val="24"/>
                <w:szCs w:val="24"/>
                <w:highlight w:val="none"/>
              </w:rPr>
              <w:t>指标</w:t>
            </w:r>
          </w:p>
        </w:tc>
        <w:tc>
          <w:tcPr>
            <w:tcW w:w="900" w:type="dxa"/>
            <w:vAlign w:val="center"/>
          </w:tcPr>
          <w:p>
            <w:pPr>
              <w:pStyle w:val="38"/>
              <w:ind w:left="0" w:leftChars="0" w:firstLine="0" w:firstLineChars="0"/>
              <w:jc w:val="center"/>
              <w:rPr>
                <w:rFonts w:ascii="宋体" w:hAnsi="宋体"/>
                <w:color w:val="auto"/>
                <w:sz w:val="24"/>
                <w:szCs w:val="24"/>
                <w:highlight w:val="none"/>
              </w:rPr>
            </w:pPr>
            <w:r>
              <w:rPr>
                <w:rFonts w:ascii="宋体" w:hAnsi="宋体"/>
                <w:color w:val="auto"/>
                <w:sz w:val="24"/>
                <w:szCs w:val="24"/>
                <w:highlight w:val="none"/>
              </w:rPr>
              <w:t>1.2分</w:t>
            </w:r>
          </w:p>
        </w:tc>
        <w:tc>
          <w:tcPr>
            <w:tcW w:w="12717" w:type="dxa"/>
            <w:vAlign w:val="center"/>
          </w:tcPr>
          <w:p>
            <w:pPr>
              <w:pStyle w:val="38"/>
              <w:spacing w:line="360" w:lineRule="auto"/>
              <w:ind w:left="0" w:leftChars="0" w:firstLine="0" w:firstLineChars="0"/>
              <w:rPr>
                <w:rFonts w:ascii="宋体" w:hAnsi="宋体"/>
                <w:color w:val="auto"/>
                <w:sz w:val="24"/>
                <w:szCs w:val="24"/>
                <w:highlight w:val="none"/>
              </w:rPr>
            </w:pPr>
            <w:r>
              <w:rPr>
                <w:rFonts w:hint="eastAsia" w:ascii="宋体" w:hAnsi="宋体"/>
                <w:color w:val="auto"/>
                <w:sz w:val="24"/>
                <w:szCs w:val="24"/>
                <w:highlight w:val="none"/>
              </w:rPr>
              <w:t>投标人近三年（</w:t>
            </w:r>
            <w:r>
              <w:rPr>
                <w:rFonts w:ascii="宋体" w:hAnsi="宋体"/>
                <w:color w:val="auto"/>
                <w:sz w:val="24"/>
                <w:szCs w:val="24"/>
                <w:highlight w:val="none"/>
              </w:rPr>
              <w:t>2019年度至2021年度）的</w:t>
            </w:r>
            <w:r>
              <w:rPr>
                <w:rFonts w:hint="eastAsia" w:ascii="宋体" w:hAnsi="宋体"/>
                <w:color w:val="auto"/>
                <w:sz w:val="24"/>
                <w:szCs w:val="24"/>
                <w:highlight w:val="none"/>
              </w:rPr>
              <w:t>平均资产负债率：</w:t>
            </w:r>
          </w:p>
          <w:p>
            <w:pPr>
              <w:pStyle w:val="38"/>
              <w:numPr>
                <w:ilvl w:val="0"/>
                <w:numId w:val="5"/>
              </w:numPr>
              <w:spacing w:line="360" w:lineRule="auto"/>
              <w:ind w:left="0" w:leftChars="0" w:firstLine="0" w:firstLineChars="0"/>
              <w:rPr>
                <w:rFonts w:ascii="宋体" w:hAnsi="宋体"/>
                <w:color w:val="auto"/>
                <w:sz w:val="24"/>
                <w:szCs w:val="24"/>
                <w:highlight w:val="none"/>
              </w:rPr>
            </w:pPr>
            <w:r>
              <w:rPr>
                <w:rFonts w:ascii="宋体" w:hAnsi="宋体"/>
                <w:color w:val="auto"/>
                <w:sz w:val="24"/>
                <w:szCs w:val="24"/>
                <w:highlight w:val="none"/>
              </w:rPr>
              <w:t>平均资产负债率</w:t>
            </w:r>
            <w:r>
              <w:rPr>
                <w:rFonts w:hint="eastAsia" w:ascii="宋体" w:hAnsi="宋体"/>
                <w:color w:val="auto"/>
                <w:sz w:val="24"/>
                <w:szCs w:val="24"/>
                <w:highlight w:val="none"/>
              </w:rPr>
              <w:t>≤</w:t>
            </w:r>
            <w:r>
              <w:rPr>
                <w:rFonts w:ascii="宋体" w:hAnsi="宋体"/>
                <w:color w:val="auto"/>
                <w:sz w:val="24"/>
                <w:szCs w:val="24"/>
                <w:highlight w:val="none"/>
              </w:rPr>
              <w:t xml:space="preserve">40%的，得1.2分；  </w:t>
            </w:r>
          </w:p>
          <w:p>
            <w:pPr>
              <w:pStyle w:val="38"/>
              <w:numPr>
                <w:ilvl w:val="0"/>
                <w:numId w:val="5"/>
              </w:numPr>
              <w:spacing w:line="360" w:lineRule="auto"/>
              <w:ind w:left="0" w:leftChars="0" w:firstLine="0" w:firstLineChars="0"/>
              <w:rPr>
                <w:rFonts w:ascii="宋体" w:hAnsi="宋体"/>
                <w:color w:val="auto"/>
                <w:sz w:val="24"/>
                <w:szCs w:val="24"/>
                <w:highlight w:val="none"/>
              </w:rPr>
            </w:pPr>
            <w:r>
              <w:rPr>
                <w:rFonts w:ascii="宋体" w:hAnsi="宋体"/>
                <w:color w:val="auto"/>
                <w:sz w:val="24"/>
                <w:szCs w:val="24"/>
                <w:highlight w:val="none"/>
              </w:rPr>
              <w:t>40%</w:t>
            </w:r>
            <w:r>
              <w:rPr>
                <w:rFonts w:hint="eastAsia" w:ascii="宋体" w:hAnsi="宋体"/>
                <w:color w:val="auto"/>
                <w:sz w:val="24"/>
                <w:szCs w:val="24"/>
                <w:highlight w:val="none"/>
              </w:rPr>
              <w:t>＜平均资产负债率≤</w:t>
            </w:r>
            <w:r>
              <w:rPr>
                <w:rFonts w:ascii="宋体" w:hAnsi="宋体"/>
                <w:color w:val="auto"/>
                <w:sz w:val="24"/>
                <w:szCs w:val="24"/>
                <w:highlight w:val="none"/>
              </w:rPr>
              <w:t xml:space="preserve">50%的，得0.6分；  </w:t>
            </w:r>
          </w:p>
          <w:p>
            <w:pPr>
              <w:pStyle w:val="38"/>
              <w:numPr>
                <w:ilvl w:val="0"/>
                <w:numId w:val="5"/>
              </w:numPr>
              <w:spacing w:line="360" w:lineRule="auto"/>
              <w:ind w:left="0" w:leftChars="0" w:firstLine="0" w:firstLineChars="0"/>
              <w:rPr>
                <w:rFonts w:ascii="宋体" w:hAnsi="宋体"/>
                <w:color w:val="auto"/>
                <w:sz w:val="24"/>
                <w:szCs w:val="24"/>
                <w:highlight w:val="none"/>
              </w:rPr>
            </w:pPr>
            <w:r>
              <w:rPr>
                <w:rFonts w:hint="eastAsia" w:ascii="宋体" w:hAnsi="宋体"/>
                <w:color w:val="auto"/>
                <w:sz w:val="24"/>
                <w:szCs w:val="24"/>
                <w:highlight w:val="none"/>
              </w:rPr>
              <w:t>平均资产负债率＞</w:t>
            </w:r>
            <w:r>
              <w:rPr>
                <w:rFonts w:ascii="宋体" w:hAnsi="宋体"/>
                <w:color w:val="auto"/>
                <w:sz w:val="24"/>
                <w:szCs w:val="24"/>
                <w:highlight w:val="none"/>
              </w:rPr>
              <w:t>50%</w:t>
            </w:r>
            <w:r>
              <w:rPr>
                <w:rFonts w:hint="eastAsia" w:ascii="宋体" w:hAnsi="宋体"/>
                <w:color w:val="auto"/>
                <w:sz w:val="24"/>
                <w:szCs w:val="24"/>
                <w:highlight w:val="none"/>
              </w:rPr>
              <w:t>的，得</w:t>
            </w:r>
            <w:r>
              <w:rPr>
                <w:rFonts w:ascii="宋体" w:hAnsi="宋体"/>
                <w:color w:val="auto"/>
                <w:sz w:val="24"/>
                <w:szCs w:val="24"/>
                <w:highlight w:val="none"/>
              </w:rPr>
              <w:t>0.1分；</w:t>
            </w:r>
          </w:p>
          <w:p>
            <w:pPr>
              <w:pStyle w:val="38"/>
              <w:spacing w:line="360" w:lineRule="auto"/>
              <w:ind w:left="0" w:leftChars="0" w:firstLine="0" w:firstLineChars="0"/>
              <w:rPr>
                <w:rFonts w:ascii="宋体" w:hAnsi="宋体"/>
                <w:color w:val="auto"/>
                <w:sz w:val="24"/>
                <w:szCs w:val="24"/>
                <w:highlight w:val="none"/>
              </w:rPr>
            </w:pPr>
            <w:r>
              <w:rPr>
                <w:rFonts w:hint="eastAsia" w:ascii="宋体" w:hAnsi="宋体"/>
                <w:color w:val="auto"/>
                <w:sz w:val="24"/>
                <w:szCs w:val="24"/>
                <w:highlight w:val="none"/>
              </w:rPr>
              <w:t>本项最高得</w:t>
            </w:r>
            <w:r>
              <w:rPr>
                <w:rFonts w:ascii="宋体" w:hAnsi="宋体"/>
                <w:color w:val="auto"/>
                <w:sz w:val="24"/>
                <w:szCs w:val="24"/>
                <w:highlight w:val="none"/>
              </w:rPr>
              <w:t>1.2分，提供的资料不齐全或不符合上述条件的，不得分。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1075" w:type="dxa"/>
            <w:vMerge w:val="continue"/>
            <w:vAlign w:val="center"/>
          </w:tcPr>
          <w:p>
            <w:pPr>
              <w:pStyle w:val="38"/>
              <w:ind w:left="0" w:leftChars="0" w:firstLine="0" w:firstLineChars="0"/>
              <w:jc w:val="center"/>
              <w:rPr>
                <w:rFonts w:ascii="宋体" w:hAnsi="宋体"/>
                <w:color w:val="auto"/>
                <w:sz w:val="24"/>
                <w:szCs w:val="24"/>
                <w:highlight w:val="none"/>
              </w:rPr>
            </w:pPr>
          </w:p>
        </w:tc>
        <w:tc>
          <w:tcPr>
            <w:tcW w:w="1106" w:type="dxa"/>
            <w:vAlign w:val="center"/>
          </w:tcPr>
          <w:p>
            <w:pPr>
              <w:pStyle w:val="38"/>
              <w:ind w:left="0" w:leftChars="0" w:firstLine="0" w:firstLineChars="0"/>
              <w:jc w:val="center"/>
              <w:rPr>
                <w:rFonts w:ascii="宋体" w:hAnsi="宋体"/>
                <w:color w:val="auto"/>
                <w:sz w:val="24"/>
                <w:szCs w:val="24"/>
                <w:highlight w:val="none"/>
              </w:rPr>
            </w:pPr>
            <w:r>
              <w:rPr>
                <w:rFonts w:hint="eastAsia" w:ascii="宋体" w:hAnsi="宋体"/>
                <w:color w:val="auto"/>
                <w:sz w:val="24"/>
                <w:szCs w:val="24"/>
                <w:highlight w:val="none"/>
              </w:rPr>
              <w:t>第三方评价</w:t>
            </w:r>
          </w:p>
        </w:tc>
        <w:tc>
          <w:tcPr>
            <w:tcW w:w="900" w:type="dxa"/>
            <w:vAlign w:val="center"/>
          </w:tcPr>
          <w:p>
            <w:pPr>
              <w:pStyle w:val="38"/>
              <w:ind w:left="0" w:leftChars="0" w:firstLine="0" w:firstLineChars="0"/>
              <w:jc w:val="center"/>
              <w:rPr>
                <w:rFonts w:ascii="宋体" w:hAnsi="宋体"/>
                <w:color w:val="auto"/>
                <w:sz w:val="24"/>
                <w:szCs w:val="24"/>
                <w:highlight w:val="none"/>
              </w:rPr>
            </w:pPr>
            <w:r>
              <w:rPr>
                <w:rFonts w:ascii="宋体" w:hAnsi="宋体"/>
                <w:color w:val="auto"/>
                <w:sz w:val="24"/>
                <w:szCs w:val="24"/>
                <w:highlight w:val="none"/>
              </w:rPr>
              <w:t>1.2分</w:t>
            </w:r>
          </w:p>
        </w:tc>
        <w:tc>
          <w:tcPr>
            <w:tcW w:w="12717" w:type="dxa"/>
            <w:vAlign w:val="center"/>
          </w:tcPr>
          <w:p>
            <w:pPr>
              <w:pStyle w:val="38"/>
              <w:ind w:left="0" w:leftChars="0" w:firstLine="0" w:firstLineChars="0"/>
              <w:rPr>
                <w:rFonts w:hint="eastAsia" w:ascii="宋体" w:hAnsi="宋体"/>
                <w:color w:val="auto"/>
                <w:sz w:val="24"/>
                <w:highlight w:val="none"/>
              </w:rPr>
            </w:pPr>
            <w:r>
              <w:rPr>
                <w:rFonts w:hint="eastAsia" w:ascii="宋体" w:hAnsi="宋体"/>
                <w:color w:val="auto"/>
                <w:sz w:val="24"/>
                <w:highlight w:val="none"/>
              </w:rPr>
              <w:t>投标人累计连续获得“纳税信用A级”称号情况：</w:t>
            </w:r>
          </w:p>
          <w:p>
            <w:pPr>
              <w:pStyle w:val="38"/>
              <w:ind w:left="0" w:leftChars="0" w:firstLine="0" w:firstLineChars="0"/>
              <w:rPr>
                <w:rFonts w:hint="eastAsia" w:ascii="宋体" w:hAnsi="宋体"/>
                <w:color w:val="auto"/>
                <w:sz w:val="24"/>
                <w:highlight w:val="none"/>
              </w:rPr>
            </w:pPr>
            <w:r>
              <w:rPr>
                <w:rFonts w:hint="eastAsia" w:ascii="宋体" w:hAnsi="宋体"/>
                <w:color w:val="auto"/>
                <w:sz w:val="24"/>
                <w:highlight w:val="none"/>
              </w:rPr>
              <w:t>（1）连续5年或以上（需含2021年度）获得“纳税信用A级”称号的，得1.2分；</w:t>
            </w:r>
          </w:p>
          <w:p>
            <w:pPr>
              <w:pStyle w:val="38"/>
              <w:ind w:left="0" w:leftChars="0" w:firstLine="0" w:firstLineChars="0"/>
              <w:rPr>
                <w:rFonts w:hint="eastAsia" w:ascii="宋体" w:hAnsi="宋体"/>
                <w:color w:val="auto"/>
                <w:sz w:val="24"/>
                <w:highlight w:val="none"/>
              </w:rPr>
            </w:pPr>
            <w:r>
              <w:rPr>
                <w:rFonts w:hint="eastAsia" w:ascii="宋体" w:hAnsi="宋体"/>
                <w:color w:val="auto"/>
                <w:sz w:val="24"/>
                <w:highlight w:val="none"/>
              </w:rPr>
              <w:t>（2）连续3-4年（需含2021年度）获得“纳税信用A级”称号的，得0.6分；</w:t>
            </w:r>
          </w:p>
          <w:p>
            <w:pPr>
              <w:pStyle w:val="38"/>
              <w:ind w:left="0" w:leftChars="0" w:firstLine="0" w:firstLineChars="0"/>
              <w:rPr>
                <w:rFonts w:hint="eastAsia" w:ascii="宋体" w:hAnsi="宋体"/>
                <w:color w:val="auto"/>
                <w:sz w:val="24"/>
                <w:highlight w:val="none"/>
              </w:rPr>
            </w:pPr>
            <w:r>
              <w:rPr>
                <w:rFonts w:hint="eastAsia" w:ascii="宋体" w:hAnsi="宋体"/>
                <w:color w:val="auto"/>
                <w:sz w:val="24"/>
                <w:highlight w:val="none"/>
              </w:rPr>
              <w:t>（3）连续1-2年（需含2021年度）获得“纳税信用A级”称号的，得0.1分；</w:t>
            </w:r>
          </w:p>
          <w:p>
            <w:pPr>
              <w:pStyle w:val="38"/>
              <w:spacing w:line="360" w:lineRule="auto"/>
              <w:ind w:left="0" w:leftChars="0" w:firstLine="0" w:firstLineChars="0"/>
              <w:rPr>
                <w:rFonts w:ascii="宋体" w:hAnsi="宋体"/>
                <w:color w:val="auto"/>
                <w:sz w:val="24"/>
                <w:szCs w:val="24"/>
                <w:highlight w:val="none"/>
              </w:rPr>
            </w:pPr>
            <w:r>
              <w:rPr>
                <w:rFonts w:hint="eastAsia" w:ascii="宋体" w:hAnsi="宋体"/>
                <w:color w:val="auto"/>
                <w:sz w:val="24"/>
                <w:highlight w:val="none"/>
              </w:rPr>
              <w:t>备注：本项目最高1.2分；不符合上述条件或未获得过“纳税信用A级”称号的不得分。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075" w:type="dxa"/>
            <w:vAlign w:val="center"/>
          </w:tcPr>
          <w:p>
            <w:pPr>
              <w:pStyle w:val="38"/>
              <w:ind w:left="0" w:leftChars="0" w:firstLine="0" w:firstLineChars="0"/>
              <w:jc w:val="center"/>
              <w:rPr>
                <w:rFonts w:ascii="宋体" w:hAnsi="宋体"/>
                <w:color w:val="auto"/>
                <w:sz w:val="24"/>
                <w:szCs w:val="24"/>
                <w:highlight w:val="none"/>
              </w:rPr>
            </w:pPr>
            <w:r>
              <w:rPr>
                <w:rFonts w:hint="eastAsia" w:ascii="宋体" w:hAnsi="宋体"/>
                <w:color w:val="auto"/>
                <w:sz w:val="24"/>
                <w:szCs w:val="24"/>
                <w:highlight w:val="none"/>
              </w:rPr>
              <w:t>二、</w:t>
            </w:r>
          </w:p>
          <w:p>
            <w:pPr>
              <w:pStyle w:val="38"/>
              <w:ind w:left="0" w:leftChars="0" w:firstLine="0" w:firstLineChars="0"/>
              <w:jc w:val="center"/>
              <w:rPr>
                <w:rFonts w:ascii="宋体" w:hAnsi="宋体"/>
                <w:color w:val="auto"/>
                <w:sz w:val="24"/>
                <w:szCs w:val="24"/>
                <w:highlight w:val="none"/>
              </w:rPr>
            </w:pPr>
            <w:r>
              <w:rPr>
                <w:rFonts w:hint="eastAsia" w:ascii="宋体" w:hAnsi="宋体"/>
                <w:color w:val="auto"/>
                <w:sz w:val="24"/>
                <w:szCs w:val="24"/>
                <w:highlight w:val="none"/>
              </w:rPr>
              <w:t>项目管理机构能力</w:t>
            </w:r>
          </w:p>
          <w:p>
            <w:pPr>
              <w:pStyle w:val="38"/>
              <w:ind w:left="0" w:leftChars="0" w:firstLine="0" w:firstLineChars="0"/>
              <w:jc w:val="center"/>
              <w:rPr>
                <w:rFonts w:ascii="宋体" w:hAnsi="宋体"/>
                <w:color w:val="auto"/>
                <w:sz w:val="24"/>
                <w:szCs w:val="24"/>
                <w:highlight w:val="none"/>
              </w:rPr>
            </w:pPr>
            <w:r>
              <w:rPr>
                <w:rFonts w:ascii="宋体" w:hAnsi="宋体"/>
                <w:color w:val="auto"/>
                <w:sz w:val="24"/>
                <w:szCs w:val="24"/>
                <w:highlight w:val="none"/>
              </w:rPr>
              <w:t>(14分)</w:t>
            </w:r>
          </w:p>
        </w:tc>
        <w:tc>
          <w:tcPr>
            <w:tcW w:w="1106" w:type="dxa"/>
            <w:vAlign w:val="center"/>
          </w:tcPr>
          <w:p>
            <w:pPr>
              <w:pStyle w:val="38"/>
              <w:ind w:left="0" w:leftChars="0" w:firstLine="0" w:firstLineChars="0"/>
              <w:jc w:val="center"/>
              <w:rPr>
                <w:rFonts w:ascii="宋体" w:hAnsi="宋体"/>
                <w:color w:val="auto"/>
                <w:sz w:val="24"/>
                <w:szCs w:val="24"/>
                <w:highlight w:val="none"/>
              </w:rPr>
            </w:pPr>
            <w:r>
              <w:rPr>
                <w:rFonts w:hint="eastAsia" w:ascii="宋体" w:hAnsi="宋体"/>
                <w:color w:val="auto"/>
                <w:sz w:val="24"/>
                <w:szCs w:val="24"/>
                <w:highlight w:val="none"/>
              </w:rPr>
              <w:t>项目管理机构</w:t>
            </w:r>
          </w:p>
        </w:tc>
        <w:tc>
          <w:tcPr>
            <w:tcW w:w="900" w:type="dxa"/>
            <w:vAlign w:val="center"/>
          </w:tcPr>
          <w:p>
            <w:pPr>
              <w:pStyle w:val="38"/>
              <w:ind w:left="0" w:leftChars="0" w:firstLine="0" w:firstLineChars="0"/>
              <w:jc w:val="center"/>
              <w:rPr>
                <w:rFonts w:ascii="宋体" w:hAnsi="宋体"/>
                <w:color w:val="auto"/>
                <w:sz w:val="24"/>
                <w:szCs w:val="24"/>
                <w:highlight w:val="none"/>
              </w:rPr>
            </w:pPr>
            <w:r>
              <w:rPr>
                <w:rFonts w:ascii="宋体" w:hAnsi="宋体"/>
                <w:color w:val="auto"/>
                <w:sz w:val="24"/>
                <w:szCs w:val="24"/>
                <w:highlight w:val="none"/>
              </w:rPr>
              <w:t>14分</w:t>
            </w:r>
          </w:p>
        </w:tc>
        <w:tc>
          <w:tcPr>
            <w:tcW w:w="12717" w:type="dxa"/>
            <w:vAlign w:val="center"/>
          </w:tcPr>
          <w:p>
            <w:pPr>
              <w:pStyle w:val="38"/>
              <w:spacing w:line="360" w:lineRule="auto"/>
              <w:ind w:left="0" w:leftChars="0" w:firstLine="0" w:firstLineChars="0"/>
              <w:rPr>
                <w:rFonts w:ascii="宋体" w:hAnsi="宋体"/>
                <w:color w:val="auto"/>
                <w:sz w:val="24"/>
                <w:szCs w:val="24"/>
                <w:highlight w:val="none"/>
              </w:rPr>
            </w:pPr>
            <w:r>
              <w:rPr>
                <w:rFonts w:hint="eastAsia" w:ascii="宋体" w:hAnsi="宋体"/>
                <w:color w:val="auto"/>
                <w:sz w:val="24"/>
                <w:szCs w:val="24"/>
                <w:highlight w:val="none"/>
              </w:rPr>
              <w:t>管理人员数量满足工程实施的要求，且满足招标文件附表《投标人投入主要人员基本要求表》的得基础分</w:t>
            </w:r>
            <w:r>
              <w:rPr>
                <w:rFonts w:ascii="宋体" w:hAnsi="宋体"/>
                <w:color w:val="auto"/>
                <w:sz w:val="24"/>
                <w:szCs w:val="24"/>
                <w:highlight w:val="none"/>
              </w:rPr>
              <w:t>10分</w:t>
            </w:r>
            <w:r>
              <w:rPr>
                <w:rFonts w:hint="eastAsia" w:ascii="宋体" w:hAnsi="宋体"/>
                <w:color w:val="auto"/>
                <w:sz w:val="24"/>
                <w:szCs w:val="24"/>
                <w:highlight w:val="none"/>
              </w:rPr>
              <w:t>；不满足</w:t>
            </w:r>
          </w:p>
          <w:p>
            <w:pPr>
              <w:pStyle w:val="38"/>
              <w:spacing w:line="360" w:lineRule="auto"/>
              <w:ind w:left="0" w:leftChars="0" w:firstLine="0" w:firstLineChars="0"/>
              <w:rPr>
                <w:rFonts w:ascii="宋体" w:hAnsi="宋体"/>
                <w:color w:val="auto"/>
                <w:sz w:val="24"/>
                <w:szCs w:val="24"/>
                <w:highlight w:val="none"/>
              </w:rPr>
            </w:pPr>
            <w:r>
              <w:rPr>
                <w:rFonts w:hint="eastAsia" w:ascii="宋体" w:hAnsi="宋体"/>
                <w:color w:val="auto"/>
                <w:sz w:val="24"/>
                <w:szCs w:val="24"/>
                <w:highlight w:val="none"/>
              </w:rPr>
              <w:t>《项目团队基本要求表》要求的，得</w:t>
            </w:r>
            <w:r>
              <w:rPr>
                <w:rFonts w:ascii="宋体" w:hAnsi="宋体"/>
                <w:color w:val="auto"/>
                <w:sz w:val="24"/>
                <w:szCs w:val="24"/>
                <w:highlight w:val="none"/>
              </w:rPr>
              <w:t>0分。在满足《投标人投入主要人员基本要求表》的基础上：</w:t>
            </w:r>
          </w:p>
          <w:p>
            <w:pPr>
              <w:pStyle w:val="38"/>
              <w:numPr>
                <w:ilvl w:val="255"/>
                <w:numId w:val="0"/>
              </w:numPr>
              <w:spacing w:line="360" w:lineRule="auto"/>
              <w:rPr>
                <w:rFonts w:ascii="宋体" w:hAnsi="宋体"/>
                <w:color w:val="auto"/>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1</w:t>
            </w:r>
            <w:r>
              <w:rPr>
                <w:rFonts w:hint="eastAsia" w:ascii="宋体" w:hAnsi="宋体"/>
                <w:color w:val="auto"/>
                <w:sz w:val="24"/>
                <w:szCs w:val="24"/>
                <w:highlight w:val="none"/>
              </w:rPr>
              <w:t>）质量负责人：</w:t>
            </w:r>
            <w:r>
              <w:rPr>
                <w:rFonts w:ascii="宋体" w:hAnsi="宋体"/>
                <w:color w:val="auto"/>
                <w:sz w:val="24"/>
                <w:szCs w:val="24"/>
                <w:highlight w:val="none"/>
              </w:rPr>
              <w:t>具有建筑工程相关专业高级工程师（或以上）技术职称的，加1分。</w:t>
            </w:r>
          </w:p>
          <w:p>
            <w:pPr>
              <w:pStyle w:val="38"/>
              <w:numPr>
                <w:ilvl w:val="255"/>
                <w:numId w:val="0"/>
              </w:numPr>
              <w:spacing w:line="360" w:lineRule="auto"/>
              <w:rPr>
                <w:rFonts w:ascii="宋体" w:hAnsi="宋体"/>
                <w:color w:val="auto"/>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2</w:t>
            </w:r>
            <w:r>
              <w:rPr>
                <w:rFonts w:hint="eastAsia" w:ascii="宋体" w:hAnsi="宋体"/>
                <w:color w:val="auto"/>
                <w:sz w:val="24"/>
                <w:szCs w:val="24"/>
                <w:highlight w:val="none"/>
              </w:rPr>
              <w:t>）安全负责人：</w:t>
            </w:r>
            <w:r>
              <w:rPr>
                <w:rFonts w:ascii="宋体" w:hAnsi="宋体"/>
                <w:color w:val="auto"/>
                <w:sz w:val="24"/>
                <w:szCs w:val="24"/>
                <w:highlight w:val="none"/>
              </w:rPr>
              <w:t>具有建筑工程相关专业高级工程师（或以上）技术职称的，加1分。</w:t>
            </w:r>
          </w:p>
          <w:p>
            <w:pPr>
              <w:pStyle w:val="38"/>
              <w:spacing w:line="360" w:lineRule="auto"/>
              <w:ind w:left="0" w:leftChars="0" w:firstLine="0" w:firstLineChars="0"/>
              <w:rPr>
                <w:rFonts w:ascii="宋体" w:hAnsi="宋体"/>
                <w:color w:val="auto"/>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3）造价负责人：</w:t>
            </w:r>
            <w:r>
              <w:rPr>
                <w:rFonts w:hint="eastAsia" w:ascii="宋体" w:hAnsi="宋体"/>
                <w:color w:val="auto"/>
                <w:sz w:val="24"/>
                <w:szCs w:val="24"/>
                <w:highlight w:val="none"/>
              </w:rPr>
              <w:t>具有造价类专业高级工程师（或以上）技术职称的，加</w:t>
            </w:r>
            <w:r>
              <w:rPr>
                <w:rFonts w:ascii="宋体" w:hAnsi="宋体"/>
                <w:color w:val="auto"/>
                <w:sz w:val="24"/>
                <w:szCs w:val="24"/>
                <w:highlight w:val="none"/>
              </w:rPr>
              <w:t>1分。</w:t>
            </w:r>
          </w:p>
          <w:p>
            <w:pPr>
              <w:pStyle w:val="38"/>
              <w:spacing w:line="360" w:lineRule="auto"/>
              <w:ind w:left="0" w:leftChars="0" w:firstLine="0" w:firstLineChars="0"/>
              <w:rPr>
                <w:rFonts w:ascii="宋体" w:hAnsi="宋体"/>
                <w:color w:val="auto"/>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4）装修工程师：</w:t>
            </w:r>
            <w:r>
              <w:rPr>
                <w:rFonts w:hint="eastAsia" w:ascii="宋体" w:hAnsi="宋体"/>
                <w:color w:val="auto"/>
                <w:sz w:val="24"/>
                <w:szCs w:val="24"/>
                <w:highlight w:val="none"/>
              </w:rPr>
              <w:t>具有建筑装饰装修相关专业高级工程师（或以上）技术职称的，加</w:t>
            </w:r>
            <w:r>
              <w:rPr>
                <w:rFonts w:ascii="宋体" w:hAnsi="宋体"/>
                <w:color w:val="auto"/>
                <w:sz w:val="24"/>
                <w:szCs w:val="24"/>
                <w:highlight w:val="none"/>
              </w:rPr>
              <w:t>1分。</w:t>
            </w:r>
          </w:p>
          <w:p>
            <w:pPr>
              <w:pStyle w:val="38"/>
              <w:spacing w:line="360" w:lineRule="auto"/>
              <w:ind w:left="0" w:leftChars="0" w:firstLine="0" w:firstLineChars="0"/>
              <w:rPr>
                <w:rFonts w:ascii="宋体" w:hAnsi="宋体"/>
                <w:color w:val="auto"/>
                <w:sz w:val="24"/>
                <w:szCs w:val="24"/>
                <w:highlight w:val="none"/>
              </w:rPr>
            </w:pPr>
            <w:r>
              <w:rPr>
                <w:rFonts w:hint="eastAsia" w:ascii="宋体" w:hAnsi="宋体"/>
                <w:color w:val="auto"/>
                <w:sz w:val="24"/>
                <w:szCs w:val="24"/>
                <w:highlight w:val="none"/>
              </w:rPr>
              <w:t>本项最高得得14分，质量负责人、安全负责人、造价负责人、装修工程师需提供对应的职称证书，提供的资料不齐全或不符合上述条件的，不得分。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jc w:val="center"/>
        </w:trPr>
        <w:tc>
          <w:tcPr>
            <w:tcW w:w="1075" w:type="dxa"/>
            <w:vAlign w:val="center"/>
          </w:tcPr>
          <w:p>
            <w:pPr>
              <w:jc w:val="center"/>
              <w:rPr>
                <w:rFonts w:ascii="宋体" w:hAnsi="宋体" w:cs="宋体"/>
                <w:color w:val="auto"/>
                <w:szCs w:val="21"/>
                <w:highlight w:val="none"/>
              </w:rPr>
            </w:pPr>
          </w:p>
        </w:tc>
        <w:tc>
          <w:tcPr>
            <w:tcW w:w="1106" w:type="dxa"/>
            <w:tcBorders>
              <w:top w:val="single" w:color="auto" w:sz="4" w:space="0"/>
              <w:left w:val="single" w:color="auto" w:sz="4" w:space="0"/>
              <w:bottom w:val="single" w:color="auto" w:sz="4" w:space="0"/>
              <w:right w:val="single" w:color="auto" w:sz="4" w:space="0"/>
            </w:tcBorders>
            <w:vAlign w:val="center"/>
          </w:tcPr>
          <w:p>
            <w:pPr>
              <w:pStyle w:val="38"/>
              <w:ind w:left="0" w:leftChars="0" w:firstLine="0" w:firstLineChars="0"/>
              <w:jc w:val="center"/>
              <w:rPr>
                <w:rFonts w:ascii="宋体" w:hAnsi="宋体"/>
                <w:color w:val="auto"/>
                <w:sz w:val="24"/>
                <w:szCs w:val="24"/>
                <w:highlight w:val="none"/>
              </w:rPr>
            </w:pPr>
            <w:r>
              <w:rPr>
                <w:rFonts w:hint="eastAsia" w:ascii="宋体" w:hAnsi="宋体"/>
                <w:color w:val="auto"/>
                <w:sz w:val="24"/>
                <w:szCs w:val="24"/>
                <w:highlight w:val="none"/>
              </w:rPr>
              <w:t>合计</w:t>
            </w:r>
          </w:p>
        </w:tc>
        <w:tc>
          <w:tcPr>
            <w:tcW w:w="900" w:type="dxa"/>
            <w:tcBorders>
              <w:top w:val="single" w:color="auto" w:sz="4" w:space="0"/>
              <w:left w:val="single" w:color="auto" w:sz="4" w:space="0"/>
              <w:bottom w:val="single" w:color="auto" w:sz="4" w:space="0"/>
              <w:right w:val="single" w:color="auto" w:sz="4" w:space="0"/>
            </w:tcBorders>
            <w:vAlign w:val="center"/>
          </w:tcPr>
          <w:p>
            <w:pPr>
              <w:pStyle w:val="38"/>
              <w:ind w:left="0" w:leftChars="0" w:firstLine="0" w:firstLineChars="0"/>
              <w:jc w:val="center"/>
              <w:rPr>
                <w:rFonts w:ascii="宋体" w:hAnsi="宋体"/>
                <w:color w:val="auto"/>
                <w:sz w:val="24"/>
                <w:szCs w:val="24"/>
                <w:highlight w:val="none"/>
              </w:rPr>
            </w:pPr>
            <w:r>
              <w:rPr>
                <w:rFonts w:ascii="宋体" w:hAnsi="宋体"/>
                <w:color w:val="auto"/>
                <w:sz w:val="24"/>
                <w:szCs w:val="24"/>
                <w:highlight w:val="none"/>
              </w:rPr>
              <w:t>20分</w:t>
            </w:r>
          </w:p>
        </w:tc>
        <w:tc>
          <w:tcPr>
            <w:tcW w:w="12717" w:type="dxa"/>
            <w:tcBorders>
              <w:top w:val="single" w:color="auto" w:sz="4" w:space="0"/>
              <w:left w:val="single" w:color="auto" w:sz="4" w:space="0"/>
              <w:bottom w:val="single" w:color="auto" w:sz="4" w:space="0"/>
              <w:right w:val="single" w:color="auto" w:sz="4" w:space="0"/>
            </w:tcBorders>
            <w:vAlign w:val="center"/>
          </w:tcPr>
          <w:p>
            <w:pPr>
              <w:pStyle w:val="38"/>
              <w:ind w:left="0" w:leftChars="0" w:firstLine="0" w:firstLineChars="0"/>
              <w:jc w:val="center"/>
              <w:rPr>
                <w:rFonts w:ascii="宋体" w:hAnsi="宋体"/>
                <w:color w:val="auto"/>
                <w:sz w:val="24"/>
                <w:szCs w:val="24"/>
                <w:highlight w:val="none"/>
              </w:rPr>
            </w:pPr>
          </w:p>
        </w:tc>
      </w:tr>
    </w:tbl>
    <w:p>
      <w:pPr>
        <w:spacing w:line="400" w:lineRule="exact"/>
        <w:ind w:left="-420" w:leftChars="-200" w:firstLine="420" w:firstLineChars="200"/>
        <w:rPr>
          <w:color w:val="auto"/>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zh-CN"/>
        </w:rPr>
        <w:t>企业获奖情况</w:t>
      </w:r>
      <w:r>
        <w:rPr>
          <w:rFonts w:hint="eastAsia" w:ascii="宋体" w:hAnsi="宋体" w:cs="宋体"/>
          <w:color w:val="auto"/>
          <w:szCs w:val="21"/>
          <w:highlight w:val="none"/>
        </w:rPr>
        <w:t>】：</w:t>
      </w:r>
    </w:p>
    <w:p>
      <w:pPr>
        <w:spacing w:line="400" w:lineRule="exact"/>
        <w:ind w:firstLine="210" w:firstLineChars="1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获得奖项包括但不限于：市级或省级质量奖项指由地级市（或以上）建设主管部门或行业协会颁发的建设工程优质奖、建设工程优质结构奖、优良样板工程奖等奖项以及中国建设工程鲁班奖（国家优质工程）、中国土木工程詹天佑奖、国家优质工程（金质奖）、国家优质工程（原国家优质工程银质奖）、国家优质工程奖（不包含安全文明、绿色施工、技术创新、</w:t>
      </w:r>
      <w:r>
        <w:rPr>
          <w:rFonts w:ascii="宋体" w:hAnsi="宋体" w:cs="宋体"/>
          <w:color w:val="auto"/>
          <w:szCs w:val="21"/>
          <w:highlight w:val="none"/>
        </w:rPr>
        <w:t>QC成果、科技进步及技术应用类等奖项）。</w:t>
      </w:r>
      <w:r>
        <w:rPr>
          <w:rFonts w:hint="eastAsia" w:ascii="宋体" w:hAnsi="宋体" w:cs="宋体"/>
          <w:color w:val="auto"/>
          <w:szCs w:val="21"/>
          <w:highlight w:val="none"/>
        </w:rPr>
        <w:t>投标人须提交获奖证书原件的扫描件、获奖查询网页的信息打印页</w:t>
      </w:r>
      <w:r>
        <w:rPr>
          <w:rFonts w:ascii="宋体" w:hAnsi="宋体" w:cs="宋体"/>
          <w:color w:val="auto"/>
          <w:szCs w:val="21"/>
          <w:highlight w:val="none"/>
        </w:rPr>
        <w:t>(或截图)</w:t>
      </w:r>
      <w:r>
        <w:rPr>
          <w:rFonts w:hint="eastAsia" w:ascii="宋体" w:hAnsi="宋体" w:cs="宋体"/>
          <w:color w:val="auto"/>
          <w:szCs w:val="21"/>
          <w:highlight w:val="none"/>
        </w:rPr>
        <w:t>相关证明资料并加盖投标人电子印章。</w:t>
      </w:r>
      <w:r>
        <w:rPr>
          <w:rFonts w:hint="eastAsia" w:ascii="宋体" w:hAnsi="宋体" w:cs="宋体"/>
          <w:color w:val="auto"/>
          <w:szCs w:val="21"/>
          <w:highlight w:val="none"/>
          <w:lang w:eastAsia="zh-TW"/>
        </w:rPr>
        <w:t>只计算</w:t>
      </w:r>
      <w:r>
        <w:rPr>
          <w:rFonts w:hint="eastAsia" w:ascii="宋体" w:hAnsi="宋体" w:cs="宋体"/>
          <w:color w:val="auto"/>
          <w:szCs w:val="21"/>
          <w:highlight w:val="none"/>
        </w:rPr>
        <w:t>投标人独立承建完成的</w:t>
      </w:r>
      <w:r>
        <w:rPr>
          <w:rFonts w:hint="eastAsia" w:ascii="宋体" w:hAnsi="宋体" w:cs="宋体"/>
          <w:color w:val="auto"/>
          <w:szCs w:val="21"/>
          <w:highlight w:val="none"/>
          <w:lang w:eastAsia="zh-TW"/>
        </w:rPr>
        <w:t>房屋建筑工程</w:t>
      </w:r>
      <w:r>
        <w:rPr>
          <w:rFonts w:hint="eastAsia" w:ascii="宋体" w:hAnsi="宋体" w:cs="宋体"/>
          <w:color w:val="auto"/>
          <w:szCs w:val="21"/>
          <w:highlight w:val="none"/>
          <w:lang w:val="en-US" w:eastAsia="zh-CN"/>
        </w:rPr>
        <w:t>施工总承包</w:t>
      </w:r>
      <w:r>
        <w:rPr>
          <w:rFonts w:hint="eastAsia" w:ascii="宋体" w:hAnsi="宋体" w:cs="宋体"/>
          <w:color w:val="auto"/>
          <w:szCs w:val="21"/>
          <w:highlight w:val="none"/>
          <w:lang w:eastAsia="zh-TW"/>
        </w:rPr>
        <w:t>获奖得分，其他非房建</w:t>
      </w:r>
      <w:r>
        <w:rPr>
          <w:rFonts w:hint="eastAsia" w:ascii="宋体" w:hAnsi="宋体" w:cs="宋体"/>
          <w:color w:val="auto"/>
          <w:szCs w:val="21"/>
          <w:highlight w:val="none"/>
        </w:rPr>
        <w:t>类获奖</w:t>
      </w:r>
      <w:r>
        <w:rPr>
          <w:rFonts w:hint="eastAsia" w:ascii="宋体" w:hAnsi="宋体" w:cs="宋体"/>
          <w:color w:val="auto"/>
          <w:szCs w:val="21"/>
          <w:highlight w:val="none"/>
          <w:lang w:eastAsia="zh-TW"/>
        </w:rPr>
        <w:t>项目</w:t>
      </w:r>
      <w:r>
        <w:rPr>
          <w:rFonts w:hint="eastAsia" w:ascii="宋体" w:hAnsi="宋体" w:cs="宋体"/>
          <w:color w:val="auto"/>
          <w:szCs w:val="21"/>
          <w:highlight w:val="none"/>
        </w:rPr>
        <w:t>（</w:t>
      </w:r>
      <w:r>
        <w:rPr>
          <w:rFonts w:hint="eastAsia" w:ascii="宋体" w:hAnsi="宋体" w:cs="宋体"/>
          <w:color w:val="auto"/>
          <w:szCs w:val="21"/>
          <w:highlight w:val="none"/>
          <w:lang w:eastAsia="zh-TW"/>
        </w:rPr>
        <w:t>如：轨道交通工程</w:t>
      </w:r>
      <w:r>
        <w:rPr>
          <w:rFonts w:hint="eastAsia" w:ascii="宋体" w:hAnsi="宋体" w:cs="宋体"/>
          <w:color w:val="auto"/>
          <w:szCs w:val="21"/>
          <w:highlight w:val="none"/>
        </w:rPr>
        <w:t>、市政</w:t>
      </w:r>
      <w:r>
        <w:rPr>
          <w:rFonts w:hint="eastAsia" w:ascii="宋体" w:hAnsi="宋体" w:cs="宋体"/>
          <w:color w:val="auto"/>
          <w:szCs w:val="21"/>
          <w:highlight w:val="none"/>
          <w:lang w:eastAsia="zh-TW"/>
        </w:rPr>
        <w:t>、铁路</w:t>
      </w:r>
      <w:r>
        <w:rPr>
          <w:rFonts w:hint="eastAsia" w:ascii="宋体" w:hAnsi="宋体" w:cs="宋体"/>
          <w:color w:val="auto"/>
          <w:szCs w:val="21"/>
          <w:highlight w:val="none"/>
        </w:rPr>
        <w:t>、</w:t>
      </w:r>
      <w:r>
        <w:rPr>
          <w:rFonts w:hint="eastAsia" w:ascii="宋体" w:hAnsi="宋体" w:cs="宋体"/>
          <w:color w:val="auto"/>
          <w:szCs w:val="21"/>
          <w:highlight w:val="none"/>
          <w:lang w:eastAsia="zh-TW"/>
        </w:rPr>
        <w:t>水利、电力、化工、冶金及装饰</w:t>
      </w:r>
      <w:r>
        <w:rPr>
          <w:rFonts w:hint="eastAsia" w:ascii="宋体" w:hAnsi="宋体" w:cs="宋体"/>
          <w:color w:val="auto"/>
          <w:szCs w:val="21"/>
          <w:highlight w:val="none"/>
        </w:rPr>
        <w:t>类</w:t>
      </w:r>
      <w:r>
        <w:rPr>
          <w:rFonts w:hint="eastAsia" w:ascii="宋体" w:hAnsi="宋体" w:cs="宋体"/>
          <w:color w:val="auto"/>
          <w:szCs w:val="21"/>
          <w:highlight w:val="none"/>
          <w:lang w:eastAsia="zh-TW"/>
        </w:rPr>
        <w:t>等获奖</w:t>
      </w:r>
      <w:r>
        <w:rPr>
          <w:rFonts w:hint="eastAsia" w:ascii="宋体" w:hAnsi="宋体" w:cs="宋体"/>
          <w:color w:val="auto"/>
          <w:szCs w:val="21"/>
          <w:highlight w:val="none"/>
        </w:rPr>
        <w:t>）</w:t>
      </w:r>
      <w:r>
        <w:rPr>
          <w:rFonts w:hint="eastAsia" w:ascii="宋体" w:hAnsi="宋体" w:cs="宋体"/>
          <w:color w:val="auto"/>
          <w:szCs w:val="21"/>
          <w:highlight w:val="none"/>
          <w:lang w:eastAsia="zh-TW"/>
        </w:rPr>
        <w:t>不计分</w:t>
      </w:r>
      <w:r>
        <w:rPr>
          <w:rFonts w:hint="eastAsia" w:ascii="宋体" w:hAnsi="宋体" w:cs="宋体"/>
          <w:color w:val="auto"/>
          <w:szCs w:val="21"/>
          <w:highlight w:val="none"/>
        </w:rPr>
        <w:t>，</w:t>
      </w:r>
      <w:r>
        <w:rPr>
          <w:rFonts w:ascii="宋体" w:hAnsi="宋体" w:cs="宋体"/>
          <w:color w:val="auto"/>
          <w:szCs w:val="21"/>
          <w:highlight w:val="none"/>
        </w:rPr>
        <w:t xml:space="preserve"> </w:t>
      </w:r>
      <w:r>
        <w:rPr>
          <w:rFonts w:hint="eastAsia" w:ascii="宋体" w:hAnsi="宋体" w:cs="宋体"/>
          <w:color w:val="auto"/>
          <w:szCs w:val="21"/>
          <w:highlight w:val="none"/>
        </w:rPr>
        <w:t>获奖项目按最高级别奖项只计一次得分，不得重复计算，境外工程不予计算。若发证机构为协会的，须在民政管理部门登记备案并提交其在民政管理部门登记备案查询网页信息打印页</w:t>
      </w:r>
      <w:r>
        <w:rPr>
          <w:rFonts w:ascii="宋体" w:hAnsi="宋体" w:cs="宋体"/>
          <w:color w:val="auto"/>
          <w:szCs w:val="21"/>
          <w:highlight w:val="none"/>
        </w:rPr>
        <w:t>(或截图)的相关证明资料，不符合上述条件或未提供上述资料的</w:t>
      </w:r>
      <w:r>
        <w:rPr>
          <w:rFonts w:hint="eastAsia" w:ascii="宋体" w:hAnsi="宋体" w:cs="宋体"/>
          <w:color w:val="auto"/>
          <w:szCs w:val="21"/>
          <w:highlight w:val="none"/>
        </w:rPr>
        <w:t>或无加盖电子印章的</w:t>
      </w:r>
      <w:r>
        <w:rPr>
          <w:rFonts w:ascii="宋体" w:hAnsi="宋体" w:cs="宋体"/>
          <w:color w:val="auto"/>
          <w:szCs w:val="21"/>
          <w:highlight w:val="none"/>
        </w:rPr>
        <w:t>不得分。</w:t>
      </w:r>
    </w:p>
    <w:p>
      <w:pPr>
        <w:spacing w:line="400" w:lineRule="exact"/>
        <w:rPr>
          <w:rFonts w:ascii="宋体" w:hAnsi="宋体" w:cs="宋体"/>
          <w:color w:val="auto"/>
          <w:szCs w:val="21"/>
          <w:highlight w:val="none"/>
          <w:lang w:eastAsia="zh-TW"/>
        </w:rPr>
      </w:pPr>
      <w:r>
        <w:rPr>
          <w:rFonts w:hint="eastAsia" w:ascii="宋体" w:hAnsi="宋体" w:cs="宋体"/>
          <w:color w:val="auto"/>
          <w:szCs w:val="21"/>
          <w:highlight w:val="none"/>
          <w:lang w:eastAsia="zh-TW"/>
        </w:rPr>
        <w:t>【企业工程研发能力】：</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投标人需提交获得省级或以上建设职能部门或其主管的行业协会（行业协会须在民政管理部门登记备案，并提供其在民政管理部门登记备案查询网页信息打印页或截图的相关证明文件扫描件）颁发的工法证书原件扫描件、官方网站公布的工法获奖名单查询页截图，两者须同时提供，缺一不可，并加盖投标</w:t>
      </w:r>
      <w:r>
        <w:rPr>
          <w:rFonts w:hint="eastAsia" w:ascii="宋体" w:hAnsi="宋体" w:cs="宋体"/>
          <w:color w:val="auto"/>
          <w:szCs w:val="21"/>
          <w:highlight w:val="none"/>
          <w:lang w:val="en-US" w:eastAsia="zh-CN"/>
        </w:rPr>
        <w:t>人</w:t>
      </w:r>
      <w:r>
        <w:rPr>
          <w:rFonts w:hint="eastAsia" w:ascii="宋体" w:hAnsi="宋体" w:cs="宋体"/>
          <w:color w:val="auto"/>
          <w:szCs w:val="21"/>
          <w:highlight w:val="none"/>
        </w:rPr>
        <w:t>电子印章。省级或以上工法奖，同一工法按最高级别奖项只计一次得分，时间以工法证书发证时间为准，不符合上述条件或提供的相关证明材料不完整的不得分。</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第三方评价】：①须提供证书扫描件或国家税务总局网站（http://www.chinatax.gov.cn/index.html）“纳税信用A级纳税人名单公布栏”查询结果（查询结果不包括子公司、分公司）的网页截图并加盖投标人电子印章。不符合条件或无加盖投标人电子印章的不计分。②如国家税务总局网站纳税信用A级纳税人名单公布栏2021年度查询未更新的，2021年度须可提供证书扫描件加盖投标人电子印章。</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【财务指标】：</w:t>
      </w:r>
    </w:p>
    <w:p>
      <w:pPr>
        <w:rPr>
          <w:rFonts w:hint="eastAsia" w:ascii="宋体" w:hAnsi="宋体" w:cs="宋体"/>
          <w:color w:val="auto"/>
          <w:szCs w:val="21"/>
          <w:highlight w:val="none"/>
        </w:rPr>
      </w:pPr>
      <w:r>
        <w:rPr>
          <w:rFonts w:hint="eastAsia" w:ascii="宋体" w:hAnsi="宋体" w:cs="宋体"/>
          <w:color w:val="auto"/>
          <w:szCs w:val="21"/>
          <w:highlight w:val="none"/>
        </w:rPr>
        <w:t>投标人需提供</w:t>
      </w:r>
      <w:r>
        <w:rPr>
          <w:rFonts w:ascii="宋体" w:hAnsi="宋体" w:cs="宋体"/>
          <w:color w:val="auto"/>
          <w:szCs w:val="21"/>
          <w:highlight w:val="none"/>
        </w:rPr>
        <w:t>2019年度、2020年度、2021年度经会计事务所审计的审计报告</w:t>
      </w:r>
      <w:r>
        <w:rPr>
          <w:rFonts w:hint="eastAsia" w:ascii="宋体" w:hAnsi="宋体" w:cs="宋体"/>
          <w:color w:val="auto"/>
          <w:szCs w:val="21"/>
          <w:highlight w:val="none"/>
        </w:rPr>
        <w:t>原件的扫描件并加盖投标人电子印章</w:t>
      </w:r>
      <w:r>
        <w:rPr>
          <w:rFonts w:ascii="宋体" w:hAnsi="宋体" w:cs="宋体"/>
          <w:color w:val="auto"/>
          <w:szCs w:val="21"/>
          <w:highlight w:val="none"/>
        </w:rPr>
        <w:t>。</w:t>
      </w:r>
      <w:r>
        <w:rPr>
          <w:rFonts w:hint="eastAsia" w:ascii="宋体" w:hAnsi="宋体" w:cs="宋体"/>
          <w:color w:val="auto"/>
          <w:szCs w:val="21"/>
          <w:highlight w:val="none"/>
        </w:rPr>
        <w:t>企业资产负债率以企业对应年度的财务报表的数据为准，资产负债率计算公式：资产负债率</w:t>
      </w:r>
      <w:r>
        <w:rPr>
          <w:rFonts w:ascii="宋体" w:hAnsi="宋体" w:cs="宋体"/>
          <w:color w:val="auto"/>
          <w:szCs w:val="21"/>
          <w:highlight w:val="none"/>
        </w:rPr>
        <w:t>=期（年）末负债总额/期（年）末资产总额×100%</w:t>
      </w:r>
      <w:r>
        <w:rPr>
          <w:rFonts w:hint="eastAsia" w:ascii="宋体" w:hAnsi="宋体" w:cs="宋体"/>
          <w:color w:val="auto"/>
          <w:szCs w:val="21"/>
          <w:highlight w:val="none"/>
          <w:lang w:eastAsia="zh-CN"/>
        </w:rPr>
        <w:t>，</w:t>
      </w:r>
      <w:r>
        <w:rPr>
          <w:rFonts w:hint="eastAsia" w:ascii="宋体" w:hAnsi="宋体" w:cs="宋体"/>
          <w:color w:val="auto"/>
          <w:szCs w:val="21"/>
          <w:highlight w:val="none"/>
        </w:rPr>
        <w:t>不符合上述条件或</w:t>
      </w:r>
      <w:r>
        <w:rPr>
          <w:rFonts w:hint="eastAsia" w:ascii="宋体" w:hAnsi="宋体" w:cs="宋体"/>
          <w:color w:val="auto"/>
          <w:szCs w:val="21"/>
          <w:highlight w:val="none"/>
          <w:lang w:val="zh-CN"/>
        </w:rPr>
        <w:t>年度审计报告未经会计师事务所审计或</w:t>
      </w:r>
      <w:r>
        <w:rPr>
          <w:rFonts w:hint="eastAsia" w:ascii="宋体" w:hAnsi="宋体" w:cs="宋体"/>
          <w:color w:val="auto"/>
          <w:szCs w:val="21"/>
          <w:highlight w:val="none"/>
        </w:rPr>
        <w:t>未提供上述资料的不得分。</w:t>
      </w:r>
    </w:p>
    <w:p>
      <w:pPr>
        <w:pStyle w:val="22"/>
        <w:rPr>
          <w:rFonts w:hint="eastAsia"/>
          <w:color w:val="auto"/>
          <w:highlight w:val="none"/>
        </w:rPr>
      </w:pPr>
      <w:r>
        <w:rPr>
          <w:rFonts w:hint="eastAsia"/>
          <w:color w:val="auto"/>
          <w:highlight w:val="none"/>
        </w:rPr>
        <w:t>【投标人项目管理机构能力】：</w:t>
      </w:r>
    </w:p>
    <w:p>
      <w:pPr>
        <w:pStyle w:val="22"/>
        <w:rPr>
          <w:rFonts w:hint="eastAsia"/>
          <w:color w:val="auto"/>
          <w:highlight w:val="none"/>
        </w:rPr>
      </w:pPr>
      <w:r>
        <w:rPr>
          <w:rFonts w:hint="eastAsia"/>
          <w:color w:val="auto"/>
          <w:highlight w:val="none"/>
        </w:rPr>
        <w:t>（1）拟投入本项目的上述人员岗位不能相互兼任，须提供《投标人投入主要人员基本要求表》及《技术标详细审查评分表》要求的对应证书原件的扫描件并加盖投标人电子印章，</w:t>
      </w:r>
      <w:bookmarkStart w:id="81" w:name="_GoBack"/>
      <w:bookmarkEnd w:id="81"/>
      <w:r>
        <w:rPr>
          <w:rFonts w:hint="eastAsia"/>
          <w:color w:val="auto"/>
          <w:highlight w:val="none"/>
        </w:rPr>
        <w:t>不符合要求的不得分。所有证件需真实有效，中标单位需准备投标文件中涉及的所有原件待查，如原件不齐或与原件不符的，招标人有权取消其中标人资格，并上报建设行政主管部门。</w:t>
      </w:r>
    </w:p>
    <w:p>
      <w:pPr>
        <w:pStyle w:val="22"/>
        <w:rPr>
          <w:rFonts w:hint="eastAsia"/>
          <w:color w:val="auto"/>
          <w:highlight w:val="none"/>
        </w:rPr>
      </w:pPr>
      <w:r>
        <w:rPr>
          <w:rFonts w:hint="eastAsia"/>
          <w:color w:val="auto"/>
          <w:highlight w:val="none"/>
        </w:rPr>
        <w:t>（2）拟投入本项目人员须提供招标公告发布之日起近1个月（2022年</w:t>
      </w:r>
      <w:r>
        <w:rPr>
          <w:rFonts w:hint="eastAsia"/>
          <w:color w:val="auto"/>
          <w:highlight w:val="none"/>
          <w:lang w:val="en-US" w:eastAsia="zh-CN"/>
        </w:rPr>
        <w:t>12</w:t>
      </w:r>
      <w:r>
        <w:rPr>
          <w:rFonts w:hint="eastAsia"/>
          <w:color w:val="auto"/>
          <w:highlight w:val="none"/>
        </w:rPr>
        <w:t>月）的由社保行政主管部门出具连续有效的社保证明资料原件的扫描件并加盖投标人</w:t>
      </w:r>
      <w:r>
        <w:rPr>
          <w:rFonts w:hint="eastAsia"/>
          <w:color w:val="auto"/>
          <w:highlight w:val="none"/>
          <w:lang w:val="en-US" w:eastAsia="zh-CN"/>
        </w:rPr>
        <w:t>电子印章</w:t>
      </w:r>
      <w:r>
        <w:rPr>
          <w:rFonts w:hint="eastAsia"/>
          <w:color w:val="auto"/>
          <w:highlight w:val="none"/>
        </w:rPr>
        <w:t>。若在“新型冠状病毒感染肺炎”疫情期间，当地政府部门允许企业在疫情期间缓缴社会保险费且投标人未缴纳的，投标人可提供当地政府部门允许缓缴社保的相关文件作为缴纳社保的证明；并在中标后，提供后续的社保补缴情况供招标方核实，若发现弄虚作假的，则取消其中标资格并将其行为纳入不诚信名单，招标人保留上报给行政主管部门的权力，不满足上述情况的不得分。</w:t>
      </w:r>
    </w:p>
    <w:p>
      <w:pPr>
        <w:rPr>
          <w:rFonts w:hint="eastAsia"/>
          <w:color w:val="auto"/>
        </w:rPr>
      </w:pPr>
      <w:r>
        <w:rPr>
          <w:rFonts w:hint="eastAsia"/>
          <w:color w:val="auto"/>
        </w:rPr>
        <w:t>（</w:t>
      </w:r>
      <w:r>
        <w:rPr>
          <w:rFonts w:hint="eastAsia"/>
          <w:color w:val="auto"/>
          <w:lang w:val="en-US" w:eastAsia="zh-CN"/>
        </w:rPr>
        <w:t>3</w:t>
      </w:r>
      <w:r>
        <w:rPr>
          <w:rFonts w:hint="eastAsia"/>
          <w:color w:val="auto"/>
        </w:rPr>
        <w:t>）注册造价工程师是指具备一级注册造价工程师执业资格，未实行分级的注册造价工程师自动划分为一级注册造价工程师，注册造价工程师同时提供“http://zaojiasys.jianshe99.com/cecaopsys/queryAndSearch/view.do?op=queryUserInfoInit造价工程师注册信息查询”网页截图，且状态为“正常”的才计分；注册安全工程师需同时提供（http://rmocse.chinasafety.ac.cn/）的查询结果网页打印页，无提交查询结果网页打印页不计分，注册安全工程师专业为（建筑施工安全）。</w:t>
      </w:r>
    </w:p>
    <w:p>
      <w:pPr>
        <w:pStyle w:val="22"/>
        <w:rPr>
          <w:rFonts w:hint="eastAsia"/>
          <w:color w:val="auto"/>
          <w:highlight w:val="none"/>
        </w:rPr>
      </w:pPr>
      <w:r>
        <w:rPr>
          <w:rFonts w:hint="eastAsia"/>
          <w:color w:val="auto"/>
          <w:highlight w:val="none"/>
        </w:rPr>
        <w:t>（</w:t>
      </w:r>
      <w:r>
        <w:rPr>
          <w:rFonts w:hint="eastAsia"/>
          <w:color w:val="auto"/>
          <w:highlight w:val="none"/>
          <w:lang w:val="en-US" w:eastAsia="zh-CN"/>
        </w:rPr>
        <w:t>4</w:t>
      </w:r>
      <w:r>
        <w:rPr>
          <w:rFonts w:hint="eastAsia"/>
          <w:color w:val="auto"/>
          <w:highlight w:val="none"/>
        </w:rPr>
        <w:t>）投入主要人员基本要求配置只作为评分标准，不作为废标条件。</w:t>
      </w:r>
    </w:p>
    <w:p>
      <w:pPr>
        <w:pStyle w:val="22"/>
        <w:rPr>
          <w:rFonts w:hint="eastAsia"/>
          <w:color w:val="auto"/>
          <w:highlight w:val="none"/>
        </w:rPr>
      </w:pPr>
      <w:r>
        <w:rPr>
          <w:rFonts w:hint="eastAsia"/>
          <w:color w:val="auto"/>
          <w:highlight w:val="none"/>
        </w:rPr>
        <w:t>投标人提供的网页截图（含网页打印件）或扫描件内容必须清晰可辨，如因网页截图或扫描件内容模糊导致评标时无法判断的，后果由投标人自负，上述资料不提供或提供不完整或提供不符合要求的不得分。</w:t>
      </w:r>
    </w:p>
    <w:p>
      <w:pPr>
        <w:rPr>
          <w:rFonts w:hint="eastAsia"/>
          <w:color w:val="auto"/>
          <w:highlight w:val="none"/>
        </w:rPr>
      </w:pPr>
    </w:p>
    <w:p>
      <w:pPr>
        <w:rPr>
          <w:rFonts w:hint="eastAsia" w:ascii="宋体" w:hAnsi="宋体" w:cs="宋体"/>
          <w:color w:val="auto"/>
          <w:szCs w:val="21"/>
          <w:highlight w:val="none"/>
        </w:rPr>
      </w:pPr>
      <w:r>
        <w:rPr>
          <w:rFonts w:hint="eastAsia" w:ascii="宋体" w:hAnsi="宋体" w:cs="宋体"/>
          <w:color w:val="auto"/>
          <w:szCs w:val="21"/>
          <w:highlight w:val="none"/>
        </w:rPr>
        <w:t>本表按百分制评分，所有评委分数汇总后的算术平均值为投标人的最终得分。分数出现小数点，保留小数点后二位小数，第三位小数四舍五入。投标人满足多个档次的，按最高档得分。</w:t>
      </w:r>
    </w:p>
    <w:p>
      <w:pPr>
        <w:rPr>
          <w:rFonts w:ascii="宋体" w:hAnsi="宋体" w:cs="宋体"/>
          <w:color w:val="auto"/>
          <w:szCs w:val="21"/>
          <w:highlight w:val="none"/>
        </w:rPr>
      </w:pPr>
      <w:r>
        <w:rPr>
          <w:rFonts w:hint="eastAsia" w:ascii="宋体" w:hAnsi="宋体" w:cs="宋体"/>
          <w:color w:val="auto"/>
          <w:szCs w:val="21"/>
          <w:highlight w:val="none"/>
        </w:rPr>
        <w:br w:type="page"/>
      </w:r>
    </w:p>
    <w:p>
      <w:pPr>
        <w:rPr>
          <w:rFonts w:ascii="宋体" w:hAnsi="宋体" w:cs="宋体"/>
          <w:color w:val="auto"/>
          <w:sz w:val="24"/>
          <w:szCs w:val="24"/>
          <w:highlight w:val="none"/>
        </w:rPr>
      </w:pPr>
      <w:r>
        <w:rPr>
          <w:rFonts w:hint="eastAsia" w:ascii="宋体" w:hAnsi="宋体" w:cs="宋体"/>
          <w:color w:val="auto"/>
          <w:sz w:val="24"/>
          <w:szCs w:val="24"/>
          <w:highlight w:val="none"/>
        </w:rPr>
        <w:t>附表四附件</w:t>
      </w:r>
    </w:p>
    <w:p>
      <w:pPr>
        <w:jc w:val="center"/>
        <w:rPr>
          <w:rFonts w:ascii="宋体" w:hAnsi="宋体"/>
          <w:b/>
          <w:color w:val="auto"/>
          <w:sz w:val="30"/>
          <w:szCs w:val="30"/>
          <w:highlight w:val="none"/>
        </w:rPr>
      </w:pPr>
      <w:r>
        <w:rPr>
          <w:rFonts w:hint="eastAsia" w:ascii="宋体" w:hAnsi="宋体"/>
          <w:b/>
          <w:color w:val="auto"/>
          <w:sz w:val="30"/>
          <w:szCs w:val="30"/>
          <w:highlight w:val="none"/>
        </w:rPr>
        <w:t>《投标人投入主要人员基本要求表》</w:t>
      </w:r>
    </w:p>
    <w:p>
      <w:pPr>
        <w:pStyle w:val="22"/>
        <w:rPr>
          <w:color w:val="auto"/>
          <w:highlight w:val="none"/>
        </w:rPr>
      </w:pPr>
    </w:p>
    <w:tbl>
      <w:tblPr>
        <w:tblStyle w:val="39"/>
        <w:tblW w:w="150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70"/>
        <w:gridCol w:w="1217"/>
        <w:gridCol w:w="7727"/>
        <w:gridCol w:w="3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2670" w:type="dxa"/>
            <w:vAlign w:val="center"/>
          </w:tcPr>
          <w:p>
            <w:pPr>
              <w:widowControl/>
              <w:snapToGrid w:val="0"/>
              <w:spacing w:before="62" w:beforeLines="20" w:after="62" w:afterLines="20"/>
              <w:ind w:left="-53" w:leftChars="-25" w:right="-53" w:rightChars="-25"/>
              <w:jc w:val="center"/>
              <w:rPr>
                <w:rFonts w:ascii="宋体" w:hAnsi="宋体" w:cs="宋体"/>
                <w:b/>
                <w:color w:val="auto"/>
                <w:kern w:val="0"/>
                <w:szCs w:val="21"/>
                <w:highlight w:val="none"/>
              </w:rPr>
            </w:pPr>
            <w:r>
              <w:rPr>
                <w:rFonts w:hint="eastAsia" w:ascii="宋体" w:hAnsi="宋体" w:cs="宋体"/>
                <w:b/>
                <w:color w:val="auto"/>
                <w:kern w:val="0"/>
                <w:szCs w:val="21"/>
                <w:highlight w:val="none"/>
              </w:rPr>
              <w:t>项目团队成员</w:t>
            </w:r>
          </w:p>
        </w:tc>
        <w:tc>
          <w:tcPr>
            <w:tcW w:w="1217" w:type="dxa"/>
            <w:vAlign w:val="center"/>
          </w:tcPr>
          <w:p>
            <w:pPr>
              <w:widowControl/>
              <w:snapToGrid w:val="0"/>
              <w:spacing w:before="62" w:beforeLines="20" w:after="62" w:afterLines="20"/>
              <w:ind w:left="-53" w:leftChars="-25" w:right="-53" w:rightChars="-25"/>
              <w:jc w:val="center"/>
              <w:rPr>
                <w:rFonts w:ascii="宋体" w:hAnsi="宋体" w:cs="宋体"/>
                <w:b/>
                <w:color w:val="auto"/>
                <w:kern w:val="0"/>
                <w:szCs w:val="21"/>
                <w:highlight w:val="none"/>
              </w:rPr>
            </w:pPr>
            <w:r>
              <w:rPr>
                <w:rFonts w:hint="eastAsia" w:ascii="宋体" w:hAnsi="宋体" w:cs="宋体"/>
                <w:b/>
                <w:color w:val="auto"/>
                <w:kern w:val="0"/>
                <w:szCs w:val="21"/>
                <w:highlight w:val="none"/>
              </w:rPr>
              <w:t>最低人数</w:t>
            </w:r>
          </w:p>
        </w:tc>
        <w:tc>
          <w:tcPr>
            <w:tcW w:w="7727" w:type="dxa"/>
            <w:vAlign w:val="center"/>
          </w:tcPr>
          <w:p>
            <w:pPr>
              <w:widowControl/>
              <w:snapToGrid w:val="0"/>
              <w:spacing w:before="62" w:beforeLines="20" w:after="62" w:afterLines="20"/>
              <w:ind w:left="-53" w:leftChars="-25" w:right="-53" w:rightChars="-25"/>
              <w:jc w:val="center"/>
              <w:rPr>
                <w:rFonts w:ascii="宋体" w:hAnsi="宋体" w:cs="宋体"/>
                <w:b/>
                <w:color w:val="auto"/>
                <w:kern w:val="0"/>
                <w:szCs w:val="21"/>
                <w:highlight w:val="none"/>
              </w:rPr>
            </w:pPr>
            <w:r>
              <w:rPr>
                <w:rFonts w:hint="eastAsia" w:ascii="宋体" w:hAnsi="宋体" w:cs="宋体"/>
                <w:b/>
                <w:color w:val="auto"/>
                <w:kern w:val="0"/>
                <w:szCs w:val="21"/>
                <w:highlight w:val="none"/>
              </w:rPr>
              <w:t>基本要求</w:t>
            </w:r>
          </w:p>
        </w:tc>
        <w:tc>
          <w:tcPr>
            <w:tcW w:w="3400" w:type="dxa"/>
            <w:vAlign w:val="center"/>
          </w:tcPr>
          <w:p>
            <w:pPr>
              <w:widowControl/>
              <w:snapToGrid w:val="0"/>
              <w:spacing w:before="62" w:beforeLines="20" w:after="62" w:afterLines="20"/>
              <w:ind w:left="-53" w:leftChars="-25" w:right="-53" w:rightChars="-25"/>
              <w:jc w:val="center"/>
              <w:rPr>
                <w:rFonts w:ascii="宋体" w:hAnsi="宋体" w:cs="宋体"/>
                <w:b/>
                <w:color w:val="auto"/>
                <w:kern w:val="0"/>
                <w:szCs w:val="21"/>
                <w:highlight w:val="none"/>
              </w:rPr>
            </w:pPr>
            <w:r>
              <w:rPr>
                <w:rFonts w:hint="eastAsia" w:ascii="宋体" w:hAnsi="宋体" w:cs="宋体"/>
                <w:b/>
                <w:color w:val="auto"/>
                <w:kern w:val="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670" w:type="dxa"/>
            <w:vAlign w:val="center"/>
          </w:tcPr>
          <w:p>
            <w:pPr>
              <w:snapToGrid w:val="0"/>
              <w:spacing w:before="62" w:beforeLines="20" w:after="62" w:afterLines="20"/>
              <w:ind w:left="-53" w:leftChars="-25" w:right="-53" w:rightChars="-25"/>
              <w:jc w:val="center"/>
              <w:rPr>
                <w:rFonts w:ascii="宋体" w:hAnsi="宋体"/>
                <w:color w:val="auto"/>
                <w:szCs w:val="21"/>
                <w:highlight w:val="none"/>
              </w:rPr>
            </w:pPr>
            <w:r>
              <w:rPr>
                <w:rFonts w:hint="eastAsia" w:ascii="宋体" w:hAnsi="宋体"/>
                <w:color w:val="auto"/>
                <w:szCs w:val="21"/>
                <w:highlight w:val="none"/>
              </w:rPr>
              <w:t>项目负责人</w:t>
            </w:r>
          </w:p>
        </w:tc>
        <w:tc>
          <w:tcPr>
            <w:tcW w:w="1217" w:type="dxa"/>
            <w:vAlign w:val="center"/>
          </w:tcPr>
          <w:p>
            <w:pPr>
              <w:widowControl/>
              <w:snapToGrid w:val="0"/>
              <w:spacing w:before="62" w:beforeLines="20" w:after="62" w:afterLines="20"/>
              <w:ind w:left="-53" w:leftChars="-25" w:right="-53" w:rightChars="-25"/>
              <w:jc w:val="center"/>
              <w:rPr>
                <w:rFonts w:ascii="宋体" w:hAnsi="宋体" w:cs="宋体"/>
                <w:color w:val="auto"/>
                <w:kern w:val="0"/>
                <w:szCs w:val="21"/>
                <w:highlight w:val="none"/>
              </w:rPr>
            </w:pPr>
            <w:r>
              <w:rPr>
                <w:rFonts w:ascii="宋体" w:hAnsi="宋体" w:cs="宋体"/>
                <w:color w:val="auto"/>
                <w:kern w:val="0"/>
                <w:szCs w:val="21"/>
                <w:highlight w:val="none"/>
              </w:rPr>
              <w:t>1</w:t>
            </w:r>
          </w:p>
        </w:tc>
        <w:tc>
          <w:tcPr>
            <w:tcW w:w="7727" w:type="dxa"/>
          </w:tcPr>
          <w:p>
            <w:pPr>
              <w:widowControl/>
              <w:snapToGrid w:val="0"/>
              <w:spacing w:before="62" w:beforeLines="20" w:after="62" w:afterLines="20"/>
              <w:ind w:left="-53" w:leftChars="-25" w:right="-53" w:rightChars="-25"/>
              <w:jc w:val="left"/>
              <w:rPr>
                <w:rFonts w:ascii="宋体" w:hAnsi="宋体"/>
                <w:color w:val="auto"/>
                <w:szCs w:val="21"/>
                <w:highlight w:val="none"/>
                <w:lang w:val="zh-TW" w:eastAsia="zh-TW"/>
              </w:rPr>
            </w:pPr>
            <w:r>
              <w:rPr>
                <w:rFonts w:hint="eastAsia" w:ascii="宋体" w:hAnsi="宋体"/>
                <w:color w:val="auto"/>
                <w:szCs w:val="21"/>
                <w:highlight w:val="none"/>
              </w:rPr>
              <w:t>按招标公告要求</w:t>
            </w:r>
          </w:p>
        </w:tc>
        <w:tc>
          <w:tcPr>
            <w:tcW w:w="3400" w:type="dxa"/>
            <w:vAlign w:val="center"/>
          </w:tcPr>
          <w:p>
            <w:pPr>
              <w:widowControl/>
              <w:snapToGrid w:val="0"/>
              <w:spacing w:before="62" w:beforeLines="20" w:after="62" w:afterLines="20"/>
              <w:ind w:left="-53" w:leftChars="-25" w:right="-53" w:rightChars="-25"/>
              <w:jc w:val="left"/>
              <w:rPr>
                <w:rFonts w:ascii="宋体" w:hAnsi="宋体"/>
                <w:color w:val="auto"/>
                <w:szCs w:val="21"/>
                <w:highlight w:val="none"/>
              </w:rPr>
            </w:pPr>
            <w:r>
              <w:rPr>
                <w:rFonts w:hint="eastAsia" w:ascii="宋体" w:hAnsi="宋体"/>
                <w:color w:val="auto"/>
                <w:szCs w:val="21"/>
                <w:highlight w:val="none"/>
              </w:rPr>
              <w:t>须按招标公告要求提供的资料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70" w:type="dxa"/>
            <w:vAlign w:val="center"/>
          </w:tcPr>
          <w:p>
            <w:pPr>
              <w:snapToGrid w:val="0"/>
              <w:spacing w:before="62" w:beforeLines="20" w:after="62" w:afterLines="20"/>
              <w:ind w:left="-53" w:leftChars="-25" w:right="-53" w:rightChars="-25"/>
              <w:jc w:val="center"/>
              <w:rPr>
                <w:rFonts w:ascii="宋体" w:hAnsi="宋体"/>
                <w:color w:val="auto"/>
                <w:szCs w:val="21"/>
                <w:highlight w:val="none"/>
              </w:rPr>
            </w:pPr>
            <w:r>
              <w:rPr>
                <w:rFonts w:hint="eastAsia" w:ascii="宋体" w:hAnsi="宋体"/>
                <w:color w:val="auto"/>
                <w:szCs w:val="21"/>
                <w:highlight w:val="none"/>
              </w:rPr>
              <w:t>技术负责人</w:t>
            </w:r>
          </w:p>
        </w:tc>
        <w:tc>
          <w:tcPr>
            <w:tcW w:w="1217" w:type="dxa"/>
            <w:vAlign w:val="center"/>
          </w:tcPr>
          <w:p>
            <w:pPr>
              <w:widowControl/>
              <w:snapToGrid w:val="0"/>
              <w:spacing w:before="62" w:beforeLines="20" w:after="62" w:afterLines="20"/>
              <w:ind w:left="-53" w:leftChars="-25" w:right="-53" w:rightChars="-25"/>
              <w:jc w:val="center"/>
              <w:rPr>
                <w:rFonts w:ascii="宋体" w:hAnsi="宋体" w:cs="宋体"/>
                <w:color w:val="auto"/>
                <w:kern w:val="0"/>
                <w:szCs w:val="21"/>
                <w:highlight w:val="none"/>
              </w:rPr>
            </w:pPr>
            <w:r>
              <w:rPr>
                <w:rFonts w:ascii="宋体" w:hAnsi="宋体" w:cs="宋体"/>
                <w:color w:val="auto"/>
                <w:kern w:val="0"/>
                <w:szCs w:val="21"/>
                <w:highlight w:val="none"/>
              </w:rPr>
              <w:t>1</w:t>
            </w:r>
          </w:p>
        </w:tc>
        <w:tc>
          <w:tcPr>
            <w:tcW w:w="7727" w:type="dxa"/>
          </w:tcPr>
          <w:p>
            <w:pPr>
              <w:widowControl/>
              <w:snapToGrid w:val="0"/>
              <w:spacing w:before="62" w:beforeLines="20" w:after="62" w:afterLines="20"/>
              <w:ind w:left="-53" w:leftChars="-25" w:right="-53" w:rightChars="-25"/>
              <w:jc w:val="left"/>
              <w:rPr>
                <w:rFonts w:ascii="宋体" w:hAnsi="宋体"/>
                <w:color w:val="auto"/>
                <w:szCs w:val="21"/>
                <w:highlight w:val="none"/>
                <w:lang w:val="zh-TW" w:eastAsia="zh-TW"/>
              </w:rPr>
            </w:pPr>
            <w:r>
              <w:rPr>
                <w:rFonts w:hint="eastAsia" w:ascii="宋体" w:hAnsi="宋体"/>
                <w:color w:val="auto"/>
                <w:szCs w:val="21"/>
                <w:highlight w:val="none"/>
              </w:rPr>
              <w:t>按招标公告要求</w:t>
            </w:r>
          </w:p>
        </w:tc>
        <w:tc>
          <w:tcPr>
            <w:tcW w:w="3400" w:type="dxa"/>
            <w:vAlign w:val="center"/>
          </w:tcPr>
          <w:p>
            <w:pPr>
              <w:widowControl/>
              <w:snapToGrid w:val="0"/>
              <w:spacing w:before="62" w:beforeLines="20" w:after="62" w:afterLines="20"/>
              <w:ind w:left="-53" w:leftChars="-25" w:right="-53" w:rightChars="-25"/>
              <w:jc w:val="left"/>
              <w:rPr>
                <w:rFonts w:ascii="宋体" w:hAnsi="宋体"/>
                <w:color w:val="auto"/>
                <w:szCs w:val="21"/>
                <w:highlight w:val="none"/>
              </w:rPr>
            </w:pPr>
            <w:r>
              <w:rPr>
                <w:rFonts w:hint="eastAsia" w:ascii="宋体" w:hAnsi="宋体"/>
                <w:color w:val="auto"/>
                <w:szCs w:val="21"/>
                <w:highlight w:val="none"/>
              </w:rPr>
              <w:t>须按招标公告要求提供的资料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670" w:type="dxa"/>
            <w:vAlign w:val="center"/>
          </w:tcPr>
          <w:p>
            <w:pPr>
              <w:snapToGrid w:val="0"/>
              <w:spacing w:before="62" w:beforeLines="20" w:after="62" w:afterLines="20"/>
              <w:ind w:left="-53" w:leftChars="-25" w:right="-53" w:rightChars="-25"/>
              <w:jc w:val="center"/>
              <w:rPr>
                <w:rFonts w:ascii="宋体" w:hAnsi="宋体"/>
                <w:color w:val="auto"/>
                <w:szCs w:val="21"/>
                <w:highlight w:val="none"/>
              </w:rPr>
            </w:pPr>
            <w:r>
              <w:rPr>
                <w:rFonts w:hint="eastAsia" w:ascii="宋体" w:hAnsi="宋体"/>
                <w:color w:val="auto"/>
                <w:szCs w:val="21"/>
                <w:highlight w:val="none"/>
              </w:rPr>
              <w:t>质量负责人</w:t>
            </w:r>
          </w:p>
        </w:tc>
        <w:tc>
          <w:tcPr>
            <w:tcW w:w="1217" w:type="dxa"/>
            <w:vAlign w:val="center"/>
          </w:tcPr>
          <w:p>
            <w:pPr>
              <w:widowControl/>
              <w:snapToGrid w:val="0"/>
              <w:spacing w:before="62" w:beforeLines="20" w:after="62" w:afterLines="20"/>
              <w:ind w:left="-53" w:leftChars="-25" w:right="-53" w:rightChars="-25"/>
              <w:jc w:val="center"/>
              <w:rPr>
                <w:rFonts w:ascii="宋体" w:hAnsi="宋体" w:cs="宋体"/>
                <w:color w:val="auto"/>
                <w:kern w:val="0"/>
                <w:szCs w:val="21"/>
                <w:highlight w:val="none"/>
              </w:rPr>
            </w:pPr>
            <w:r>
              <w:rPr>
                <w:rFonts w:ascii="宋体" w:hAnsi="宋体" w:cs="宋体"/>
                <w:color w:val="auto"/>
                <w:kern w:val="0"/>
                <w:szCs w:val="21"/>
                <w:highlight w:val="none"/>
              </w:rPr>
              <w:t>1</w:t>
            </w:r>
          </w:p>
        </w:tc>
        <w:tc>
          <w:tcPr>
            <w:tcW w:w="7727" w:type="dxa"/>
          </w:tcPr>
          <w:p>
            <w:pPr>
              <w:widowControl/>
              <w:snapToGrid w:val="0"/>
              <w:spacing w:before="62" w:beforeLines="20" w:after="62" w:afterLines="20"/>
              <w:ind w:left="-53" w:leftChars="-25" w:right="-53" w:rightChars="-25"/>
              <w:jc w:val="left"/>
              <w:rPr>
                <w:rFonts w:ascii="宋体" w:hAnsi="宋体"/>
                <w:color w:val="auto"/>
                <w:szCs w:val="21"/>
                <w:highlight w:val="none"/>
              </w:rPr>
            </w:pPr>
            <w:r>
              <w:rPr>
                <w:rFonts w:hint="eastAsia" w:ascii="宋体" w:hAnsi="宋体"/>
                <w:color w:val="auto"/>
                <w:szCs w:val="21"/>
                <w:highlight w:val="none"/>
              </w:rPr>
              <w:t>具有质量员岗位证书或培训证书；</w:t>
            </w:r>
          </w:p>
        </w:tc>
        <w:tc>
          <w:tcPr>
            <w:tcW w:w="3400" w:type="dxa"/>
            <w:vAlign w:val="center"/>
          </w:tcPr>
          <w:p>
            <w:pPr>
              <w:widowControl/>
              <w:snapToGrid w:val="0"/>
              <w:spacing w:before="62" w:beforeLines="20" w:after="62" w:afterLines="20"/>
              <w:ind w:left="-53" w:leftChars="-25" w:right="-53" w:rightChars="-25"/>
              <w:jc w:val="left"/>
              <w:rPr>
                <w:rFonts w:ascii="宋体" w:hAnsi="宋体"/>
                <w:color w:val="auto"/>
                <w:szCs w:val="21"/>
                <w:highlight w:val="none"/>
              </w:rPr>
            </w:pPr>
            <w:r>
              <w:rPr>
                <w:rFonts w:hint="eastAsia" w:ascii="宋体" w:hAnsi="宋体"/>
                <w:color w:val="auto"/>
                <w:szCs w:val="21"/>
                <w:highlight w:val="none"/>
              </w:rPr>
              <w:t>须提供相应岗位证书或培训证书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670" w:type="dxa"/>
            <w:vAlign w:val="center"/>
          </w:tcPr>
          <w:p>
            <w:pPr>
              <w:widowControl/>
              <w:jc w:val="center"/>
              <w:rPr>
                <w:rFonts w:ascii="宋体" w:hAnsi="宋体"/>
                <w:color w:val="auto"/>
                <w:szCs w:val="21"/>
                <w:highlight w:val="none"/>
              </w:rPr>
            </w:pPr>
            <w:r>
              <w:rPr>
                <w:rFonts w:hint="eastAsia" w:ascii="宋体" w:hAnsi="宋体" w:cs="仿宋"/>
                <w:color w:val="auto"/>
                <w:kern w:val="0"/>
                <w:szCs w:val="21"/>
                <w:highlight w:val="none"/>
                <w:lang w:val="zh-TW" w:eastAsia="zh-TW" w:bidi="zh-TW"/>
              </w:rPr>
              <w:t>安全负责人</w:t>
            </w:r>
          </w:p>
        </w:tc>
        <w:tc>
          <w:tcPr>
            <w:tcW w:w="1217" w:type="dxa"/>
            <w:vAlign w:val="center"/>
          </w:tcPr>
          <w:p>
            <w:pPr>
              <w:widowControl/>
              <w:jc w:val="center"/>
              <w:rPr>
                <w:rFonts w:ascii="宋体" w:hAnsi="宋体" w:cs="宋体"/>
                <w:color w:val="auto"/>
                <w:kern w:val="0"/>
                <w:szCs w:val="21"/>
                <w:highlight w:val="none"/>
              </w:rPr>
            </w:pPr>
            <w:r>
              <w:rPr>
                <w:rFonts w:ascii="宋体" w:hAnsi="宋体" w:cs="仿宋"/>
                <w:color w:val="auto"/>
                <w:kern w:val="0"/>
                <w:szCs w:val="21"/>
                <w:highlight w:val="none"/>
              </w:rPr>
              <w:t>1</w:t>
            </w:r>
          </w:p>
        </w:tc>
        <w:tc>
          <w:tcPr>
            <w:tcW w:w="7727" w:type="dxa"/>
          </w:tcPr>
          <w:p>
            <w:pPr>
              <w:pStyle w:val="38"/>
              <w:ind w:left="0" w:leftChars="0" w:firstLine="0" w:firstLineChars="0"/>
              <w:rPr>
                <w:rFonts w:ascii="宋体" w:hAnsi="宋体"/>
                <w:color w:val="auto"/>
                <w:szCs w:val="21"/>
                <w:highlight w:val="none"/>
                <w:lang w:val="zh-TW"/>
              </w:rPr>
            </w:pPr>
            <w:r>
              <w:rPr>
                <w:rFonts w:hint="eastAsia" w:ascii="宋体" w:hAnsi="宋体"/>
                <w:color w:val="auto"/>
                <w:szCs w:val="21"/>
                <w:highlight w:val="none"/>
              </w:rPr>
              <w:t>具有</w:t>
            </w:r>
            <w:r>
              <w:rPr>
                <w:rFonts w:hint="eastAsia" w:ascii="宋体" w:hAnsi="宋体" w:cs="宋体"/>
                <w:bCs/>
                <w:color w:val="auto"/>
                <w:szCs w:val="21"/>
                <w:highlight w:val="none"/>
              </w:rPr>
              <w:t>具备有效的安全生产考核合格证（</w:t>
            </w:r>
            <w:r>
              <w:rPr>
                <w:rFonts w:ascii="宋体" w:hAnsi="宋体" w:cs="宋体"/>
                <w:bCs/>
                <w:color w:val="auto"/>
                <w:szCs w:val="21"/>
                <w:highlight w:val="none"/>
              </w:rPr>
              <w:t>C类）或</w:t>
            </w:r>
            <w:r>
              <w:rPr>
                <w:rFonts w:hint="eastAsia" w:ascii="宋体" w:hAnsi="宋体" w:cs="宋体"/>
                <w:bCs/>
                <w:color w:val="auto"/>
                <w:highlight w:val="none"/>
              </w:rPr>
              <w:t>建筑施工企业专职安全生产管理人员安全生产考核合格证书（</w:t>
            </w:r>
            <w:r>
              <w:rPr>
                <w:rFonts w:ascii="宋体" w:hAnsi="宋体" w:cs="宋体"/>
                <w:bCs/>
                <w:color w:val="auto"/>
                <w:szCs w:val="21"/>
                <w:highlight w:val="none"/>
              </w:rPr>
              <w:t>C3</w:t>
            </w:r>
            <w:r>
              <w:rPr>
                <w:rFonts w:hint="eastAsia" w:ascii="宋体" w:hAnsi="宋体" w:cs="宋体"/>
                <w:bCs/>
                <w:color w:val="auto"/>
                <w:szCs w:val="21"/>
                <w:highlight w:val="none"/>
              </w:rPr>
              <w:t>类</w:t>
            </w:r>
            <w:r>
              <w:rPr>
                <w:rFonts w:hint="eastAsia" w:ascii="宋体" w:hAnsi="宋体" w:cs="宋体"/>
                <w:bCs/>
                <w:color w:val="auto"/>
                <w:highlight w:val="none"/>
              </w:rPr>
              <w:t>）</w:t>
            </w:r>
          </w:p>
        </w:tc>
        <w:tc>
          <w:tcPr>
            <w:tcW w:w="3400" w:type="dxa"/>
            <w:vAlign w:val="center"/>
          </w:tcPr>
          <w:p>
            <w:pPr>
              <w:widowControl/>
              <w:snapToGrid w:val="0"/>
              <w:spacing w:before="62" w:beforeLines="20" w:after="62" w:afterLines="20"/>
              <w:ind w:left="-53" w:leftChars="-25" w:right="-53" w:rightChars="-25"/>
              <w:jc w:val="left"/>
              <w:rPr>
                <w:rFonts w:ascii="宋体" w:hAnsi="宋体"/>
                <w:color w:val="auto"/>
                <w:szCs w:val="21"/>
                <w:highlight w:val="none"/>
              </w:rPr>
            </w:pPr>
            <w:r>
              <w:rPr>
                <w:rFonts w:hint="eastAsia" w:ascii="宋体" w:hAnsi="宋体"/>
                <w:color w:val="auto"/>
                <w:szCs w:val="21"/>
                <w:highlight w:val="none"/>
              </w:rPr>
              <w:t>须提供</w:t>
            </w:r>
            <w:r>
              <w:rPr>
                <w:rFonts w:hint="eastAsia" w:ascii="宋体" w:hAnsi="宋体" w:cs="宋体"/>
                <w:bCs/>
                <w:color w:val="auto"/>
                <w:highlight w:val="none"/>
              </w:rPr>
              <w:t>安全生产考核合格证书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670" w:type="dxa"/>
            <w:vAlign w:val="center"/>
          </w:tcPr>
          <w:p>
            <w:pPr>
              <w:snapToGrid w:val="0"/>
              <w:spacing w:before="62" w:beforeLines="20" w:after="62" w:afterLines="20"/>
              <w:ind w:left="-53" w:leftChars="-25" w:right="-53" w:rightChars="-25"/>
              <w:jc w:val="center"/>
              <w:rPr>
                <w:rFonts w:ascii="宋体" w:hAnsi="宋体"/>
                <w:color w:val="auto"/>
                <w:szCs w:val="21"/>
                <w:highlight w:val="none"/>
              </w:rPr>
            </w:pPr>
            <w:r>
              <w:rPr>
                <w:rFonts w:hint="eastAsia" w:ascii="宋体" w:hAnsi="宋体"/>
                <w:color w:val="auto"/>
                <w:szCs w:val="21"/>
                <w:highlight w:val="none"/>
                <w:lang w:val="zh-TW" w:eastAsia="zh-TW"/>
              </w:rPr>
              <w:t>造价负责人</w:t>
            </w:r>
          </w:p>
        </w:tc>
        <w:tc>
          <w:tcPr>
            <w:tcW w:w="1217" w:type="dxa"/>
            <w:vAlign w:val="center"/>
          </w:tcPr>
          <w:p>
            <w:pPr>
              <w:widowControl/>
              <w:spacing w:after="120"/>
              <w:jc w:val="center"/>
              <w:rPr>
                <w:rFonts w:ascii="宋体" w:hAnsi="宋体" w:cs="宋体"/>
                <w:color w:val="auto"/>
                <w:kern w:val="0"/>
                <w:szCs w:val="21"/>
                <w:highlight w:val="none"/>
              </w:rPr>
            </w:pPr>
            <w:r>
              <w:rPr>
                <w:rFonts w:ascii="宋体" w:hAnsi="宋体" w:cs="仿宋"/>
                <w:color w:val="auto"/>
                <w:kern w:val="0"/>
                <w:szCs w:val="21"/>
                <w:highlight w:val="none"/>
              </w:rPr>
              <w:t>1</w:t>
            </w:r>
          </w:p>
        </w:tc>
        <w:tc>
          <w:tcPr>
            <w:tcW w:w="7727" w:type="dxa"/>
          </w:tcPr>
          <w:p>
            <w:pPr>
              <w:widowControl/>
              <w:snapToGrid w:val="0"/>
              <w:spacing w:before="62" w:beforeLines="20" w:after="62" w:afterLines="20"/>
              <w:ind w:left="-53" w:leftChars="-25" w:right="-53" w:rightChars="-25"/>
              <w:jc w:val="left"/>
              <w:rPr>
                <w:rFonts w:ascii="宋体" w:hAnsi="宋体"/>
                <w:color w:val="auto"/>
                <w:szCs w:val="21"/>
                <w:highlight w:val="none"/>
              </w:rPr>
            </w:pPr>
            <w:r>
              <w:rPr>
                <w:rFonts w:hint="eastAsia" w:ascii="宋体" w:hAnsi="宋体"/>
                <w:color w:val="auto"/>
                <w:szCs w:val="21"/>
                <w:highlight w:val="none"/>
                <w:lang w:val="zh-TW" w:eastAsia="zh-TW"/>
              </w:rPr>
              <w:t>具有一级注册造价工程师执业资格</w:t>
            </w:r>
            <w:r>
              <w:rPr>
                <w:rFonts w:ascii="宋体" w:hAnsi="宋体"/>
                <w:color w:val="auto"/>
                <w:szCs w:val="21"/>
                <w:highlight w:val="none"/>
                <w:lang w:val="zh-TW" w:eastAsia="zh-TW"/>
              </w:rPr>
              <w:t>且在有效期内</w:t>
            </w:r>
          </w:p>
        </w:tc>
        <w:tc>
          <w:tcPr>
            <w:tcW w:w="3400" w:type="dxa"/>
            <w:vAlign w:val="center"/>
          </w:tcPr>
          <w:p>
            <w:pPr>
              <w:widowControl/>
              <w:snapToGrid w:val="0"/>
              <w:spacing w:before="62" w:beforeLines="20" w:after="62" w:afterLines="20"/>
              <w:ind w:left="-53" w:leftChars="-25" w:right="-53" w:rightChars="-25"/>
              <w:jc w:val="left"/>
              <w:rPr>
                <w:rFonts w:ascii="宋体" w:hAnsi="宋体"/>
                <w:color w:val="auto"/>
                <w:szCs w:val="21"/>
                <w:highlight w:val="none"/>
              </w:rPr>
            </w:pPr>
            <w:r>
              <w:rPr>
                <w:rFonts w:hint="eastAsia" w:ascii="宋体" w:hAnsi="宋体"/>
                <w:color w:val="auto"/>
                <w:szCs w:val="21"/>
                <w:highlight w:val="none"/>
              </w:rPr>
              <w:t>须提供造价工程师注册证书、注册信息查询网页截图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670" w:type="dxa"/>
            <w:vAlign w:val="center"/>
          </w:tcPr>
          <w:p>
            <w:pPr>
              <w:snapToGrid w:val="0"/>
              <w:spacing w:before="62" w:beforeLines="20" w:after="62" w:afterLines="20"/>
              <w:ind w:left="-53" w:leftChars="-25" w:right="-53" w:rightChars="-25"/>
              <w:jc w:val="center"/>
              <w:rPr>
                <w:rFonts w:ascii="宋体" w:hAnsi="宋体"/>
                <w:color w:val="auto"/>
                <w:szCs w:val="21"/>
                <w:highlight w:val="none"/>
              </w:rPr>
            </w:pPr>
            <w:r>
              <w:rPr>
                <w:rFonts w:hint="eastAsia" w:ascii="宋体" w:hAnsi="宋体"/>
                <w:color w:val="auto"/>
                <w:szCs w:val="21"/>
                <w:highlight w:val="none"/>
              </w:rPr>
              <w:t>专职安全员</w:t>
            </w:r>
          </w:p>
        </w:tc>
        <w:tc>
          <w:tcPr>
            <w:tcW w:w="1217" w:type="dxa"/>
            <w:vAlign w:val="center"/>
          </w:tcPr>
          <w:p>
            <w:pPr>
              <w:widowControl/>
              <w:snapToGrid w:val="0"/>
              <w:spacing w:before="62" w:beforeLines="20" w:after="62" w:afterLines="20"/>
              <w:ind w:left="-53" w:leftChars="-25" w:right="-53" w:rightChars="-25"/>
              <w:jc w:val="center"/>
              <w:rPr>
                <w:rFonts w:ascii="宋体" w:hAnsi="宋体" w:cs="宋体"/>
                <w:color w:val="auto"/>
                <w:kern w:val="0"/>
                <w:szCs w:val="21"/>
                <w:highlight w:val="none"/>
              </w:rPr>
            </w:pPr>
            <w:r>
              <w:rPr>
                <w:rFonts w:ascii="宋体" w:hAnsi="宋体" w:cs="宋体"/>
                <w:color w:val="auto"/>
                <w:kern w:val="0"/>
                <w:szCs w:val="21"/>
                <w:highlight w:val="none"/>
              </w:rPr>
              <w:t>1</w:t>
            </w:r>
          </w:p>
        </w:tc>
        <w:tc>
          <w:tcPr>
            <w:tcW w:w="7727" w:type="dxa"/>
            <w:vAlign w:val="center"/>
          </w:tcPr>
          <w:p>
            <w:pPr>
              <w:widowControl/>
              <w:snapToGrid w:val="0"/>
              <w:spacing w:before="62" w:beforeLines="20" w:after="62" w:afterLines="20"/>
              <w:ind w:left="-53" w:leftChars="-25" w:right="-53" w:rightChars="-25"/>
              <w:jc w:val="left"/>
              <w:rPr>
                <w:rFonts w:ascii="宋体" w:hAnsi="宋体"/>
                <w:color w:val="auto"/>
                <w:szCs w:val="21"/>
                <w:highlight w:val="none"/>
              </w:rPr>
            </w:pPr>
            <w:r>
              <w:rPr>
                <w:rFonts w:hint="eastAsia" w:ascii="宋体" w:hAnsi="宋体"/>
                <w:color w:val="auto"/>
                <w:szCs w:val="21"/>
                <w:highlight w:val="none"/>
              </w:rPr>
              <w:t>按招标公告要求</w:t>
            </w:r>
          </w:p>
        </w:tc>
        <w:tc>
          <w:tcPr>
            <w:tcW w:w="3400" w:type="dxa"/>
            <w:vAlign w:val="center"/>
          </w:tcPr>
          <w:p>
            <w:pPr>
              <w:widowControl/>
              <w:snapToGrid w:val="0"/>
              <w:spacing w:before="62" w:beforeLines="20" w:after="62" w:afterLines="20"/>
              <w:ind w:left="-53" w:leftChars="-25" w:right="-53" w:rightChars="-25"/>
              <w:jc w:val="left"/>
              <w:rPr>
                <w:rFonts w:ascii="宋体" w:hAnsi="宋体"/>
                <w:color w:val="auto"/>
                <w:szCs w:val="21"/>
                <w:highlight w:val="none"/>
              </w:rPr>
            </w:pPr>
            <w:r>
              <w:rPr>
                <w:rFonts w:hint="eastAsia" w:ascii="宋体" w:hAnsi="宋体"/>
                <w:color w:val="auto"/>
                <w:szCs w:val="21"/>
                <w:highlight w:val="none"/>
              </w:rPr>
              <w:t>须按招标公告要求提供的资料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670" w:type="dxa"/>
            <w:vAlign w:val="center"/>
          </w:tcPr>
          <w:p>
            <w:pPr>
              <w:snapToGrid w:val="0"/>
              <w:spacing w:before="62" w:beforeLines="20" w:after="62" w:afterLines="20"/>
              <w:ind w:left="-53" w:leftChars="-25" w:right="-53" w:rightChars="-25"/>
              <w:jc w:val="center"/>
              <w:rPr>
                <w:rFonts w:ascii="宋体" w:hAnsi="宋体"/>
                <w:color w:val="auto"/>
                <w:szCs w:val="21"/>
                <w:highlight w:val="none"/>
              </w:rPr>
            </w:pPr>
            <w:r>
              <w:rPr>
                <w:rFonts w:hint="eastAsia" w:ascii="宋体" w:hAnsi="宋体"/>
                <w:color w:val="auto"/>
                <w:szCs w:val="21"/>
                <w:highlight w:val="none"/>
              </w:rPr>
              <w:t>预、结算员</w:t>
            </w:r>
          </w:p>
        </w:tc>
        <w:tc>
          <w:tcPr>
            <w:tcW w:w="1217" w:type="dxa"/>
            <w:vAlign w:val="center"/>
          </w:tcPr>
          <w:p>
            <w:pPr>
              <w:widowControl/>
              <w:jc w:val="center"/>
              <w:rPr>
                <w:rFonts w:ascii="宋体" w:hAnsi="宋体" w:cs="宋体"/>
                <w:color w:val="auto"/>
                <w:kern w:val="0"/>
                <w:szCs w:val="21"/>
                <w:highlight w:val="none"/>
              </w:rPr>
            </w:pPr>
            <w:r>
              <w:rPr>
                <w:rFonts w:ascii="宋体" w:hAnsi="宋体" w:cs="仿宋"/>
                <w:color w:val="auto"/>
                <w:kern w:val="0"/>
                <w:szCs w:val="21"/>
                <w:highlight w:val="none"/>
              </w:rPr>
              <w:t>1</w:t>
            </w:r>
          </w:p>
        </w:tc>
        <w:tc>
          <w:tcPr>
            <w:tcW w:w="7727" w:type="dxa"/>
          </w:tcPr>
          <w:p>
            <w:pPr>
              <w:widowControl/>
              <w:snapToGrid w:val="0"/>
              <w:spacing w:before="62" w:beforeLines="20" w:after="62" w:afterLines="20"/>
              <w:ind w:left="-53" w:leftChars="-25" w:right="-53" w:rightChars="-25"/>
              <w:jc w:val="left"/>
              <w:rPr>
                <w:rFonts w:ascii="宋体" w:hAnsi="宋体"/>
                <w:color w:val="auto"/>
                <w:szCs w:val="21"/>
                <w:highlight w:val="none"/>
                <w:lang w:val="zh-TW" w:eastAsia="zh-TW"/>
              </w:rPr>
            </w:pPr>
            <w:r>
              <w:rPr>
                <w:rFonts w:hint="eastAsia" w:ascii="宋体" w:hAnsi="宋体"/>
                <w:color w:val="auto"/>
                <w:szCs w:val="21"/>
                <w:highlight w:val="none"/>
                <w:lang w:val="zh-TW" w:eastAsia="zh-TW"/>
              </w:rPr>
              <w:t>具有一级注册造价工程师执业资格</w:t>
            </w:r>
            <w:r>
              <w:rPr>
                <w:rFonts w:ascii="宋体" w:hAnsi="宋体"/>
                <w:color w:val="auto"/>
                <w:szCs w:val="21"/>
                <w:highlight w:val="none"/>
                <w:lang w:val="zh-TW" w:eastAsia="zh-TW"/>
              </w:rPr>
              <w:t>且在有效期内</w:t>
            </w:r>
          </w:p>
        </w:tc>
        <w:tc>
          <w:tcPr>
            <w:tcW w:w="3400" w:type="dxa"/>
            <w:vAlign w:val="center"/>
          </w:tcPr>
          <w:p>
            <w:pPr>
              <w:widowControl/>
              <w:snapToGrid w:val="0"/>
              <w:spacing w:before="62" w:beforeLines="20" w:after="62" w:afterLines="20"/>
              <w:ind w:left="-53" w:leftChars="-25" w:right="-53" w:rightChars="-25"/>
              <w:jc w:val="left"/>
              <w:rPr>
                <w:rFonts w:ascii="宋体" w:hAnsi="宋体"/>
                <w:color w:val="auto"/>
                <w:szCs w:val="21"/>
                <w:highlight w:val="none"/>
              </w:rPr>
            </w:pPr>
            <w:r>
              <w:rPr>
                <w:rFonts w:hint="eastAsia" w:ascii="宋体" w:hAnsi="宋体"/>
                <w:color w:val="auto"/>
                <w:szCs w:val="21"/>
                <w:highlight w:val="none"/>
              </w:rPr>
              <w:t>须提供造价工程师注册证书、注册信息查询网页截图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70" w:type="dxa"/>
            <w:vAlign w:val="center"/>
          </w:tcPr>
          <w:p>
            <w:pPr>
              <w:widowControl/>
              <w:jc w:val="center"/>
              <w:rPr>
                <w:rFonts w:ascii="宋体" w:hAnsi="宋体"/>
                <w:color w:val="auto"/>
                <w:szCs w:val="21"/>
                <w:highlight w:val="none"/>
              </w:rPr>
            </w:pPr>
            <w:r>
              <w:rPr>
                <w:rFonts w:hint="eastAsia" w:ascii="宋体" w:hAnsi="宋体" w:cs="宋体"/>
                <w:bCs/>
                <w:color w:val="auto"/>
                <w:szCs w:val="21"/>
                <w:highlight w:val="none"/>
              </w:rPr>
              <w:t>装修工程师</w:t>
            </w:r>
          </w:p>
        </w:tc>
        <w:tc>
          <w:tcPr>
            <w:tcW w:w="1217" w:type="dxa"/>
            <w:vAlign w:val="center"/>
          </w:tcPr>
          <w:p>
            <w:pPr>
              <w:widowControl/>
              <w:jc w:val="center"/>
              <w:rPr>
                <w:rFonts w:ascii="宋体" w:hAnsi="宋体" w:cs="仿宋"/>
                <w:color w:val="auto"/>
                <w:kern w:val="0"/>
                <w:szCs w:val="21"/>
                <w:highlight w:val="none"/>
              </w:rPr>
            </w:pPr>
            <w:r>
              <w:rPr>
                <w:rFonts w:ascii="宋体" w:hAnsi="宋体" w:cs="仿宋"/>
                <w:color w:val="auto"/>
                <w:kern w:val="0"/>
                <w:szCs w:val="21"/>
                <w:highlight w:val="none"/>
              </w:rPr>
              <w:t>1</w:t>
            </w:r>
          </w:p>
        </w:tc>
        <w:tc>
          <w:tcPr>
            <w:tcW w:w="7727" w:type="dxa"/>
          </w:tcPr>
          <w:p>
            <w:pPr>
              <w:widowControl/>
              <w:snapToGrid w:val="0"/>
              <w:spacing w:before="62" w:beforeLines="20" w:after="62" w:afterLines="20"/>
              <w:ind w:left="-53" w:leftChars="-25" w:right="-53" w:rightChars="-25"/>
              <w:jc w:val="left"/>
              <w:rPr>
                <w:rFonts w:ascii="宋体" w:hAnsi="宋体"/>
                <w:color w:val="auto"/>
                <w:szCs w:val="21"/>
                <w:highlight w:val="none"/>
                <w:lang w:val="zh-TW" w:eastAsia="zh-TW"/>
              </w:rPr>
            </w:pPr>
            <w:r>
              <w:rPr>
                <w:rFonts w:hint="eastAsia" w:ascii="宋体" w:hAnsi="宋体" w:cs="宋体"/>
                <w:bCs/>
                <w:color w:val="auto"/>
                <w:szCs w:val="21"/>
                <w:highlight w:val="none"/>
              </w:rPr>
              <w:t>具有建筑装饰装修相关专业中级（或以上）技术职称</w:t>
            </w:r>
          </w:p>
        </w:tc>
        <w:tc>
          <w:tcPr>
            <w:tcW w:w="3400" w:type="dxa"/>
            <w:vAlign w:val="center"/>
          </w:tcPr>
          <w:p>
            <w:pPr>
              <w:widowControl/>
              <w:snapToGrid w:val="0"/>
              <w:spacing w:before="62" w:beforeLines="20" w:after="62" w:afterLines="20"/>
              <w:ind w:left="-53" w:leftChars="-25" w:right="-53" w:rightChars="-25"/>
              <w:jc w:val="left"/>
              <w:rPr>
                <w:rFonts w:ascii="宋体" w:hAnsi="宋体"/>
                <w:color w:val="auto"/>
                <w:szCs w:val="21"/>
                <w:highlight w:val="none"/>
              </w:rPr>
            </w:pPr>
            <w:r>
              <w:rPr>
                <w:rFonts w:hint="eastAsia" w:ascii="宋体" w:hAnsi="宋体"/>
                <w:color w:val="auto"/>
                <w:szCs w:val="21"/>
                <w:highlight w:val="none"/>
              </w:rPr>
              <w:t>须提供职称证书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670" w:type="dxa"/>
            <w:vAlign w:val="center"/>
          </w:tcPr>
          <w:p>
            <w:pPr>
              <w:snapToGrid w:val="0"/>
              <w:spacing w:before="62" w:beforeLines="20" w:after="62" w:afterLines="20"/>
              <w:ind w:left="-53" w:leftChars="-25" w:right="-53" w:rightChars="-25"/>
              <w:jc w:val="center"/>
              <w:rPr>
                <w:rFonts w:ascii="宋体" w:hAnsi="宋体"/>
                <w:color w:val="auto"/>
                <w:szCs w:val="21"/>
                <w:highlight w:val="none"/>
              </w:rPr>
            </w:pPr>
            <w:r>
              <w:rPr>
                <w:rFonts w:hint="eastAsia" w:ascii="宋体" w:hAnsi="宋体"/>
                <w:color w:val="auto"/>
                <w:szCs w:val="21"/>
                <w:highlight w:val="none"/>
              </w:rPr>
              <w:t>机电安装工程师</w:t>
            </w:r>
          </w:p>
        </w:tc>
        <w:tc>
          <w:tcPr>
            <w:tcW w:w="1217" w:type="dxa"/>
            <w:vAlign w:val="center"/>
          </w:tcPr>
          <w:p>
            <w:pPr>
              <w:widowControl/>
              <w:jc w:val="center"/>
              <w:rPr>
                <w:rFonts w:ascii="宋体" w:hAnsi="宋体" w:cs="仿宋"/>
                <w:color w:val="auto"/>
                <w:kern w:val="0"/>
                <w:szCs w:val="21"/>
                <w:highlight w:val="none"/>
              </w:rPr>
            </w:pPr>
            <w:r>
              <w:rPr>
                <w:rFonts w:ascii="宋体" w:hAnsi="宋体" w:cs="仿宋"/>
                <w:color w:val="auto"/>
                <w:kern w:val="0"/>
                <w:szCs w:val="21"/>
                <w:highlight w:val="none"/>
              </w:rPr>
              <w:t>1</w:t>
            </w:r>
          </w:p>
        </w:tc>
        <w:tc>
          <w:tcPr>
            <w:tcW w:w="7727" w:type="dxa"/>
          </w:tcPr>
          <w:p>
            <w:pPr>
              <w:widowControl/>
              <w:snapToGrid w:val="0"/>
              <w:spacing w:before="62" w:beforeLines="20" w:after="62" w:afterLines="20"/>
              <w:ind w:right="-53" w:rightChars="-25"/>
              <w:jc w:val="left"/>
              <w:rPr>
                <w:rFonts w:ascii="宋体" w:hAnsi="宋体"/>
                <w:color w:val="auto"/>
                <w:szCs w:val="21"/>
                <w:highlight w:val="none"/>
                <w:lang w:val="zh-TW" w:eastAsia="zh-TW"/>
              </w:rPr>
            </w:pPr>
            <w:r>
              <w:rPr>
                <w:rFonts w:hint="eastAsia" w:ascii="宋体" w:hAnsi="宋体" w:cs="宋体"/>
                <w:bCs/>
                <w:color w:val="auto"/>
                <w:szCs w:val="21"/>
                <w:highlight w:val="none"/>
              </w:rPr>
              <w:t>具有机电专业中级（或以上）</w:t>
            </w:r>
            <w:r>
              <w:rPr>
                <w:rFonts w:hint="eastAsia" w:asciiTheme="minorEastAsia" w:hAnsiTheme="minorEastAsia" w:eastAsiaTheme="minorEastAsia" w:cstheme="minorEastAsia"/>
                <w:color w:val="auto"/>
                <w:szCs w:val="21"/>
                <w:highlight w:val="none"/>
              </w:rPr>
              <w:t>技术职称</w:t>
            </w:r>
          </w:p>
        </w:tc>
        <w:tc>
          <w:tcPr>
            <w:tcW w:w="3400" w:type="dxa"/>
            <w:vAlign w:val="center"/>
          </w:tcPr>
          <w:p>
            <w:pPr>
              <w:widowControl/>
              <w:snapToGrid w:val="0"/>
              <w:spacing w:before="62" w:beforeLines="20" w:after="62" w:afterLines="20"/>
              <w:ind w:left="-53" w:leftChars="-25" w:right="-53" w:rightChars="-25"/>
              <w:jc w:val="left"/>
              <w:rPr>
                <w:rFonts w:ascii="宋体" w:hAnsi="宋体"/>
                <w:color w:val="auto"/>
                <w:szCs w:val="21"/>
                <w:highlight w:val="none"/>
              </w:rPr>
            </w:pPr>
            <w:r>
              <w:rPr>
                <w:rFonts w:hint="eastAsia" w:ascii="宋体" w:hAnsi="宋体"/>
                <w:color w:val="auto"/>
                <w:szCs w:val="21"/>
                <w:highlight w:val="none"/>
              </w:rPr>
              <w:t>须提供职称证书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670" w:type="dxa"/>
            <w:vAlign w:val="center"/>
          </w:tcPr>
          <w:p>
            <w:pPr>
              <w:snapToGrid w:val="0"/>
              <w:spacing w:before="62" w:beforeLines="20" w:after="62" w:afterLines="20"/>
              <w:ind w:left="-53" w:leftChars="-25" w:right="-53" w:rightChars="-25"/>
              <w:jc w:val="center"/>
              <w:rPr>
                <w:rFonts w:ascii="宋体" w:hAnsi="宋体"/>
                <w:color w:val="auto"/>
                <w:szCs w:val="21"/>
                <w:highlight w:val="none"/>
              </w:rPr>
            </w:pPr>
            <w:r>
              <w:rPr>
                <w:rFonts w:hint="eastAsia" w:ascii="宋体" w:hAnsi="宋体"/>
                <w:color w:val="auto"/>
                <w:szCs w:val="21"/>
                <w:highlight w:val="none"/>
              </w:rPr>
              <w:t>给排水施工工程师</w:t>
            </w:r>
          </w:p>
        </w:tc>
        <w:tc>
          <w:tcPr>
            <w:tcW w:w="1217" w:type="dxa"/>
            <w:vAlign w:val="center"/>
          </w:tcPr>
          <w:p>
            <w:pPr>
              <w:widowControl/>
              <w:jc w:val="center"/>
              <w:rPr>
                <w:rFonts w:ascii="宋体" w:hAnsi="宋体" w:cs="仿宋"/>
                <w:color w:val="auto"/>
                <w:kern w:val="0"/>
                <w:szCs w:val="21"/>
                <w:highlight w:val="none"/>
              </w:rPr>
            </w:pPr>
            <w:r>
              <w:rPr>
                <w:rFonts w:ascii="宋体" w:hAnsi="宋体" w:cs="仿宋"/>
                <w:color w:val="auto"/>
                <w:kern w:val="0"/>
                <w:szCs w:val="21"/>
                <w:highlight w:val="none"/>
              </w:rPr>
              <w:t>1</w:t>
            </w:r>
          </w:p>
        </w:tc>
        <w:tc>
          <w:tcPr>
            <w:tcW w:w="7727" w:type="dxa"/>
          </w:tcPr>
          <w:p>
            <w:pPr>
              <w:widowControl/>
              <w:snapToGrid w:val="0"/>
              <w:spacing w:before="62" w:beforeLines="20" w:after="62" w:afterLines="20"/>
              <w:ind w:left="-53" w:leftChars="-25" w:right="-53" w:rightChars="-25"/>
              <w:jc w:val="left"/>
              <w:rPr>
                <w:rFonts w:ascii="宋体" w:hAnsi="宋体"/>
                <w:b/>
                <w:bCs/>
                <w:color w:val="auto"/>
                <w:szCs w:val="21"/>
                <w:highlight w:val="none"/>
                <w:lang w:val="zh-TW" w:eastAsia="zh-TW"/>
              </w:rPr>
            </w:pPr>
            <w:r>
              <w:rPr>
                <w:rFonts w:hint="eastAsia" w:ascii="宋体" w:hAnsi="宋体" w:cs="宋体"/>
                <w:bCs/>
                <w:color w:val="auto"/>
                <w:szCs w:val="21"/>
                <w:highlight w:val="none"/>
              </w:rPr>
              <w:t>具有给水排水专业中级（或以上）</w:t>
            </w:r>
            <w:r>
              <w:rPr>
                <w:rFonts w:hint="eastAsia" w:asciiTheme="minorEastAsia" w:hAnsiTheme="minorEastAsia" w:eastAsiaTheme="minorEastAsia" w:cstheme="minorEastAsia"/>
                <w:color w:val="auto"/>
                <w:szCs w:val="21"/>
                <w:highlight w:val="none"/>
              </w:rPr>
              <w:t>技术职称</w:t>
            </w:r>
          </w:p>
        </w:tc>
        <w:tc>
          <w:tcPr>
            <w:tcW w:w="3400" w:type="dxa"/>
            <w:vAlign w:val="center"/>
          </w:tcPr>
          <w:p>
            <w:pPr>
              <w:widowControl/>
              <w:snapToGrid w:val="0"/>
              <w:spacing w:before="62" w:beforeLines="20" w:after="62" w:afterLines="20"/>
              <w:ind w:left="-53" w:leftChars="-25" w:right="-53" w:rightChars="-25"/>
              <w:jc w:val="left"/>
              <w:rPr>
                <w:rFonts w:ascii="宋体" w:hAnsi="宋体"/>
                <w:color w:val="auto"/>
                <w:szCs w:val="21"/>
                <w:highlight w:val="none"/>
              </w:rPr>
            </w:pPr>
            <w:r>
              <w:rPr>
                <w:rFonts w:hint="eastAsia" w:ascii="宋体" w:hAnsi="宋体"/>
                <w:color w:val="auto"/>
                <w:szCs w:val="21"/>
                <w:highlight w:val="none"/>
              </w:rPr>
              <w:t>须提供职称证书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670" w:type="dxa"/>
            <w:vAlign w:val="center"/>
          </w:tcPr>
          <w:p>
            <w:pPr>
              <w:widowControl/>
              <w:jc w:val="center"/>
              <w:rPr>
                <w:rFonts w:ascii="宋体" w:hAnsi="宋体" w:cs="仿宋"/>
                <w:color w:val="auto"/>
                <w:kern w:val="0"/>
                <w:szCs w:val="21"/>
                <w:highlight w:val="none"/>
                <w:lang w:bidi="zh-TW"/>
              </w:rPr>
            </w:pPr>
            <w:r>
              <w:rPr>
                <w:rFonts w:hint="eastAsia" w:ascii="宋体" w:hAnsi="宋体" w:cs="宋体"/>
                <w:bCs/>
                <w:color w:val="auto"/>
                <w:szCs w:val="21"/>
                <w:highlight w:val="none"/>
              </w:rPr>
              <w:t>暖通空调工程师</w:t>
            </w:r>
          </w:p>
        </w:tc>
        <w:tc>
          <w:tcPr>
            <w:tcW w:w="1217" w:type="dxa"/>
            <w:vAlign w:val="center"/>
          </w:tcPr>
          <w:p>
            <w:pPr>
              <w:widowControl/>
              <w:jc w:val="center"/>
              <w:rPr>
                <w:rFonts w:ascii="宋体" w:hAnsi="宋体" w:cs="仿宋"/>
                <w:color w:val="auto"/>
                <w:kern w:val="0"/>
                <w:szCs w:val="21"/>
                <w:highlight w:val="none"/>
              </w:rPr>
            </w:pPr>
            <w:r>
              <w:rPr>
                <w:rFonts w:ascii="宋体" w:hAnsi="宋体" w:cs="仿宋"/>
                <w:color w:val="auto"/>
                <w:kern w:val="0"/>
                <w:szCs w:val="21"/>
                <w:highlight w:val="none"/>
              </w:rPr>
              <w:t>1</w:t>
            </w:r>
          </w:p>
        </w:tc>
        <w:tc>
          <w:tcPr>
            <w:tcW w:w="7727" w:type="dxa"/>
          </w:tcPr>
          <w:p>
            <w:pPr>
              <w:widowControl/>
              <w:snapToGrid w:val="0"/>
              <w:spacing w:before="62" w:beforeLines="20" w:after="62" w:afterLines="20"/>
              <w:ind w:left="-53" w:leftChars="-25" w:right="-53" w:rightChars="-25"/>
              <w:jc w:val="left"/>
              <w:rPr>
                <w:rFonts w:ascii="宋体" w:hAnsi="宋体"/>
                <w:color w:val="auto"/>
                <w:szCs w:val="21"/>
                <w:highlight w:val="none"/>
                <w:lang w:val="zh-TW" w:eastAsia="zh-TW"/>
              </w:rPr>
            </w:pPr>
            <w:r>
              <w:rPr>
                <w:rFonts w:hint="eastAsia" w:ascii="宋体" w:hAnsi="宋体" w:cs="宋体"/>
                <w:bCs/>
                <w:color w:val="auto"/>
                <w:szCs w:val="21"/>
                <w:highlight w:val="none"/>
              </w:rPr>
              <w:t>具有暖通空调专业中级（或以上）技术职称</w:t>
            </w:r>
          </w:p>
        </w:tc>
        <w:tc>
          <w:tcPr>
            <w:tcW w:w="3400" w:type="dxa"/>
            <w:vAlign w:val="center"/>
          </w:tcPr>
          <w:p>
            <w:pPr>
              <w:widowControl/>
              <w:snapToGrid w:val="0"/>
              <w:spacing w:before="62" w:beforeLines="20" w:after="62" w:afterLines="20"/>
              <w:ind w:left="-53" w:leftChars="-25" w:right="-53" w:rightChars="-25"/>
              <w:jc w:val="left"/>
              <w:rPr>
                <w:rFonts w:ascii="宋体" w:hAnsi="宋体"/>
                <w:color w:val="auto"/>
                <w:szCs w:val="21"/>
                <w:highlight w:val="none"/>
              </w:rPr>
            </w:pPr>
            <w:r>
              <w:rPr>
                <w:rFonts w:hint="eastAsia" w:ascii="宋体" w:hAnsi="宋体"/>
                <w:color w:val="auto"/>
                <w:szCs w:val="21"/>
                <w:highlight w:val="none"/>
              </w:rPr>
              <w:t>须提供职称证书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670" w:type="dxa"/>
            <w:vAlign w:val="center"/>
          </w:tcPr>
          <w:p>
            <w:pPr>
              <w:widowControl/>
              <w:jc w:val="center"/>
              <w:rPr>
                <w:rFonts w:ascii="宋体" w:hAnsi="宋体" w:cs="宋体"/>
                <w:bCs/>
                <w:color w:val="auto"/>
                <w:szCs w:val="21"/>
                <w:highlight w:val="none"/>
              </w:rPr>
            </w:pPr>
            <w:r>
              <w:rPr>
                <w:rFonts w:hint="eastAsia" w:ascii="宋体" w:hAnsi="宋体" w:cs="宋体"/>
                <w:bCs/>
                <w:color w:val="auto"/>
                <w:szCs w:val="21"/>
                <w:highlight w:val="none"/>
              </w:rPr>
              <w:t>安全工程师</w:t>
            </w:r>
          </w:p>
        </w:tc>
        <w:tc>
          <w:tcPr>
            <w:tcW w:w="1217" w:type="dxa"/>
            <w:vAlign w:val="center"/>
          </w:tcPr>
          <w:p>
            <w:pPr>
              <w:widowControl/>
              <w:jc w:val="center"/>
              <w:rPr>
                <w:rFonts w:ascii="宋体" w:hAnsi="宋体" w:cs="仿宋"/>
                <w:color w:val="auto"/>
                <w:kern w:val="0"/>
                <w:szCs w:val="21"/>
                <w:highlight w:val="none"/>
              </w:rPr>
            </w:pPr>
            <w:r>
              <w:rPr>
                <w:rFonts w:ascii="宋体" w:hAnsi="宋体" w:cs="仿宋"/>
                <w:color w:val="auto"/>
                <w:kern w:val="0"/>
                <w:szCs w:val="21"/>
                <w:highlight w:val="none"/>
              </w:rPr>
              <w:t>1</w:t>
            </w:r>
          </w:p>
        </w:tc>
        <w:tc>
          <w:tcPr>
            <w:tcW w:w="7727" w:type="dxa"/>
          </w:tcPr>
          <w:p>
            <w:pPr>
              <w:widowControl/>
              <w:snapToGrid w:val="0"/>
              <w:spacing w:before="62" w:beforeLines="20" w:after="62" w:afterLines="20"/>
              <w:ind w:left="-53" w:leftChars="-25" w:right="-53" w:rightChars="-25"/>
              <w:jc w:val="left"/>
              <w:rPr>
                <w:rFonts w:ascii="宋体" w:hAnsi="宋体"/>
                <w:color w:val="auto"/>
                <w:szCs w:val="21"/>
                <w:highlight w:val="none"/>
                <w:lang w:val="zh-TW" w:eastAsia="zh-TW"/>
              </w:rPr>
            </w:pPr>
            <w:r>
              <w:rPr>
                <w:rFonts w:hint="eastAsia" w:ascii="宋体" w:hAnsi="宋体" w:cs="宋体"/>
                <w:bCs/>
                <w:color w:val="auto"/>
                <w:szCs w:val="21"/>
                <w:highlight w:val="none"/>
              </w:rPr>
              <w:t>具备注册安全工程师执业资格</w:t>
            </w:r>
            <w:r>
              <w:rPr>
                <w:rFonts w:ascii="宋体" w:hAnsi="宋体" w:cs="宋体"/>
                <w:bCs/>
                <w:color w:val="auto"/>
                <w:szCs w:val="21"/>
                <w:highlight w:val="none"/>
              </w:rPr>
              <w:t>(须在有效期内)</w:t>
            </w:r>
          </w:p>
        </w:tc>
        <w:tc>
          <w:tcPr>
            <w:tcW w:w="3400" w:type="dxa"/>
            <w:vAlign w:val="center"/>
          </w:tcPr>
          <w:p>
            <w:pPr>
              <w:widowControl/>
              <w:snapToGrid w:val="0"/>
              <w:spacing w:before="62" w:beforeLines="20" w:after="62" w:afterLines="20"/>
              <w:ind w:left="-53" w:leftChars="-25" w:right="-53" w:rightChars="-25"/>
              <w:jc w:val="left"/>
              <w:rPr>
                <w:rFonts w:hint="eastAsia" w:ascii="宋体" w:hAnsi="宋体" w:eastAsia="宋体"/>
                <w:color w:val="auto"/>
                <w:szCs w:val="21"/>
                <w:highlight w:val="none"/>
                <w:lang w:eastAsia="zh-CN"/>
              </w:rPr>
            </w:pPr>
            <w:r>
              <w:rPr>
                <w:rFonts w:hint="eastAsia" w:ascii="宋体" w:hAnsi="宋体"/>
                <w:color w:val="auto"/>
                <w:szCs w:val="21"/>
                <w:highlight w:val="none"/>
              </w:rPr>
              <w:t>须提</w:t>
            </w:r>
            <w:r>
              <w:rPr>
                <w:rFonts w:hint="eastAsia" w:ascii="宋体" w:hAnsi="宋体"/>
                <w:color w:val="auto"/>
                <w:szCs w:val="21"/>
                <w:highlight w:val="none"/>
                <w:lang w:val="en-US" w:eastAsia="zh-CN"/>
              </w:rPr>
              <w:t>供</w:t>
            </w:r>
            <w:r>
              <w:rPr>
                <w:rFonts w:hint="eastAsia" w:ascii="宋体" w:hAnsi="宋体" w:cs="宋体"/>
                <w:bCs/>
                <w:color w:val="auto"/>
                <w:szCs w:val="21"/>
                <w:highlight w:val="none"/>
              </w:rPr>
              <w:t>注册安全工程师执业资格</w:t>
            </w:r>
            <w:r>
              <w:rPr>
                <w:rFonts w:hint="eastAsia" w:ascii="宋体" w:hAnsi="宋体"/>
                <w:color w:val="auto"/>
                <w:szCs w:val="21"/>
                <w:highlight w:val="none"/>
              </w:rPr>
              <w:t>证书</w:t>
            </w:r>
            <w:r>
              <w:rPr>
                <w:rFonts w:hint="eastAsia" w:ascii="宋体" w:hAnsi="宋体"/>
                <w:color w:val="auto"/>
                <w:szCs w:val="21"/>
                <w:highlight w:val="none"/>
                <w:lang w:eastAsia="zh-CN"/>
              </w:rPr>
              <w:t>、</w:t>
            </w:r>
            <w:r>
              <w:rPr>
                <w:rFonts w:hint="eastAsia"/>
                <w:color w:val="auto"/>
              </w:rPr>
              <w:t>查询结果网页打印页</w:t>
            </w:r>
            <w:r>
              <w:rPr>
                <w:rFonts w:hint="eastAsia"/>
                <w:color w:val="auto"/>
                <w:lang w:eastAsia="zh-CN"/>
              </w:rPr>
              <w:t>（</w:t>
            </w:r>
            <w:r>
              <w:rPr>
                <w:rFonts w:hint="eastAsia"/>
                <w:color w:val="auto"/>
                <w:lang w:val="en-US" w:eastAsia="zh-CN"/>
              </w:rPr>
              <w:t>或截图</w:t>
            </w:r>
            <w:r>
              <w:rPr>
                <w:rFonts w:hint="eastAsia"/>
                <w:color w:val="auto"/>
                <w:lang w:eastAsia="zh-CN"/>
              </w:rPr>
              <w:t>）</w:t>
            </w:r>
          </w:p>
        </w:tc>
      </w:tr>
    </w:tbl>
    <w:p>
      <w:pPr>
        <w:pStyle w:val="136"/>
        <w:ind w:firstLine="422"/>
        <w:rPr>
          <w:rFonts w:ascii="宋体" w:hAnsi="宋体" w:eastAsia="宋体" w:cs="宋体"/>
          <w:b/>
          <w:bCs/>
          <w:color w:val="auto"/>
          <w:szCs w:val="21"/>
          <w:highlight w:val="none"/>
        </w:rPr>
      </w:pPr>
    </w:p>
    <w:p>
      <w:pPr>
        <w:pStyle w:val="136"/>
        <w:ind w:firstLine="422"/>
        <w:rPr>
          <w:rFonts w:ascii="宋体" w:hAnsi="宋体" w:eastAsia="宋体" w:cs="宋体"/>
          <w:b/>
          <w:bCs/>
          <w:color w:val="auto"/>
          <w:szCs w:val="21"/>
          <w:highlight w:val="none"/>
        </w:rPr>
      </w:pPr>
    </w:p>
    <w:p>
      <w:pPr>
        <w:pStyle w:val="136"/>
        <w:ind w:firstLine="422"/>
        <w:rPr>
          <w:rFonts w:ascii="宋体" w:hAnsi="宋体" w:eastAsia="宋体" w:cs="宋体"/>
          <w:b/>
          <w:bCs/>
          <w:color w:val="auto"/>
          <w:szCs w:val="21"/>
          <w:highlight w:val="none"/>
        </w:rPr>
      </w:pPr>
    </w:p>
    <w:p>
      <w:pPr>
        <w:rPr>
          <w:rFonts w:ascii="宋体" w:hAnsi="宋体" w:cs="宋体"/>
          <w:color w:val="auto"/>
          <w:sz w:val="24"/>
          <w:szCs w:val="24"/>
          <w:highlight w:val="none"/>
        </w:rPr>
      </w:pPr>
      <w:r>
        <w:rPr>
          <w:rFonts w:hint="eastAsia" w:ascii="宋体" w:hAnsi="宋体" w:cs="宋体"/>
          <w:color w:val="auto"/>
          <w:szCs w:val="21"/>
          <w:highlight w:val="none"/>
        </w:rPr>
        <w:br w:type="page"/>
      </w:r>
      <w:r>
        <w:rPr>
          <w:rFonts w:hint="eastAsia" w:ascii="宋体" w:hAnsi="宋体" w:cs="宋体"/>
          <w:color w:val="auto"/>
          <w:sz w:val="24"/>
          <w:szCs w:val="24"/>
          <w:highlight w:val="none"/>
        </w:rPr>
        <w:t>附表五</w:t>
      </w:r>
    </w:p>
    <w:p>
      <w:pPr>
        <w:jc w:val="center"/>
        <w:rPr>
          <w:rFonts w:ascii="宋体" w:hAnsi="宋体" w:cs="宋体"/>
          <w:b/>
          <w:color w:val="auto"/>
          <w:sz w:val="36"/>
          <w:szCs w:val="36"/>
          <w:highlight w:val="none"/>
        </w:rPr>
      </w:pPr>
      <w:r>
        <w:rPr>
          <w:rFonts w:hint="eastAsia" w:ascii="宋体" w:hAnsi="宋体" w:cs="宋体"/>
          <w:b/>
          <w:color w:val="auto"/>
          <w:sz w:val="36"/>
          <w:szCs w:val="36"/>
          <w:highlight w:val="none"/>
        </w:rPr>
        <w:t>经济标评分表</w:t>
      </w:r>
    </w:p>
    <w:p>
      <w:pPr>
        <w:rPr>
          <w:rFonts w:ascii="宋体" w:hAnsi="宋体" w:cs="宋体"/>
          <w:color w:val="auto"/>
          <w:szCs w:val="21"/>
          <w:highlight w:val="none"/>
        </w:rPr>
      </w:pPr>
      <w:r>
        <w:rPr>
          <w:rFonts w:hint="eastAsia" w:ascii="宋体" w:hAnsi="宋体" w:cs="宋体"/>
          <w:color w:val="auto"/>
          <w:szCs w:val="21"/>
          <w:highlight w:val="none"/>
        </w:rPr>
        <w:t>工程名称：</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6"/>
        <w:gridCol w:w="1048"/>
        <w:gridCol w:w="1048"/>
        <w:gridCol w:w="1048"/>
        <w:gridCol w:w="1048"/>
        <w:gridCol w:w="1048"/>
        <w:gridCol w:w="1048"/>
        <w:gridCol w:w="1048"/>
        <w:gridCol w:w="1048"/>
        <w:gridCol w:w="1048"/>
        <w:gridCol w:w="1048"/>
        <w:gridCol w:w="1048"/>
        <w:gridCol w:w="1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209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投标人名称</w:t>
            </w: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104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209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投标报价PT（元）</w:t>
            </w: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104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9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计算评标参考价的等分点值X</w:t>
            </w:r>
          </w:p>
        </w:tc>
        <w:tc>
          <w:tcPr>
            <w:tcW w:w="12577" w:type="dxa"/>
            <w:gridSpan w:val="12"/>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9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评标参考价PC（元）</w:t>
            </w:r>
          </w:p>
        </w:tc>
        <w:tc>
          <w:tcPr>
            <w:tcW w:w="12577" w:type="dxa"/>
            <w:gridSpan w:val="12"/>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9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偏差（（PT-PC）/PC）（%）</w:t>
            </w: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104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209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减分（A）</w:t>
            </w: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104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9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得分(I=100-A)</w:t>
            </w: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104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9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得分排名次序</w:t>
            </w: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104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r>
    </w:tbl>
    <w:p>
      <w:pPr>
        <w:rPr>
          <w:rFonts w:ascii="宋体" w:hAnsi="宋体" w:cs="宋体"/>
          <w:color w:val="auto"/>
          <w:szCs w:val="21"/>
          <w:highlight w:val="none"/>
        </w:rPr>
      </w:pPr>
      <w:r>
        <w:rPr>
          <w:rFonts w:hint="eastAsia" w:ascii="宋体" w:hAnsi="宋体" w:cs="宋体"/>
          <w:color w:val="auto"/>
          <w:szCs w:val="21"/>
          <w:highlight w:val="none"/>
        </w:rPr>
        <w:t>评委签名：</w:t>
      </w: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b/>
          <w:color w:val="auto"/>
          <w:sz w:val="24"/>
          <w:szCs w:val="24"/>
          <w:highlight w:val="none"/>
        </w:rPr>
      </w:pPr>
      <w:r>
        <w:rPr>
          <w:rFonts w:hint="eastAsia" w:ascii="宋体" w:hAnsi="宋体" w:cs="宋体"/>
          <w:color w:val="auto"/>
          <w:sz w:val="24"/>
          <w:szCs w:val="24"/>
          <w:highlight w:val="none"/>
        </w:rPr>
        <w:t>附表六</w:t>
      </w:r>
    </w:p>
    <w:p>
      <w:pPr>
        <w:jc w:val="center"/>
        <w:rPr>
          <w:rFonts w:ascii="宋体" w:hAnsi="宋体" w:cs="宋体"/>
          <w:b/>
          <w:color w:val="auto"/>
          <w:sz w:val="36"/>
          <w:szCs w:val="36"/>
          <w:highlight w:val="none"/>
        </w:rPr>
      </w:pPr>
      <w:r>
        <w:rPr>
          <w:rFonts w:hint="eastAsia" w:ascii="宋体" w:hAnsi="宋体" w:cs="宋体"/>
          <w:b/>
          <w:color w:val="auto"/>
          <w:sz w:val="36"/>
          <w:szCs w:val="36"/>
          <w:highlight w:val="none"/>
        </w:rPr>
        <w:t>算术复核表</w:t>
      </w:r>
    </w:p>
    <w:p>
      <w:pPr>
        <w:rPr>
          <w:rFonts w:ascii="宋体" w:hAnsi="宋体" w:cs="宋体"/>
          <w:color w:val="auto"/>
          <w:kern w:val="0"/>
          <w:szCs w:val="21"/>
          <w:highlight w:val="none"/>
        </w:rPr>
      </w:pPr>
      <w:r>
        <w:rPr>
          <w:rFonts w:hint="eastAsia" w:ascii="宋体" w:hAnsi="宋体" w:cs="宋体"/>
          <w:color w:val="auto"/>
          <w:kern w:val="0"/>
          <w:szCs w:val="21"/>
          <w:highlight w:val="none"/>
        </w:rPr>
        <w:t>工程名称：                                           投标人:                                                  单位：元</w:t>
      </w:r>
    </w:p>
    <w:tbl>
      <w:tblPr>
        <w:tblStyle w:val="39"/>
        <w:tblW w:w="0" w:type="auto"/>
        <w:tblInd w:w="0" w:type="dxa"/>
        <w:tblLayout w:type="fixed"/>
        <w:tblCellMar>
          <w:top w:w="0" w:type="dxa"/>
          <w:left w:w="108" w:type="dxa"/>
          <w:bottom w:w="0" w:type="dxa"/>
          <w:right w:w="108" w:type="dxa"/>
        </w:tblCellMar>
      </w:tblPr>
      <w:tblGrid>
        <w:gridCol w:w="645"/>
        <w:gridCol w:w="4488"/>
        <w:gridCol w:w="1602"/>
        <w:gridCol w:w="1575"/>
        <w:gridCol w:w="1575"/>
        <w:gridCol w:w="1470"/>
        <w:gridCol w:w="3465"/>
      </w:tblGrid>
      <w:tr>
        <w:tblPrEx>
          <w:tblCellMar>
            <w:top w:w="0" w:type="dxa"/>
            <w:left w:w="108" w:type="dxa"/>
            <w:bottom w:w="0" w:type="dxa"/>
            <w:right w:w="108" w:type="dxa"/>
          </w:tblCellMar>
        </w:tblPrEx>
        <w:trPr>
          <w:trHeight w:val="705" w:hRule="atLeast"/>
        </w:trPr>
        <w:tc>
          <w:tcPr>
            <w:tcW w:w="64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编号</w:t>
            </w:r>
          </w:p>
        </w:tc>
        <w:tc>
          <w:tcPr>
            <w:tcW w:w="4488" w:type="dxa"/>
            <w:tcBorders>
              <w:top w:val="single" w:color="auto" w:sz="4" w:space="0"/>
              <w:left w:val="nil"/>
              <w:bottom w:val="single" w:color="auto" w:sz="4" w:space="0"/>
              <w:right w:val="single" w:color="auto" w:sz="4" w:space="0"/>
            </w:tcBorders>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算术校核项目</w:t>
            </w:r>
          </w:p>
        </w:tc>
        <w:tc>
          <w:tcPr>
            <w:tcW w:w="1602" w:type="dxa"/>
            <w:tcBorders>
              <w:top w:val="single" w:color="auto" w:sz="4" w:space="0"/>
              <w:left w:val="nil"/>
              <w:bottom w:val="single" w:color="auto" w:sz="4" w:space="0"/>
              <w:right w:val="single" w:color="auto" w:sz="4" w:space="0"/>
            </w:tcBorders>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修正前投标</w:t>
            </w:r>
          </w:p>
          <w:p>
            <w:pPr>
              <w:rPr>
                <w:rFonts w:ascii="宋体" w:hAnsi="宋体" w:cs="宋体"/>
                <w:color w:val="auto"/>
                <w:kern w:val="0"/>
                <w:szCs w:val="21"/>
                <w:highlight w:val="none"/>
              </w:rPr>
            </w:pPr>
            <w:r>
              <w:rPr>
                <w:rFonts w:hint="eastAsia" w:ascii="宋体" w:hAnsi="宋体" w:cs="宋体"/>
                <w:color w:val="auto"/>
                <w:kern w:val="0"/>
                <w:szCs w:val="21"/>
                <w:highlight w:val="none"/>
              </w:rPr>
              <w:t>报价A</w:t>
            </w:r>
          </w:p>
        </w:tc>
        <w:tc>
          <w:tcPr>
            <w:tcW w:w="1575" w:type="dxa"/>
            <w:tcBorders>
              <w:top w:val="single" w:color="auto" w:sz="4" w:space="0"/>
              <w:left w:val="nil"/>
              <w:bottom w:val="single" w:color="auto" w:sz="4" w:space="0"/>
              <w:right w:val="single" w:color="auto" w:sz="4" w:space="0"/>
            </w:tcBorders>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修正后投标</w:t>
            </w:r>
          </w:p>
          <w:p>
            <w:pPr>
              <w:rPr>
                <w:rFonts w:ascii="宋体" w:hAnsi="宋体" w:cs="宋体"/>
                <w:color w:val="auto"/>
                <w:kern w:val="0"/>
                <w:szCs w:val="21"/>
                <w:highlight w:val="none"/>
              </w:rPr>
            </w:pPr>
            <w:r>
              <w:rPr>
                <w:rFonts w:hint="eastAsia" w:ascii="宋体" w:hAnsi="宋体" w:cs="宋体"/>
                <w:color w:val="auto"/>
                <w:kern w:val="0"/>
                <w:szCs w:val="21"/>
                <w:highlight w:val="none"/>
              </w:rPr>
              <w:t>报价B</w:t>
            </w:r>
          </w:p>
        </w:tc>
        <w:tc>
          <w:tcPr>
            <w:tcW w:w="1575" w:type="dxa"/>
            <w:tcBorders>
              <w:top w:val="single" w:color="auto" w:sz="4" w:space="0"/>
              <w:left w:val="nil"/>
              <w:bottom w:val="single" w:color="auto" w:sz="4" w:space="0"/>
              <w:right w:val="single" w:color="auto" w:sz="4" w:space="0"/>
            </w:tcBorders>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修正率</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r=|A-B|/A*100%</w:t>
            </w:r>
          </w:p>
        </w:tc>
        <w:tc>
          <w:tcPr>
            <w:tcW w:w="1470" w:type="dxa"/>
            <w:tcBorders>
              <w:top w:val="single" w:color="auto" w:sz="4" w:space="0"/>
              <w:left w:val="nil"/>
              <w:bottom w:val="single" w:color="auto" w:sz="4" w:space="0"/>
              <w:right w:val="single" w:color="auto" w:sz="4" w:space="0"/>
            </w:tcBorders>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经评审的最终投标报价</w:t>
            </w:r>
          </w:p>
        </w:tc>
        <w:tc>
          <w:tcPr>
            <w:tcW w:w="3465" w:type="dxa"/>
            <w:tcBorders>
              <w:top w:val="single" w:color="auto" w:sz="4" w:space="0"/>
              <w:left w:val="nil"/>
              <w:bottom w:val="single" w:color="auto" w:sz="4" w:space="0"/>
              <w:right w:val="single" w:color="auto" w:sz="4" w:space="0"/>
            </w:tcBorders>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当B&gt;A时，修正后报价与原报价的差额；当B≤A时,R=0</w:t>
            </w:r>
          </w:p>
        </w:tc>
      </w:tr>
      <w:tr>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4488" w:type="dxa"/>
            <w:tcBorders>
              <w:top w:val="nil"/>
              <w:left w:val="nil"/>
              <w:bottom w:val="single" w:color="auto" w:sz="4" w:space="0"/>
              <w:right w:val="single" w:color="auto" w:sz="4" w:space="0"/>
            </w:tcBorders>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[单位工程1]</w:t>
            </w:r>
          </w:p>
        </w:tc>
        <w:tc>
          <w:tcPr>
            <w:tcW w:w="1602" w:type="dxa"/>
            <w:tcBorders>
              <w:top w:val="nil"/>
              <w:left w:val="nil"/>
              <w:bottom w:val="single" w:color="auto" w:sz="4" w:space="0"/>
              <w:right w:val="single" w:color="auto" w:sz="4" w:space="0"/>
            </w:tcBorders>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470" w:type="dxa"/>
            <w:tcBorders>
              <w:top w:val="nil"/>
              <w:left w:val="nil"/>
              <w:bottom w:val="single" w:color="auto" w:sz="4" w:space="0"/>
              <w:right w:val="single" w:color="auto" w:sz="4" w:space="0"/>
            </w:tcBorders>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pPr>
              <w:rPr>
                <w:rFonts w:ascii="宋体" w:hAnsi="宋体" w:cs="宋体"/>
                <w:color w:val="auto"/>
                <w:kern w:val="0"/>
                <w:szCs w:val="21"/>
                <w:highlight w:val="none"/>
              </w:rPr>
            </w:pPr>
          </w:p>
        </w:tc>
      </w:tr>
      <w:tr>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4488" w:type="dxa"/>
            <w:tcBorders>
              <w:top w:val="nil"/>
              <w:left w:val="nil"/>
              <w:bottom w:val="single" w:color="auto" w:sz="4" w:space="0"/>
              <w:right w:val="single" w:color="auto" w:sz="4" w:space="0"/>
            </w:tcBorders>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[单位工程2]</w:t>
            </w:r>
          </w:p>
        </w:tc>
        <w:tc>
          <w:tcPr>
            <w:tcW w:w="1602" w:type="dxa"/>
            <w:tcBorders>
              <w:top w:val="nil"/>
              <w:left w:val="nil"/>
              <w:bottom w:val="single" w:color="auto" w:sz="4" w:space="0"/>
              <w:right w:val="single" w:color="auto" w:sz="4" w:space="0"/>
            </w:tcBorders>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470" w:type="dxa"/>
            <w:tcBorders>
              <w:top w:val="nil"/>
              <w:left w:val="nil"/>
              <w:bottom w:val="single" w:color="auto" w:sz="4" w:space="0"/>
              <w:right w:val="single" w:color="auto" w:sz="4" w:space="0"/>
            </w:tcBorders>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pPr>
              <w:rPr>
                <w:rFonts w:ascii="宋体" w:hAnsi="宋体" w:cs="宋体"/>
                <w:color w:val="auto"/>
                <w:kern w:val="0"/>
                <w:szCs w:val="21"/>
                <w:highlight w:val="none"/>
              </w:rPr>
            </w:pPr>
          </w:p>
        </w:tc>
      </w:tr>
      <w:tr>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4488" w:type="dxa"/>
            <w:tcBorders>
              <w:top w:val="nil"/>
              <w:left w:val="nil"/>
              <w:bottom w:val="single" w:color="auto" w:sz="4" w:space="0"/>
              <w:right w:val="single" w:color="auto" w:sz="4" w:space="0"/>
            </w:tcBorders>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1602" w:type="dxa"/>
            <w:tcBorders>
              <w:top w:val="nil"/>
              <w:left w:val="nil"/>
              <w:bottom w:val="single" w:color="auto" w:sz="4" w:space="0"/>
              <w:right w:val="single" w:color="auto" w:sz="4" w:space="0"/>
            </w:tcBorders>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470" w:type="dxa"/>
            <w:tcBorders>
              <w:top w:val="nil"/>
              <w:left w:val="nil"/>
              <w:bottom w:val="single" w:color="auto" w:sz="4" w:space="0"/>
              <w:right w:val="single" w:color="auto" w:sz="4" w:space="0"/>
            </w:tcBorders>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pPr>
              <w:rPr>
                <w:rFonts w:ascii="宋体" w:hAnsi="宋体" w:cs="宋体"/>
                <w:color w:val="auto"/>
                <w:kern w:val="0"/>
                <w:szCs w:val="21"/>
                <w:highlight w:val="none"/>
              </w:rPr>
            </w:pPr>
          </w:p>
        </w:tc>
      </w:tr>
      <w:tr>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4488" w:type="dxa"/>
            <w:tcBorders>
              <w:top w:val="nil"/>
              <w:left w:val="nil"/>
              <w:bottom w:val="single" w:color="auto" w:sz="4" w:space="0"/>
              <w:right w:val="single" w:color="auto" w:sz="4" w:space="0"/>
            </w:tcBorders>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1602" w:type="dxa"/>
            <w:tcBorders>
              <w:top w:val="nil"/>
              <w:left w:val="nil"/>
              <w:bottom w:val="single" w:color="auto" w:sz="4" w:space="0"/>
              <w:right w:val="single" w:color="auto" w:sz="4" w:space="0"/>
            </w:tcBorders>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470" w:type="dxa"/>
            <w:tcBorders>
              <w:top w:val="nil"/>
              <w:left w:val="nil"/>
              <w:bottom w:val="single" w:color="auto" w:sz="4" w:space="0"/>
              <w:right w:val="single" w:color="auto" w:sz="4" w:space="0"/>
            </w:tcBorders>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pPr>
              <w:rPr>
                <w:rFonts w:ascii="宋体" w:hAnsi="宋体" w:cs="宋体"/>
                <w:color w:val="auto"/>
                <w:kern w:val="0"/>
                <w:szCs w:val="21"/>
                <w:highlight w:val="none"/>
              </w:rPr>
            </w:pPr>
          </w:p>
        </w:tc>
      </w:tr>
      <w:tr>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4488" w:type="dxa"/>
            <w:tcBorders>
              <w:top w:val="nil"/>
              <w:left w:val="nil"/>
              <w:bottom w:val="single" w:color="auto" w:sz="4" w:space="0"/>
              <w:right w:val="single" w:color="auto" w:sz="4" w:space="0"/>
            </w:tcBorders>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1602" w:type="dxa"/>
            <w:tcBorders>
              <w:top w:val="nil"/>
              <w:left w:val="nil"/>
              <w:bottom w:val="single" w:color="auto" w:sz="4" w:space="0"/>
              <w:right w:val="single" w:color="auto" w:sz="4" w:space="0"/>
            </w:tcBorders>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470" w:type="dxa"/>
            <w:tcBorders>
              <w:top w:val="nil"/>
              <w:left w:val="nil"/>
              <w:bottom w:val="single" w:color="auto" w:sz="4" w:space="0"/>
              <w:right w:val="single" w:color="auto" w:sz="4" w:space="0"/>
            </w:tcBorders>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pPr>
              <w:rPr>
                <w:rFonts w:ascii="宋体" w:hAnsi="宋体" w:cs="宋体"/>
                <w:color w:val="auto"/>
                <w:kern w:val="0"/>
                <w:szCs w:val="21"/>
                <w:highlight w:val="none"/>
              </w:rPr>
            </w:pPr>
          </w:p>
        </w:tc>
      </w:tr>
      <w:tr>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n</w:t>
            </w:r>
          </w:p>
        </w:tc>
        <w:tc>
          <w:tcPr>
            <w:tcW w:w="4488" w:type="dxa"/>
            <w:tcBorders>
              <w:top w:val="nil"/>
              <w:left w:val="nil"/>
              <w:bottom w:val="single" w:color="auto" w:sz="4" w:space="0"/>
              <w:right w:val="single" w:color="auto" w:sz="4" w:space="0"/>
            </w:tcBorders>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[单位工程n]</w:t>
            </w:r>
          </w:p>
        </w:tc>
        <w:tc>
          <w:tcPr>
            <w:tcW w:w="1602" w:type="dxa"/>
            <w:tcBorders>
              <w:top w:val="nil"/>
              <w:left w:val="nil"/>
              <w:bottom w:val="single" w:color="auto" w:sz="4" w:space="0"/>
              <w:right w:val="single" w:color="auto" w:sz="4" w:space="0"/>
            </w:tcBorders>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470" w:type="dxa"/>
            <w:tcBorders>
              <w:top w:val="nil"/>
              <w:left w:val="nil"/>
              <w:bottom w:val="single" w:color="auto" w:sz="4" w:space="0"/>
              <w:right w:val="single" w:color="auto" w:sz="4" w:space="0"/>
            </w:tcBorders>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pPr>
              <w:rPr>
                <w:rFonts w:ascii="宋体" w:hAnsi="宋体" w:cs="宋体"/>
                <w:color w:val="auto"/>
                <w:kern w:val="0"/>
                <w:szCs w:val="21"/>
                <w:highlight w:val="none"/>
              </w:rPr>
            </w:pPr>
          </w:p>
        </w:tc>
      </w:tr>
      <w:tr>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4488" w:type="dxa"/>
            <w:tcBorders>
              <w:top w:val="nil"/>
              <w:left w:val="nil"/>
              <w:bottom w:val="single" w:color="auto" w:sz="4" w:space="0"/>
              <w:right w:val="single" w:color="auto" w:sz="4" w:space="0"/>
            </w:tcBorders>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投标总报价</w:t>
            </w:r>
          </w:p>
        </w:tc>
        <w:tc>
          <w:tcPr>
            <w:tcW w:w="1602" w:type="dxa"/>
            <w:tcBorders>
              <w:top w:val="nil"/>
              <w:left w:val="nil"/>
              <w:bottom w:val="single" w:color="auto" w:sz="4" w:space="0"/>
              <w:right w:val="single" w:color="auto" w:sz="4" w:space="0"/>
            </w:tcBorders>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575" w:type="dxa"/>
            <w:tcBorders>
              <w:top w:val="nil"/>
              <w:left w:val="nil"/>
              <w:bottom w:val="single" w:color="auto" w:sz="4" w:space="0"/>
              <w:right w:val="single" w:color="auto" w:sz="4" w:space="0"/>
              <w:tr2bl w:val="single" w:color="auto" w:sz="4" w:space="0"/>
            </w:tcBorders>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470" w:type="dxa"/>
            <w:tcBorders>
              <w:top w:val="nil"/>
              <w:left w:val="nil"/>
              <w:bottom w:val="single" w:color="auto" w:sz="4" w:space="0"/>
              <w:right w:val="single" w:color="auto" w:sz="4" w:space="0"/>
            </w:tcBorders>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∑A=A</w:t>
            </w:r>
            <w:r>
              <w:rPr>
                <w:rFonts w:hint="eastAsia" w:ascii="宋体" w:hAnsi="宋体" w:cs="宋体"/>
                <w:color w:val="auto"/>
                <w:kern w:val="0"/>
                <w:szCs w:val="21"/>
                <w:highlight w:val="none"/>
                <w:vertAlign w:val="subscript"/>
              </w:rPr>
              <w:t>1</w:t>
            </w:r>
            <w:r>
              <w:rPr>
                <w:rFonts w:hint="eastAsia" w:ascii="宋体" w:hAnsi="宋体" w:cs="宋体"/>
                <w:color w:val="auto"/>
                <w:kern w:val="0"/>
                <w:szCs w:val="21"/>
                <w:highlight w:val="none"/>
              </w:rPr>
              <w:t>+A</w:t>
            </w:r>
            <w:r>
              <w:rPr>
                <w:rFonts w:hint="eastAsia" w:ascii="宋体" w:hAnsi="宋体" w:cs="宋体"/>
                <w:color w:val="auto"/>
                <w:kern w:val="0"/>
                <w:szCs w:val="21"/>
                <w:highlight w:val="none"/>
                <w:vertAlign w:val="subscript"/>
              </w:rPr>
              <w:t>2</w:t>
            </w:r>
            <w:r>
              <w:rPr>
                <w:rFonts w:hint="eastAsia" w:ascii="宋体" w:hAnsi="宋体" w:cs="宋体"/>
                <w:color w:val="auto"/>
                <w:kern w:val="0"/>
                <w:szCs w:val="21"/>
                <w:highlight w:val="none"/>
              </w:rPr>
              <w:t>+…An；∑B=B</w:t>
            </w:r>
            <w:r>
              <w:rPr>
                <w:rFonts w:hint="eastAsia" w:ascii="宋体" w:hAnsi="宋体" w:cs="宋体"/>
                <w:color w:val="auto"/>
                <w:kern w:val="0"/>
                <w:szCs w:val="21"/>
                <w:highlight w:val="none"/>
                <w:vertAlign w:val="subscript"/>
              </w:rPr>
              <w:t>1</w:t>
            </w:r>
            <w:r>
              <w:rPr>
                <w:rFonts w:hint="eastAsia" w:ascii="宋体" w:hAnsi="宋体" w:cs="宋体"/>
                <w:color w:val="auto"/>
                <w:kern w:val="0"/>
                <w:szCs w:val="21"/>
                <w:highlight w:val="none"/>
              </w:rPr>
              <w:t>+B</w:t>
            </w:r>
            <w:r>
              <w:rPr>
                <w:rFonts w:hint="eastAsia" w:ascii="宋体" w:hAnsi="宋体" w:cs="宋体"/>
                <w:color w:val="auto"/>
                <w:kern w:val="0"/>
                <w:szCs w:val="21"/>
                <w:highlight w:val="none"/>
                <w:vertAlign w:val="subscript"/>
              </w:rPr>
              <w:t>2</w:t>
            </w:r>
            <w:r>
              <w:rPr>
                <w:rFonts w:hint="eastAsia" w:ascii="宋体" w:hAnsi="宋体" w:cs="宋体"/>
                <w:color w:val="auto"/>
                <w:kern w:val="0"/>
                <w:szCs w:val="21"/>
                <w:highlight w:val="none"/>
              </w:rPr>
              <w:t>+…Bn</w:t>
            </w:r>
          </w:p>
        </w:tc>
      </w:tr>
    </w:tbl>
    <w:p>
      <w:pPr>
        <w:rPr>
          <w:rFonts w:ascii="宋体" w:hAnsi="宋体" w:cs="宋体"/>
          <w:color w:val="auto"/>
          <w:kern w:val="0"/>
          <w:szCs w:val="21"/>
          <w:highlight w:val="none"/>
        </w:rPr>
      </w:pPr>
      <w:r>
        <w:rPr>
          <w:rFonts w:hint="eastAsia" w:ascii="宋体" w:hAnsi="宋体" w:cs="宋体"/>
          <w:color w:val="auto"/>
          <w:kern w:val="0"/>
          <w:szCs w:val="21"/>
          <w:highlight w:val="none"/>
        </w:rPr>
        <w:t>修正原则：</w:t>
      </w:r>
      <w:r>
        <w:rPr>
          <w:rFonts w:hint="eastAsia" w:ascii="宋体" w:hAnsi="宋体" w:cs="宋体"/>
          <w:color w:val="auto"/>
          <w:szCs w:val="21"/>
          <w:highlight w:val="none"/>
        </w:rPr>
        <w:t>按就低不就高原则，当修正后报价小于原报价，总价按修正后报价；当修正后报价大于原报价，总价按原报价，并在签订合同时载明在结算价中扣除修正报价与原报价的差额。</w:t>
      </w:r>
      <w:r>
        <w:rPr>
          <w:rFonts w:hint="eastAsia" w:ascii="宋体" w:hAnsi="宋体" w:cs="宋体"/>
          <w:color w:val="auto"/>
          <w:kern w:val="0"/>
          <w:szCs w:val="21"/>
          <w:highlight w:val="none"/>
        </w:rPr>
        <w:tab/>
      </w:r>
    </w:p>
    <w:p>
      <w:pPr>
        <w:rPr>
          <w:rFonts w:ascii="宋体" w:hAnsi="宋体" w:cs="宋体"/>
          <w:color w:val="auto"/>
          <w:kern w:val="0"/>
          <w:szCs w:val="21"/>
          <w:highlight w:val="none"/>
        </w:rPr>
      </w:pPr>
      <w:r>
        <w:rPr>
          <w:rFonts w:hint="eastAsia" w:ascii="宋体" w:hAnsi="宋体" w:cs="宋体"/>
          <w:color w:val="auto"/>
          <w:kern w:val="0"/>
          <w:szCs w:val="21"/>
          <w:highlight w:val="none"/>
        </w:rPr>
        <w:t>评委签名：</w:t>
      </w:r>
      <w:r>
        <w:rPr>
          <w:rFonts w:hint="eastAsia" w:ascii="宋体" w:hAnsi="宋体" w:cs="宋体"/>
          <w:color w:val="auto"/>
          <w:kern w:val="0"/>
          <w:szCs w:val="21"/>
          <w:highlight w:val="none"/>
        </w:rPr>
        <w:tab/>
      </w:r>
      <w:r>
        <w:rPr>
          <w:rFonts w:hint="eastAsia" w:ascii="宋体" w:hAnsi="宋体" w:cs="宋体"/>
          <w:color w:val="auto"/>
          <w:kern w:val="0"/>
          <w:szCs w:val="21"/>
          <w:highlight w:val="none"/>
        </w:rPr>
        <w:tab/>
      </w:r>
      <w:r>
        <w:rPr>
          <w:rFonts w:hint="eastAsia" w:ascii="宋体" w:hAnsi="宋体" w:cs="宋体"/>
          <w:color w:val="auto"/>
          <w:kern w:val="0"/>
          <w:szCs w:val="21"/>
          <w:highlight w:val="none"/>
        </w:rPr>
        <w:tab/>
      </w:r>
      <w:r>
        <w:rPr>
          <w:rFonts w:hint="eastAsia" w:ascii="宋体" w:hAnsi="宋体" w:cs="宋体"/>
          <w:color w:val="auto"/>
          <w:kern w:val="0"/>
          <w:szCs w:val="21"/>
          <w:highlight w:val="none"/>
        </w:rPr>
        <w:tab/>
      </w:r>
      <w:r>
        <w:rPr>
          <w:rFonts w:hint="eastAsia" w:ascii="宋体" w:hAnsi="宋体" w:cs="宋体"/>
          <w:color w:val="auto"/>
          <w:kern w:val="0"/>
          <w:szCs w:val="21"/>
          <w:highlight w:val="none"/>
        </w:rPr>
        <w:tab/>
      </w:r>
      <w:r>
        <w:rPr>
          <w:rFonts w:hint="eastAsia" w:ascii="宋体" w:hAnsi="宋体" w:cs="宋体"/>
          <w:color w:val="auto"/>
          <w:kern w:val="0"/>
          <w:szCs w:val="21"/>
          <w:highlight w:val="none"/>
        </w:rPr>
        <w:t>日期：</w:t>
      </w:r>
    </w:p>
    <w:p>
      <w:pPr>
        <w:rPr>
          <w:rFonts w:ascii="宋体" w:hAnsi="宋体" w:cs="宋体"/>
          <w:color w:val="auto"/>
          <w:highlight w:val="none"/>
        </w:rPr>
      </w:pPr>
    </w:p>
    <w:p>
      <w:pPr>
        <w:rPr>
          <w:rFonts w:ascii="宋体" w:hAnsi="宋体" w:cs="宋体"/>
          <w:color w:val="auto"/>
          <w:highlight w:val="none"/>
        </w:rPr>
      </w:pPr>
      <w:r>
        <w:rPr>
          <w:rFonts w:hint="eastAsia" w:ascii="宋体" w:hAnsi="宋体" w:cs="宋体"/>
          <w:color w:val="auto"/>
          <w:highlight w:val="none"/>
        </w:rPr>
        <w:br w:type="page"/>
      </w:r>
    </w:p>
    <w:p>
      <w:pPr>
        <w:jc w:val="center"/>
        <w:rPr>
          <w:rFonts w:ascii="宋体" w:hAnsi="宋体" w:cs="宋体"/>
          <w:b/>
          <w:color w:val="auto"/>
          <w:sz w:val="36"/>
          <w:szCs w:val="36"/>
          <w:highlight w:val="none"/>
        </w:rPr>
      </w:pPr>
      <w:r>
        <w:rPr>
          <w:rFonts w:hint="eastAsia" w:ascii="宋体" w:hAnsi="宋体" w:cs="宋体"/>
          <w:b/>
          <w:color w:val="auto"/>
          <w:sz w:val="36"/>
          <w:szCs w:val="36"/>
          <w:highlight w:val="none"/>
        </w:rPr>
        <w:t>算术复核表</w:t>
      </w:r>
    </w:p>
    <w:p>
      <w:pPr>
        <w:rPr>
          <w:rFonts w:ascii="宋体" w:hAnsi="宋体" w:cs="宋体"/>
          <w:color w:val="auto"/>
          <w:szCs w:val="21"/>
          <w:highlight w:val="none"/>
        </w:rPr>
      </w:pPr>
      <w:r>
        <w:rPr>
          <w:rFonts w:hint="eastAsia" w:ascii="宋体" w:hAnsi="宋体" w:cs="宋体"/>
          <w:color w:val="auto"/>
          <w:szCs w:val="21"/>
          <w:highlight w:val="none"/>
        </w:rPr>
        <w:t>工程名称：</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3"/>
        <w:gridCol w:w="4297"/>
        <w:gridCol w:w="2330"/>
        <w:gridCol w:w="3101"/>
        <w:gridCol w:w="3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pPr>
              <w:rPr>
                <w:rFonts w:ascii="宋体" w:hAnsi="宋体" w:cs="宋体"/>
                <w:b/>
                <w:color w:val="auto"/>
                <w:sz w:val="28"/>
                <w:szCs w:val="28"/>
                <w:highlight w:val="none"/>
              </w:rPr>
            </w:pPr>
            <w:r>
              <w:rPr>
                <w:rFonts w:hint="eastAsia" w:ascii="宋体" w:hAnsi="宋体" w:cs="宋体"/>
                <w:b/>
                <w:color w:val="auto"/>
                <w:sz w:val="28"/>
                <w:szCs w:val="28"/>
                <w:highlight w:val="none"/>
              </w:rPr>
              <w:t>编号</w:t>
            </w:r>
          </w:p>
        </w:tc>
        <w:tc>
          <w:tcPr>
            <w:tcW w:w="4297" w:type="dxa"/>
            <w:tcBorders>
              <w:top w:val="single" w:color="auto" w:sz="4" w:space="0"/>
              <w:left w:val="single" w:color="auto" w:sz="4" w:space="0"/>
              <w:bottom w:val="single" w:color="auto" w:sz="4" w:space="0"/>
              <w:right w:val="single" w:color="auto" w:sz="4" w:space="0"/>
            </w:tcBorders>
          </w:tcPr>
          <w:p>
            <w:pPr>
              <w:rPr>
                <w:rFonts w:ascii="宋体" w:hAnsi="宋体" w:cs="宋体"/>
                <w:b/>
                <w:color w:val="auto"/>
                <w:sz w:val="28"/>
                <w:szCs w:val="28"/>
                <w:highlight w:val="none"/>
              </w:rPr>
            </w:pPr>
            <w:r>
              <w:rPr>
                <w:rFonts w:hint="eastAsia" w:ascii="宋体" w:hAnsi="宋体" w:cs="宋体"/>
                <w:b/>
                <w:color w:val="auto"/>
                <w:sz w:val="28"/>
                <w:szCs w:val="28"/>
                <w:highlight w:val="none"/>
              </w:rPr>
              <w:t>投标人名称</w:t>
            </w:r>
          </w:p>
        </w:tc>
        <w:tc>
          <w:tcPr>
            <w:tcW w:w="2330" w:type="dxa"/>
            <w:tcBorders>
              <w:top w:val="single" w:color="auto" w:sz="4" w:space="0"/>
              <w:left w:val="single" w:color="auto" w:sz="4" w:space="0"/>
              <w:bottom w:val="single" w:color="auto" w:sz="4" w:space="0"/>
              <w:right w:val="single" w:color="auto" w:sz="4" w:space="0"/>
            </w:tcBorders>
          </w:tcPr>
          <w:p>
            <w:pPr>
              <w:rPr>
                <w:rFonts w:ascii="宋体" w:hAnsi="宋体" w:cs="宋体"/>
                <w:b/>
                <w:color w:val="auto"/>
                <w:sz w:val="28"/>
                <w:szCs w:val="28"/>
                <w:highlight w:val="none"/>
              </w:rPr>
            </w:pPr>
            <w:r>
              <w:rPr>
                <w:rFonts w:hint="eastAsia" w:ascii="宋体" w:hAnsi="宋体" w:cs="宋体"/>
                <w:b/>
                <w:color w:val="auto"/>
                <w:sz w:val="28"/>
                <w:szCs w:val="28"/>
                <w:highlight w:val="none"/>
              </w:rPr>
              <w:t>原投标报价（A）</w:t>
            </w:r>
          </w:p>
        </w:tc>
        <w:tc>
          <w:tcPr>
            <w:tcW w:w="3101" w:type="dxa"/>
            <w:tcBorders>
              <w:top w:val="single" w:color="auto" w:sz="4" w:space="0"/>
              <w:left w:val="single" w:color="auto" w:sz="4" w:space="0"/>
              <w:bottom w:val="single" w:color="auto" w:sz="4" w:space="0"/>
              <w:right w:val="single" w:color="auto" w:sz="4" w:space="0"/>
            </w:tcBorders>
          </w:tcPr>
          <w:p>
            <w:pPr>
              <w:rPr>
                <w:rFonts w:ascii="宋体" w:hAnsi="宋体" w:cs="宋体"/>
                <w:b/>
                <w:color w:val="auto"/>
                <w:sz w:val="28"/>
                <w:szCs w:val="28"/>
                <w:highlight w:val="none"/>
              </w:rPr>
            </w:pPr>
            <w:r>
              <w:rPr>
                <w:rFonts w:hint="eastAsia" w:ascii="宋体" w:hAnsi="宋体" w:cs="宋体"/>
                <w:b/>
                <w:color w:val="auto"/>
                <w:sz w:val="28"/>
                <w:szCs w:val="28"/>
                <w:highlight w:val="none"/>
              </w:rPr>
              <w:t>算数复核后投标报价（B）</w:t>
            </w:r>
          </w:p>
        </w:tc>
        <w:tc>
          <w:tcPr>
            <w:tcW w:w="3423" w:type="dxa"/>
            <w:tcBorders>
              <w:top w:val="single" w:color="auto" w:sz="4" w:space="0"/>
              <w:left w:val="single" w:color="auto" w:sz="4" w:space="0"/>
              <w:bottom w:val="single" w:color="auto" w:sz="4" w:space="0"/>
              <w:right w:val="single" w:color="auto" w:sz="4" w:space="0"/>
            </w:tcBorders>
          </w:tcPr>
          <w:p>
            <w:pPr>
              <w:rPr>
                <w:rFonts w:ascii="宋体" w:hAnsi="宋体" w:cs="宋体"/>
                <w:b/>
                <w:color w:val="auto"/>
                <w:sz w:val="28"/>
                <w:szCs w:val="28"/>
                <w:highlight w:val="none"/>
              </w:rPr>
            </w:pPr>
            <w:r>
              <w:rPr>
                <w:rFonts w:hint="eastAsia" w:ascii="宋体" w:hAnsi="宋体" w:cs="宋体"/>
                <w:b/>
                <w:color w:val="auto"/>
                <w:sz w:val="28"/>
                <w:szCs w:val="28"/>
                <w:highlight w:val="none"/>
              </w:rPr>
              <w:t>误差率（r=|A-B|/A*100%）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 w:val="36"/>
                <w:szCs w:val="36"/>
                <w:highlight w:val="none"/>
              </w:rPr>
            </w:pPr>
          </w:p>
        </w:tc>
        <w:tc>
          <w:tcPr>
            <w:tcW w:w="3101"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 w:val="36"/>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 w:val="36"/>
                <w:szCs w:val="36"/>
                <w:highlight w:val="none"/>
              </w:rPr>
            </w:pPr>
          </w:p>
        </w:tc>
        <w:tc>
          <w:tcPr>
            <w:tcW w:w="3101"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 w:val="36"/>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 w:val="36"/>
                <w:szCs w:val="36"/>
                <w:highlight w:val="none"/>
              </w:rPr>
            </w:pPr>
          </w:p>
        </w:tc>
        <w:tc>
          <w:tcPr>
            <w:tcW w:w="3101"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 w:val="36"/>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 w:val="36"/>
                <w:szCs w:val="36"/>
                <w:highlight w:val="none"/>
              </w:rPr>
            </w:pPr>
          </w:p>
        </w:tc>
        <w:tc>
          <w:tcPr>
            <w:tcW w:w="3101"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 w:val="36"/>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 w:val="36"/>
                <w:szCs w:val="36"/>
                <w:highlight w:val="none"/>
              </w:rPr>
            </w:pPr>
          </w:p>
        </w:tc>
        <w:tc>
          <w:tcPr>
            <w:tcW w:w="3101"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 w:val="36"/>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 w:val="36"/>
                <w:szCs w:val="36"/>
                <w:highlight w:val="none"/>
              </w:rPr>
            </w:pPr>
          </w:p>
        </w:tc>
        <w:tc>
          <w:tcPr>
            <w:tcW w:w="3101"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 w:val="36"/>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 w:val="36"/>
                <w:szCs w:val="36"/>
                <w:highlight w:val="none"/>
              </w:rPr>
            </w:pPr>
          </w:p>
        </w:tc>
        <w:tc>
          <w:tcPr>
            <w:tcW w:w="3101"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 w:val="36"/>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 w:val="36"/>
                <w:szCs w:val="36"/>
                <w:highlight w:val="none"/>
              </w:rPr>
            </w:pPr>
          </w:p>
        </w:tc>
        <w:tc>
          <w:tcPr>
            <w:tcW w:w="3101"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 w:val="36"/>
                <w:szCs w:val="36"/>
                <w:highlight w:val="none"/>
              </w:rPr>
            </w:pPr>
          </w:p>
        </w:tc>
      </w:tr>
    </w:tbl>
    <w:p>
      <w:pPr>
        <w:rPr>
          <w:rFonts w:ascii="宋体" w:hAnsi="宋体" w:cs="宋体"/>
          <w:color w:val="auto"/>
          <w:szCs w:val="21"/>
          <w:highlight w:val="none"/>
        </w:rPr>
      </w:pPr>
      <w:r>
        <w:rPr>
          <w:rFonts w:hint="eastAsia" w:ascii="宋体" w:hAnsi="宋体" w:cs="宋体"/>
          <w:color w:val="auto"/>
          <w:szCs w:val="21"/>
          <w:highlight w:val="none"/>
        </w:rPr>
        <w:t>评委签名：</w:t>
      </w:r>
    </w:p>
    <w:p>
      <w:pPr>
        <w:spacing w:line="360" w:lineRule="auto"/>
        <w:jc w:val="center"/>
        <w:rPr>
          <w:rFonts w:ascii="宋体" w:hAnsi="宋体" w:cs="宋体"/>
          <w:color w:val="auto"/>
          <w:szCs w:val="21"/>
          <w:highlight w:val="none"/>
        </w:rPr>
        <w:sectPr>
          <w:headerReference r:id="rId9" w:type="first"/>
          <w:footerReference r:id="rId11" w:type="first"/>
          <w:headerReference r:id="rId8" w:type="default"/>
          <w:footerReference r:id="rId10" w:type="default"/>
          <w:endnotePr>
            <w:numFmt w:val="decimal"/>
          </w:endnotePr>
          <w:pgSz w:w="16838" w:h="11906" w:orient="landscape"/>
          <w:pgMar w:top="1418" w:right="1247" w:bottom="1418" w:left="1134" w:header="851" w:footer="907" w:gutter="0"/>
          <w:cols w:space="720" w:num="1"/>
          <w:titlePg/>
          <w:docGrid w:type="lines" w:linePitch="312" w:charSpace="0"/>
        </w:sectPr>
      </w:pPr>
    </w:p>
    <w:p>
      <w:pPr>
        <w:pStyle w:val="3"/>
        <w:jc w:val="center"/>
        <w:rPr>
          <w:rFonts w:ascii="宋体" w:hAnsi="宋体" w:cs="宋体"/>
          <w:color w:val="auto"/>
          <w:sz w:val="32"/>
          <w:szCs w:val="32"/>
          <w:highlight w:val="none"/>
        </w:rPr>
      </w:pPr>
      <w:bookmarkStart w:id="24" w:name="_Toc14934"/>
      <w:r>
        <w:rPr>
          <w:rFonts w:hint="eastAsia" w:ascii="宋体" w:hAnsi="宋体" w:cs="宋体"/>
          <w:color w:val="auto"/>
          <w:sz w:val="32"/>
          <w:szCs w:val="32"/>
          <w:highlight w:val="none"/>
        </w:rPr>
        <w:t>第三章  合同条款</w:t>
      </w:r>
      <w:bookmarkEnd w:id="24"/>
    </w:p>
    <w:p>
      <w:pPr>
        <w:jc w:val="center"/>
        <w:rPr>
          <w:rFonts w:ascii="宋体" w:hAnsi="宋体" w:cs="宋体"/>
          <w:b/>
          <w:color w:val="auto"/>
          <w:sz w:val="28"/>
          <w:szCs w:val="28"/>
          <w:highlight w:val="none"/>
        </w:rPr>
      </w:pPr>
      <w:r>
        <w:rPr>
          <w:rFonts w:hint="eastAsia" w:ascii="宋体" w:hAnsi="宋体" w:cs="宋体"/>
          <w:color w:val="auto"/>
          <w:sz w:val="28"/>
          <w:szCs w:val="28"/>
          <w:highlight w:val="none"/>
        </w:rPr>
        <w:t>另册。</w:t>
      </w:r>
    </w:p>
    <w:p>
      <w:pPr>
        <w:rPr>
          <w:rFonts w:ascii="宋体" w:hAnsi="宋体" w:cs="宋体"/>
          <w:color w:val="auto"/>
          <w:sz w:val="24"/>
          <w:szCs w:val="24"/>
          <w:highlight w:val="none"/>
        </w:rPr>
      </w:pPr>
    </w:p>
    <w:p>
      <w:pPr>
        <w:pStyle w:val="5"/>
        <w:spacing w:line="360" w:lineRule="auto"/>
        <w:rPr>
          <w:rFonts w:ascii="宋体" w:hAnsi="宋体" w:cs="宋体"/>
          <w:color w:val="auto"/>
          <w:sz w:val="24"/>
          <w:szCs w:val="24"/>
          <w:highlight w:val="none"/>
        </w:rPr>
      </w:pPr>
    </w:p>
    <w:p>
      <w:pPr>
        <w:pStyle w:val="5"/>
        <w:spacing w:line="360" w:lineRule="auto"/>
        <w:rPr>
          <w:rFonts w:ascii="宋体" w:hAnsi="宋体" w:cs="宋体"/>
          <w:color w:val="auto"/>
          <w:sz w:val="24"/>
          <w:szCs w:val="24"/>
          <w:highlight w:val="none"/>
        </w:rPr>
      </w:pPr>
    </w:p>
    <w:p>
      <w:pPr>
        <w:pStyle w:val="5"/>
        <w:spacing w:line="360" w:lineRule="auto"/>
        <w:rPr>
          <w:rFonts w:ascii="宋体" w:hAnsi="宋体" w:cs="宋体"/>
          <w:color w:val="auto"/>
          <w:sz w:val="24"/>
          <w:szCs w:val="24"/>
          <w:highlight w:val="none"/>
        </w:rPr>
      </w:pPr>
    </w:p>
    <w:p>
      <w:pPr>
        <w:pStyle w:val="5"/>
        <w:spacing w:line="360" w:lineRule="auto"/>
        <w:rPr>
          <w:rFonts w:ascii="宋体" w:hAnsi="宋体" w:cs="宋体"/>
          <w:color w:val="auto"/>
          <w:sz w:val="24"/>
          <w:szCs w:val="24"/>
          <w:highlight w:val="none"/>
        </w:rPr>
      </w:pPr>
    </w:p>
    <w:p>
      <w:pPr>
        <w:pStyle w:val="5"/>
        <w:spacing w:line="360" w:lineRule="auto"/>
        <w:rPr>
          <w:rFonts w:ascii="宋体" w:hAnsi="宋体" w:cs="宋体"/>
          <w:color w:val="auto"/>
          <w:sz w:val="24"/>
          <w:szCs w:val="24"/>
          <w:highlight w:val="none"/>
        </w:rPr>
      </w:pPr>
    </w:p>
    <w:p>
      <w:pPr>
        <w:pStyle w:val="5"/>
        <w:spacing w:line="360" w:lineRule="auto"/>
        <w:rPr>
          <w:rFonts w:ascii="宋体" w:hAnsi="宋体" w:cs="宋体"/>
          <w:color w:val="auto"/>
          <w:sz w:val="24"/>
          <w:szCs w:val="24"/>
          <w:highlight w:val="none"/>
        </w:rPr>
      </w:pPr>
    </w:p>
    <w:p>
      <w:pPr>
        <w:pStyle w:val="5"/>
        <w:spacing w:line="360" w:lineRule="auto"/>
        <w:rPr>
          <w:rFonts w:ascii="宋体" w:hAnsi="宋体" w:cs="宋体"/>
          <w:color w:val="auto"/>
          <w:sz w:val="24"/>
          <w:szCs w:val="24"/>
          <w:highlight w:val="none"/>
        </w:rPr>
      </w:pPr>
    </w:p>
    <w:p>
      <w:pPr>
        <w:pStyle w:val="5"/>
        <w:spacing w:line="360" w:lineRule="auto"/>
        <w:rPr>
          <w:rFonts w:ascii="宋体" w:hAnsi="宋体" w:cs="宋体"/>
          <w:color w:val="auto"/>
          <w:sz w:val="24"/>
          <w:szCs w:val="24"/>
          <w:highlight w:val="none"/>
        </w:rPr>
      </w:pPr>
    </w:p>
    <w:p>
      <w:pPr>
        <w:pStyle w:val="5"/>
        <w:spacing w:line="360" w:lineRule="auto"/>
        <w:rPr>
          <w:rFonts w:ascii="宋体" w:hAnsi="宋体" w:cs="宋体"/>
          <w:color w:val="auto"/>
          <w:sz w:val="24"/>
          <w:szCs w:val="24"/>
          <w:highlight w:val="none"/>
        </w:rPr>
      </w:pPr>
    </w:p>
    <w:p>
      <w:pPr>
        <w:pStyle w:val="5"/>
        <w:spacing w:line="360" w:lineRule="auto"/>
        <w:rPr>
          <w:rFonts w:ascii="宋体" w:hAnsi="宋体" w:cs="宋体"/>
          <w:color w:val="auto"/>
          <w:sz w:val="24"/>
          <w:szCs w:val="24"/>
          <w:highlight w:val="none"/>
        </w:rPr>
      </w:pPr>
    </w:p>
    <w:p>
      <w:pPr>
        <w:pStyle w:val="5"/>
        <w:spacing w:line="360" w:lineRule="auto"/>
        <w:rPr>
          <w:rFonts w:ascii="宋体" w:hAnsi="宋体" w:cs="宋体"/>
          <w:color w:val="auto"/>
          <w:sz w:val="24"/>
          <w:szCs w:val="24"/>
          <w:highlight w:val="none"/>
        </w:rPr>
      </w:pPr>
    </w:p>
    <w:p>
      <w:pPr>
        <w:pStyle w:val="5"/>
        <w:spacing w:line="360" w:lineRule="auto"/>
        <w:rPr>
          <w:rFonts w:ascii="宋体" w:hAnsi="宋体" w:cs="宋体"/>
          <w:color w:val="auto"/>
          <w:sz w:val="24"/>
          <w:szCs w:val="24"/>
          <w:highlight w:val="none"/>
        </w:rPr>
      </w:pPr>
    </w:p>
    <w:p>
      <w:pPr>
        <w:pStyle w:val="5"/>
        <w:spacing w:line="360" w:lineRule="auto"/>
        <w:rPr>
          <w:rFonts w:ascii="宋体" w:hAnsi="宋体" w:cs="宋体"/>
          <w:color w:val="auto"/>
          <w:sz w:val="24"/>
          <w:szCs w:val="24"/>
          <w:highlight w:val="none"/>
        </w:rPr>
      </w:pPr>
    </w:p>
    <w:p>
      <w:pPr>
        <w:pStyle w:val="5"/>
        <w:spacing w:line="360" w:lineRule="auto"/>
        <w:rPr>
          <w:rFonts w:ascii="宋体" w:hAnsi="宋体" w:cs="宋体"/>
          <w:color w:val="auto"/>
          <w:sz w:val="24"/>
          <w:szCs w:val="24"/>
          <w:highlight w:val="none"/>
        </w:rPr>
      </w:pPr>
    </w:p>
    <w:p>
      <w:pPr>
        <w:pStyle w:val="5"/>
        <w:spacing w:line="360" w:lineRule="auto"/>
        <w:rPr>
          <w:rFonts w:ascii="宋体" w:hAnsi="宋体" w:cs="宋体"/>
          <w:color w:val="auto"/>
          <w:sz w:val="24"/>
          <w:szCs w:val="24"/>
          <w:highlight w:val="none"/>
        </w:rPr>
      </w:pPr>
    </w:p>
    <w:p>
      <w:pPr>
        <w:pStyle w:val="5"/>
        <w:spacing w:line="360" w:lineRule="auto"/>
        <w:rPr>
          <w:rFonts w:ascii="宋体" w:hAnsi="宋体" w:cs="宋体"/>
          <w:color w:val="auto"/>
          <w:sz w:val="24"/>
          <w:szCs w:val="24"/>
          <w:highlight w:val="none"/>
        </w:rPr>
      </w:pPr>
    </w:p>
    <w:p>
      <w:pPr>
        <w:pStyle w:val="5"/>
        <w:spacing w:line="360" w:lineRule="auto"/>
        <w:rPr>
          <w:rFonts w:ascii="宋体" w:hAnsi="宋体" w:cs="宋体"/>
          <w:color w:val="auto"/>
          <w:sz w:val="24"/>
          <w:szCs w:val="24"/>
          <w:highlight w:val="none"/>
        </w:rPr>
      </w:pPr>
    </w:p>
    <w:p>
      <w:pPr>
        <w:pStyle w:val="5"/>
        <w:spacing w:line="360" w:lineRule="auto"/>
        <w:rPr>
          <w:rFonts w:ascii="宋体" w:hAnsi="宋体" w:cs="宋体"/>
          <w:color w:val="auto"/>
          <w:sz w:val="24"/>
          <w:szCs w:val="24"/>
          <w:highlight w:val="none"/>
        </w:rPr>
      </w:pPr>
    </w:p>
    <w:p>
      <w:pPr>
        <w:pStyle w:val="5"/>
        <w:spacing w:line="360" w:lineRule="auto"/>
        <w:rPr>
          <w:rFonts w:ascii="宋体" w:hAnsi="宋体" w:cs="宋体"/>
          <w:color w:val="auto"/>
          <w:sz w:val="24"/>
          <w:szCs w:val="24"/>
          <w:highlight w:val="none"/>
        </w:rPr>
      </w:pPr>
    </w:p>
    <w:p>
      <w:pPr>
        <w:pStyle w:val="22"/>
        <w:spacing w:line="360" w:lineRule="auto"/>
        <w:rPr>
          <w:rFonts w:hAnsi="宋体" w:cs="宋体"/>
          <w:color w:val="auto"/>
          <w:sz w:val="24"/>
          <w:szCs w:val="24"/>
          <w:highlight w:val="none"/>
        </w:rPr>
      </w:pPr>
    </w:p>
    <w:p>
      <w:pPr>
        <w:pStyle w:val="22"/>
        <w:spacing w:line="360" w:lineRule="auto"/>
        <w:rPr>
          <w:rFonts w:hAnsi="宋体" w:cs="宋体"/>
          <w:color w:val="auto"/>
          <w:sz w:val="24"/>
          <w:szCs w:val="24"/>
          <w:highlight w:val="none"/>
        </w:rPr>
      </w:pPr>
    </w:p>
    <w:p>
      <w:pPr>
        <w:pStyle w:val="3"/>
        <w:jc w:val="center"/>
        <w:rPr>
          <w:rFonts w:ascii="宋体" w:hAnsi="宋体" w:cs="宋体"/>
          <w:color w:val="auto"/>
          <w:sz w:val="32"/>
          <w:szCs w:val="32"/>
          <w:highlight w:val="none"/>
        </w:rPr>
      </w:pPr>
      <w:bookmarkStart w:id="25" w:name="_Toc12630"/>
      <w:r>
        <w:rPr>
          <w:rFonts w:hint="eastAsia" w:ascii="宋体" w:hAnsi="宋体" w:cs="宋体"/>
          <w:color w:val="auto"/>
          <w:sz w:val="32"/>
          <w:szCs w:val="32"/>
          <w:highlight w:val="none"/>
        </w:rPr>
        <w:t>第四章  投标文件格式</w:t>
      </w:r>
      <w:bookmarkEnd w:id="25"/>
    </w:p>
    <w:p>
      <w:pPr>
        <w:rPr>
          <w:rFonts w:ascii="宋体" w:hAnsi="宋体" w:cs="宋体"/>
          <w:bCs/>
          <w:color w:val="auto"/>
          <w:szCs w:val="21"/>
          <w:highlight w:val="none"/>
        </w:rPr>
      </w:pPr>
    </w:p>
    <w:p>
      <w:pPr>
        <w:autoSpaceDE w:val="0"/>
        <w:autoSpaceDN w:val="0"/>
        <w:adjustRightInd w:val="0"/>
        <w:jc w:val="center"/>
        <w:rPr>
          <w:rFonts w:ascii="宋体" w:hAnsi="宋体" w:cs="宋体"/>
          <w:b/>
          <w:color w:val="auto"/>
          <w:sz w:val="24"/>
          <w:szCs w:val="24"/>
          <w:highlight w:val="none"/>
        </w:rPr>
      </w:pPr>
      <w:r>
        <w:rPr>
          <w:rFonts w:hint="eastAsia" w:ascii="宋体" w:hAnsi="宋体" w:cs="宋体"/>
          <w:b/>
          <w:color w:val="auto"/>
          <w:sz w:val="24"/>
          <w:szCs w:val="24"/>
          <w:highlight w:val="none"/>
        </w:rPr>
        <w:t>【本章格式除招标文件中带★号的格式必须按招标文件规定的格式进行编制外，其余格式仅供参考。】</w:t>
      </w:r>
    </w:p>
    <w:p>
      <w:pPr>
        <w:autoSpaceDE w:val="0"/>
        <w:autoSpaceDN w:val="0"/>
        <w:adjustRightInd w:val="0"/>
        <w:rPr>
          <w:rFonts w:ascii="宋体" w:hAnsi="宋体" w:cs="宋体"/>
          <w:color w:val="auto"/>
          <w:sz w:val="24"/>
          <w:szCs w:val="24"/>
          <w:highlight w:val="none"/>
        </w:rPr>
      </w:pPr>
    </w:p>
    <w:p>
      <w:pPr>
        <w:autoSpaceDE w:val="0"/>
        <w:autoSpaceDN w:val="0"/>
        <w:adjustRightInd w:val="0"/>
        <w:rPr>
          <w:rFonts w:ascii="宋体" w:hAnsi="宋体" w:cs="宋体"/>
          <w:color w:val="auto"/>
          <w:sz w:val="24"/>
          <w:szCs w:val="24"/>
          <w:highlight w:val="none"/>
        </w:rPr>
      </w:pPr>
    </w:p>
    <w:p>
      <w:pPr>
        <w:autoSpaceDE w:val="0"/>
        <w:autoSpaceDN w:val="0"/>
        <w:adjustRightInd w:val="0"/>
        <w:rPr>
          <w:rFonts w:ascii="宋体" w:hAnsi="宋体" w:cs="宋体"/>
          <w:color w:val="auto"/>
          <w:sz w:val="24"/>
          <w:szCs w:val="24"/>
          <w:highlight w:val="none"/>
        </w:rPr>
      </w:pPr>
    </w:p>
    <w:p>
      <w:pPr>
        <w:autoSpaceDE w:val="0"/>
        <w:autoSpaceDN w:val="0"/>
        <w:adjustRightInd w:val="0"/>
        <w:rPr>
          <w:rFonts w:ascii="宋体" w:hAnsi="宋体" w:cs="宋体"/>
          <w:color w:val="auto"/>
          <w:sz w:val="24"/>
          <w:szCs w:val="24"/>
          <w:highlight w:val="none"/>
        </w:rPr>
      </w:pPr>
    </w:p>
    <w:p>
      <w:pPr>
        <w:autoSpaceDE w:val="0"/>
        <w:autoSpaceDN w:val="0"/>
        <w:adjustRightInd w:val="0"/>
        <w:rPr>
          <w:rFonts w:ascii="宋体" w:hAnsi="宋体" w:cs="宋体"/>
          <w:color w:val="auto"/>
          <w:sz w:val="24"/>
          <w:szCs w:val="24"/>
          <w:highlight w:val="none"/>
        </w:rPr>
      </w:pPr>
    </w:p>
    <w:p>
      <w:pPr>
        <w:autoSpaceDE w:val="0"/>
        <w:autoSpaceDN w:val="0"/>
        <w:adjustRightInd w:val="0"/>
        <w:rPr>
          <w:rFonts w:ascii="宋体" w:hAnsi="宋体" w:cs="宋体"/>
          <w:color w:val="auto"/>
          <w:sz w:val="24"/>
          <w:szCs w:val="24"/>
          <w:highlight w:val="none"/>
        </w:rPr>
      </w:pPr>
    </w:p>
    <w:p>
      <w:pPr>
        <w:autoSpaceDE w:val="0"/>
        <w:autoSpaceDN w:val="0"/>
        <w:adjustRightInd w:val="0"/>
        <w:rPr>
          <w:rFonts w:ascii="宋体" w:hAnsi="宋体" w:cs="宋体"/>
          <w:color w:val="auto"/>
          <w:sz w:val="24"/>
          <w:szCs w:val="24"/>
          <w:highlight w:val="none"/>
        </w:rPr>
      </w:pPr>
    </w:p>
    <w:p>
      <w:pPr>
        <w:autoSpaceDE w:val="0"/>
        <w:autoSpaceDN w:val="0"/>
        <w:adjustRightInd w:val="0"/>
        <w:jc w:val="center"/>
        <w:rPr>
          <w:rFonts w:ascii="宋体" w:hAnsi="宋体" w:cs="宋体"/>
          <w:b/>
          <w:color w:val="auto"/>
          <w:sz w:val="32"/>
          <w:szCs w:val="32"/>
          <w:highlight w:val="none"/>
        </w:rPr>
      </w:pPr>
      <w:r>
        <w:rPr>
          <w:rFonts w:hint="eastAsia" w:ascii="宋体" w:hAnsi="宋体" w:cs="宋体"/>
          <w:b/>
          <w:color w:val="auto"/>
          <w:sz w:val="32"/>
          <w:szCs w:val="32"/>
          <w:highlight w:val="none"/>
        </w:rPr>
        <w:t>第一部分  投标文件技术标部分（部分格式）</w:t>
      </w:r>
    </w:p>
    <w:p>
      <w:pPr>
        <w:rPr>
          <w:rFonts w:ascii="宋体" w:hAnsi="宋体" w:cs="宋体"/>
          <w:bCs/>
          <w:color w:val="auto"/>
          <w:szCs w:val="21"/>
          <w:highlight w:val="none"/>
        </w:rPr>
      </w:pPr>
    </w:p>
    <w:p>
      <w:pPr>
        <w:pStyle w:val="8"/>
        <w:ind w:firstLine="0"/>
        <w:rPr>
          <w:rFonts w:ascii="宋体" w:hAnsi="宋体" w:cs="宋体"/>
          <w:color w:val="auto"/>
          <w:highlight w:val="none"/>
        </w:rPr>
      </w:pPr>
    </w:p>
    <w:p>
      <w:pPr>
        <w:pStyle w:val="8"/>
        <w:ind w:firstLine="0"/>
        <w:rPr>
          <w:rFonts w:ascii="宋体" w:hAnsi="宋体" w:cs="宋体"/>
          <w:color w:val="auto"/>
          <w:highlight w:val="none"/>
        </w:rPr>
      </w:pPr>
    </w:p>
    <w:p>
      <w:pPr>
        <w:rPr>
          <w:rFonts w:ascii="宋体" w:hAnsi="宋体" w:cs="宋体"/>
          <w:b/>
          <w:color w:val="auto"/>
          <w:sz w:val="24"/>
          <w:szCs w:val="24"/>
          <w:highlight w:val="none"/>
        </w:rPr>
      </w:pPr>
      <w:r>
        <w:rPr>
          <w:rFonts w:hint="eastAsia" w:ascii="宋体" w:hAnsi="宋体" w:cs="宋体"/>
          <w:b/>
          <w:color w:val="auto"/>
          <w:sz w:val="24"/>
          <w:szCs w:val="24"/>
          <w:highlight w:val="none"/>
        </w:rPr>
        <w:br w:type="page"/>
      </w:r>
      <w:r>
        <w:rPr>
          <w:rFonts w:hint="eastAsia" w:ascii="宋体" w:hAnsi="宋体" w:cs="宋体"/>
          <w:b/>
          <w:bCs w:val="0"/>
          <w:color w:val="auto"/>
          <w:sz w:val="24"/>
          <w:szCs w:val="24"/>
          <w:highlight w:val="none"/>
        </w:rPr>
        <w:t>技术部分格式1：技术标封面</w:t>
      </w:r>
    </w:p>
    <w:p>
      <w:pPr>
        <w:pStyle w:val="78"/>
        <w:ind w:firstLine="496"/>
        <w:rPr>
          <w:rFonts w:ascii="宋体" w:hAnsi="宋体" w:cs="宋体"/>
          <w:color w:val="auto"/>
          <w:highlight w:val="none"/>
        </w:rPr>
      </w:pPr>
    </w:p>
    <w:p>
      <w:pPr>
        <w:pStyle w:val="78"/>
        <w:ind w:firstLine="496"/>
        <w:rPr>
          <w:rFonts w:ascii="宋体" w:hAnsi="宋体" w:cs="宋体"/>
          <w:color w:val="auto"/>
          <w:highlight w:val="none"/>
        </w:rPr>
      </w:pPr>
    </w:p>
    <w:p>
      <w:pPr>
        <w:pStyle w:val="78"/>
        <w:ind w:firstLine="496"/>
        <w:rPr>
          <w:rFonts w:ascii="宋体" w:hAnsi="宋体" w:cs="宋体"/>
          <w:color w:val="auto"/>
          <w:highlight w:val="none"/>
        </w:rPr>
      </w:pPr>
    </w:p>
    <w:p>
      <w:pPr>
        <w:pStyle w:val="133"/>
        <w:rPr>
          <w:rFonts w:ascii="宋体" w:hAnsi="宋体" w:eastAsia="宋体" w:cs="宋体"/>
          <w:b w:val="0"/>
          <w:color w:val="auto"/>
          <w:highlight w:val="none"/>
          <w:u w:val="single"/>
        </w:rPr>
      </w:pPr>
      <w:r>
        <w:rPr>
          <w:rFonts w:hint="eastAsia" w:ascii="宋体" w:hAnsi="宋体" w:eastAsia="宋体" w:cs="宋体"/>
          <w:b w:val="0"/>
          <w:color w:val="auto"/>
          <w:highlight w:val="none"/>
          <w:u w:val="single"/>
        </w:rPr>
        <w:t xml:space="preserve">[工程名称] </w:t>
      </w:r>
    </w:p>
    <w:p>
      <w:pPr>
        <w:pStyle w:val="78"/>
        <w:ind w:firstLine="496"/>
        <w:rPr>
          <w:rFonts w:ascii="宋体" w:hAnsi="宋体" w:cs="宋体"/>
          <w:color w:val="auto"/>
          <w:highlight w:val="none"/>
        </w:rPr>
      </w:pPr>
    </w:p>
    <w:p>
      <w:pPr>
        <w:pStyle w:val="78"/>
        <w:ind w:firstLine="496"/>
        <w:rPr>
          <w:rFonts w:ascii="宋体" w:hAnsi="宋体" w:cs="宋体"/>
          <w:color w:val="auto"/>
          <w:highlight w:val="none"/>
        </w:rPr>
      </w:pPr>
    </w:p>
    <w:p>
      <w:pPr>
        <w:pStyle w:val="78"/>
        <w:ind w:firstLine="496"/>
        <w:rPr>
          <w:rFonts w:ascii="宋体" w:hAnsi="宋体" w:cs="宋体"/>
          <w:color w:val="auto"/>
          <w:highlight w:val="none"/>
        </w:rPr>
      </w:pPr>
    </w:p>
    <w:p>
      <w:pPr>
        <w:pStyle w:val="78"/>
        <w:ind w:firstLine="496"/>
        <w:rPr>
          <w:rFonts w:ascii="宋体" w:hAnsi="宋体" w:cs="宋体"/>
          <w:color w:val="auto"/>
          <w:highlight w:val="none"/>
        </w:rPr>
      </w:pPr>
    </w:p>
    <w:p>
      <w:pPr>
        <w:pStyle w:val="134"/>
        <w:rPr>
          <w:rFonts w:ascii="宋体" w:hAnsi="宋体" w:eastAsia="宋体" w:cs="宋体"/>
          <w:b w:val="0"/>
          <w:color w:val="auto"/>
          <w:highlight w:val="none"/>
        </w:rPr>
      </w:pPr>
      <w:r>
        <w:rPr>
          <w:rFonts w:hint="eastAsia" w:ascii="宋体" w:hAnsi="宋体" w:eastAsia="宋体" w:cs="宋体"/>
          <w:b w:val="0"/>
          <w:color w:val="auto"/>
          <w:highlight w:val="none"/>
        </w:rPr>
        <w:t>投标文件</w:t>
      </w:r>
    </w:p>
    <w:p>
      <w:pPr>
        <w:pStyle w:val="133"/>
        <w:rPr>
          <w:rFonts w:ascii="宋体" w:hAnsi="宋体" w:eastAsia="宋体" w:cs="宋体"/>
          <w:b w:val="0"/>
          <w:color w:val="auto"/>
          <w:highlight w:val="none"/>
        </w:rPr>
      </w:pPr>
      <w:r>
        <w:rPr>
          <w:rFonts w:hint="eastAsia" w:ascii="宋体" w:hAnsi="宋体" w:eastAsia="宋体" w:cs="宋体"/>
          <w:b w:val="0"/>
          <w:color w:val="auto"/>
          <w:highlight w:val="none"/>
        </w:rPr>
        <w:t>第一册  技术标</w:t>
      </w:r>
      <w:r>
        <w:rPr>
          <w:rFonts w:hint="eastAsia" w:ascii="宋体" w:hAnsi="宋体" w:eastAsia="宋体" w:cs="宋体"/>
          <w:b w:val="0"/>
          <w:color w:val="auto"/>
          <w:highlight w:val="none"/>
          <w:lang w:val="en-US" w:eastAsia="zh-CN"/>
        </w:rPr>
        <w:t>书</w:t>
      </w:r>
      <w:r>
        <w:rPr>
          <w:rFonts w:hint="eastAsia" w:ascii="宋体" w:hAnsi="宋体" w:eastAsia="宋体" w:cs="宋体"/>
          <w:b w:val="0"/>
          <w:color w:val="auto"/>
          <w:highlight w:val="none"/>
        </w:rPr>
        <w:t>（含资格审查文件）</w:t>
      </w:r>
    </w:p>
    <w:p>
      <w:pPr>
        <w:pStyle w:val="78"/>
        <w:ind w:firstLine="496"/>
        <w:rPr>
          <w:rFonts w:ascii="宋体" w:hAnsi="宋体" w:cs="宋体"/>
          <w:color w:val="auto"/>
          <w:highlight w:val="none"/>
        </w:rPr>
      </w:pPr>
    </w:p>
    <w:p>
      <w:pPr>
        <w:pStyle w:val="78"/>
        <w:ind w:firstLine="496"/>
        <w:rPr>
          <w:rFonts w:ascii="宋体" w:hAnsi="宋体" w:cs="宋体"/>
          <w:color w:val="auto"/>
          <w:highlight w:val="none"/>
        </w:rPr>
      </w:pPr>
    </w:p>
    <w:p>
      <w:pPr>
        <w:pStyle w:val="78"/>
        <w:ind w:firstLine="496"/>
        <w:rPr>
          <w:rFonts w:ascii="宋体" w:hAnsi="宋体" w:cs="宋体"/>
          <w:color w:val="auto"/>
          <w:highlight w:val="none"/>
        </w:rPr>
      </w:pPr>
    </w:p>
    <w:p>
      <w:pPr>
        <w:pStyle w:val="78"/>
        <w:ind w:firstLine="496"/>
        <w:rPr>
          <w:rFonts w:ascii="宋体" w:hAnsi="宋体" w:cs="宋体"/>
          <w:color w:val="auto"/>
          <w:highlight w:val="none"/>
        </w:rPr>
      </w:pPr>
    </w:p>
    <w:p>
      <w:pPr>
        <w:pStyle w:val="78"/>
        <w:ind w:firstLine="496"/>
        <w:rPr>
          <w:rFonts w:ascii="宋体" w:hAnsi="宋体" w:cs="宋体"/>
          <w:color w:val="auto"/>
          <w:highlight w:val="none"/>
        </w:rPr>
      </w:pPr>
    </w:p>
    <w:p>
      <w:pPr>
        <w:pStyle w:val="78"/>
        <w:ind w:firstLine="496"/>
        <w:rPr>
          <w:rFonts w:ascii="宋体" w:hAnsi="宋体" w:cs="宋体"/>
          <w:color w:val="auto"/>
          <w:highlight w:val="none"/>
        </w:rPr>
      </w:pPr>
    </w:p>
    <w:p>
      <w:pPr>
        <w:pStyle w:val="135"/>
        <w:ind w:firstLine="616"/>
        <w:rPr>
          <w:rFonts w:ascii="宋体" w:hAnsi="宋体" w:cs="宋体"/>
          <w:color w:val="auto"/>
          <w:highlight w:val="none"/>
        </w:rPr>
      </w:pPr>
      <w:r>
        <w:rPr>
          <w:rFonts w:hint="eastAsia" w:ascii="宋体" w:hAnsi="宋体" w:cs="宋体"/>
          <w:color w:val="auto"/>
          <w:highlight w:val="none"/>
        </w:rPr>
        <w:t>投标人：</w:t>
      </w:r>
      <w:r>
        <w:rPr>
          <w:rFonts w:hint="eastAsia" w:ascii="宋体" w:hAnsi="宋体" w:cs="宋体"/>
          <w:color w:val="auto"/>
          <w:highlight w:val="none"/>
          <w:u w:val="single"/>
        </w:rPr>
        <w:t xml:space="preserve">          （填写投标人单位名称）    （盖章）</w:t>
      </w:r>
    </w:p>
    <w:p>
      <w:pPr>
        <w:pStyle w:val="135"/>
        <w:ind w:firstLine="616"/>
        <w:rPr>
          <w:rFonts w:ascii="宋体" w:hAnsi="宋体" w:cs="宋体"/>
          <w:color w:val="auto"/>
          <w:highlight w:val="none"/>
        </w:rPr>
      </w:pPr>
    </w:p>
    <w:p>
      <w:pPr>
        <w:pStyle w:val="135"/>
        <w:ind w:firstLine="616"/>
        <w:rPr>
          <w:rFonts w:ascii="宋体" w:hAnsi="宋体" w:cs="宋体"/>
          <w:color w:val="auto"/>
          <w:highlight w:val="none"/>
        </w:rPr>
      </w:pPr>
      <w:r>
        <w:rPr>
          <w:rFonts w:hint="eastAsia" w:ascii="宋体" w:hAnsi="宋体" w:cs="宋体"/>
          <w:color w:val="auto"/>
          <w:highlight w:val="none"/>
        </w:rPr>
        <w:t>法定代表人或</w:t>
      </w:r>
    </w:p>
    <w:p>
      <w:pPr>
        <w:pStyle w:val="135"/>
        <w:ind w:firstLine="616"/>
        <w:rPr>
          <w:rFonts w:ascii="宋体" w:hAnsi="宋体" w:cs="宋体"/>
          <w:color w:val="auto"/>
          <w:highlight w:val="none"/>
        </w:rPr>
      </w:pPr>
      <w:r>
        <w:rPr>
          <w:rFonts w:hint="eastAsia" w:ascii="宋体" w:hAnsi="宋体" w:cs="宋体"/>
          <w:color w:val="auto"/>
          <w:highlight w:val="none"/>
        </w:rPr>
        <w:t>其委托代理人：</w:t>
      </w:r>
      <w:r>
        <w:rPr>
          <w:rFonts w:hint="eastAsia" w:ascii="宋体" w:hAnsi="宋体" w:cs="宋体"/>
          <w:color w:val="auto"/>
          <w:highlight w:val="none"/>
          <w:u w:val="single"/>
        </w:rPr>
        <w:t xml:space="preserve">                        （签名或盖章）</w:t>
      </w:r>
    </w:p>
    <w:p>
      <w:pPr>
        <w:pStyle w:val="135"/>
        <w:ind w:firstLine="616"/>
        <w:rPr>
          <w:rFonts w:ascii="宋体" w:hAnsi="宋体" w:cs="宋体"/>
          <w:color w:val="auto"/>
          <w:sz w:val="24"/>
          <w:szCs w:val="24"/>
          <w:highlight w:val="none"/>
        </w:rPr>
      </w:pPr>
      <w:r>
        <w:rPr>
          <w:rFonts w:hint="eastAsia" w:ascii="宋体" w:hAnsi="宋体" w:cs="宋体"/>
          <w:color w:val="auto"/>
          <w:highlight w:val="none"/>
        </w:rPr>
        <w:t>日  期：</w:t>
      </w:r>
      <w:r>
        <w:rPr>
          <w:rFonts w:hint="eastAsia" w:ascii="宋体" w:hAnsi="宋体" w:cs="宋体"/>
          <w:color w:val="auto"/>
          <w:highlight w:val="none"/>
          <w:u w:val="single"/>
        </w:rPr>
        <w:t xml:space="preserve">                                            </w:t>
      </w:r>
    </w:p>
    <w:p>
      <w:pPr>
        <w:rPr>
          <w:rFonts w:ascii="宋体" w:hAnsi="宋体" w:cs="宋体"/>
          <w:bCs/>
          <w:color w:val="auto"/>
          <w:szCs w:val="21"/>
          <w:highlight w:val="none"/>
        </w:rPr>
      </w:pPr>
    </w:p>
    <w:p>
      <w:pPr>
        <w:rPr>
          <w:rFonts w:ascii="宋体" w:hAnsi="宋体" w:cs="宋体"/>
          <w:bCs/>
          <w:color w:val="auto"/>
          <w:szCs w:val="21"/>
          <w:highlight w:val="none"/>
        </w:rPr>
      </w:pPr>
    </w:p>
    <w:p>
      <w:pPr>
        <w:rPr>
          <w:rFonts w:hint="eastAsia" w:ascii="宋体" w:hAnsi="宋体" w:cs="宋体"/>
          <w:b/>
          <w:color w:val="auto"/>
          <w:sz w:val="32"/>
          <w:szCs w:val="32"/>
          <w:highlight w:val="none"/>
        </w:rPr>
      </w:pPr>
      <w:bookmarkStart w:id="26" w:name="_Hlk101451102"/>
      <w:r>
        <w:rPr>
          <w:rFonts w:hint="eastAsia" w:ascii="宋体" w:hAnsi="宋体" w:cs="宋体"/>
          <w:b/>
          <w:color w:val="auto"/>
          <w:sz w:val="32"/>
          <w:szCs w:val="32"/>
          <w:highlight w:val="none"/>
        </w:rPr>
        <w:br w:type="page"/>
      </w:r>
    </w:p>
    <w:p>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目  录</w:t>
      </w:r>
    </w:p>
    <w:bookmarkEnd w:id="26"/>
    <w:p>
      <w:pPr>
        <w:tabs>
          <w:tab w:val="left" w:pos="720"/>
        </w:tabs>
        <w:snapToGrid w:val="0"/>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一、资格审查文件</w:t>
      </w:r>
    </w:p>
    <w:p>
      <w:pPr>
        <w:tabs>
          <w:tab w:val="left" w:pos="720"/>
        </w:tabs>
        <w:snapToGrid w:val="0"/>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二、广州建设工程施工技术标招标投标书</w:t>
      </w:r>
    </w:p>
    <w:p>
      <w:pPr>
        <w:tabs>
          <w:tab w:val="left" w:pos="720"/>
        </w:tabs>
        <w:snapToGrid w:val="0"/>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三、投标人廉洁承诺书</w:t>
      </w:r>
    </w:p>
    <w:p>
      <w:pPr>
        <w:tabs>
          <w:tab w:val="left" w:pos="720"/>
        </w:tabs>
        <w:snapToGrid w:val="0"/>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四、企业资信等相关资料</w:t>
      </w:r>
    </w:p>
    <w:p>
      <w:pPr>
        <w:tabs>
          <w:tab w:val="left" w:pos="720"/>
        </w:tabs>
        <w:snapToGrid w:val="0"/>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五、施工技术承诺书</w:t>
      </w:r>
    </w:p>
    <w:p>
      <w:pPr>
        <w:tabs>
          <w:tab w:val="left" w:pos="720"/>
        </w:tabs>
        <w:snapToGrid w:val="0"/>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六</w:t>
      </w:r>
      <w:r>
        <w:rPr>
          <w:rFonts w:hint="eastAsia" w:ascii="宋体" w:hAnsi="宋体" w:cs="宋体"/>
          <w:color w:val="auto"/>
          <w:sz w:val="24"/>
          <w:szCs w:val="24"/>
          <w:highlight w:val="none"/>
        </w:rPr>
        <w:t>、参与编制技术标投标文件人员名单</w:t>
      </w:r>
    </w:p>
    <w:p>
      <w:pPr>
        <w:tabs>
          <w:tab w:val="left" w:pos="720"/>
        </w:tabs>
        <w:snapToGrid w:val="0"/>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七</w:t>
      </w:r>
      <w:r>
        <w:rPr>
          <w:rFonts w:hint="eastAsia" w:ascii="宋体" w:hAnsi="宋体" w:cs="宋体"/>
          <w:color w:val="auto"/>
          <w:sz w:val="24"/>
          <w:szCs w:val="24"/>
          <w:highlight w:val="none"/>
        </w:rPr>
        <w:t>、拟投入施工项目管理团队人员信息表</w:t>
      </w:r>
    </w:p>
    <w:p>
      <w:pPr>
        <w:tabs>
          <w:tab w:val="left" w:pos="720"/>
        </w:tabs>
        <w:snapToGrid w:val="0"/>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八</w:t>
      </w:r>
      <w:r>
        <w:rPr>
          <w:rFonts w:hint="eastAsia" w:ascii="宋体" w:hAnsi="宋体" w:cs="宋体"/>
          <w:color w:val="auto"/>
          <w:sz w:val="24"/>
          <w:szCs w:val="24"/>
          <w:highlight w:val="none"/>
        </w:rPr>
        <w:t>、技术负责人（或其他项目管理机构人员）基本情况表</w:t>
      </w:r>
    </w:p>
    <w:p>
      <w:pPr>
        <w:tabs>
          <w:tab w:val="left" w:pos="720"/>
        </w:tabs>
        <w:snapToGrid w:val="0"/>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九</w:t>
      </w:r>
      <w:r>
        <w:rPr>
          <w:rFonts w:hint="eastAsia" w:ascii="宋体" w:hAnsi="宋体" w:cs="宋体"/>
          <w:color w:val="auto"/>
          <w:sz w:val="24"/>
          <w:szCs w:val="24"/>
          <w:highlight w:val="none"/>
        </w:rPr>
        <w:t>、业绩及获奖情况一览表</w:t>
      </w:r>
    </w:p>
    <w:p>
      <w:pPr>
        <w:tabs>
          <w:tab w:val="left" w:pos="720"/>
        </w:tabs>
        <w:snapToGrid w:val="0"/>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十、危险性较大的分部分项工程清单及超过一定规模的危险性较大的分部分项工程清单</w:t>
      </w:r>
    </w:p>
    <w:p>
      <w:pPr>
        <w:tabs>
          <w:tab w:val="left" w:pos="720"/>
        </w:tabs>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十</w:t>
      </w:r>
      <w:r>
        <w:rPr>
          <w:rFonts w:hint="eastAsia" w:ascii="宋体" w:hAnsi="宋体" w:cs="宋体"/>
          <w:color w:val="auto"/>
          <w:sz w:val="24"/>
          <w:szCs w:val="24"/>
          <w:highlight w:val="none"/>
          <w:lang w:val="en-US" w:eastAsia="zh-CN"/>
        </w:rPr>
        <w:t>一</w:t>
      </w:r>
      <w:r>
        <w:rPr>
          <w:rFonts w:hint="eastAsia" w:ascii="宋体" w:hAnsi="宋体" w:cs="宋体"/>
          <w:color w:val="auto"/>
          <w:sz w:val="24"/>
          <w:szCs w:val="24"/>
          <w:highlight w:val="none"/>
        </w:rPr>
        <w:t>、其他投标人认为须提交的资料</w:t>
      </w:r>
    </w:p>
    <w:p>
      <w:pPr>
        <w:pStyle w:val="22"/>
        <w:rPr>
          <w:rFonts w:ascii="宋体" w:hAnsi="宋体" w:cs="宋体"/>
          <w:color w:val="auto"/>
          <w:sz w:val="24"/>
          <w:szCs w:val="24"/>
          <w:highlight w:val="none"/>
        </w:rPr>
      </w:pPr>
    </w:p>
    <w:p>
      <w:pPr>
        <w:rPr>
          <w:rFonts w:hint="eastAsia" w:ascii="宋体" w:hAnsi="宋体" w:cs="宋体"/>
          <w:color w:val="auto"/>
          <w:sz w:val="24"/>
          <w:highlight w:val="none"/>
        </w:rPr>
      </w:pPr>
      <w:r>
        <w:rPr>
          <w:rFonts w:hint="eastAsia" w:ascii="宋体" w:hAnsi="宋体" w:cs="宋体"/>
          <w:color w:val="auto"/>
          <w:sz w:val="24"/>
          <w:highlight w:val="none"/>
        </w:rPr>
        <w:br w:type="page"/>
      </w:r>
    </w:p>
    <w:p>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技术部分格式2：</w:t>
      </w:r>
    </w:p>
    <w:p>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资格审查资料</w:t>
      </w:r>
    </w:p>
    <w:p>
      <w:pPr>
        <w:rPr>
          <w:color w:val="auto"/>
          <w:highlight w:val="none"/>
        </w:rPr>
      </w:pPr>
    </w:p>
    <w:p>
      <w:pPr>
        <w:pStyle w:val="22"/>
        <w:rPr>
          <w:color w:val="auto"/>
          <w:highlight w:val="none"/>
        </w:rPr>
      </w:pPr>
    </w:p>
    <w:p>
      <w:pPr>
        <w:rPr>
          <w:color w:val="auto"/>
          <w:highlight w:val="none"/>
        </w:rPr>
      </w:pPr>
    </w:p>
    <w:p>
      <w:pPr>
        <w:pStyle w:val="22"/>
        <w:rPr>
          <w:color w:val="auto"/>
          <w:highlight w:val="none"/>
        </w:rPr>
      </w:pPr>
    </w:p>
    <w:p>
      <w:pPr>
        <w:rPr>
          <w:color w:val="auto"/>
          <w:highlight w:val="none"/>
        </w:rPr>
      </w:pPr>
    </w:p>
    <w:p>
      <w:pPr>
        <w:pStyle w:val="22"/>
        <w:rPr>
          <w:color w:val="auto"/>
          <w:highlight w:val="none"/>
        </w:rPr>
      </w:pPr>
    </w:p>
    <w:p>
      <w:pPr>
        <w:rPr>
          <w:color w:val="auto"/>
          <w:highlight w:val="none"/>
        </w:rPr>
      </w:pPr>
    </w:p>
    <w:p>
      <w:pPr>
        <w:pStyle w:val="22"/>
        <w:rPr>
          <w:color w:val="auto"/>
          <w:highlight w:val="none"/>
        </w:rPr>
      </w:pPr>
    </w:p>
    <w:p>
      <w:pPr>
        <w:rPr>
          <w:color w:val="auto"/>
          <w:highlight w:val="none"/>
        </w:rPr>
      </w:pPr>
    </w:p>
    <w:p>
      <w:pPr>
        <w:pStyle w:val="22"/>
        <w:rPr>
          <w:color w:val="auto"/>
          <w:highlight w:val="none"/>
        </w:rPr>
      </w:pPr>
    </w:p>
    <w:p>
      <w:pPr>
        <w:rPr>
          <w:color w:val="auto"/>
          <w:highlight w:val="none"/>
        </w:rPr>
      </w:pPr>
    </w:p>
    <w:p>
      <w:pPr>
        <w:pStyle w:val="22"/>
        <w:rPr>
          <w:color w:val="auto"/>
          <w:highlight w:val="none"/>
        </w:rPr>
      </w:pPr>
    </w:p>
    <w:p>
      <w:pPr>
        <w:rPr>
          <w:color w:val="auto"/>
          <w:highlight w:val="none"/>
        </w:rPr>
      </w:pPr>
    </w:p>
    <w:p>
      <w:pPr>
        <w:pStyle w:val="22"/>
        <w:rPr>
          <w:color w:val="auto"/>
          <w:highlight w:val="none"/>
        </w:rPr>
      </w:pPr>
    </w:p>
    <w:p>
      <w:pPr>
        <w:rPr>
          <w:rFonts w:hint="eastAsia" w:ascii="宋体" w:hAnsi="宋体" w:cs="宋体"/>
          <w:color w:val="auto"/>
          <w:sz w:val="24"/>
          <w:highlight w:val="none"/>
        </w:rPr>
      </w:pPr>
      <w:r>
        <w:rPr>
          <w:rFonts w:hint="eastAsia" w:ascii="宋体" w:hAnsi="宋体" w:cs="宋体"/>
          <w:color w:val="auto"/>
          <w:sz w:val="24"/>
          <w:highlight w:val="none"/>
        </w:rPr>
        <w:br w:type="page"/>
      </w:r>
    </w:p>
    <w:p>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★技术部分格式3：</w:t>
      </w:r>
    </w:p>
    <w:p>
      <w:pPr>
        <w:spacing w:line="360" w:lineRule="auto"/>
        <w:rPr>
          <w:rFonts w:ascii="宋体" w:hAnsi="宋体" w:cs="宋体"/>
          <w:color w:val="auto"/>
          <w:sz w:val="24"/>
          <w:highlight w:val="none"/>
        </w:rPr>
      </w:pPr>
    </w:p>
    <w:p>
      <w:pPr>
        <w:autoSpaceDE w:val="0"/>
        <w:autoSpaceDN w:val="0"/>
        <w:adjustRightInd w:val="0"/>
        <w:ind w:left="-178" w:leftChars="-85"/>
        <w:jc w:val="center"/>
        <w:rPr>
          <w:rFonts w:ascii="宋体" w:hAnsi="宋体" w:cs="宋体"/>
          <w:b/>
          <w:bCs/>
          <w:color w:val="auto"/>
          <w:sz w:val="52"/>
          <w:szCs w:val="52"/>
          <w:highlight w:val="none"/>
        </w:rPr>
      </w:pPr>
      <w:r>
        <w:rPr>
          <w:rFonts w:hint="eastAsia" w:ascii="宋体" w:hAnsi="宋体" w:cs="宋体"/>
          <w:b/>
          <w:bCs/>
          <w:color w:val="auto"/>
          <w:sz w:val="44"/>
          <w:szCs w:val="44"/>
          <w:highlight w:val="none"/>
          <w:lang w:val="zh-CN"/>
        </w:rPr>
        <w:t>广州建设工程施工技术标招标投标书</w:t>
      </w:r>
    </w:p>
    <w:p>
      <w:pPr>
        <w:ind w:right="560"/>
        <w:jc w:val="center"/>
        <w:rPr>
          <w:rFonts w:ascii="宋体" w:hAnsi="宋体" w:cs="宋体"/>
          <w:b/>
          <w:color w:val="auto"/>
          <w:sz w:val="28"/>
          <w:szCs w:val="28"/>
          <w:highlight w:val="none"/>
          <w:lang w:val="zh-CN"/>
        </w:rPr>
      </w:pPr>
    </w:p>
    <w:tbl>
      <w:tblPr>
        <w:tblStyle w:val="39"/>
        <w:tblpPr w:leftFromText="180" w:rightFromText="180" w:vertAnchor="text" w:horzAnchor="margin" w:tblpXSpec="center" w:tblpY="27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2"/>
        <w:gridCol w:w="5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94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hAnsi="宋体" w:cs="宋体"/>
                <w:bCs/>
                <w:color w:val="auto"/>
                <w:sz w:val="24"/>
                <w:szCs w:val="24"/>
                <w:highlight w:val="none"/>
                <w:lang w:val="zh-CN"/>
              </w:rPr>
            </w:pPr>
            <w:r>
              <w:rPr>
                <w:rFonts w:hint="eastAsia" w:ascii="宋体" w:hAnsi="宋体" w:cs="宋体"/>
                <w:color w:val="auto"/>
                <w:sz w:val="24"/>
                <w:szCs w:val="24"/>
                <w:highlight w:val="none"/>
                <w:lang w:val="zh-CN"/>
              </w:rPr>
              <w:t>工程名称</w:t>
            </w:r>
          </w:p>
        </w:tc>
        <w:tc>
          <w:tcPr>
            <w:tcW w:w="556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rPr>
                <w:rFonts w:ascii="宋体" w:hAnsi="宋体" w:cs="宋体"/>
                <w:bCs/>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94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投标总工期</w:t>
            </w:r>
          </w:p>
        </w:tc>
        <w:tc>
          <w:tcPr>
            <w:tcW w:w="5563"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rPr>
                <w:rFonts w:ascii="宋体" w:hAnsi="宋体" w:cs="宋体"/>
                <w:bCs/>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94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lang w:val="zh-CN"/>
              </w:rPr>
              <w:t>工程质量标准</w:t>
            </w:r>
          </w:p>
        </w:tc>
        <w:tc>
          <w:tcPr>
            <w:tcW w:w="5563"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rPr>
                <w:rFonts w:ascii="宋体" w:hAnsi="宋体" w:cs="宋体"/>
                <w:bCs/>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94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hAnsi="宋体" w:cs="宋体"/>
                <w:bCs/>
                <w:color w:val="auto"/>
                <w:sz w:val="24"/>
                <w:szCs w:val="24"/>
                <w:highlight w:val="none"/>
                <w:lang w:val="zh-CN"/>
              </w:rPr>
            </w:pPr>
            <w:r>
              <w:rPr>
                <w:rFonts w:hint="eastAsia" w:ascii="宋体" w:hAnsi="宋体" w:cs="宋体"/>
                <w:color w:val="auto"/>
                <w:sz w:val="24"/>
                <w:szCs w:val="24"/>
                <w:highlight w:val="none"/>
                <w:lang w:val="zh-CN"/>
              </w:rPr>
              <w:t>保修期限</w:t>
            </w:r>
          </w:p>
        </w:tc>
        <w:tc>
          <w:tcPr>
            <w:tcW w:w="5563"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rPr>
                <w:rFonts w:ascii="宋体" w:hAnsi="宋体" w:cs="宋体"/>
                <w:bCs/>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94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项目负责人</w:t>
            </w:r>
          </w:p>
        </w:tc>
        <w:tc>
          <w:tcPr>
            <w:tcW w:w="5563"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rPr>
                <w:rFonts w:ascii="宋体" w:hAnsi="宋体" w:cs="宋体"/>
                <w:bCs/>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94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安全员</w:t>
            </w:r>
          </w:p>
        </w:tc>
        <w:tc>
          <w:tcPr>
            <w:tcW w:w="5563"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rPr>
                <w:rFonts w:ascii="宋体" w:hAnsi="宋体" w:cs="宋体"/>
                <w:bCs/>
                <w:color w:val="auto"/>
                <w:sz w:val="24"/>
                <w:szCs w:val="24"/>
                <w:highlight w:val="none"/>
                <w:lang w:val="zh-CN"/>
              </w:rPr>
            </w:pPr>
          </w:p>
        </w:tc>
      </w:tr>
    </w:tbl>
    <w:p>
      <w:pPr>
        <w:rPr>
          <w:color w:val="auto"/>
          <w:highlight w:val="none"/>
        </w:rPr>
      </w:pPr>
    </w:p>
    <w:p>
      <w:pPr>
        <w:pStyle w:val="22"/>
        <w:rPr>
          <w:color w:val="auto"/>
          <w:highlight w:val="none"/>
        </w:rPr>
      </w:pPr>
    </w:p>
    <w:p>
      <w:pPr>
        <w:rPr>
          <w:color w:val="auto"/>
          <w:highlight w:val="none"/>
        </w:rPr>
      </w:pPr>
    </w:p>
    <w:p>
      <w:pPr>
        <w:pStyle w:val="22"/>
        <w:rPr>
          <w:color w:val="auto"/>
          <w:highlight w:val="none"/>
        </w:rPr>
      </w:pPr>
    </w:p>
    <w:p>
      <w:pPr>
        <w:rPr>
          <w:color w:val="auto"/>
          <w:highlight w:val="none"/>
        </w:rPr>
      </w:pPr>
    </w:p>
    <w:p>
      <w:pPr>
        <w:pStyle w:val="22"/>
        <w:rPr>
          <w:color w:val="auto"/>
          <w:highlight w:val="none"/>
        </w:rPr>
      </w:pPr>
    </w:p>
    <w:p>
      <w:pPr>
        <w:rPr>
          <w:color w:val="auto"/>
          <w:highlight w:val="none"/>
        </w:rPr>
      </w:pPr>
    </w:p>
    <w:p>
      <w:pPr>
        <w:pStyle w:val="22"/>
        <w:rPr>
          <w:color w:val="auto"/>
          <w:highlight w:val="none"/>
        </w:rPr>
      </w:pPr>
    </w:p>
    <w:p>
      <w:pPr>
        <w:rPr>
          <w:color w:val="auto"/>
          <w:highlight w:val="none"/>
        </w:rPr>
      </w:pPr>
    </w:p>
    <w:p>
      <w:pPr>
        <w:rPr>
          <w:rFonts w:hint="eastAsia" w:ascii="宋体" w:hAnsi="宋体" w:cs="宋体"/>
          <w:color w:val="auto"/>
          <w:sz w:val="24"/>
          <w:highlight w:val="none"/>
        </w:rPr>
      </w:pPr>
      <w:r>
        <w:rPr>
          <w:rFonts w:hint="eastAsia" w:ascii="宋体" w:hAnsi="宋体" w:cs="宋体"/>
          <w:color w:val="auto"/>
          <w:sz w:val="24"/>
          <w:highlight w:val="none"/>
        </w:rPr>
        <w:br w:type="page"/>
      </w:r>
    </w:p>
    <w:p>
      <w:pPr>
        <w:spacing w:line="360" w:lineRule="auto"/>
        <w:rPr>
          <w:rFonts w:ascii="宋体" w:hAnsi="宋体" w:cs="宋体"/>
          <w:color w:val="auto"/>
          <w:sz w:val="24"/>
          <w:highlight w:val="none"/>
        </w:rPr>
      </w:pPr>
      <w:r>
        <w:rPr>
          <w:rFonts w:hint="eastAsia" w:ascii="宋体" w:hAnsi="宋体" w:cs="宋体"/>
          <w:color w:val="auto"/>
          <w:sz w:val="24"/>
          <w:highlight w:val="none"/>
        </w:rPr>
        <w:t>★技术部分格式4：</w:t>
      </w:r>
    </w:p>
    <w:p>
      <w:pPr>
        <w:spacing w:line="360" w:lineRule="auto"/>
        <w:jc w:val="center"/>
        <w:rPr>
          <w:rFonts w:ascii="宋体" w:hAnsi="宋体" w:cs="宋体"/>
          <w:color w:val="auto"/>
          <w:sz w:val="24"/>
          <w:highlight w:val="none"/>
        </w:rPr>
      </w:pPr>
      <w:r>
        <w:rPr>
          <w:rFonts w:hint="eastAsia" w:ascii="宋体" w:hAnsi="宋体" w:cs="宋体"/>
          <w:b/>
          <w:color w:val="auto"/>
          <w:sz w:val="32"/>
          <w:szCs w:val="32"/>
          <w:highlight w:val="none"/>
        </w:rPr>
        <w:t>投标人廉洁承诺书</w:t>
      </w:r>
    </w:p>
    <w:p>
      <w:pPr>
        <w:widowControl/>
        <w:shd w:val="clear" w:color="auto" w:fill="FFFFFF"/>
        <w:spacing w:after="135" w:line="500" w:lineRule="exact"/>
        <w:jc w:val="left"/>
        <w:rPr>
          <w:rFonts w:ascii="宋体" w:hAnsi="宋体" w:cs="宋体"/>
          <w:color w:val="auto"/>
          <w:sz w:val="24"/>
          <w:szCs w:val="24"/>
          <w:highlight w:val="none"/>
        </w:rPr>
      </w:pPr>
      <w:r>
        <w:rPr>
          <w:rFonts w:hint="eastAsia" w:ascii="宋体" w:hAnsi="宋体" w:cs="宋体"/>
          <w:color w:val="auto"/>
          <w:sz w:val="24"/>
          <w:szCs w:val="24"/>
          <w:highlight w:val="none"/>
        </w:rPr>
        <w:t>广州市住房和城乡建设局、本招标项目招标人及招标监管机构：</w:t>
      </w:r>
    </w:p>
    <w:p>
      <w:pPr>
        <w:widowControl/>
        <w:spacing w:line="500" w:lineRule="exact"/>
        <w:ind w:right="90" w:firstLine="645"/>
        <w:jc w:val="left"/>
        <w:rPr>
          <w:rFonts w:ascii="宋体" w:hAnsi="宋体" w:cs="宋体"/>
          <w:color w:val="auto"/>
          <w:sz w:val="24"/>
          <w:szCs w:val="24"/>
          <w:highlight w:val="none"/>
        </w:rPr>
      </w:pPr>
      <w:r>
        <w:rPr>
          <w:rFonts w:hint="eastAsia" w:ascii="宋体" w:hAnsi="宋体" w:cs="宋体"/>
          <w:color w:val="auto"/>
          <w:sz w:val="24"/>
          <w:szCs w:val="24"/>
          <w:highlight w:val="none"/>
        </w:rPr>
        <w:t>本公司参加了</w:t>
      </w:r>
      <w:r>
        <w:rPr>
          <w:rFonts w:hint="eastAsia" w:ascii="宋体" w:hAnsi="宋体" w:cs="宋体"/>
          <w:color w:val="auto"/>
          <w:sz w:val="24"/>
          <w:szCs w:val="24"/>
          <w:highlight w:val="none"/>
          <w:u w:val="single"/>
        </w:rPr>
        <w:t xml:space="preserve"> （项目名称/标段名称） </w:t>
      </w:r>
      <w:r>
        <w:rPr>
          <w:rFonts w:hint="eastAsia" w:ascii="宋体" w:hAnsi="宋体" w:cs="宋体"/>
          <w:color w:val="auto"/>
          <w:sz w:val="24"/>
          <w:szCs w:val="24"/>
          <w:highlight w:val="none"/>
        </w:rPr>
        <w:t>投标， 为确保招标工作的公平、公正、公开、有序进行，我们保证遵守《中华人民共和国招标投标法》、《中华人民共和国招标投标法实施条例》、《广东省实施&lt;中华人民共和国招标投标法&gt;办法》等法律法规，特承诺如下事项：</w:t>
      </w:r>
    </w:p>
    <w:p>
      <w:pPr>
        <w:widowControl/>
        <w:spacing w:line="500" w:lineRule="exact"/>
        <w:ind w:right="420" w:firstLine="645"/>
        <w:jc w:val="left"/>
        <w:rPr>
          <w:rFonts w:ascii="宋体" w:hAnsi="宋体" w:cs="宋体"/>
          <w:color w:val="auto"/>
          <w:sz w:val="24"/>
          <w:szCs w:val="24"/>
          <w:highlight w:val="none"/>
        </w:rPr>
      </w:pPr>
      <w:r>
        <w:rPr>
          <w:rFonts w:hint="eastAsia" w:ascii="宋体" w:hAnsi="宋体" w:cs="宋体"/>
          <w:color w:val="auto"/>
          <w:sz w:val="24"/>
          <w:szCs w:val="24"/>
          <w:highlight w:val="none"/>
        </w:rPr>
        <w:t>一、自觉遵守国家有关法律法规及廉洁规定。</w:t>
      </w:r>
    </w:p>
    <w:p>
      <w:pPr>
        <w:widowControl/>
        <w:spacing w:line="500" w:lineRule="exact"/>
        <w:ind w:right="90" w:firstLine="645"/>
        <w:jc w:val="left"/>
        <w:rPr>
          <w:rFonts w:ascii="宋体" w:hAnsi="宋体" w:cs="宋体"/>
          <w:color w:val="auto"/>
          <w:sz w:val="24"/>
          <w:szCs w:val="24"/>
          <w:highlight w:val="none"/>
        </w:rPr>
      </w:pPr>
      <w:r>
        <w:rPr>
          <w:rFonts w:hint="eastAsia" w:ascii="宋体" w:hAnsi="宋体" w:cs="宋体"/>
          <w:color w:val="auto"/>
          <w:sz w:val="24"/>
          <w:szCs w:val="24"/>
          <w:highlight w:val="none"/>
        </w:rPr>
        <w:t>二、不与招标单位工作人员串通投标，损害国家利益、企业利益以及他人的合法利益；</w:t>
      </w:r>
    </w:p>
    <w:p>
      <w:pPr>
        <w:widowControl/>
        <w:spacing w:line="500" w:lineRule="exact"/>
        <w:ind w:right="90" w:firstLine="645"/>
        <w:jc w:val="left"/>
        <w:rPr>
          <w:rFonts w:ascii="宋体" w:hAnsi="宋体" w:cs="宋体"/>
          <w:color w:val="auto"/>
          <w:sz w:val="24"/>
          <w:szCs w:val="24"/>
          <w:highlight w:val="none"/>
        </w:rPr>
      </w:pPr>
      <w:r>
        <w:rPr>
          <w:rFonts w:hint="eastAsia" w:ascii="宋体" w:hAnsi="宋体" w:cs="宋体"/>
          <w:color w:val="auto"/>
          <w:sz w:val="24"/>
          <w:szCs w:val="24"/>
          <w:highlight w:val="none"/>
        </w:rPr>
        <w:t>三、不与其他单位围标、串标，不出让投标资格，不向招标人或评标委员会成员行贿。</w:t>
      </w:r>
    </w:p>
    <w:p>
      <w:pPr>
        <w:widowControl/>
        <w:spacing w:line="500" w:lineRule="exact"/>
        <w:ind w:right="90" w:firstLine="645"/>
        <w:jc w:val="left"/>
        <w:rPr>
          <w:rFonts w:ascii="宋体" w:hAnsi="宋体" w:cs="宋体"/>
          <w:color w:val="auto"/>
          <w:sz w:val="24"/>
          <w:szCs w:val="24"/>
          <w:highlight w:val="none"/>
        </w:rPr>
      </w:pPr>
      <w:r>
        <w:rPr>
          <w:rFonts w:hint="eastAsia" w:ascii="宋体" w:hAnsi="宋体" w:cs="宋体"/>
          <w:color w:val="auto"/>
          <w:sz w:val="24"/>
          <w:szCs w:val="24"/>
          <w:highlight w:val="none"/>
        </w:rPr>
        <w:t xml:space="preserve">四、不以任何名义向参与招标、评标工作的有关人员提供高消费宴请及娱乐活动和赠送回扣、红包、礼金、购物卡、有价证券、贵重物品和好处费、感谢费等； </w:t>
      </w:r>
    </w:p>
    <w:p>
      <w:pPr>
        <w:widowControl/>
        <w:spacing w:line="500" w:lineRule="exact"/>
        <w:ind w:right="90" w:firstLine="645"/>
        <w:jc w:val="left"/>
        <w:rPr>
          <w:rFonts w:ascii="宋体" w:hAnsi="宋体" w:cs="宋体"/>
          <w:color w:val="auto"/>
          <w:sz w:val="24"/>
          <w:szCs w:val="24"/>
          <w:highlight w:val="none"/>
        </w:rPr>
      </w:pPr>
      <w:r>
        <w:rPr>
          <w:rFonts w:hint="eastAsia" w:ascii="宋体" w:hAnsi="宋体" w:cs="宋体"/>
          <w:color w:val="auto"/>
          <w:sz w:val="24"/>
          <w:szCs w:val="24"/>
          <w:highlight w:val="none"/>
        </w:rPr>
        <w:t>五、不以任何名义为参与招标、评标工作的有关人员装修住房、婚丧嫁取、配偶子女的工作安排以及境内外旅游等提供方便；</w:t>
      </w:r>
    </w:p>
    <w:p>
      <w:pPr>
        <w:widowControl/>
        <w:spacing w:line="500" w:lineRule="exact"/>
        <w:ind w:right="-52" w:firstLine="645"/>
        <w:jc w:val="left"/>
        <w:rPr>
          <w:rFonts w:ascii="宋体" w:hAnsi="宋体" w:cs="宋体"/>
          <w:color w:val="auto"/>
          <w:sz w:val="24"/>
          <w:szCs w:val="24"/>
          <w:highlight w:val="none"/>
        </w:rPr>
      </w:pPr>
      <w:r>
        <w:rPr>
          <w:rFonts w:hint="eastAsia" w:ascii="宋体" w:hAnsi="宋体" w:cs="宋体"/>
          <w:color w:val="auto"/>
          <w:sz w:val="24"/>
          <w:szCs w:val="24"/>
          <w:highlight w:val="none"/>
        </w:rPr>
        <w:t>六、不以谋取非正当利益为目的，擅自与参与招标、评标工作的有关人员就业务问题进行私下商谈或者达成利益默契；</w:t>
      </w:r>
    </w:p>
    <w:p>
      <w:pPr>
        <w:widowControl/>
        <w:spacing w:line="500" w:lineRule="exact"/>
        <w:ind w:right="-52" w:firstLine="645"/>
        <w:jc w:val="left"/>
        <w:rPr>
          <w:rFonts w:ascii="宋体" w:hAnsi="宋体" w:cs="宋体"/>
          <w:color w:val="auto"/>
          <w:sz w:val="24"/>
          <w:szCs w:val="24"/>
          <w:highlight w:val="none"/>
        </w:rPr>
      </w:pPr>
      <w:r>
        <w:rPr>
          <w:rFonts w:hint="eastAsia" w:ascii="宋体" w:hAnsi="宋体" w:cs="宋体"/>
          <w:color w:val="auto"/>
          <w:sz w:val="24"/>
          <w:szCs w:val="24"/>
          <w:highlight w:val="none"/>
        </w:rPr>
        <w:t>七、按法律规定及合同约定保修合同工程，履行本合同所约定的全部义务。</w:t>
      </w:r>
    </w:p>
    <w:p>
      <w:pPr>
        <w:widowControl/>
        <w:spacing w:line="500" w:lineRule="exact"/>
        <w:ind w:right="-52" w:firstLine="645"/>
        <w:jc w:val="left"/>
        <w:rPr>
          <w:rFonts w:ascii="宋体" w:hAnsi="宋体" w:cs="宋体"/>
          <w:color w:val="auto"/>
          <w:sz w:val="24"/>
          <w:szCs w:val="24"/>
          <w:highlight w:val="none"/>
        </w:rPr>
      </w:pPr>
      <w:r>
        <w:rPr>
          <w:rFonts w:hint="eastAsia" w:ascii="宋体" w:hAnsi="宋体" w:cs="宋体"/>
          <w:color w:val="auto"/>
          <w:sz w:val="24"/>
          <w:szCs w:val="24"/>
          <w:highlight w:val="none"/>
        </w:rPr>
        <w:t>八、坚决杜绝转包、违法分包、挂靠等违法违规行为，保证发包人免于承担因本公司违反法律或相关规定而引起的任何责任。未经发包人同意，不将工程的任何部分或任何工作分包给第三方；依法分包工程的承包人应具有相应承包资质。</w:t>
      </w:r>
    </w:p>
    <w:p>
      <w:pPr>
        <w:widowControl/>
        <w:spacing w:line="500" w:lineRule="exact"/>
        <w:ind w:right="-52" w:firstLine="645"/>
        <w:jc w:val="left"/>
        <w:rPr>
          <w:rFonts w:ascii="宋体" w:hAnsi="宋体" w:cs="宋体"/>
          <w:color w:val="auto"/>
          <w:sz w:val="24"/>
          <w:szCs w:val="24"/>
          <w:highlight w:val="none"/>
        </w:rPr>
      </w:pPr>
      <w:r>
        <w:rPr>
          <w:rFonts w:hint="eastAsia" w:ascii="宋体" w:hAnsi="宋体" w:cs="宋体"/>
          <w:color w:val="auto"/>
          <w:sz w:val="24"/>
          <w:szCs w:val="24"/>
          <w:highlight w:val="none"/>
        </w:rPr>
        <w:t>九、自觉接受政府有关部门、发包人或其上级主管部门和监理单位等对本工程的监督，并无条件配合政府有关部门、发包人或其上级主管部门指定审计机构开展审计工作。</w:t>
      </w:r>
    </w:p>
    <w:p>
      <w:pPr>
        <w:widowControl/>
        <w:spacing w:line="500" w:lineRule="exact"/>
        <w:ind w:right="-52" w:firstLine="645"/>
        <w:jc w:val="left"/>
        <w:rPr>
          <w:rFonts w:ascii="宋体" w:hAnsi="宋体" w:cs="宋体"/>
          <w:color w:val="auto"/>
          <w:sz w:val="24"/>
          <w:szCs w:val="24"/>
          <w:highlight w:val="none"/>
        </w:rPr>
      </w:pPr>
      <w:r>
        <w:rPr>
          <w:rFonts w:hint="eastAsia" w:ascii="宋体" w:hAnsi="宋体" w:cs="宋体"/>
          <w:color w:val="auto"/>
          <w:sz w:val="24"/>
          <w:szCs w:val="24"/>
          <w:highlight w:val="none"/>
        </w:rPr>
        <w:t>十、本公司理解并接受工程实施过程即可同步进行审计或监督工作，接受对工程实施全过程审计，包括且不限于工程计量、设计变更、资金支付、分包管理、结算等。若政府有关部门、发包人或其上级主管部门、监理单位经核查或审计认定本公司有挂靠或转包或违法分包行为之一的，发包人有权单方解除部分合同或解除合同，由此造成的经济损失由本公司承担。本公司自觉接受行政监督部门的行政处罚。</w:t>
      </w:r>
    </w:p>
    <w:p>
      <w:pPr>
        <w:widowControl/>
        <w:spacing w:line="500" w:lineRule="exact"/>
        <w:ind w:right="-52" w:firstLine="645"/>
        <w:jc w:val="left"/>
        <w:rPr>
          <w:rFonts w:ascii="宋体" w:hAnsi="宋体" w:cs="宋体"/>
          <w:color w:val="auto"/>
          <w:sz w:val="24"/>
          <w:szCs w:val="24"/>
          <w:highlight w:val="none"/>
        </w:rPr>
      </w:pPr>
      <w:r>
        <w:rPr>
          <w:rFonts w:hint="eastAsia" w:ascii="宋体" w:hAnsi="宋体" w:cs="宋体"/>
          <w:color w:val="auto"/>
          <w:sz w:val="24"/>
          <w:szCs w:val="24"/>
          <w:highlight w:val="none"/>
        </w:rPr>
        <w:t>十一、如因转包、违法分包（含现场施工作业或管理人员被发现不属于总承包单位或已经备案的依法分包单位人员的情形）、挂靠、项目管理不到位、民工工资纠纷等违反合同的行为，发包人或其上级主管部门有权立即开展调查，本公司无条件配合，相关费用由本公司负责。经核查属实，本公司自觉接受相应处罚。</w:t>
      </w:r>
    </w:p>
    <w:p>
      <w:pPr>
        <w:widowControl/>
        <w:shd w:val="clear" w:color="auto" w:fill="FFFFFF"/>
        <w:spacing w:after="135" w:line="500" w:lineRule="exact"/>
        <w:ind w:firstLine="645"/>
        <w:jc w:val="left"/>
        <w:rPr>
          <w:rFonts w:ascii="宋体" w:hAnsi="宋体" w:cs="宋体"/>
          <w:color w:val="auto"/>
          <w:sz w:val="24"/>
          <w:szCs w:val="24"/>
          <w:highlight w:val="none"/>
        </w:rPr>
      </w:pPr>
      <w:r>
        <w:rPr>
          <w:rFonts w:hint="eastAsia" w:ascii="宋体" w:hAnsi="宋体" w:cs="宋体"/>
          <w:color w:val="auto"/>
          <w:sz w:val="24"/>
          <w:szCs w:val="24"/>
          <w:highlight w:val="none"/>
        </w:rPr>
        <w:t>本公司违反上述承诺，或本承诺陈述与事实不符，经查实，本公司愿意接受公开通报，承担由此带来的法律后果，并自愿停止参加广州市行政辖区内的招标投标活动三个月。</w:t>
      </w:r>
    </w:p>
    <w:p>
      <w:pPr>
        <w:widowControl/>
        <w:shd w:val="clear" w:color="auto" w:fill="FFFFFF"/>
        <w:spacing w:after="135" w:line="500" w:lineRule="exact"/>
        <w:ind w:firstLine="645"/>
        <w:jc w:val="left"/>
        <w:rPr>
          <w:rFonts w:ascii="宋体" w:hAnsi="宋体" w:cs="宋体"/>
          <w:color w:val="auto"/>
          <w:sz w:val="24"/>
          <w:szCs w:val="24"/>
          <w:highlight w:val="none"/>
        </w:rPr>
      </w:pPr>
      <w:r>
        <w:rPr>
          <w:rFonts w:hint="eastAsia" w:ascii="宋体" w:hAnsi="宋体" w:cs="宋体"/>
          <w:color w:val="auto"/>
          <w:sz w:val="24"/>
          <w:szCs w:val="24"/>
          <w:highlight w:val="none"/>
        </w:rPr>
        <w:t>特此承诺</w:t>
      </w:r>
    </w:p>
    <w:p>
      <w:pPr>
        <w:widowControl/>
        <w:shd w:val="clear" w:color="auto" w:fill="FFFFFF"/>
        <w:spacing w:line="500" w:lineRule="exact"/>
        <w:ind w:right="-58" w:firstLine="2880"/>
        <w:jc w:val="right"/>
        <w:rPr>
          <w:rFonts w:ascii="宋体" w:hAnsi="宋体" w:cs="宋体"/>
          <w:color w:val="auto"/>
          <w:sz w:val="24"/>
          <w:szCs w:val="24"/>
          <w:highlight w:val="none"/>
        </w:rPr>
      </w:pPr>
      <w:r>
        <w:rPr>
          <w:rFonts w:hint="eastAsia" w:ascii="宋体" w:hAnsi="宋体" w:cs="宋体"/>
          <w:color w:val="auto"/>
          <w:sz w:val="24"/>
          <w:szCs w:val="24"/>
          <w:highlight w:val="none"/>
        </w:rPr>
        <w:t>承诺企业：              (企业公章或电子印章)</w:t>
      </w:r>
    </w:p>
    <w:p>
      <w:pPr>
        <w:widowControl/>
        <w:shd w:val="clear" w:color="auto" w:fill="FFFFFF"/>
        <w:spacing w:after="135" w:line="500" w:lineRule="exact"/>
        <w:ind w:firstLine="645"/>
        <w:jc w:val="left"/>
        <w:rPr>
          <w:rFonts w:ascii="宋体" w:hAnsi="宋体" w:cs="宋体"/>
          <w:b/>
          <w:color w:val="auto"/>
          <w:sz w:val="24"/>
          <w:szCs w:val="31"/>
          <w:highlight w:val="none"/>
        </w:rPr>
      </w:pPr>
      <w:r>
        <w:rPr>
          <w:rFonts w:hint="eastAsia" w:ascii="宋体" w:hAnsi="宋体" w:cs="宋体"/>
          <w:color w:val="auto"/>
          <w:sz w:val="24"/>
          <w:szCs w:val="24"/>
          <w:highlight w:val="none"/>
        </w:rPr>
        <w:t xml:space="preserve">                    法定代表人（签字或盖章）： </w:t>
      </w:r>
    </w:p>
    <w:p>
      <w:pPr>
        <w:widowControl/>
        <w:shd w:val="clear" w:color="auto" w:fill="FFFFFF"/>
        <w:spacing w:line="500" w:lineRule="exact"/>
        <w:ind w:right="165" w:firstLine="3770" w:firstLineChars="1571"/>
        <w:jc w:val="both"/>
        <w:rPr>
          <w:rFonts w:ascii="宋体" w:hAnsi="宋体" w:cs="宋体"/>
          <w:color w:val="auto"/>
          <w:sz w:val="24"/>
          <w:szCs w:val="24"/>
          <w:highlight w:val="none"/>
        </w:rPr>
      </w:pPr>
      <w:r>
        <w:rPr>
          <w:rFonts w:hint="eastAsia" w:ascii="宋体" w:hAnsi="宋体" w:cs="宋体"/>
          <w:color w:val="auto"/>
          <w:sz w:val="24"/>
          <w:szCs w:val="24"/>
          <w:highlight w:val="none"/>
        </w:rPr>
        <w:t>年    月    日</w:t>
      </w:r>
    </w:p>
    <w:p>
      <w:pPr>
        <w:spacing w:line="360" w:lineRule="auto"/>
        <w:rPr>
          <w:rFonts w:ascii="宋体" w:hAnsi="宋体" w:cs="宋体"/>
          <w:color w:val="auto"/>
          <w:sz w:val="24"/>
          <w:highlight w:val="none"/>
        </w:rPr>
      </w:pPr>
      <w:r>
        <w:rPr>
          <w:rFonts w:hint="eastAsia" w:ascii="宋体" w:hAnsi="宋体" w:cs="宋体"/>
          <w:b/>
          <w:color w:val="auto"/>
          <w:sz w:val="30"/>
          <w:szCs w:val="30"/>
          <w:highlight w:val="none"/>
        </w:rPr>
        <w:br w:type="page"/>
      </w:r>
      <w:r>
        <w:rPr>
          <w:rFonts w:hint="eastAsia" w:ascii="宋体" w:hAnsi="宋体" w:cs="宋体"/>
          <w:b/>
          <w:bCs/>
          <w:color w:val="auto"/>
          <w:sz w:val="24"/>
          <w:highlight w:val="none"/>
        </w:rPr>
        <w:t>技术部分格式5：</w:t>
      </w:r>
    </w:p>
    <w:p>
      <w:pPr>
        <w:topLinePunct/>
        <w:adjustRightInd w:val="0"/>
        <w:snapToGrid w:val="0"/>
        <w:spacing w:line="360" w:lineRule="auto"/>
        <w:ind w:firstLine="498"/>
        <w:jc w:val="center"/>
        <w:rPr>
          <w:rFonts w:ascii="宋体" w:hAnsi="宋体" w:cs="宋体"/>
          <w:b/>
          <w:snapToGrid w:val="0"/>
          <w:color w:val="auto"/>
          <w:spacing w:val="4"/>
          <w:kern w:val="0"/>
          <w:sz w:val="32"/>
          <w:szCs w:val="32"/>
          <w:highlight w:val="none"/>
        </w:rPr>
      </w:pPr>
    </w:p>
    <w:p>
      <w:pPr>
        <w:topLinePunct/>
        <w:adjustRightInd w:val="0"/>
        <w:snapToGrid w:val="0"/>
        <w:spacing w:line="360" w:lineRule="auto"/>
        <w:ind w:firstLine="498"/>
        <w:jc w:val="center"/>
        <w:rPr>
          <w:rFonts w:ascii="宋体" w:hAnsi="宋体" w:cs="宋体"/>
          <w:b/>
          <w:snapToGrid w:val="0"/>
          <w:color w:val="auto"/>
          <w:spacing w:val="4"/>
          <w:kern w:val="0"/>
          <w:sz w:val="32"/>
          <w:szCs w:val="32"/>
          <w:highlight w:val="none"/>
        </w:rPr>
      </w:pPr>
      <w:r>
        <w:rPr>
          <w:rFonts w:hint="eastAsia" w:ascii="宋体" w:hAnsi="宋体" w:cs="宋体"/>
          <w:b/>
          <w:snapToGrid w:val="0"/>
          <w:color w:val="auto"/>
          <w:spacing w:val="4"/>
          <w:kern w:val="0"/>
          <w:sz w:val="32"/>
          <w:szCs w:val="32"/>
          <w:highlight w:val="none"/>
        </w:rPr>
        <w:t>企业资信等相关资料</w:t>
      </w:r>
    </w:p>
    <w:p>
      <w:pPr>
        <w:topLinePunct/>
        <w:adjustRightInd w:val="0"/>
        <w:snapToGrid w:val="0"/>
        <w:spacing w:line="360" w:lineRule="auto"/>
        <w:ind w:firstLine="496" w:firstLineChars="200"/>
        <w:rPr>
          <w:rFonts w:ascii="宋体" w:hAnsi="宋体" w:cs="宋体"/>
          <w:snapToGrid w:val="0"/>
          <w:color w:val="auto"/>
          <w:spacing w:val="4"/>
          <w:kern w:val="0"/>
          <w:sz w:val="24"/>
          <w:szCs w:val="20"/>
          <w:highlight w:val="none"/>
        </w:rPr>
      </w:pPr>
    </w:p>
    <w:p>
      <w:pPr>
        <w:topLinePunct/>
        <w:adjustRightInd w:val="0"/>
        <w:snapToGrid w:val="0"/>
        <w:spacing w:line="360" w:lineRule="auto"/>
        <w:jc w:val="center"/>
        <w:rPr>
          <w:rFonts w:ascii="宋体" w:hAnsi="宋体" w:cs="宋体"/>
          <w:snapToGrid w:val="0"/>
          <w:color w:val="auto"/>
          <w:spacing w:val="4"/>
          <w:kern w:val="0"/>
          <w:sz w:val="24"/>
          <w:szCs w:val="20"/>
          <w:highlight w:val="none"/>
        </w:rPr>
      </w:pPr>
      <w:r>
        <w:rPr>
          <w:rFonts w:hint="eastAsia" w:ascii="宋体" w:hAnsi="宋体" w:cs="宋体"/>
          <w:snapToGrid w:val="0"/>
          <w:color w:val="auto"/>
          <w:spacing w:val="4"/>
          <w:kern w:val="0"/>
          <w:sz w:val="24"/>
          <w:szCs w:val="20"/>
          <w:highlight w:val="none"/>
        </w:rPr>
        <w:t>注：按《技术标详细审查评分表》要求提交</w:t>
      </w:r>
    </w:p>
    <w:p>
      <w:pPr>
        <w:spacing w:line="360" w:lineRule="auto"/>
        <w:rPr>
          <w:rFonts w:ascii="宋体" w:hAnsi="宋体" w:cs="宋体"/>
          <w:color w:val="auto"/>
          <w:sz w:val="24"/>
          <w:highlight w:val="none"/>
        </w:rPr>
      </w:pPr>
      <w:r>
        <w:rPr>
          <w:rFonts w:hint="eastAsia" w:ascii="宋体" w:hAnsi="宋体" w:cs="宋体"/>
          <w:snapToGrid w:val="0"/>
          <w:color w:val="auto"/>
          <w:spacing w:val="4"/>
          <w:kern w:val="0"/>
          <w:sz w:val="24"/>
          <w:szCs w:val="20"/>
          <w:highlight w:val="none"/>
        </w:rPr>
        <w:br w:type="page"/>
      </w:r>
      <w:r>
        <w:rPr>
          <w:rFonts w:hint="eastAsia" w:ascii="宋体" w:hAnsi="宋体" w:cs="宋体"/>
          <w:b/>
          <w:bCs/>
          <w:color w:val="auto"/>
          <w:sz w:val="24"/>
          <w:highlight w:val="none"/>
        </w:rPr>
        <w:t>技术部分格式6：</w:t>
      </w:r>
    </w:p>
    <w:p>
      <w:pPr>
        <w:spacing w:line="360" w:lineRule="auto"/>
        <w:rPr>
          <w:rFonts w:ascii="宋体" w:hAnsi="宋体" w:cs="宋体"/>
          <w:color w:val="auto"/>
          <w:sz w:val="24"/>
          <w:highlight w:val="none"/>
        </w:rPr>
      </w:pPr>
    </w:p>
    <w:p>
      <w:pPr>
        <w:spacing w:line="400" w:lineRule="exact"/>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施工技术承诺书</w:t>
      </w:r>
    </w:p>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致</w:t>
      </w:r>
      <w:r>
        <w:rPr>
          <w:rFonts w:hint="eastAsia" w:ascii="宋体" w:hAnsi="宋体" w:cs="宋体"/>
          <w:color w:val="auto"/>
          <w:sz w:val="24"/>
          <w:szCs w:val="24"/>
          <w:highlight w:val="none"/>
          <w:lang w:eastAsia="zh-CN"/>
        </w:rPr>
        <w:t>广东省科学院</w:t>
      </w:r>
      <w:r>
        <w:rPr>
          <w:rFonts w:hint="eastAsia" w:ascii="宋体" w:hAnsi="宋体" w:cs="宋体"/>
          <w:color w:val="auto"/>
          <w:sz w:val="24"/>
          <w:szCs w:val="24"/>
          <w:highlight w:val="none"/>
        </w:rPr>
        <w:t>：</w:t>
      </w:r>
    </w:p>
    <w:p>
      <w:pPr>
        <w:spacing w:line="48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我公司已充分阅读了招标文件、图纸等资料并通过现场考察充分了解本工程的全面情况。如若中标，我们承诺将按技术规范、相关技术要求、施工图纸进行施工。本工程所有的施工方案、施工方法、施工工艺等都将满足本工程施工图纸和现行的有关规范、标准要求，且上述施工方案、施工方法和施工工艺等均在取得监理工程师和业主的批准后予以实施，同时声明采用经监理工程师和业主批准的上述施工方案、施工方法、施工工艺等所发生的一切费用均已包含在我方的投标总报价之中，并保证在本项目实施过程中不论何种原因均不会向你方提出任何增加费用或延长工期的要求，否则，视为我方违约，你方有权解除合同并按合同支付违约金，我方应承担由此给你方造成的所有经济损失，并承担其他相应的责任。</w:t>
      </w:r>
    </w:p>
    <w:p>
      <w:pPr>
        <w:spacing w:line="48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如未履行上述承诺，视为我方违约，你方有权解除合同并按合同支付违约金，我方应承担由此给你方造成的所有经济损失，并承担其他相应的责任。</w:t>
      </w:r>
    </w:p>
    <w:p>
      <w:pPr>
        <w:spacing w:line="400" w:lineRule="exact"/>
        <w:rPr>
          <w:rFonts w:ascii="宋体" w:hAnsi="宋体" w:cs="宋体"/>
          <w:color w:val="auto"/>
          <w:sz w:val="24"/>
          <w:szCs w:val="24"/>
          <w:highlight w:val="none"/>
        </w:rPr>
      </w:pPr>
    </w:p>
    <w:p>
      <w:pPr>
        <w:spacing w:line="400" w:lineRule="exact"/>
        <w:rPr>
          <w:rFonts w:ascii="宋体" w:hAnsi="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szCs w:val="24"/>
          <w:highlight w:val="none"/>
          <w:u w:val="single"/>
        </w:rPr>
      </w:pPr>
      <w:r>
        <w:rPr>
          <w:rFonts w:hint="eastAsia" w:ascii="宋体" w:hAnsi="宋体" w:cs="宋体"/>
          <w:color w:val="auto"/>
          <w:sz w:val="24"/>
          <w:szCs w:val="24"/>
          <w:highlight w:val="none"/>
        </w:rPr>
        <w:t>法定代表人或其委托代理人：（签字或盖章）</w:t>
      </w:r>
      <w:r>
        <w:rPr>
          <w:rFonts w:hint="eastAsia" w:ascii="宋体" w:hAnsi="宋体" w:cs="宋体"/>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szCs w:val="24"/>
          <w:highlight w:val="none"/>
          <w:u w:val="single"/>
        </w:rPr>
      </w:pPr>
      <w:r>
        <w:rPr>
          <w:rFonts w:hint="eastAsia" w:ascii="宋体" w:hAnsi="宋体" w:cs="宋体"/>
          <w:color w:val="auto"/>
          <w:sz w:val="24"/>
          <w:szCs w:val="24"/>
          <w:highlight w:val="none"/>
        </w:rPr>
        <w:t>单位名称：（盖公章或电子印章）</w:t>
      </w:r>
      <w:r>
        <w:rPr>
          <w:rFonts w:hint="eastAsia" w:ascii="宋体" w:hAnsi="宋体" w:cs="宋体"/>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日期：</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w:t>
      </w:r>
    </w:p>
    <w:p>
      <w:pPr>
        <w:pStyle w:val="8"/>
        <w:rPr>
          <w:color w:val="auto"/>
          <w:highlight w:val="none"/>
        </w:rPr>
      </w:pPr>
    </w:p>
    <w:p>
      <w:pPr>
        <w:rPr>
          <w:color w:val="auto"/>
          <w:highlight w:val="none"/>
        </w:rPr>
      </w:pPr>
    </w:p>
    <w:p>
      <w:pPr>
        <w:pStyle w:val="8"/>
        <w:rPr>
          <w:color w:val="auto"/>
          <w:highlight w:val="none"/>
        </w:rPr>
      </w:pPr>
    </w:p>
    <w:p>
      <w:pPr>
        <w:rPr>
          <w:color w:val="auto"/>
          <w:highlight w:val="none"/>
        </w:rPr>
      </w:pPr>
    </w:p>
    <w:p>
      <w:pPr>
        <w:rPr>
          <w:rFonts w:hint="eastAsia" w:ascii="宋体" w:hAnsi="宋体" w:cs="宋体"/>
          <w:b/>
          <w:bCs/>
          <w:color w:val="auto"/>
          <w:sz w:val="30"/>
          <w:szCs w:val="30"/>
          <w:highlight w:val="none"/>
        </w:rPr>
      </w:pPr>
      <w:r>
        <w:rPr>
          <w:rFonts w:hint="eastAsia" w:ascii="宋体" w:hAnsi="宋体" w:cs="宋体"/>
          <w:b/>
          <w:bCs/>
          <w:color w:val="auto"/>
          <w:sz w:val="30"/>
          <w:szCs w:val="30"/>
          <w:highlight w:val="none"/>
        </w:rPr>
        <w:br w:type="page"/>
      </w:r>
    </w:p>
    <w:p>
      <w:pPr>
        <w:spacing w:line="400" w:lineRule="exact"/>
        <w:rPr>
          <w:rFonts w:hint="eastAsia" w:ascii="宋体" w:hAnsi="宋体" w:cs="宋体"/>
          <w:b/>
          <w:bCs/>
          <w:color w:val="auto"/>
          <w:sz w:val="30"/>
          <w:szCs w:val="30"/>
          <w:highlight w:val="none"/>
        </w:rPr>
      </w:pPr>
      <w:r>
        <w:rPr>
          <w:rFonts w:hint="eastAsia" w:ascii="宋体" w:hAnsi="宋体" w:cs="宋体"/>
          <w:b/>
          <w:bCs/>
          <w:color w:val="auto"/>
          <w:sz w:val="30"/>
          <w:szCs w:val="30"/>
          <w:highlight w:val="none"/>
        </w:rPr>
        <w:t>施工组织设计：</w:t>
      </w:r>
    </w:p>
    <w:p>
      <w:pPr>
        <w:spacing w:line="400" w:lineRule="exact"/>
        <w:jc w:val="center"/>
        <w:rPr>
          <w:rFonts w:hint="eastAsia" w:ascii="宋体" w:hAnsi="宋体" w:cs="宋体"/>
          <w:b/>
          <w:bCs/>
          <w:color w:val="auto"/>
          <w:sz w:val="30"/>
          <w:szCs w:val="30"/>
          <w:highlight w:val="none"/>
        </w:rPr>
      </w:pPr>
    </w:p>
    <w:p>
      <w:pPr>
        <w:spacing w:line="400" w:lineRule="exact"/>
        <w:jc w:val="center"/>
        <w:rPr>
          <w:rFonts w:hint="eastAsia" w:ascii="宋体" w:hAnsi="宋体" w:cs="宋体"/>
          <w:b/>
          <w:bCs/>
          <w:color w:val="auto"/>
          <w:sz w:val="30"/>
          <w:szCs w:val="30"/>
          <w:highlight w:val="none"/>
        </w:rPr>
      </w:pPr>
      <w:r>
        <w:rPr>
          <w:rFonts w:hint="eastAsia" w:ascii="宋体" w:hAnsi="宋体" w:cs="宋体"/>
          <w:b/>
          <w:bCs/>
          <w:color w:val="auto"/>
          <w:sz w:val="30"/>
          <w:szCs w:val="30"/>
          <w:highlight w:val="none"/>
        </w:rPr>
        <w:t>施工组织设计</w:t>
      </w:r>
    </w:p>
    <w:p>
      <w:pPr>
        <w:spacing w:line="400" w:lineRule="exact"/>
        <w:ind w:firstLine="480" w:firstLineChars="200"/>
        <w:rPr>
          <w:rFonts w:hint="eastAsia" w:ascii="宋体" w:hAnsi="宋体" w:cs="宋体"/>
          <w:color w:val="auto"/>
          <w:sz w:val="24"/>
          <w:szCs w:val="24"/>
          <w:highlight w:val="none"/>
        </w:rPr>
      </w:pPr>
    </w:p>
    <w:p>
      <w:p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投标人对本项目特点有深刻认识，组织实施方案计划详细、保证措施合理且切实可行；对本项目的重点、难点，考虑全面，并制定可行的措施；针对本项目特点制定的交通疏解措施切实可行、详细、合理；应急处理措施、安全防护制度和文明操作措施完善；必须提交人员和机械安排计划，计划切实可行、详细、合理。各部分文字直接简炼，不得出现大量宣传性及无实质性意义或直接引用范本照搬照套的文字，并结合图表说明及表示。施工组织设计编制可包括以下内容：</w:t>
      </w:r>
    </w:p>
    <w:p>
      <w:pPr>
        <w:spacing w:line="400" w:lineRule="exact"/>
        <w:ind w:firstLine="480" w:firstLineChars="200"/>
        <w:rPr>
          <w:rFonts w:hint="eastAsia" w:ascii="宋体" w:hAnsi="宋体" w:cs="宋体"/>
          <w:b/>
          <w:bCs/>
          <w:color w:val="auto"/>
          <w:sz w:val="30"/>
          <w:szCs w:val="30"/>
          <w:highlight w:val="none"/>
        </w:rPr>
      </w:pPr>
      <w:r>
        <w:rPr>
          <w:rFonts w:hint="eastAsia" w:ascii="宋体" w:hAnsi="宋体" w:cs="宋体"/>
          <w:color w:val="auto"/>
          <w:sz w:val="24"/>
          <w:szCs w:val="24"/>
          <w:highlight w:val="none"/>
        </w:rPr>
        <w:t>一、文字部分：</w:t>
      </w:r>
    </w:p>
    <w:p>
      <w:p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1.工程概况及工程重点、难点</w:t>
      </w:r>
    </w:p>
    <w:p>
      <w:p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2.项目组织机构</w:t>
      </w:r>
    </w:p>
    <w:p>
      <w:p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要求项目负责人、总工程师、施工计划及财务负责人、质检、地质、实验、测量和机械、土建等组织结构配置合理，满足施工要求。</w:t>
      </w:r>
    </w:p>
    <w:p>
      <w:p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3.施工总平面布置</w:t>
      </w:r>
    </w:p>
    <w:p>
      <w:p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投标人应针对本工程项目场地布置图和现场踏勘的情况进行本工程的施工总平面布置，并结合招标人提供的临时用地位置，合理安排其生活、福利、办公等临时生活设施和材料堆场、仓库、预制场、拌和场及加工场等生产设施的位置，设置完善、高效的临时排水、排污等设施，合理布置场内外交通运输路线。施工现场必须按广州市有关规定设置围蔽结构。</w:t>
      </w:r>
    </w:p>
    <w:p>
      <w:p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3.1临设平面布置图；</w:t>
      </w:r>
    </w:p>
    <w:p>
      <w:p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3.2临时供水、临时供电；</w:t>
      </w:r>
    </w:p>
    <w:p>
      <w:p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3.3临时排水、排污；</w:t>
      </w:r>
    </w:p>
    <w:p>
      <w:p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3.4围蔽结构；</w:t>
      </w:r>
    </w:p>
    <w:p>
      <w:p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3.5施工通道布置；</w:t>
      </w:r>
    </w:p>
    <w:p>
      <w:p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3.6投标人认为需补充的内容。</w:t>
      </w:r>
    </w:p>
    <w:p>
      <w:p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4.主要分项工程的施工方案、施工方法、施工工艺</w:t>
      </w:r>
    </w:p>
    <w:p>
      <w:p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根据本工程施工特点，制定各关键工序的施工方案、施工方法和工艺，要求所采用的施工方案、施工方法和工艺具有针对性、先进性和独创性。并阐述对进场施工后保证实施上述施工方案、施工方法和工艺；</w:t>
      </w:r>
    </w:p>
    <w:p>
      <w:p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5.危险性较大的分部分项工程专项施工方案。</w:t>
      </w:r>
    </w:p>
    <w:p>
      <w:p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6.工程建设进度计划于措施</w:t>
      </w:r>
    </w:p>
    <w:p>
      <w:p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6.1总体施工进度计划</w:t>
      </w:r>
    </w:p>
    <w:p>
      <w:p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6.2各阶段施工进度计划及控制措施</w:t>
      </w:r>
    </w:p>
    <w:p>
      <w:p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6.3资源配备计划（工、料、机、资金等的使用计划）</w:t>
      </w:r>
    </w:p>
    <w:p>
      <w:p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6.4主要的工艺流程</w:t>
      </w:r>
    </w:p>
    <w:p>
      <w:p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7. 质量管理体系和措施</w:t>
      </w:r>
    </w:p>
    <w:p>
      <w:p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8. 环保与文明施工管理体系与措施（包括空气污染、水质污染、噪音控制、施工场地和驻地卫生，以及文明施工等方面控制措施）</w:t>
      </w:r>
    </w:p>
    <w:p>
      <w:p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9.制订完善的成品保护措施。</w:t>
      </w:r>
    </w:p>
    <w:p>
      <w:p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10.民工工资支付方案及措施</w:t>
      </w:r>
    </w:p>
    <w:p>
      <w:p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11.承诺优先使用绿色生产达标企业的混凝土及措施</w:t>
      </w:r>
    </w:p>
    <w:p>
      <w:p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二、图表部分</w:t>
      </w:r>
    </w:p>
    <w:p>
      <w:p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1.项目组织机构图</w:t>
      </w:r>
    </w:p>
    <w:p>
      <w:p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2.施工平面布置图</w:t>
      </w:r>
    </w:p>
    <w:p>
      <w:p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3.施工进度计划网络图及横道图</w:t>
      </w:r>
    </w:p>
    <w:p>
      <w:p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4.劳动力使用计划图（或表）</w:t>
      </w:r>
    </w:p>
    <w:p>
      <w:p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5.拟投入的主要材料、半成品、设备及品牌计划表</w:t>
      </w:r>
    </w:p>
    <w:p>
      <w:p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6.拟投入的主要施工机械设备计划表</w:t>
      </w:r>
    </w:p>
    <w:p>
      <w:p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7.资金使用计划表</w:t>
      </w:r>
    </w:p>
    <w:p>
      <w:p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8.主要施工工艺的工艺流程图</w:t>
      </w:r>
    </w:p>
    <w:p>
      <w:pPr>
        <w:pStyle w:val="8"/>
        <w:rPr>
          <w:color w:val="auto"/>
          <w:highlight w:val="none"/>
        </w:rPr>
      </w:pPr>
    </w:p>
    <w:p>
      <w:pPr>
        <w:spacing w:line="360" w:lineRule="auto"/>
        <w:rPr>
          <w:rFonts w:ascii="宋体" w:hAnsi="宋体" w:cs="宋体"/>
          <w:color w:val="auto"/>
          <w:sz w:val="24"/>
          <w:highlight w:val="none"/>
        </w:rPr>
      </w:pPr>
      <w:r>
        <w:rPr>
          <w:rFonts w:hint="eastAsia" w:ascii="宋体" w:hAnsi="宋体" w:cs="宋体"/>
          <w:color w:val="auto"/>
          <w:sz w:val="24"/>
          <w:highlight w:val="none"/>
        </w:rPr>
        <w:br w:type="page"/>
      </w:r>
      <w:r>
        <w:rPr>
          <w:rFonts w:hint="eastAsia" w:ascii="宋体" w:hAnsi="宋体" w:cs="宋体"/>
          <w:b/>
          <w:bCs/>
          <w:color w:val="auto"/>
          <w:sz w:val="24"/>
          <w:highlight w:val="none"/>
        </w:rPr>
        <w:t>技术部分格式</w:t>
      </w:r>
      <w:r>
        <w:rPr>
          <w:rFonts w:ascii="宋体" w:hAnsi="宋体" w:cs="宋体"/>
          <w:b/>
          <w:bCs/>
          <w:color w:val="auto"/>
          <w:sz w:val="24"/>
          <w:highlight w:val="none"/>
        </w:rPr>
        <w:t>7</w:t>
      </w:r>
      <w:r>
        <w:rPr>
          <w:rFonts w:hint="eastAsia" w:ascii="宋体" w:hAnsi="宋体" w:cs="宋体"/>
          <w:b/>
          <w:bCs/>
          <w:color w:val="auto"/>
          <w:sz w:val="24"/>
          <w:highlight w:val="none"/>
        </w:rPr>
        <w:t>：</w:t>
      </w:r>
    </w:p>
    <w:p>
      <w:pPr>
        <w:pStyle w:val="78"/>
        <w:ind w:firstLine="496"/>
        <w:rPr>
          <w:rFonts w:ascii="宋体" w:hAnsi="宋体" w:cs="宋体"/>
          <w:color w:val="auto"/>
          <w:highlight w:val="none"/>
        </w:rPr>
      </w:pPr>
    </w:p>
    <w:p>
      <w:pPr>
        <w:pStyle w:val="121"/>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参与编制技术标投标文件人员名单</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7"/>
        <w:gridCol w:w="1848"/>
        <w:gridCol w:w="1849"/>
        <w:gridCol w:w="1849"/>
        <w:gridCol w:w="1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8" w:hRule="atLeast"/>
          <w:jc w:val="center"/>
        </w:trPr>
        <w:tc>
          <w:tcPr>
            <w:tcW w:w="9242" w:type="dxa"/>
            <w:gridSpan w:val="5"/>
            <w:noWrap w:val="0"/>
            <w:vAlign w:val="center"/>
          </w:tcPr>
          <w:p>
            <w:pPr>
              <w:pStyle w:val="116"/>
              <w:ind w:firstLine="22"/>
              <w:rPr>
                <w:rFonts w:cs="宋体"/>
                <w:color w:val="auto"/>
                <w:sz w:val="24"/>
                <w:highlight w:val="none"/>
              </w:rPr>
            </w:pPr>
            <w:r>
              <w:rPr>
                <w:rFonts w:hint="eastAsia" w:cs="宋体"/>
                <w:color w:val="auto"/>
                <w:highlight w:val="none"/>
              </w:rPr>
              <w:t>投标单位名称：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47" w:type="dxa"/>
            <w:noWrap w:val="0"/>
            <w:vAlign w:val="center"/>
          </w:tcPr>
          <w:p>
            <w:pPr>
              <w:pStyle w:val="116"/>
              <w:ind w:firstLine="525"/>
              <w:rPr>
                <w:rFonts w:cs="宋体"/>
                <w:color w:val="auto"/>
                <w:highlight w:val="none"/>
              </w:rPr>
            </w:pPr>
            <w:r>
              <w:rPr>
                <w:rFonts w:hint="eastAsia" w:cs="宋体"/>
                <w:color w:val="auto"/>
                <w:highlight w:val="none"/>
              </w:rPr>
              <w:t>姓名</w:t>
            </w:r>
          </w:p>
        </w:tc>
        <w:tc>
          <w:tcPr>
            <w:tcW w:w="1848" w:type="dxa"/>
            <w:noWrap w:val="0"/>
            <w:vAlign w:val="center"/>
          </w:tcPr>
          <w:p>
            <w:pPr>
              <w:pStyle w:val="116"/>
              <w:ind w:firstLine="525"/>
              <w:rPr>
                <w:rFonts w:cs="宋体"/>
                <w:color w:val="auto"/>
                <w:highlight w:val="none"/>
              </w:rPr>
            </w:pPr>
            <w:r>
              <w:rPr>
                <w:rFonts w:hint="eastAsia" w:cs="宋体"/>
                <w:color w:val="auto"/>
                <w:highlight w:val="none"/>
              </w:rPr>
              <w:t>职务</w:t>
            </w:r>
          </w:p>
        </w:tc>
        <w:tc>
          <w:tcPr>
            <w:tcW w:w="1849" w:type="dxa"/>
            <w:noWrap w:val="0"/>
            <w:vAlign w:val="center"/>
          </w:tcPr>
          <w:p>
            <w:pPr>
              <w:pStyle w:val="116"/>
              <w:ind w:firstLine="19"/>
              <w:jc w:val="center"/>
              <w:rPr>
                <w:rFonts w:cs="宋体"/>
                <w:color w:val="auto"/>
                <w:highlight w:val="none"/>
              </w:rPr>
            </w:pPr>
            <w:r>
              <w:rPr>
                <w:rFonts w:hint="eastAsia" w:cs="宋体"/>
                <w:color w:val="auto"/>
                <w:highlight w:val="none"/>
              </w:rPr>
              <w:t>所承担工作</w:t>
            </w:r>
          </w:p>
        </w:tc>
        <w:tc>
          <w:tcPr>
            <w:tcW w:w="1849" w:type="dxa"/>
            <w:noWrap w:val="0"/>
            <w:vAlign w:val="center"/>
          </w:tcPr>
          <w:p>
            <w:pPr>
              <w:pStyle w:val="116"/>
              <w:ind w:firstLine="16"/>
              <w:jc w:val="center"/>
              <w:rPr>
                <w:rFonts w:cs="宋体"/>
                <w:color w:val="auto"/>
                <w:highlight w:val="none"/>
              </w:rPr>
            </w:pPr>
            <w:r>
              <w:rPr>
                <w:rFonts w:hint="eastAsia" w:cs="宋体"/>
                <w:color w:val="auto"/>
                <w:highlight w:val="none"/>
              </w:rPr>
              <w:t>身份证号码</w:t>
            </w:r>
          </w:p>
        </w:tc>
        <w:tc>
          <w:tcPr>
            <w:tcW w:w="1849" w:type="dxa"/>
            <w:noWrap w:val="0"/>
            <w:vAlign w:val="center"/>
          </w:tcPr>
          <w:p>
            <w:pPr>
              <w:pStyle w:val="116"/>
              <w:jc w:val="center"/>
              <w:rPr>
                <w:rFonts w:cs="宋体"/>
                <w:color w:val="auto"/>
                <w:highlight w:val="none"/>
              </w:rPr>
            </w:pPr>
            <w:r>
              <w:rPr>
                <w:rFonts w:hint="eastAsia" w:cs="宋体"/>
                <w:color w:val="auto"/>
                <w:highlight w:val="none"/>
              </w:rPr>
              <w:t>本人签名栏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47" w:type="dxa"/>
            <w:noWrap w:val="0"/>
            <w:vAlign w:val="center"/>
          </w:tcPr>
          <w:p>
            <w:pPr>
              <w:pStyle w:val="116"/>
              <w:ind w:firstLine="525"/>
              <w:jc w:val="center"/>
              <w:rPr>
                <w:rFonts w:cs="宋体"/>
                <w:color w:val="auto"/>
                <w:sz w:val="24"/>
                <w:highlight w:val="none"/>
              </w:rPr>
            </w:pPr>
          </w:p>
        </w:tc>
        <w:tc>
          <w:tcPr>
            <w:tcW w:w="1848" w:type="dxa"/>
            <w:noWrap w:val="0"/>
            <w:vAlign w:val="center"/>
          </w:tcPr>
          <w:p>
            <w:pPr>
              <w:pStyle w:val="116"/>
              <w:ind w:firstLine="525"/>
              <w:jc w:val="center"/>
              <w:rPr>
                <w:rFonts w:cs="宋体"/>
                <w:color w:val="auto"/>
                <w:sz w:val="24"/>
                <w:highlight w:val="none"/>
              </w:rPr>
            </w:pPr>
          </w:p>
        </w:tc>
        <w:tc>
          <w:tcPr>
            <w:tcW w:w="1849" w:type="dxa"/>
            <w:noWrap w:val="0"/>
            <w:vAlign w:val="center"/>
          </w:tcPr>
          <w:p>
            <w:pPr>
              <w:pStyle w:val="116"/>
              <w:ind w:firstLine="525"/>
              <w:jc w:val="center"/>
              <w:rPr>
                <w:rFonts w:cs="宋体"/>
                <w:color w:val="auto"/>
                <w:sz w:val="24"/>
                <w:highlight w:val="none"/>
              </w:rPr>
            </w:pPr>
          </w:p>
        </w:tc>
        <w:tc>
          <w:tcPr>
            <w:tcW w:w="1849" w:type="dxa"/>
            <w:noWrap w:val="0"/>
            <w:vAlign w:val="center"/>
          </w:tcPr>
          <w:p>
            <w:pPr>
              <w:pStyle w:val="116"/>
              <w:ind w:firstLine="525"/>
              <w:jc w:val="center"/>
              <w:rPr>
                <w:rFonts w:cs="宋体"/>
                <w:color w:val="auto"/>
                <w:sz w:val="24"/>
                <w:highlight w:val="none"/>
              </w:rPr>
            </w:pPr>
          </w:p>
        </w:tc>
        <w:tc>
          <w:tcPr>
            <w:tcW w:w="1849" w:type="dxa"/>
            <w:noWrap w:val="0"/>
            <w:vAlign w:val="center"/>
          </w:tcPr>
          <w:p>
            <w:pPr>
              <w:pStyle w:val="116"/>
              <w:ind w:firstLine="525"/>
              <w:jc w:val="center"/>
              <w:rPr>
                <w:rFonts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47" w:type="dxa"/>
            <w:noWrap w:val="0"/>
            <w:vAlign w:val="center"/>
          </w:tcPr>
          <w:p>
            <w:pPr>
              <w:pStyle w:val="116"/>
              <w:ind w:firstLine="525"/>
              <w:jc w:val="center"/>
              <w:rPr>
                <w:rFonts w:cs="宋体"/>
                <w:color w:val="auto"/>
                <w:sz w:val="24"/>
                <w:highlight w:val="none"/>
              </w:rPr>
            </w:pPr>
          </w:p>
        </w:tc>
        <w:tc>
          <w:tcPr>
            <w:tcW w:w="1848" w:type="dxa"/>
            <w:noWrap w:val="0"/>
            <w:vAlign w:val="center"/>
          </w:tcPr>
          <w:p>
            <w:pPr>
              <w:pStyle w:val="116"/>
              <w:ind w:firstLine="525"/>
              <w:jc w:val="center"/>
              <w:rPr>
                <w:rFonts w:cs="宋体"/>
                <w:color w:val="auto"/>
                <w:sz w:val="24"/>
                <w:highlight w:val="none"/>
              </w:rPr>
            </w:pPr>
          </w:p>
        </w:tc>
        <w:tc>
          <w:tcPr>
            <w:tcW w:w="1849" w:type="dxa"/>
            <w:noWrap w:val="0"/>
            <w:vAlign w:val="center"/>
          </w:tcPr>
          <w:p>
            <w:pPr>
              <w:pStyle w:val="116"/>
              <w:ind w:firstLine="525"/>
              <w:jc w:val="center"/>
              <w:rPr>
                <w:rFonts w:cs="宋体"/>
                <w:color w:val="auto"/>
                <w:sz w:val="24"/>
                <w:highlight w:val="none"/>
              </w:rPr>
            </w:pPr>
          </w:p>
        </w:tc>
        <w:tc>
          <w:tcPr>
            <w:tcW w:w="1849" w:type="dxa"/>
            <w:noWrap w:val="0"/>
            <w:vAlign w:val="center"/>
          </w:tcPr>
          <w:p>
            <w:pPr>
              <w:pStyle w:val="116"/>
              <w:ind w:firstLine="525"/>
              <w:jc w:val="center"/>
              <w:rPr>
                <w:rFonts w:cs="宋体"/>
                <w:color w:val="auto"/>
                <w:sz w:val="24"/>
                <w:highlight w:val="none"/>
              </w:rPr>
            </w:pPr>
          </w:p>
        </w:tc>
        <w:tc>
          <w:tcPr>
            <w:tcW w:w="1849" w:type="dxa"/>
            <w:noWrap w:val="0"/>
            <w:vAlign w:val="center"/>
          </w:tcPr>
          <w:p>
            <w:pPr>
              <w:pStyle w:val="116"/>
              <w:ind w:firstLine="525"/>
              <w:jc w:val="center"/>
              <w:rPr>
                <w:rFonts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47" w:type="dxa"/>
            <w:noWrap w:val="0"/>
            <w:vAlign w:val="center"/>
          </w:tcPr>
          <w:p>
            <w:pPr>
              <w:pStyle w:val="116"/>
              <w:ind w:firstLine="525"/>
              <w:jc w:val="center"/>
              <w:rPr>
                <w:rFonts w:cs="宋体"/>
                <w:color w:val="auto"/>
                <w:sz w:val="24"/>
                <w:highlight w:val="none"/>
              </w:rPr>
            </w:pPr>
          </w:p>
        </w:tc>
        <w:tc>
          <w:tcPr>
            <w:tcW w:w="1848" w:type="dxa"/>
            <w:noWrap w:val="0"/>
            <w:vAlign w:val="center"/>
          </w:tcPr>
          <w:p>
            <w:pPr>
              <w:pStyle w:val="116"/>
              <w:ind w:firstLine="525"/>
              <w:jc w:val="center"/>
              <w:rPr>
                <w:rFonts w:cs="宋体"/>
                <w:color w:val="auto"/>
                <w:sz w:val="24"/>
                <w:highlight w:val="none"/>
              </w:rPr>
            </w:pPr>
          </w:p>
        </w:tc>
        <w:tc>
          <w:tcPr>
            <w:tcW w:w="1849" w:type="dxa"/>
            <w:noWrap w:val="0"/>
            <w:vAlign w:val="center"/>
          </w:tcPr>
          <w:p>
            <w:pPr>
              <w:pStyle w:val="116"/>
              <w:ind w:firstLine="525"/>
              <w:jc w:val="center"/>
              <w:rPr>
                <w:rFonts w:cs="宋体"/>
                <w:color w:val="auto"/>
                <w:sz w:val="24"/>
                <w:highlight w:val="none"/>
              </w:rPr>
            </w:pPr>
          </w:p>
        </w:tc>
        <w:tc>
          <w:tcPr>
            <w:tcW w:w="1849" w:type="dxa"/>
            <w:noWrap w:val="0"/>
            <w:vAlign w:val="center"/>
          </w:tcPr>
          <w:p>
            <w:pPr>
              <w:pStyle w:val="116"/>
              <w:ind w:firstLine="525"/>
              <w:jc w:val="center"/>
              <w:rPr>
                <w:rFonts w:cs="宋体"/>
                <w:color w:val="auto"/>
                <w:sz w:val="24"/>
                <w:highlight w:val="none"/>
              </w:rPr>
            </w:pPr>
          </w:p>
        </w:tc>
        <w:tc>
          <w:tcPr>
            <w:tcW w:w="1849" w:type="dxa"/>
            <w:noWrap w:val="0"/>
            <w:vAlign w:val="center"/>
          </w:tcPr>
          <w:p>
            <w:pPr>
              <w:pStyle w:val="116"/>
              <w:ind w:firstLine="525"/>
              <w:jc w:val="center"/>
              <w:rPr>
                <w:rFonts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47" w:type="dxa"/>
            <w:noWrap w:val="0"/>
            <w:vAlign w:val="center"/>
          </w:tcPr>
          <w:p>
            <w:pPr>
              <w:pStyle w:val="116"/>
              <w:ind w:firstLine="525"/>
              <w:jc w:val="center"/>
              <w:rPr>
                <w:rFonts w:cs="宋体"/>
                <w:color w:val="auto"/>
                <w:sz w:val="24"/>
                <w:highlight w:val="none"/>
              </w:rPr>
            </w:pPr>
          </w:p>
        </w:tc>
        <w:tc>
          <w:tcPr>
            <w:tcW w:w="1848" w:type="dxa"/>
            <w:noWrap w:val="0"/>
            <w:vAlign w:val="center"/>
          </w:tcPr>
          <w:p>
            <w:pPr>
              <w:pStyle w:val="116"/>
              <w:ind w:firstLine="525"/>
              <w:jc w:val="center"/>
              <w:rPr>
                <w:rFonts w:cs="宋体"/>
                <w:color w:val="auto"/>
                <w:sz w:val="24"/>
                <w:highlight w:val="none"/>
              </w:rPr>
            </w:pPr>
          </w:p>
        </w:tc>
        <w:tc>
          <w:tcPr>
            <w:tcW w:w="1849" w:type="dxa"/>
            <w:noWrap w:val="0"/>
            <w:vAlign w:val="center"/>
          </w:tcPr>
          <w:p>
            <w:pPr>
              <w:pStyle w:val="116"/>
              <w:ind w:firstLine="525"/>
              <w:jc w:val="center"/>
              <w:rPr>
                <w:rFonts w:cs="宋体"/>
                <w:color w:val="auto"/>
                <w:sz w:val="24"/>
                <w:highlight w:val="none"/>
              </w:rPr>
            </w:pPr>
          </w:p>
        </w:tc>
        <w:tc>
          <w:tcPr>
            <w:tcW w:w="1849" w:type="dxa"/>
            <w:noWrap w:val="0"/>
            <w:vAlign w:val="center"/>
          </w:tcPr>
          <w:p>
            <w:pPr>
              <w:pStyle w:val="116"/>
              <w:ind w:firstLine="525"/>
              <w:jc w:val="center"/>
              <w:rPr>
                <w:rFonts w:cs="宋体"/>
                <w:color w:val="auto"/>
                <w:sz w:val="24"/>
                <w:highlight w:val="none"/>
              </w:rPr>
            </w:pPr>
          </w:p>
        </w:tc>
        <w:tc>
          <w:tcPr>
            <w:tcW w:w="1849" w:type="dxa"/>
            <w:noWrap w:val="0"/>
            <w:vAlign w:val="center"/>
          </w:tcPr>
          <w:p>
            <w:pPr>
              <w:pStyle w:val="116"/>
              <w:ind w:firstLine="525"/>
              <w:jc w:val="center"/>
              <w:rPr>
                <w:rFonts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47" w:type="dxa"/>
            <w:noWrap w:val="0"/>
            <w:vAlign w:val="center"/>
          </w:tcPr>
          <w:p>
            <w:pPr>
              <w:pStyle w:val="116"/>
              <w:ind w:firstLine="525"/>
              <w:jc w:val="center"/>
              <w:rPr>
                <w:rFonts w:cs="宋体"/>
                <w:color w:val="auto"/>
                <w:sz w:val="24"/>
                <w:highlight w:val="none"/>
              </w:rPr>
            </w:pPr>
          </w:p>
        </w:tc>
        <w:tc>
          <w:tcPr>
            <w:tcW w:w="1848" w:type="dxa"/>
            <w:noWrap w:val="0"/>
            <w:vAlign w:val="center"/>
          </w:tcPr>
          <w:p>
            <w:pPr>
              <w:pStyle w:val="116"/>
              <w:ind w:firstLine="525"/>
              <w:jc w:val="center"/>
              <w:rPr>
                <w:rFonts w:cs="宋体"/>
                <w:color w:val="auto"/>
                <w:sz w:val="24"/>
                <w:highlight w:val="none"/>
              </w:rPr>
            </w:pPr>
          </w:p>
        </w:tc>
        <w:tc>
          <w:tcPr>
            <w:tcW w:w="1849" w:type="dxa"/>
            <w:noWrap w:val="0"/>
            <w:vAlign w:val="center"/>
          </w:tcPr>
          <w:p>
            <w:pPr>
              <w:pStyle w:val="116"/>
              <w:ind w:firstLine="525"/>
              <w:jc w:val="center"/>
              <w:rPr>
                <w:rFonts w:cs="宋体"/>
                <w:color w:val="auto"/>
                <w:sz w:val="24"/>
                <w:highlight w:val="none"/>
              </w:rPr>
            </w:pPr>
          </w:p>
        </w:tc>
        <w:tc>
          <w:tcPr>
            <w:tcW w:w="1849" w:type="dxa"/>
            <w:noWrap w:val="0"/>
            <w:vAlign w:val="center"/>
          </w:tcPr>
          <w:p>
            <w:pPr>
              <w:pStyle w:val="116"/>
              <w:ind w:firstLine="525"/>
              <w:jc w:val="center"/>
              <w:rPr>
                <w:rFonts w:cs="宋体"/>
                <w:color w:val="auto"/>
                <w:sz w:val="24"/>
                <w:highlight w:val="none"/>
              </w:rPr>
            </w:pPr>
          </w:p>
        </w:tc>
        <w:tc>
          <w:tcPr>
            <w:tcW w:w="1849" w:type="dxa"/>
            <w:noWrap w:val="0"/>
            <w:vAlign w:val="center"/>
          </w:tcPr>
          <w:p>
            <w:pPr>
              <w:pStyle w:val="116"/>
              <w:ind w:firstLine="525"/>
              <w:jc w:val="center"/>
              <w:rPr>
                <w:rFonts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47" w:type="dxa"/>
            <w:noWrap w:val="0"/>
            <w:vAlign w:val="center"/>
          </w:tcPr>
          <w:p>
            <w:pPr>
              <w:pStyle w:val="116"/>
              <w:ind w:firstLine="525"/>
              <w:jc w:val="center"/>
              <w:rPr>
                <w:rFonts w:cs="宋体"/>
                <w:color w:val="auto"/>
                <w:sz w:val="24"/>
                <w:highlight w:val="none"/>
              </w:rPr>
            </w:pPr>
          </w:p>
        </w:tc>
        <w:tc>
          <w:tcPr>
            <w:tcW w:w="1848" w:type="dxa"/>
            <w:noWrap w:val="0"/>
            <w:vAlign w:val="center"/>
          </w:tcPr>
          <w:p>
            <w:pPr>
              <w:pStyle w:val="116"/>
              <w:ind w:firstLine="525"/>
              <w:jc w:val="center"/>
              <w:rPr>
                <w:rFonts w:cs="宋体"/>
                <w:color w:val="auto"/>
                <w:sz w:val="24"/>
                <w:highlight w:val="none"/>
              </w:rPr>
            </w:pPr>
          </w:p>
        </w:tc>
        <w:tc>
          <w:tcPr>
            <w:tcW w:w="1849" w:type="dxa"/>
            <w:noWrap w:val="0"/>
            <w:vAlign w:val="center"/>
          </w:tcPr>
          <w:p>
            <w:pPr>
              <w:pStyle w:val="116"/>
              <w:ind w:firstLine="525"/>
              <w:jc w:val="center"/>
              <w:rPr>
                <w:rFonts w:cs="宋体"/>
                <w:color w:val="auto"/>
                <w:sz w:val="24"/>
                <w:highlight w:val="none"/>
              </w:rPr>
            </w:pPr>
          </w:p>
        </w:tc>
        <w:tc>
          <w:tcPr>
            <w:tcW w:w="1849" w:type="dxa"/>
            <w:noWrap w:val="0"/>
            <w:vAlign w:val="center"/>
          </w:tcPr>
          <w:p>
            <w:pPr>
              <w:pStyle w:val="116"/>
              <w:ind w:firstLine="525"/>
              <w:jc w:val="center"/>
              <w:rPr>
                <w:rFonts w:cs="宋体"/>
                <w:color w:val="auto"/>
                <w:sz w:val="24"/>
                <w:highlight w:val="none"/>
              </w:rPr>
            </w:pPr>
          </w:p>
        </w:tc>
        <w:tc>
          <w:tcPr>
            <w:tcW w:w="1849" w:type="dxa"/>
            <w:noWrap w:val="0"/>
            <w:vAlign w:val="center"/>
          </w:tcPr>
          <w:p>
            <w:pPr>
              <w:pStyle w:val="116"/>
              <w:ind w:firstLine="525"/>
              <w:jc w:val="center"/>
              <w:rPr>
                <w:rFonts w:cs="宋体"/>
                <w:color w:val="auto"/>
                <w:sz w:val="24"/>
                <w:highlight w:val="none"/>
              </w:rPr>
            </w:pPr>
          </w:p>
        </w:tc>
      </w:tr>
    </w:tbl>
    <w:p>
      <w:pPr>
        <w:spacing w:line="360" w:lineRule="auto"/>
        <w:rPr>
          <w:rFonts w:ascii="宋体" w:hAnsi="宋体" w:cs="宋体"/>
          <w:color w:val="auto"/>
          <w:highlight w:val="none"/>
        </w:rPr>
      </w:pPr>
      <w:r>
        <w:rPr>
          <w:rFonts w:hint="eastAsia" w:ascii="宋体" w:hAnsi="宋体" w:cs="宋体"/>
          <w:color w:val="auto"/>
          <w:highlight w:val="none"/>
        </w:rPr>
        <w:t>注：参与编制技术标书所有人员名单应包括如编制技术投标方案、负责清样校对、负责打印及复印等所有人员在内的人员名单。</w:t>
      </w:r>
    </w:p>
    <w:p>
      <w:pPr>
        <w:pStyle w:val="8"/>
        <w:rPr>
          <w:rFonts w:ascii="宋体" w:hAnsi="宋体" w:cs="宋体"/>
          <w:color w:val="auto"/>
          <w:highlight w:val="none"/>
        </w:rPr>
      </w:pPr>
    </w:p>
    <w:p>
      <w:pPr>
        <w:spacing w:line="360" w:lineRule="auto"/>
        <w:rPr>
          <w:bCs/>
          <w:color w:val="auto"/>
          <w:szCs w:val="21"/>
          <w:highlight w:val="none"/>
        </w:rPr>
      </w:pPr>
      <w:r>
        <w:rPr>
          <w:bCs/>
          <w:color w:val="auto"/>
          <w:szCs w:val="21"/>
          <w:highlight w:val="none"/>
        </w:rPr>
        <w:br w:type="page"/>
      </w:r>
    </w:p>
    <w:p>
      <w:pPr>
        <w:rPr>
          <w:rFonts w:ascii="宋体" w:hAnsi="宋体" w:cs="宋体"/>
          <w:b/>
          <w:color w:val="auto"/>
          <w:sz w:val="24"/>
          <w:szCs w:val="24"/>
          <w:highlight w:val="none"/>
        </w:rPr>
      </w:pPr>
      <w:r>
        <w:rPr>
          <w:rFonts w:hint="eastAsia" w:ascii="宋体" w:hAnsi="宋体" w:cs="宋体"/>
          <w:color w:val="auto"/>
          <w:sz w:val="24"/>
          <w:highlight w:val="none"/>
        </w:rPr>
        <w:t>★</w:t>
      </w:r>
      <w:r>
        <w:rPr>
          <w:rFonts w:hint="eastAsia" w:ascii="宋体" w:hAnsi="宋体" w:cs="宋体"/>
          <w:b/>
          <w:color w:val="auto"/>
          <w:sz w:val="24"/>
          <w:szCs w:val="24"/>
          <w:highlight w:val="none"/>
        </w:rPr>
        <w:t>技术部分格式</w:t>
      </w:r>
      <w:r>
        <w:rPr>
          <w:rFonts w:hint="eastAsia" w:ascii="宋体" w:hAnsi="宋体" w:cs="宋体"/>
          <w:b/>
          <w:color w:val="auto"/>
          <w:sz w:val="24"/>
          <w:szCs w:val="24"/>
          <w:highlight w:val="none"/>
          <w:lang w:val="en-US" w:eastAsia="zh-CN"/>
        </w:rPr>
        <w:t>8</w:t>
      </w:r>
      <w:r>
        <w:rPr>
          <w:rFonts w:hint="eastAsia" w:ascii="宋体" w:hAnsi="宋体" w:cs="宋体"/>
          <w:b/>
          <w:color w:val="auto"/>
          <w:sz w:val="24"/>
          <w:szCs w:val="24"/>
          <w:highlight w:val="none"/>
        </w:rPr>
        <w:t>：拟投入施工项目管理团队人员信息表</w:t>
      </w:r>
    </w:p>
    <w:p>
      <w:pPr>
        <w:pStyle w:val="121"/>
        <w:spacing w:before="100" w:beforeAutospacing="1" w:after="100" w:afterAutospacing="1" w:line="240" w:lineRule="auto"/>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拟投入施工项目管理团队人员信息表</w:t>
      </w:r>
    </w:p>
    <w:tbl>
      <w:tblPr>
        <w:tblStyle w:val="39"/>
        <w:tblW w:w="95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055"/>
        <w:gridCol w:w="1538"/>
        <w:gridCol w:w="709"/>
        <w:gridCol w:w="2409"/>
        <w:gridCol w:w="567"/>
        <w:gridCol w:w="567"/>
        <w:gridCol w:w="709"/>
        <w:gridCol w:w="689"/>
        <w:gridCol w:w="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116"/>
              <w:jc w:val="center"/>
              <w:rPr>
                <w:rFonts w:cs="宋体"/>
                <w:color w:val="auto"/>
                <w:highlight w:val="none"/>
              </w:rPr>
            </w:pPr>
            <w:r>
              <w:rPr>
                <w:rFonts w:hint="eastAsia" w:cs="宋体"/>
                <w:color w:val="auto"/>
                <w:highlight w:val="none"/>
              </w:rPr>
              <w:t>序号</w:t>
            </w:r>
          </w:p>
        </w:tc>
        <w:tc>
          <w:tcPr>
            <w:tcW w:w="1055" w:type="dxa"/>
            <w:tcBorders>
              <w:top w:val="single" w:color="auto" w:sz="4" w:space="0"/>
              <w:left w:val="single" w:color="auto" w:sz="4" w:space="0"/>
              <w:bottom w:val="single" w:color="auto" w:sz="4" w:space="0"/>
              <w:right w:val="single" w:color="auto" w:sz="4" w:space="0"/>
            </w:tcBorders>
            <w:vAlign w:val="center"/>
          </w:tcPr>
          <w:p>
            <w:pPr>
              <w:pStyle w:val="116"/>
              <w:jc w:val="center"/>
              <w:rPr>
                <w:rFonts w:cs="宋体"/>
                <w:color w:val="auto"/>
                <w:highlight w:val="none"/>
              </w:rPr>
            </w:pPr>
            <w:r>
              <w:rPr>
                <w:rFonts w:hint="eastAsia" w:cs="宋体"/>
                <w:color w:val="auto"/>
                <w:spacing w:val="-6"/>
                <w:highlight w:val="none"/>
              </w:rPr>
              <w:t>姓名</w:t>
            </w:r>
          </w:p>
        </w:tc>
        <w:tc>
          <w:tcPr>
            <w:tcW w:w="1538" w:type="dxa"/>
            <w:tcBorders>
              <w:top w:val="single" w:color="auto" w:sz="4" w:space="0"/>
              <w:left w:val="single" w:color="auto" w:sz="4" w:space="0"/>
              <w:bottom w:val="single" w:color="auto" w:sz="4" w:space="0"/>
              <w:right w:val="single" w:color="auto" w:sz="4" w:space="0"/>
            </w:tcBorders>
            <w:vAlign w:val="center"/>
          </w:tcPr>
          <w:p>
            <w:pPr>
              <w:pStyle w:val="116"/>
              <w:jc w:val="center"/>
              <w:rPr>
                <w:rFonts w:cs="宋体"/>
                <w:color w:val="auto"/>
                <w:highlight w:val="none"/>
              </w:rPr>
            </w:pPr>
            <w:r>
              <w:rPr>
                <w:rFonts w:hint="eastAsia" w:cs="宋体"/>
                <w:color w:val="auto"/>
                <w:highlight w:val="none"/>
              </w:rPr>
              <w:t>岗位</w:t>
            </w:r>
          </w:p>
        </w:tc>
        <w:tc>
          <w:tcPr>
            <w:tcW w:w="709" w:type="dxa"/>
            <w:tcBorders>
              <w:top w:val="single" w:color="auto" w:sz="4" w:space="0"/>
              <w:left w:val="single" w:color="auto" w:sz="4" w:space="0"/>
              <w:bottom w:val="single" w:color="auto" w:sz="4" w:space="0"/>
              <w:right w:val="single" w:color="auto" w:sz="4" w:space="0"/>
            </w:tcBorders>
            <w:vAlign w:val="center"/>
          </w:tcPr>
          <w:p>
            <w:pPr>
              <w:pStyle w:val="116"/>
              <w:jc w:val="center"/>
              <w:rPr>
                <w:rFonts w:cs="宋体"/>
                <w:color w:val="auto"/>
                <w:highlight w:val="none"/>
              </w:rPr>
            </w:pPr>
            <w:r>
              <w:rPr>
                <w:rFonts w:hint="eastAsia" w:cs="宋体"/>
                <w:color w:val="auto"/>
                <w:highlight w:val="none"/>
              </w:rPr>
              <w:t>职称</w:t>
            </w:r>
          </w:p>
        </w:tc>
        <w:tc>
          <w:tcPr>
            <w:tcW w:w="2409" w:type="dxa"/>
            <w:tcBorders>
              <w:top w:val="single" w:color="auto" w:sz="4" w:space="0"/>
              <w:left w:val="single" w:color="auto" w:sz="4" w:space="0"/>
              <w:bottom w:val="single" w:color="auto" w:sz="4" w:space="0"/>
              <w:right w:val="single" w:color="auto" w:sz="4" w:space="0"/>
            </w:tcBorders>
            <w:vAlign w:val="center"/>
          </w:tcPr>
          <w:p>
            <w:pPr>
              <w:pStyle w:val="116"/>
              <w:jc w:val="center"/>
              <w:rPr>
                <w:rFonts w:cs="宋体"/>
                <w:color w:val="auto"/>
                <w:highlight w:val="none"/>
              </w:rPr>
            </w:pPr>
            <w:r>
              <w:rPr>
                <w:rFonts w:hint="eastAsia" w:cs="宋体"/>
                <w:color w:val="auto"/>
                <w:highlight w:val="none"/>
              </w:rPr>
              <w:t>职称证书或资格证书编号</w:t>
            </w:r>
          </w:p>
        </w:tc>
        <w:tc>
          <w:tcPr>
            <w:tcW w:w="567" w:type="dxa"/>
            <w:tcBorders>
              <w:top w:val="single" w:color="auto" w:sz="4" w:space="0"/>
              <w:left w:val="single" w:color="auto" w:sz="4" w:space="0"/>
              <w:bottom w:val="single" w:color="auto" w:sz="4" w:space="0"/>
              <w:right w:val="single" w:color="auto" w:sz="4" w:space="0"/>
            </w:tcBorders>
            <w:vAlign w:val="center"/>
          </w:tcPr>
          <w:p>
            <w:pPr>
              <w:pStyle w:val="116"/>
              <w:jc w:val="center"/>
              <w:rPr>
                <w:rFonts w:cs="宋体"/>
                <w:color w:val="auto"/>
                <w:highlight w:val="none"/>
              </w:rPr>
            </w:pPr>
            <w:r>
              <w:rPr>
                <w:rFonts w:hint="eastAsia" w:cs="宋体"/>
                <w:color w:val="auto"/>
                <w:highlight w:val="none"/>
              </w:rPr>
              <w:t>性别</w:t>
            </w:r>
          </w:p>
        </w:tc>
        <w:tc>
          <w:tcPr>
            <w:tcW w:w="567" w:type="dxa"/>
            <w:tcBorders>
              <w:top w:val="single" w:color="auto" w:sz="4" w:space="0"/>
              <w:left w:val="single" w:color="auto" w:sz="4" w:space="0"/>
              <w:bottom w:val="single" w:color="auto" w:sz="4" w:space="0"/>
              <w:right w:val="single" w:color="auto" w:sz="4" w:space="0"/>
            </w:tcBorders>
            <w:vAlign w:val="center"/>
          </w:tcPr>
          <w:p>
            <w:pPr>
              <w:pStyle w:val="116"/>
              <w:jc w:val="center"/>
              <w:rPr>
                <w:rFonts w:cs="宋体"/>
                <w:color w:val="auto"/>
                <w:highlight w:val="none"/>
              </w:rPr>
            </w:pPr>
            <w:r>
              <w:rPr>
                <w:rFonts w:hint="eastAsia" w:cs="宋体"/>
                <w:color w:val="auto"/>
                <w:highlight w:val="none"/>
              </w:rPr>
              <w:t>年龄</w:t>
            </w:r>
          </w:p>
        </w:tc>
        <w:tc>
          <w:tcPr>
            <w:tcW w:w="709" w:type="dxa"/>
            <w:tcBorders>
              <w:top w:val="single" w:color="auto" w:sz="4" w:space="0"/>
              <w:left w:val="single" w:color="auto" w:sz="4" w:space="0"/>
              <w:bottom w:val="single" w:color="auto" w:sz="4" w:space="0"/>
              <w:right w:val="single" w:color="auto" w:sz="4" w:space="0"/>
            </w:tcBorders>
            <w:vAlign w:val="center"/>
          </w:tcPr>
          <w:p>
            <w:pPr>
              <w:pStyle w:val="116"/>
              <w:jc w:val="center"/>
              <w:rPr>
                <w:rFonts w:cs="宋体"/>
                <w:color w:val="auto"/>
                <w:highlight w:val="none"/>
              </w:rPr>
            </w:pPr>
            <w:r>
              <w:rPr>
                <w:rFonts w:hint="eastAsia" w:cs="宋体"/>
                <w:color w:val="auto"/>
                <w:highlight w:val="none"/>
              </w:rPr>
              <w:t>专业</w:t>
            </w:r>
          </w:p>
        </w:tc>
        <w:tc>
          <w:tcPr>
            <w:tcW w:w="689" w:type="dxa"/>
            <w:tcBorders>
              <w:top w:val="single" w:color="auto" w:sz="4" w:space="0"/>
              <w:left w:val="single" w:color="auto" w:sz="4" w:space="0"/>
              <w:bottom w:val="single" w:color="auto" w:sz="4" w:space="0"/>
              <w:right w:val="single" w:color="auto" w:sz="4" w:space="0"/>
            </w:tcBorders>
            <w:vAlign w:val="center"/>
          </w:tcPr>
          <w:p>
            <w:pPr>
              <w:pStyle w:val="116"/>
              <w:jc w:val="center"/>
              <w:rPr>
                <w:rFonts w:cs="宋体"/>
                <w:color w:val="auto"/>
                <w:highlight w:val="none"/>
              </w:rPr>
            </w:pPr>
            <w:r>
              <w:rPr>
                <w:rFonts w:hint="eastAsia" w:cs="宋体"/>
                <w:color w:val="auto"/>
                <w:highlight w:val="none"/>
              </w:rPr>
              <w:t>从事工程工作年限</w:t>
            </w:r>
          </w:p>
        </w:tc>
        <w:tc>
          <w:tcPr>
            <w:tcW w:w="596" w:type="dxa"/>
            <w:tcBorders>
              <w:top w:val="single" w:color="auto" w:sz="4" w:space="0"/>
              <w:left w:val="single" w:color="auto" w:sz="4" w:space="0"/>
              <w:bottom w:val="single" w:color="auto" w:sz="4" w:space="0"/>
              <w:right w:val="single" w:color="auto" w:sz="4" w:space="0"/>
            </w:tcBorders>
            <w:vAlign w:val="center"/>
          </w:tcPr>
          <w:p>
            <w:pPr>
              <w:pStyle w:val="116"/>
              <w:jc w:val="center"/>
              <w:rPr>
                <w:rFonts w:cs="宋体"/>
                <w:color w:val="auto"/>
                <w:highlight w:val="none"/>
              </w:rPr>
            </w:pPr>
            <w:r>
              <w:rPr>
                <w:rFonts w:hint="eastAsia" w:cs="宋体"/>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116"/>
              <w:jc w:val="center"/>
              <w:rPr>
                <w:rFonts w:hint="eastAsia" w:eastAsia="宋体" w:cs="宋体"/>
                <w:color w:val="auto"/>
                <w:highlight w:val="none"/>
                <w:lang w:eastAsia="zh-CN"/>
              </w:rPr>
            </w:pPr>
            <w:r>
              <w:rPr>
                <w:rFonts w:hint="eastAsia" w:cs="宋体"/>
                <w:color w:val="auto"/>
                <w:highlight w:val="none"/>
                <w:lang w:val="en-US" w:eastAsia="zh-CN"/>
              </w:rPr>
              <w:t>1</w:t>
            </w:r>
          </w:p>
        </w:tc>
        <w:tc>
          <w:tcPr>
            <w:tcW w:w="1055" w:type="dxa"/>
            <w:tcBorders>
              <w:top w:val="single" w:color="auto" w:sz="4" w:space="0"/>
              <w:left w:val="single" w:color="auto" w:sz="4" w:space="0"/>
              <w:bottom w:val="single" w:color="auto" w:sz="4" w:space="0"/>
              <w:right w:val="single" w:color="auto" w:sz="4" w:space="0"/>
            </w:tcBorders>
            <w:vAlign w:val="center"/>
          </w:tcPr>
          <w:p>
            <w:pPr>
              <w:pStyle w:val="116"/>
              <w:jc w:val="center"/>
              <w:rPr>
                <w:rFonts w:cs="宋体"/>
                <w:color w:val="auto"/>
                <w:highlight w:val="none"/>
              </w:rPr>
            </w:pPr>
          </w:p>
        </w:tc>
        <w:tc>
          <w:tcPr>
            <w:tcW w:w="1538" w:type="dxa"/>
            <w:tcBorders>
              <w:top w:val="single" w:color="auto" w:sz="4" w:space="0"/>
              <w:left w:val="single" w:color="auto" w:sz="4" w:space="0"/>
              <w:bottom w:val="single" w:color="auto" w:sz="4" w:space="0"/>
              <w:right w:val="single" w:color="auto" w:sz="4" w:space="0"/>
            </w:tcBorders>
            <w:vAlign w:val="center"/>
          </w:tcPr>
          <w:p>
            <w:pPr>
              <w:snapToGrid w:val="0"/>
              <w:spacing w:before="62" w:beforeLines="20" w:after="62" w:afterLines="20"/>
              <w:ind w:left="-53" w:leftChars="-25" w:right="-53" w:rightChars="-25"/>
              <w:jc w:val="center"/>
              <w:rPr>
                <w:rFonts w:cs="宋体"/>
                <w:color w:val="auto"/>
                <w:highlight w:val="none"/>
              </w:rPr>
            </w:pPr>
            <w:r>
              <w:rPr>
                <w:rFonts w:hint="eastAsia" w:ascii="宋体" w:hAnsi="宋体"/>
                <w:color w:val="auto"/>
                <w:szCs w:val="21"/>
                <w:highlight w:val="none"/>
              </w:rPr>
              <w:t>技术负责人</w:t>
            </w:r>
          </w:p>
        </w:tc>
        <w:tc>
          <w:tcPr>
            <w:tcW w:w="709" w:type="dxa"/>
            <w:tcBorders>
              <w:top w:val="single" w:color="auto" w:sz="4" w:space="0"/>
              <w:left w:val="single" w:color="auto" w:sz="4" w:space="0"/>
              <w:bottom w:val="single" w:color="auto" w:sz="4" w:space="0"/>
              <w:right w:val="single" w:color="auto" w:sz="4" w:space="0"/>
            </w:tcBorders>
            <w:vAlign w:val="center"/>
          </w:tcPr>
          <w:p>
            <w:pPr>
              <w:pStyle w:val="116"/>
              <w:jc w:val="center"/>
              <w:rPr>
                <w:rFonts w:cs="宋体"/>
                <w:color w:val="auto"/>
                <w:highlight w:val="none"/>
              </w:rPr>
            </w:pPr>
          </w:p>
        </w:tc>
        <w:tc>
          <w:tcPr>
            <w:tcW w:w="2409" w:type="dxa"/>
            <w:tcBorders>
              <w:top w:val="single" w:color="auto" w:sz="4" w:space="0"/>
              <w:left w:val="single" w:color="auto" w:sz="4" w:space="0"/>
              <w:bottom w:val="single" w:color="auto" w:sz="4" w:space="0"/>
              <w:right w:val="single" w:color="auto" w:sz="4" w:space="0"/>
            </w:tcBorders>
            <w:vAlign w:val="center"/>
          </w:tcPr>
          <w:p>
            <w:pPr>
              <w:snapToGrid w:val="0"/>
              <w:spacing w:before="62" w:beforeLines="20" w:after="62" w:afterLines="20"/>
              <w:ind w:left="-53" w:leftChars="-25" w:right="-53" w:rightChars="-25"/>
              <w:jc w:val="center"/>
              <w:rPr>
                <w:rFonts w:cs="宋体"/>
                <w:color w:val="auto"/>
                <w:highlight w:val="none"/>
              </w:rPr>
            </w:pPr>
          </w:p>
        </w:tc>
        <w:tc>
          <w:tcPr>
            <w:tcW w:w="567" w:type="dxa"/>
            <w:tcBorders>
              <w:top w:val="single" w:color="auto" w:sz="4" w:space="0"/>
              <w:left w:val="single" w:color="auto" w:sz="4" w:space="0"/>
              <w:bottom w:val="single" w:color="auto" w:sz="4" w:space="0"/>
              <w:right w:val="single" w:color="auto" w:sz="4" w:space="0"/>
            </w:tcBorders>
            <w:vAlign w:val="center"/>
          </w:tcPr>
          <w:p>
            <w:pPr>
              <w:pStyle w:val="116"/>
              <w:jc w:val="center"/>
              <w:rPr>
                <w:rFonts w:cs="宋体"/>
                <w:color w:val="auto"/>
                <w:highlight w:val="none"/>
              </w:rPr>
            </w:pPr>
          </w:p>
        </w:tc>
        <w:tc>
          <w:tcPr>
            <w:tcW w:w="567" w:type="dxa"/>
            <w:tcBorders>
              <w:top w:val="single" w:color="auto" w:sz="4" w:space="0"/>
              <w:left w:val="single" w:color="auto" w:sz="4" w:space="0"/>
              <w:bottom w:val="single" w:color="auto" w:sz="4" w:space="0"/>
              <w:right w:val="single" w:color="auto" w:sz="4" w:space="0"/>
            </w:tcBorders>
            <w:vAlign w:val="center"/>
          </w:tcPr>
          <w:p>
            <w:pPr>
              <w:pStyle w:val="116"/>
              <w:jc w:val="center"/>
              <w:rPr>
                <w:rFonts w:cs="宋体"/>
                <w:color w:val="auto"/>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pPr>
              <w:pStyle w:val="116"/>
              <w:jc w:val="center"/>
              <w:rPr>
                <w:rFonts w:cs="宋体"/>
                <w:color w:val="auto"/>
                <w:highlight w:val="none"/>
              </w:rPr>
            </w:pPr>
          </w:p>
        </w:tc>
        <w:tc>
          <w:tcPr>
            <w:tcW w:w="689" w:type="dxa"/>
            <w:tcBorders>
              <w:top w:val="single" w:color="auto" w:sz="4" w:space="0"/>
              <w:left w:val="single" w:color="auto" w:sz="4" w:space="0"/>
              <w:bottom w:val="single" w:color="auto" w:sz="4" w:space="0"/>
              <w:right w:val="single" w:color="auto" w:sz="4" w:space="0"/>
            </w:tcBorders>
            <w:vAlign w:val="center"/>
          </w:tcPr>
          <w:p>
            <w:pPr>
              <w:pStyle w:val="116"/>
              <w:jc w:val="center"/>
              <w:rPr>
                <w:rFonts w:cs="宋体"/>
                <w:color w:val="auto"/>
                <w:highlight w:val="none"/>
              </w:rPr>
            </w:pPr>
          </w:p>
        </w:tc>
        <w:tc>
          <w:tcPr>
            <w:tcW w:w="596" w:type="dxa"/>
            <w:tcBorders>
              <w:top w:val="single" w:color="auto" w:sz="4" w:space="0"/>
              <w:left w:val="single" w:color="auto" w:sz="4" w:space="0"/>
              <w:bottom w:val="single" w:color="auto" w:sz="4" w:space="0"/>
              <w:right w:val="single" w:color="auto" w:sz="4" w:space="0"/>
            </w:tcBorders>
            <w:vAlign w:val="center"/>
          </w:tcPr>
          <w:p>
            <w:pPr>
              <w:pStyle w:val="116"/>
              <w:jc w:val="center"/>
              <w:rPr>
                <w:rFonts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116"/>
              <w:jc w:val="center"/>
              <w:rPr>
                <w:rFonts w:hint="eastAsia" w:eastAsia="宋体" w:cs="宋体"/>
                <w:color w:val="auto"/>
                <w:highlight w:val="none"/>
                <w:lang w:eastAsia="zh-CN"/>
              </w:rPr>
            </w:pPr>
            <w:r>
              <w:rPr>
                <w:rFonts w:hint="eastAsia" w:cs="宋体"/>
                <w:color w:val="auto"/>
                <w:highlight w:val="none"/>
                <w:lang w:val="en-US" w:eastAsia="zh-CN"/>
              </w:rPr>
              <w:t>2</w:t>
            </w:r>
          </w:p>
        </w:tc>
        <w:tc>
          <w:tcPr>
            <w:tcW w:w="1055" w:type="dxa"/>
            <w:tcBorders>
              <w:top w:val="single" w:color="auto" w:sz="4" w:space="0"/>
              <w:left w:val="single" w:color="auto" w:sz="4" w:space="0"/>
              <w:bottom w:val="single" w:color="auto" w:sz="4" w:space="0"/>
              <w:right w:val="single" w:color="auto" w:sz="4" w:space="0"/>
            </w:tcBorders>
            <w:vAlign w:val="center"/>
          </w:tcPr>
          <w:p>
            <w:pPr>
              <w:pStyle w:val="116"/>
              <w:jc w:val="center"/>
              <w:rPr>
                <w:rFonts w:cs="宋体"/>
                <w:color w:val="auto"/>
                <w:highlight w:val="none"/>
              </w:rPr>
            </w:pPr>
          </w:p>
        </w:tc>
        <w:tc>
          <w:tcPr>
            <w:tcW w:w="1538" w:type="dxa"/>
            <w:tcBorders>
              <w:top w:val="single" w:color="auto" w:sz="4" w:space="0"/>
              <w:left w:val="single" w:color="auto" w:sz="4" w:space="0"/>
              <w:bottom w:val="single" w:color="auto" w:sz="4" w:space="0"/>
              <w:right w:val="single" w:color="auto" w:sz="4" w:space="0"/>
            </w:tcBorders>
            <w:vAlign w:val="center"/>
          </w:tcPr>
          <w:p>
            <w:pPr>
              <w:snapToGrid w:val="0"/>
              <w:spacing w:before="62" w:beforeLines="20" w:after="62" w:afterLines="20"/>
              <w:ind w:left="-53" w:leftChars="-25" w:right="-53" w:rightChars="-25"/>
              <w:jc w:val="center"/>
              <w:rPr>
                <w:rFonts w:cs="宋体"/>
                <w:color w:val="auto"/>
                <w:highlight w:val="none"/>
              </w:rPr>
            </w:pPr>
            <w:r>
              <w:rPr>
                <w:rFonts w:hint="eastAsia" w:ascii="宋体" w:hAnsi="宋体"/>
                <w:color w:val="auto"/>
                <w:szCs w:val="21"/>
                <w:highlight w:val="none"/>
              </w:rPr>
              <w:t>质量负责人</w:t>
            </w:r>
          </w:p>
        </w:tc>
        <w:tc>
          <w:tcPr>
            <w:tcW w:w="709" w:type="dxa"/>
            <w:tcBorders>
              <w:top w:val="single" w:color="auto" w:sz="4" w:space="0"/>
              <w:left w:val="single" w:color="auto" w:sz="4" w:space="0"/>
              <w:bottom w:val="single" w:color="auto" w:sz="4" w:space="0"/>
              <w:right w:val="single" w:color="auto" w:sz="4" w:space="0"/>
            </w:tcBorders>
            <w:vAlign w:val="center"/>
          </w:tcPr>
          <w:p>
            <w:pPr>
              <w:pStyle w:val="116"/>
              <w:jc w:val="center"/>
              <w:rPr>
                <w:rFonts w:cs="宋体"/>
                <w:color w:val="auto"/>
                <w:highlight w:val="none"/>
              </w:rPr>
            </w:pPr>
          </w:p>
        </w:tc>
        <w:tc>
          <w:tcPr>
            <w:tcW w:w="2409" w:type="dxa"/>
            <w:tcBorders>
              <w:top w:val="single" w:color="auto" w:sz="4" w:space="0"/>
              <w:left w:val="single" w:color="auto" w:sz="4" w:space="0"/>
              <w:bottom w:val="single" w:color="auto" w:sz="4" w:space="0"/>
              <w:right w:val="single" w:color="auto" w:sz="4" w:space="0"/>
            </w:tcBorders>
            <w:vAlign w:val="center"/>
          </w:tcPr>
          <w:p>
            <w:pPr>
              <w:snapToGrid w:val="0"/>
              <w:spacing w:before="62" w:beforeLines="20" w:after="62" w:afterLines="20"/>
              <w:ind w:left="-53" w:leftChars="-25" w:right="-53" w:rightChars="-25"/>
              <w:jc w:val="center"/>
              <w:rPr>
                <w:rFonts w:cs="宋体"/>
                <w:color w:val="auto"/>
                <w:highlight w:val="none"/>
              </w:rPr>
            </w:pPr>
          </w:p>
        </w:tc>
        <w:tc>
          <w:tcPr>
            <w:tcW w:w="567" w:type="dxa"/>
            <w:tcBorders>
              <w:top w:val="single" w:color="auto" w:sz="4" w:space="0"/>
              <w:left w:val="single" w:color="auto" w:sz="4" w:space="0"/>
              <w:bottom w:val="single" w:color="auto" w:sz="4" w:space="0"/>
              <w:right w:val="single" w:color="auto" w:sz="4" w:space="0"/>
            </w:tcBorders>
            <w:vAlign w:val="center"/>
          </w:tcPr>
          <w:p>
            <w:pPr>
              <w:pStyle w:val="116"/>
              <w:jc w:val="center"/>
              <w:rPr>
                <w:rFonts w:cs="宋体"/>
                <w:color w:val="auto"/>
                <w:highlight w:val="none"/>
              </w:rPr>
            </w:pPr>
          </w:p>
        </w:tc>
        <w:tc>
          <w:tcPr>
            <w:tcW w:w="567" w:type="dxa"/>
            <w:tcBorders>
              <w:top w:val="single" w:color="auto" w:sz="4" w:space="0"/>
              <w:left w:val="single" w:color="auto" w:sz="4" w:space="0"/>
              <w:bottom w:val="single" w:color="auto" w:sz="4" w:space="0"/>
              <w:right w:val="single" w:color="auto" w:sz="4" w:space="0"/>
            </w:tcBorders>
            <w:vAlign w:val="center"/>
          </w:tcPr>
          <w:p>
            <w:pPr>
              <w:pStyle w:val="116"/>
              <w:jc w:val="center"/>
              <w:rPr>
                <w:rFonts w:cs="宋体"/>
                <w:color w:val="auto"/>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pPr>
              <w:pStyle w:val="116"/>
              <w:jc w:val="center"/>
              <w:rPr>
                <w:rFonts w:cs="宋体"/>
                <w:color w:val="auto"/>
                <w:highlight w:val="none"/>
              </w:rPr>
            </w:pPr>
          </w:p>
        </w:tc>
        <w:tc>
          <w:tcPr>
            <w:tcW w:w="689" w:type="dxa"/>
            <w:tcBorders>
              <w:top w:val="single" w:color="auto" w:sz="4" w:space="0"/>
              <w:left w:val="single" w:color="auto" w:sz="4" w:space="0"/>
              <w:bottom w:val="single" w:color="auto" w:sz="4" w:space="0"/>
              <w:right w:val="single" w:color="auto" w:sz="4" w:space="0"/>
            </w:tcBorders>
            <w:vAlign w:val="center"/>
          </w:tcPr>
          <w:p>
            <w:pPr>
              <w:pStyle w:val="116"/>
              <w:jc w:val="center"/>
              <w:rPr>
                <w:rFonts w:cs="宋体"/>
                <w:color w:val="auto"/>
                <w:highlight w:val="none"/>
              </w:rPr>
            </w:pPr>
          </w:p>
        </w:tc>
        <w:tc>
          <w:tcPr>
            <w:tcW w:w="596" w:type="dxa"/>
            <w:tcBorders>
              <w:top w:val="single" w:color="auto" w:sz="4" w:space="0"/>
              <w:left w:val="single" w:color="auto" w:sz="4" w:space="0"/>
              <w:bottom w:val="single" w:color="auto" w:sz="4" w:space="0"/>
              <w:right w:val="single" w:color="auto" w:sz="4" w:space="0"/>
            </w:tcBorders>
            <w:vAlign w:val="center"/>
          </w:tcPr>
          <w:p>
            <w:pPr>
              <w:pStyle w:val="116"/>
              <w:jc w:val="center"/>
              <w:rPr>
                <w:rFonts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116"/>
              <w:jc w:val="center"/>
              <w:rPr>
                <w:rFonts w:hint="eastAsia" w:eastAsia="宋体" w:cs="宋体"/>
                <w:color w:val="auto"/>
                <w:highlight w:val="none"/>
                <w:lang w:eastAsia="zh-CN"/>
              </w:rPr>
            </w:pPr>
            <w:r>
              <w:rPr>
                <w:rFonts w:hint="eastAsia" w:cs="宋体"/>
                <w:color w:val="auto"/>
                <w:highlight w:val="none"/>
                <w:lang w:val="en-US" w:eastAsia="zh-CN"/>
              </w:rPr>
              <w:t>3</w:t>
            </w:r>
          </w:p>
        </w:tc>
        <w:tc>
          <w:tcPr>
            <w:tcW w:w="1055" w:type="dxa"/>
            <w:tcBorders>
              <w:top w:val="single" w:color="auto" w:sz="4" w:space="0"/>
              <w:left w:val="single" w:color="auto" w:sz="4" w:space="0"/>
              <w:bottom w:val="single" w:color="auto" w:sz="4" w:space="0"/>
              <w:right w:val="single" w:color="auto" w:sz="4" w:space="0"/>
            </w:tcBorders>
            <w:vAlign w:val="center"/>
          </w:tcPr>
          <w:p>
            <w:pPr>
              <w:pStyle w:val="116"/>
              <w:jc w:val="center"/>
              <w:rPr>
                <w:rFonts w:cs="宋体"/>
                <w:color w:val="auto"/>
                <w:highlight w:val="none"/>
              </w:rPr>
            </w:pPr>
          </w:p>
        </w:tc>
        <w:tc>
          <w:tcPr>
            <w:tcW w:w="1538"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color w:val="auto"/>
                <w:highlight w:val="none"/>
              </w:rPr>
            </w:pPr>
            <w:r>
              <w:rPr>
                <w:rFonts w:hint="eastAsia" w:ascii="宋体" w:hAnsi="宋体" w:cs="仿宋"/>
                <w:color w:val="auto"/>
                <w:kern w:val="0"/>
                <w:szCs w:val="21"/>
                <w:highlight w:val="none"/>
                <w:lang w:val="zh-TW" w:eastAsia="zh-TW" w:bidi="zh-TW"/>
              </w:rPr>
              <w:t>安全负责人</w:t>
            </w:r>
          </w:p>
        </w:tc>
        <w:tc>
          <w:tcPr>
            <w:tcW w:w="709" w:type="dxa"/>
            <w:tcBorders>
              <w:top w:val="single" w:color="auto" w:sz="4" w:space="0"/>
              <w:left w:val="single" w:color="auto" w:sz="4" w:space="0"/>
              <w:bottom w:val="single" w:color="auto" w:sz="4" w:space="0"/>
              <w:right w:val="single" w:color="auto" w:sz="4" w:space="0"/>
            </w:tcBorders>
            <w:vAlign w:val="center"/>
          </w:tcPr>
          <w:p>
            <w:pPr>
              <w:pStyle w:val="116"/>
              <w:jc w:val="center"/>
              <w:rPr>
                <w:rFonts w:cs="宋体"/>
                <w:color w:val="auto"/>
                <w:highlight w:val="none"/>
              </w:rPr>
            </w:pPr>
          </w:p>
        </w:tc>
        <w:tc>
          <w:tcPr>
            <w:tcW w:w="2409" w:type="dxa"/>
            <w:tcBorders>
              <w:top w:val="single" w:color="auto" w:sz="4" w:space="0"/>
              <w:left w:val="single" w:color="auto" w:sz="4" w:space="0"/>
              <w:bottom w:val="single" w:color="auto" w:sz="4" w:space="0"/>
              <w:right w:val="single" w:color="auto" w:sz="4" w:space="0"/>
            </w:tcBorders>
            <w:vAlign w:val="center"/>
          </w:tcPr>
          <w:p>
            <w:pPr>
              <w:snapToGrid w:val="0"/>
              <w:spacing w:before="62" w:beforeLines="20" w:after="62" w:afterLines="20"/>
              <w:ind w:left="-53" w:leftChars="-25" w:right="-53" w:rightChars="-25"/>
              <w:jc w:val="center"/>
              <w:rPr>
                <w:rFonts w:cs="宋体"/>
                <w:color w:val="auto"/>
                <w:highlight w:val="none"/>
              </w:rPr>
            </w:pPr>
          </w:p>
        </w:tc>
        <w:tc>
          <w:tcPr>
            <w:tcW w:w="567" w:type="dxa"/>
            <w:tcBorders>
              <w:top w:val="single" w:color="auto" w:sz="4" w:space="0"/>
              <w:left w:val="single" w:color="auto" w:sz="4" w:space="0"/>
              <w:bottom w:val="single" w:color="auto" w:sz="4" w:space="0"/>
              <w:right w:val="single" w:color="auto" w:sz="4" w:space="0"/>
            </w:tcBorders>
            <w:vAlign w:val="center"/>
          </w:tcPr>
          <w:p>
            <w:pPr>
              <w:pStyle w:val="116"/>
              <w:jc w:val="center"/>
              <w:rPr>
                <w:rFonts w:cs="宋体"/>
                <w:color w:val="auto"/>
                <w:highlight w:val="none"/>
              </w:rPr>
            </w:pPr>
          </w:p>
        </w:tc>
        <w:tc>
          <w:tcPr>
            <w:tcW w:w="567" w:type="dxa"/>
            <w:tcBorders>
              <w:top w:val="single" w:color="auto" w:sz="4" w:space="0"/>
              <w:left w:val="single" w:color="auto" w:sz="4" w:space="0"/>
              <w:bottom w:val="single" w:color="auto" w:sz="4" w:space="0"/>
              <w:right w:val="single" w:color="auto" w:sz="4" w:space="0"/>
            </w:tcBorders>
            <w:vAlign w:val="center"/>
          </w:tcPr>
          <w:p>
            <w:pPr>
              <w:pStyle w:val="116"/>
              <w:jc w:val="center"/>
              <w:rPr>
                <w:rFonts w:cs="宋体"/>
                <w:color w:val="auto"/>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pPr>
              <w:pStyle w:val="116"/>
              <w:jc w:val="center"/>
              <w:rPr>
                <w:rFonts w:cs="宋体"/>
                <w:color w:val="auto"/>
                <w:highlight w:val="none"/>
              </w:rPr>
            </w:pPr>
          </w:p>
        </w:tc>
        <w:tc>
          <w:tcPr>
            <w:tcW w:w="689" w:type="dxa"/>
            <w:tcBorders>
              <w:top w:val="single" w:color="auto" w:sz="4" w:space="0"/>
              <w:left w:val="single" w:color="auto" w:sz="4" w:space="0"/>
              <w:bottom w:val="single" w:color="auto" w:sz="4" w:space="0"/>
              <w:right w:val="single" w:color="auto" w:sz="4" w:space="0"/>
            </w:tcBorders>
            <w:vAlign w:val="center"/>
          </w:tcPr>
          <w:p>
            <w:pPr>
              <w:pStyle w:val="116"/>
              <w:jc w:val="center"/>
              <w:rPr>
                <w:rFonts w:cs="宋体"/>
                <w:color w:val="auto"/>
                <w:highlight w:val="none"/>
              </w:rPr>
            </w:pPr>
          </w:p>
        </w:tc>
        <w:tc>
          <w:tcPr>
            <w:tcW w:w="596" w:type="dxa"/>
            <w:tcBorders>
              <w:top w:val="single" w:color="auto" w:sz="4" w:space="0"/>
              <w:left w:val="single" w:color="auto" w:sz="4" w:space="0"/>
              <w:bottom w:val="single" w:color="auto" w:sz="4" w:space="0"/>
              <w:right w:val="single" w:color="auto" w:sz="4" w:space="0"/>
            </w:tcBorders>
            <w:vAlign w:val="center"/>
          </w:tcPr>
          <w:p>
            <w:pPr>
              <w:pStyle w:val="116"/>
              <w:jc w:val="center"/>
              <w:rPr>
                <w:rFonts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116"/>
              <w:jc w:val="center"/>
              <w:rPr>
                <w:rFonts w:hint="eastAsia" w:eastAsia="宋体" w:cs="宋体"/>
                <w:color w:val="auto"/>
                <w:highlight w:val="none"/>
                <w:lang w:eastAsia="zh-CN"/>
              </w:rPr>
            </w:pPr>
            <w:r>
              <w:rPr>
                <w:rFonts w:hint="eastAsia" w:cs="宋体"/>
                <w:color w:val="auto"/>
                <w:highlight w:val="none"/>
                <w:lang w:val="en-US" w:eastAsia="zh-CN"/>
              </w:rPr>
              <w:t>4</w:t>
            </w:r>
          </w:p>
        </w:tc>
        <w:tc>
          <w:tcPr>
            <w:tcW w:w="1055" w:type="dxa"/>
            <w:tcBorders>
              <w:top w:val="single" w:color="auto" w:sz="4" w:space="0"/>
              <w:left w:val="single" w:color="auto" w:sz="4" w:space="0"/>
              <w:bottom w:val="single" w:color="auto" w:sz="4" w:space="0"/>
              <w:right w:val="single" w:color="auto" w:sz="4" w:space="0"/>
            </w:tcBorders>
            <w:vAlign w:val="center"/>
          </w:tcPr>
          <w:p>
            <w:pPr>
              <w:pStyle w:val="116"/>
              <w:jc w:val="center"/>
              <w:rPr>
                <w:rFonts w:cs="宋体"/>
                <w:color w:val="auto"/>
                <w:highlight w:val="none"/>
              </w:rPr>
            </w:pPr>
          </w:p>
        </w:tc>
        <w:tc>
          <w:tcPr>
            <w:tcW w:w="1538" w:type="dxa"/>
            <w:tcBorders>
              <w:top w:val="single" w:color="auto" w:sz="4" w:space="0"/>
              <w:left w:val="single" w:color="auto" w:sz="4" w:space="0"/>
              <w:bottom w:val="single" w:color="auto" w:sz="4" w:space="0"/>
              <w:right w:val="single" w:color="auto" w:sz="4" w:space="0"/>
            </w:tcBorders>
            <w:vAlign w:val="center"/>
          </w:tcPr>
          <w:p>
            <w:pPr>
              <w:snapToGrid w:val="0"/>
              <w:spacing w:before="62" w:beforeLines="20" w:after="62" w:afterLines="20"/>
              <w:ind w:left="-53" w:leftChars="-25" w:right="-53" w:rightChars="-25"/>
              <w:jc w:val="center"/>
              <w:rPr>
                <w:rFonts w:cs="宋体"/>
                <w:color w:val="auto"/>
                <w:highlight w:val="none"/>
              </w:rPr>
            </w:pPr>
            <w:r>
              <w:rPr>
                <w:rFonts w:hint="eastAsia" w:ascii="宋体" w:hAnsi="宋体"/>
                <w:color w:val="auto"/>
                <w:szCs w:val="21"/>
                <w:highlight w:val="none"/>
                <w:lang w:val="zh-TW" w:eastAsia="zh-TW"/>
              </w:rPr>
              <w:t>造价负责人</w:t>
            </w:r>
          </w:p>
        </w:tc>
        <w:tc>
          <w:tcPr>
            <w:tcW w:w="709" w:type="dxa"/>
            <w:tcBorders>
              <w:top w:val="single" w:color="auto" w:sz="4" w:space="0"/>
              <w:left w:val="single" w:color="auto" w:sz="4" w:space="0"/>
              <w:bottom w:val="single" w:color="auto" w:sz="4" w:space="0"/>
              <w:right w:val="single" w:color="auto" w:sz="4" w:space="0"/>
            </w:tcBorders>
            <w:vAlign w:val="center"/>
          </w:tcPr>
          <w:p>
            <w:pPr>
              <w:pStyle w:val="116"/>
              <w:jc w:val="center"/>
              <w:rPr>
                <w:rFonts w:cs="宋体"/>
                <w:color w:val="auto"/>
                <w:highlight w:val="none"/>
              </w:rPr>
            </w:pPr>
          </w:p>
        </w:tc>
        <w:tc>
          <w:tcPr>
            <w:tcW w:w="2409"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color w:val="auto"/>
                <w:highlight w:val="none"/>
              </w:rPr>
            </w:pPr>
          </w:p>
        </w:tc>
        <w:tc>
          <w:tcPr>
            <w:tcW w:w="567" w:type="dxa"/>
            <w:tcBorders>
              <w:top w:val="single" w:color="auto" w:sz="4" w:space="0"/>
              <w:left w:val="single" w:color="auto" w:sz="4" w:space="0"/>
              <w:bottom w:val="single" w:color="auto" w:sz="4" w:space="0"/>
              <w:right w:val="single" w:color="auto" w:sz="4" w:space="0"/>
            </w:tcBorders>
            <w:vAlign w:val="center"/>
          </w:tcPr>
          <w:p>
            <w:pPr>
              <w:pStyle w:val="116"/>
              <w:jc w:val="center"/>
              <w:rPr>
                <w:rFonts w:cs="宋体"/>
                <w:color w:val="auto"/>
                <w:highlight w:val="none"/>
              </w:rPr>
            </w:pPr>
          </w:p>
        </w:tc>
        <w:tc>
          <w:tcPr>
            <w:tcW w:w="567" w:type="dxa"/>
            <w:tcBorders>
              <w:top w:val="single" w:color="auto" w:sz="4" w:space="0"/>
              <w:left w:val="single" w:color="auto" w:sz="4" w:space="0"/>
              <w:bottom w:val="single" w:color="auto" w:sz="4" w:space="0"/>
              <w:right w:val="single" w:color="auto" w:sz="4" w:space="0"/>
            </w:tcBorders>
            <w:vAlign w:val="center"/>
          </w:tcPr>
          <w:p>
            <w:pPr>
              <w:pStyle w:val="116"/>
              <w:jc w:val="center"/>
              <w:rPr>
                <w:rFonts w:cs="宋体"/>
                <w:color w:val="auto"/>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pPr>
              <w:pStyle w:val="116"/>
              <w:jc w:val="center"/>
              <w:rPr>
                <w:rFonts w:cs="宋体"/>
                <w:color w:val="auto"/>
                <w:highlight w:val="none"/>
              </w:rPr>
            </w:pPr>
          </w:p>
        </w:tc>
        <w:tc>
          <w:tcPr>
            <w:tcW w:w="689" w:type="dxa"/>
            <w:tcBorders>
              <w:top w:val="single" w:color="auto" w:sz="4" w:space="0"/>
              <w:left w:val="single" w:color="auto" w:sz="4" w:space="0"/>
              <w:bottom w:val="single" w:color="auto" w:sz="4" w:space="0"/>
              <w:right w:val="single" w:color="auto" w:sz="4" w:space="0"/>
            </w:tcBorders>
            <w:vAlign w:val="center"/>
          </w:tcPr>
          <w:p>
            <w:pPr>
              <w:pStyle w:val="116"/>
              <w:jc w:val="center"/>
              <w:rPr>
                <w:rFonts w:cs="宋体"/>
                <w:color w:val="auto"/>
                <w:highlight w:val="none"/>
              </w:rPr>
            </w:pPr>
          </w:p>
        </w:tc>
        <w:tc>
          <w:tcPr>
            <w:tcW w:w="596" w:type="dxa"/>
            <w:tcBorders>
              <w:top w:val="single" w:color="auto" w:sz="4" w:space="0"/>
              <w:left w:val="single" w:color="auto" w:sz="4" w:space="0"/>
              <w:bottom w:val="single" w:color="auto" w:sz="4" w:space="0"/>
              <w:right w:val="single" w:color="auto" w:sz="4" w:space="0"/>
            </w:tcBorders>
            <w:vAlign w:val="center"/>
          </w:tcPr>
          <w:p>
            <w:pPr>
              <w:pStyle w:val="116"/>
              <w:jc w:val="center"/>
              <w:rPr>
                <w:rFonts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116"/>
              <w:jc w:val="center"/>
              <w:rPr>
                <w:rFonts w:hint="eastAsia" w:eastAsia="宋体" w:cs="宋体"/>
                <w:color w:val="auto"/>
                <w:highlight w:val="none"/>
                <w:lang w:eastAsia="zh-CN"/>
              </w:rPr>
            </w:pPr>
            <w:r>
              <w:rPr>
                <w:rFonts w:hint="eastAsia" w:cs="宋体"/>
                <w:color w:val="auto"/>
                <w:highlight w:val="none"/>
                <w:lang w:val="en-US" w:eastAsia="zh-CN"/>
              </w:rPr>
              <w:t>5</w:t>
            </w:r>
          </w:p>
        </w:tc>
        <w:tc>
          <w:tcPr>
            <w:tcW w:w="1055" w:type="dxa"/>
            <w:tcBorders>
              <w:top w:val="single" w:color="auto" w:sz="4" w:space="0"/>
              <w:left w:val="single" w:color="auto" w:sz="4" w:space="0"/>
              <w:bottom w:val="single" w:color="auto" w:sz="4" w:space="0"/>
              <w:right w:val="single" w:color="auto" w:sz="4" w:space="0"/>
            </w:tcBorders>
            <w:vAlign w:val="center"/>
          </w:tcPr>
          <w:p>
            <w:pPr>
              <w:pStyle w:val="116"/>
              <w:jc w:val="center"/>
              <w:rPr>
                <w:rFonts w:cs="宋体"/>
                <w:color w:val="auto"/>
                <w:highlight w:val="none"/>
              </w:rPr>
            </w:pPr>
          </w:p>
        </w:tc>
        <w:tc>
          <w:tcPr>
            <w:tcW w:w="1538" w:type="dxa"/>
            <w:tcBorders>
              <w:top w:val="single" w:color="auto" w:sz="4" w:space="0"/>
              <w:left w:val="single" w:color="auto" w:sz="4" w:space="0"/>
              <w:bottom w:val="single" w:color="auto" w:sz="4" w:space="0"/>
              <w:right w:val="single" w:color="auto" w:sz="4" w:space="0"/>
            </w:tcBorders>
            <w:vAlign w:val="center"/>
          </w:tcPr>
          <w:p>
            <w:pPr>
              <w:snapToGrid w:val="0"/>
              <w:spacing w:before="62" w:beforeLines="20" w:after="62" w:afterLines="20"/>
              <w:ind w:left="-53" w:leftChars="-25" w:right="-53" w:rightChars="-25"/>
              <w:jc w:val="center"/>
              <w:rPr>
                <w:rFonts w:cs="宋体"/>
                <w:strike w:val="0"/>
                <w:color w:val="auto"/>
                <w:highlight w:val="none"/>
              </w:rPr>
            </w:pPr>
            <w:r>
              <w:rPr>
                <w:rFonts w:hint="eastAsia" w:ascii="宋体" w:hAnsi="宋体"/>
                <w:color w:val="auto"/>
                <w:szCs w:val="21"/>
                <w:highlight w:val="none"/>
              </w:rPr>
              <w:t>预、结算员</w:t>
            </w:r>
          </w:p>
        </w:tc>
        <w:tc>
          <w:tcPr>
            <w:tcW w:w="709" w:type="dxa"/>
            <w:tcBorders>
              <w:top w:val="single" w:color="auto" w:sz="4" w:space="0"/>
              <w:left w:val="single" w:color="auto" w:sz="4" w:space="0"/>
              <w:bottom w:val="single" w:color="auto" w:sz="4" w:space="0"/>
              <w:right w:val="single" w:color="auto" w:sz="4" w:space="0"/>
            </w:tcBorders>
            <w:vAlign w:val="center"/>
          </w:tcPr>
          <w:p>
            <w:pPr>
              <w:pStyle w:val="116"/>
              <w:jc w:val="center"/>
              <w:rPr>
                <w:rFonts w:cs="宋体"/>
                <w:color w:val="auto"/>
                <w:highlight w:val="none"/>
              </w:rPr>
            </w:pPr>
          </w:p>
        </w:tc>
        <w:tc>
          <w:tcPr>
            <w:tcW w:w="2409" w:type="dxa"/>
            <w:tcBorders>
              <w:top w:val="single" w:color="auto" w:sz="4" w:space="0"/>
              <w:left w:val="single" w:color="auto" w:sz="4" w:space="0"/>
              <w:bottom w:val="single" w:color="auto" w:sz="4" w:space="0"/>
              <w:right w:val="single" w:color="auto" w:sz="4" w:space="0"/>
            </w:tcBorders>
            <w:vAlign w:val="center"/>
          </w:tcPr>
          <w:p>
            <w:pPr>
              <w:snapToGrid w:val="0"/>
              <w:spacing w:before="62" w:beforeLines="20" w:after="62" w:afterLines="20"/>
              <w:ind w:left="-53" w:leftChars="-25" w:right="-53" w:rightChars="-25"/>
              <w:jc w:val="center"/>
              <w:rPr>
                <w:rFonts w:cs="宋体"/>
                <w:color w:val="auto"/>
                <w:highlight w:val="none"/>
              </w:rPr>
            </w:pPr>
          </w:p>
        </w:tc>
        <w:tc>
          <w:tcPr>
            <w:tcW w:w="567" w:type="dxa"/>
            <w:tcBorders>
              <w:top w:val="single" w:color="auto" w:sz="4" w:space="0"/>
              <w:left w:val="single" w:color="auto" w:sz="4" w:space="0"/>
              <w:bottom w:val="single" w:color="auto" w:sz="4" w:space="0"/>
              <w:right w:val="single" w:color="auto" w:sz="4" w:space="0"/>
            </w:tcBorders>
            <w:vAlign w:val="center"/>
          </w:tcPr>
          <w:p>
            <w:pPr>
              <w:pStyle w:val="116"/>
              <w:jc w:val="center"/>
              <w:rPr>
                <w:rFonts w:cs="宋体"/>
                <w:color w:val="auto"/>
                <w:highlight w:val="none"/>
              </w:rPr>
            </w:pPr>
          </w:p>
        </w:tc>
        <w:tc>
          <w:tcPr>
            <w:tcW w:w="567" w:type="dxa"/>
            <w:tcBorders>
              <w:top w:val="single" w:color="auto" w:sz="4" w:space="0"/>
              <w:left w:val="single" w:color="auto" w:sz="4" w:space="0"/>
              <w:bottom w:val="single" w:color="auto" w:sz="4" w:space="0"/>
              <w:right w:val="single" w:color="auto" w:sz="4" w:space="0"/>
            </w:tcBorders>
            <w:vAlign w:val="center"/>
          </w:tcPr>
          <w:p>
            <w:pPr>
              <w:pStyle w:val="116"/>
              <w:jc w:val="center"/>
              <w:rPr>
                <w:rFonts w:cs="宋体"/>
                <w:color w:val="auto"/>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pPr>
              <w:pStyle w:val="116"/>
              <w:jc w:val="center"/>
              <w:rPr>
                <w:rFonts w:cs="宋体"/>
                <w:color w:val="auto"/>
                <w:highlight w:val="none"/>
              </w:rPr>
            </w:pPr>
          </w:p>
        </w:tc>
        <w:tc>
          <w:tcPr>
            <w:tcW w:w="689" w:type="dxa"/>
            <w:tcBorders>
              <w:top w:val="single" w:color="auto" w:sz="4" w:space="0"/>
              <w:left w:val="single" w:color="auto" w:sz="4" w:space="0"/>
              <w:bottom w:val="single" w:color="auto" w:sz="4" w:space="0"/>
              <w:right w:val="single" w:color="auto" w:sz="4" w:space="0"/>
            </w:tcBorders>
            <w:vAlign w:val="center"/>
          </w:tcPr>
          <w:p>
            <w:pPr>
              <w:pStyle w:val="116"/>
              <w:jc w:val="center"/>
              <w:rPr>
                <w:rFonts w:cs="宋体"/>
                <w:color w:val="auto"/>
                <w:highlight w:val="none"/>
              </w:rPr>
            </w:pPr>
          </w:p>
        </w:tc>
        <w:tc>
          <w:tcPr>
            <w:tcW w:w="596" w:type="dxa"/>
            <w:tcBorders>
              <w:top w:val="single" w:color="auto" w:sz="4" w:space="0"/>
              <w:left w:val="single" w:color="auto" w:sz="4" w:space="0"/>
              <w:bottom w:val="single" w:color="auto" w:sz="4" w:space="0"/>
              <w:right w:val="single" w:color="auto" w:sz="4" w:space="0"/>
            </w:tcBorders>
            <w:vAlign w:val="center"/>
          </w:tcPr>
          <w:p>
            <w:pPr>
              <w:pStyle w:val="116"/>
              <w:jc w:val="center"/>
              <w:rPr>
                <w:rFonts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116"/>
              <w:jc w:val="center"/>
              <w:rPr>
                <w:rFonts w:hint="eastAsia" w:eastAsia="宋体" w:cs="宋体"/>
                <w:color w:val="auto"/>
                <w:highlight w:val="none"/>
                <w:lang w:eastAsia="zh-CN"/>
              </w:rPr>
            </w:pPr>
            <w:r>
              <w:rPr>
                <w:rFonts w:hint="eastAsia" w:cs="宋体"/>
                <w:color w:val="auto"/>
                <w:highlight w:val="none"/>
                <w:lang w:val="en-US" w:eastAsia="zh-CN"/>
              </w:rPr>
              <w:t>6</w:t>
            </w:r>
          </w:p>
        </w:tc>
        <w:tc>
          <w:tcPr>
            <w:tcW w:w="1055" w:type="dxa"/>
            <w:tcBorders>
              <w:top w:val="single" w:color="auto" w:sz="4" w:space="0"/>
              <w:left w:val="single" w:color="auto" w:sz="4" w:space="0"/>
              <w:bottom w:val="single" w:color="auto" w:sz="4" w:space="0"/>
              <w:right w:val="single" w:color="auto" w:sz="4" w:space="0"/>
            </w:tcBorders>
            <w:vAlign w:val="center"/>
          </w:tcPr>
          <w:p>
            <w:pPr>
              <w:pStyle w:val="116"/>
              <w:jc w:val="center"/>
              <w:rPr>
                <w:rFonts w:cs="宋体"/>
                <w:color w:val="auto"/>
                <w:highlight w:val="none"/>
              </w:rPr>
            </w:pPr>
          </w:p>
        </w:tc>
        <w:tc>
          <w:tcPr>
            <w:tcW w:w="1538"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strike w:val="0"/>
                <w:color w:val="auto"/>
                <w:highlight w:val="none"/>
              </w:rPr>
            </w:pPr>
            <w:r>
              <w:rPr>
                <w:rFonts w:hint="eastAsia" w:ascii="宋体" w:hAnsi="宋体" w:cs="宋体"/>
                <w:bCs/>
                <w:color w:val="auto"/>
                <w:szCs w:val="21"/>
                <w:highlight w:val="none"/>
              </w:rPr>
              <w:t>装修工程师</w:t>
            </w:r>
          </w:p>
        </w:tc>
        <w:tc>
          <w:tcPr>
            <w:tcW w:w="709" w:type="dxa"/>
            <w:tcBorders>
              <w:top w:val="single" w:color="auto" w:sz="4" w:space="0"/>
              <w:left w:val="single" w:color="auto" w:sz="4" w:space="0"/>
              <w:bottom w:val="single" w:color="auto" w:sz="4" w:space="0"/>
              <w:right w:val="single" w:color="auto" w:sz="4" w:space="0"/>
            </w:tcBorders>
            <w:vAlign w:val="center"/>
          </w:tcPr>
          <w:p>
            <w:pPr>
              <w:pStyle w:val="116"/>
              <w:jc w:val="center"/>
              <w:rPr>
                <w:rFonts w:cs="宋体"/>
                <w:color w:val="auto"/>
                <w:highlight w:val="none"/>
              </w:rPr>
            </w:pPr>
          </w:p>
        </w:tc>
        <w:tc>
          <w:tcPr>
            <w:tcW w:w="2409" w:type="dxa"/>
            <w:tcBorders>
              <w:top w:val="single" w:color="auto" w:sz="4" w:space="0"/>
              <w:left w:val="single" w:color="auto" w:sz="4" w:space="0"/>
              <w:bottom w:val="single" w:color="auto" w:sz="4" w:space="0"/>
              <w:right w:val="single" w:color="auto" w:sz="4" w:space="0"/>
            </w:tcBorders>
            <w:vAlign w:val="center"/>
          </w:tcPr>
          <w:p>
            <w:pPr>
              <w:snapToGrid w:val="0"/>
              <w:spacing w:before="62" w:beforeLines="20" w:after="62" w:afterLines="20"/>
              <w:ind w:left="-53" w:leftChars="-25" w:right="-53" w:rightChars="-25"/>
              <w:jc w:val="center"/>
              <w:rPr>
                <w:rFonts w:cs="宋体"/>
                <w:color w:val="auto"/>
                <w:highlight w:val="none"/>
              </w:rPr>
            </w:pPr>
          </w:p>
        </w:tc>
        <w:tc>
          <w:tcPr>
            <w:tcW w:w="567" w:type="dxa"/>
            <w:tcBorders>
              <w:top w:val="single" w:color="auto" w:sz="4" w:space="0"/>
              <w:left w:val="single" w:color="auto" w:sz="4" w:space="0"/>
              <w:bottom w:val="single" w:color="auto" w:sz="4" w:space="0"/>
              <w:right w:val="single" w:color="auto" w:sz="4" w:space="0"/>
            </w:tcBorders>
            <w:vAlign w:val="center"/>
          </w:tcPr>
          <w:p>
            <w:pPr>
              <w:pStyle w:val="116"/>
              <w:jc w:val="center"/>
              <w:rPr>
                <w:rFonts w:cs="宋体"/>
                <w:color w:val="auto"/>
                <w:highlight w:val="none"/>
              </w:rPr>
            </w:pPr>
          </w:p>
        </w:tc>
        <w:tc>
          <w:tcPr>
            <w:tcW w:w="567" w:type="dxa"/>
            <w:tcBorders>
              <w:top w:val="single" w:color="auto" w:sz="4" w:space="0"/>
              <w:left w:val="single" w:color="auto" w:sz="4" w:space="0"/>
              <w:bottom w:val="single" w:color="auto" w:sz="4" w:space="0"/>
              <w:right w:val="single" w:color="auto" w:sz="4" w:space="0"/>
            </w:tcBorders>
            <w:vAlign w:val="center"/>
          </w:tcPr>
          <w:p>
            <w:pPr>
              <w:pStyle w:val="116"/>
              <w:jc w:val="center"/>
              <w:rPr>
                <w:rFonts w:cs="宋体"/>
                <w:color w:val="auto"/>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pPr>
              <w:pStyle w:val="116"/>
              <w:jc w:val="center"/>
              <w:rPr>
                <w:rFonts w:cs="宋体"/>
                <w:color w:val="auto"/>
                <w:highlight w:val="none"/>
              </w:rPr>
            </w:pPr>
          </w:p>
        </w:tc>
        <w:tc>
          <w:tcPr>
            <w:tcW w:w="689" w:type="dxa"/>
            <w:tcBorders>
              <w:top w:val="single" w:color="auto" w:sz="4" w:space="0"/>
              <w:left w:val="single" w:color="auto" w:sz="4" w:space="0"/>
              <w:bottom w:val="single" w:color="auto" w:sz="4" w:space="0"/>
              <w:right w:val="single" w:color="auto" w:sz="4" w:space="0"/>
            </w:tcBorders>
            <w:vAlign w:val="center"/>
          </w:tcPr>
          <w:p>
            <w:pPr>
              <w:pStyle w:val="116"/>
              <w:jc w:val="center"/>
              <w:rPr>
                <w:rFonts w:cs="宋体"/>
                <w:color w:val="auto"/>
                <w:highlight w:val="none"/>
              </w:rPr>
            </w:pPr>
          </w:p>
        </w:tc>
        <w:tc>
          <w:tcPr>
            <w:tcW w:w="596" w:type="dxa"/>
            <w:tcBorders>
              <w:top w:val="single" w:color="auto" w:sz="4" w:space="0"/>
              <w:left w:val="single" w:color="auto" w:sz="4" w:space="0"/>
              <w:bottom w:val="single" w:color="auto" w:sz="4" w:space="0"/>
              <w:right w:val="single" w:color="auto" w:sz="4" w:space="0"/>
            </w:tcBorders>
            <w:vAlign w:val="center"/>
          </w:tcPr>
          <w:p>
            <w:pPr>
              <w:pStyle w:val="116"/>
              <w:jc w:val="center"/>
              <w:rPr>
                <w:rFonts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116"/>
              <w:jc w:val="center"/>
              <w:rPr>
                <w:rFonts w:hint="eastAsia" w:eastAsia="宋体" w:cs="宋体"/>
                <w:color w:val="auto"/>
                <w:highlight w:val="none"/>
                <w:lang w:eastAsia="zh-CN"/>
              </w:rPr>
            </w:pPr>
            <w:r>
              <w:rPr>
                <w:rFonts w:hint="eastAsia" w:cs="宋体"/>
                <w:color w:val="auto"/>
                <w:highlight w:val="none"/>
                <w:lang w:val="en-US" w:eastAsia="zh-CN"/>
              </w:rPr>
              <w:t>7</w:t>
            </w:r>
          </w:p>
        </w:tc>
        <w:tc>
          <w:tcPr>
            <w:tcW w:w="1055" w:type="dxa"/>
            <w:tcBorders>
              <w:top w:val="single" w:color="auto" w:sz="4" w:space="0"/>
              <w:left w:val="single" w:color="auto" w:sz="4" w:space="0"/>
              <w:bottom w:val="single" w:color="auto" w:sz="4" w:space="0"/>
              <w:right w:val="single" w:color="auto" w:sz="4" w:space="0"/>
            </w:tcBorders>
            <w:vAlign w:val="center"/>
          </w:tcPr>
          <w:p>
            <w:pPr>
              <w:pStyle w:val="116"/>
              <w:jc w:val="center"/>
              <w:rPr>
                <w:rFonts w:cs="宋体"/>
                <w:color w:val="auto"/>
                <w:highlight w:val="none"/>
              </w:rPr>
            </w:pPr>
          </w:p>
        </w:tc>
        <w:tc>
          <w:tcPr>
            <w:tcW w:w="1538" w:type="dxa"/>
            <w:tcBorders>
              <w:top w:val="single" w:color="auto" w:sz="4" w:space="0"/>
              <w:left w:val="single" w:color="auto" w:sz="4" w:space="0"/>
              <w:bottom w:val="single" w:color="auto" w:sz="4" w:space="0"/>
              <w:right w:val="single" w:color="auto" w:sz="4" w:space="0"/>
            </w:tcBorders>
            <w:vAlign w:val="center"/>
          </w:tcPr>
          <w:p>
            <w:pPr>
              <w:snapToGrid w:val="0"/>
              <w:spacing w:before="62" w:beforeLines="20" w:after="62" w:afterLines="20"/>
              <w:ind w:left="-53" w:leftChars="-25" w:right="-53" w:rightChars="-25"/>
              <w:jc w:val="center"/>
              <w:rPr>
                <w:rFonts w:cs="宋体"/>
                <w:strike w:val="0"/>
                <w:color w:val="auto"/>
                <w:highlight w:val="none"/>
              </w:rPr>
            </w:pPr>
            <w:r>
              <w:rPr>
                <w:rFonts w:hint="eastAsia" w:ascii="宋体" w:hAnsi="宋体"/>
                <w:color w:val="auto"/>
                <w:szCs w:val="21"/>
                <w:highlight w:val="none"/>
              </w:rPr>
              <w:t>机电安装工程师</w:t>
            </w:r>
          </w:p>
        </w:tc>
        <w:tc>
          <w:tcPr>
            <w:tcW w:w="709" w:type="dxa"/>
            <w:tcBorders>
              <w:top w:val="single" w:color="auto" w:sz="4" w:space="0"/>
              <w:left w:val="single" w:color="auto" w:sz="4" w:space="0"/>
              <w:bottom w:val="single" w:color="auto" w:sz="4" w:space="0"/>
              <w:right w:val="single" w:color="auto" w:sz="4" w:space="0"/>
            </w:tcBorders>
            <w:vAlign w:val="center"/>
          </w:tcPr>
          <w:p>
            <w:pPr>
              <w:pStyle w:val="116"/>
              <w:jc w:val="center"/>
              <w:rPr>
                <w:rFonts w:cs="宋体"/>
                <w:color w:val="auto"/>
                <w:highlight w:val="none"/>
              </w:rPr>
            </w:pPr>
          </w:p>
        </w:tc>
        <w:tc>
          <w:tcPr>
            <w:tcW w:w="2409" w:type="dxa"/>
            <w:tcBorders>
              <w:top w:val="single" w:color="auto" w:sz="4" w:space="0"/>
              <w:left w:val="single" w:color="auto" w:sz="4" w:space="0"/>
              <w:bottom w:val="single" w:color="auto" w:sz="4" w:space="0"/>
              <w:right w:val="single" w:color="auto" w:sz="4" w:space="0"/>
            </w:tcBorders>
            <w:vAlign w:val="center"/>
          </w:tcPr>
          <w:p>
            <w:pPr>
              <w:snapToGrid w:val="0"/>
              <w:spacing w:before="62" w:beforeLines="20" w:after="62" w:afterLines="20"/>
              <w:ind w:left="-53" w:leftChars="-25" w:right="-53" w:rightChars="-25"/>
              <w:jc w:val="center"/>
              <w:rPr>
                <w:rFonts w:cs="宋体"/>
                <w:color w:val="auto"/>
                <w:highlight w:val="none"/>
              </w:rPr>
            </w:pPr>
          </w:p>
        </w:tc>
        <w:tc>
          <w:tcPr>
            <w:tcW w:w="567" w:type="dxa"/>
            <w:tcBorders>
              <w:top w:val="single" w:color="auto" w:sz="4" w:space="0"/>
              <w:left w:val="single" w:color="auto" w:sz="4" w:space="0"/>
              <w:bottom w:val="single" w:color="auto" w:sz="4" w:space="0"/>
              <w:right w:val="single" w:color="auto" w:sz="4" w:space="0"/>
            </w:tcBorders>
            <w:vAlign w:val="center"/>
          </w:tcPr>
          <w:p>
            <w:pPr>
              <w:pStyle w:val="116"/>
              <w:jc w:val="center"/>
              <w:rPr>
                <w:rFonts w:cs="宋体"/>
                <w:color w:val="auto"/>
                <w:highlight w:val="none"/>
              </w:rPr>
            </w:pPr>
          </w:p>
        </w:tc>
        <w:tc>
          <w:tcPr>
            <w:tcW w:w="567" w:type="dxa"/>
            <w:tcBorders>
              <w:top w:val="single" w:color="auto" w:sz="4" w:space="0"/>
              <w:left w:val="single" w:color="auto" w:sz="4" w:space="0"/>
              <w:bottom w:val="single" w:color="auto" w:sz="4" w:space="0"/>
              <w:right w:val="single" w:color="auto" w:sz="4" w:space="0"/>
            </w:tcBorders>
            <w:vAlign w:val="center"/>
          </w:tcPr>
          <w:p>
            <w:pPr>
              <w:pStyle w:val="116"/>
              <w:jc w:val="center"/>
              <w:rPr>
                <w:rFonts w:cs="宋体"/>
                <w:color w:val="auto"/>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pPr>
              <w:pStyle w:val="116"/>
              <w:jc w:val="center"/>
              <w:rPr>
                <w:rFonts w:cs="宋体"/>
                <w:color w:val="auto"/>
                <w:highlight w:val="none"/>
              </w:rPr>
            </w:pPr>
          </w:p>
        </w:tc>
        <w:tc>
          <w:tcPr>
            <w:tcW w:w="689" w:type="dxa"/>
            <w:tcBorders>
              <w:top w:val="single" w:color="auto" w:sz="4" w:space="0"/>
              <w:left w:val="single" w:color="auto" w:sz="4" w:space="0"/>
              <w:bottom w:val="single" w:color="auto" w:sz="4" w:space="0"/>
              <w:right w:val="single" w:color="auto" w:sz="4" w:space="0"/>
            </w:tcBorders>
            <w:vAlign w:val="center"/>
          </w:tcPr>
          <w:p>
            <w:pPr>
              <w:pStyle w:val="116"/>
              <w:jc w:val="center"/>
              <w:rPr>
                <w:rFonts w:cs="宋体"/>
                <w:color w:val="auto"/>
                <w:highlight w:val="none"/>
              </w:rPr>
            </w:pPr>
          </w:p>
        </w:tc>
        <w:tc>
          <w:tcPr>
            <w:tcW w:w="596" w:type="dxa"/>
            <w:tcBorders>
              <w:top w:val="single" w:color="auto" w:sz="4" w:space="0"/>
              <w:left w:val="single" w:color="auto" w:sz="4" w:space="0"/>
              <w:bottom w:val="single" w:color="auto" w:sz="4" w:space="0"/>
              <w:right w:val="single" w:color="auto" w:sz="4" w:space="0"/>
            </w:tcBorders>
            <w:vAlign w:val="center"/>
          </w:tcPr>
          <w:p>
            <w:pPr>
              <w:pStyle w:val="116"/>
              <w:jc w:val="center"/>
              <w:rPr>
                <w:rFonts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116"/>
              <w:jc w:val="center"/>
              <w:rPr>
                <w:rFonts w:hint="default" w:eastAsia="宋体" w:cs="宋体"/>
                <w:color w:val="auto"/>
                <w:highlight w:val="none"/>
                <w:lang w:val="en-US" w:eastAsia="zh-CN"/>
              </w:rPr>
            </w:pPr>
            <w:r>
              <w:rPr>
                <w:rFonts w:hint="eastAsia" w:cs="宋体"/>
                <w:color w:val="auto"/>
                <w:highlight w:val="none"/>
                <w:lang w:val="en-US" w:eastAsia="zh-CN"/>
              </w:rPr>
              <w:t>8</w:t>
            </w:r>
          </w:p>
        </w:tc>
        <w:tc>
          <w:tcPr>
            <w:tcW w:w="1055" w:type="dxa"/>
            <w:tcBorders>
              <w:top w:val="single" w:color="auto" w:sz="4" w:space="0"/>
              <w:left w:val="single" w:color="auto" w:sz="4" w:space="0"/>
              <w:bottom w:val="single" w:color="auto" w:sz="4" w:space="0"/>
              <w:right w:val="single" w:color="auto" w:sz="4" w:space="0"/>
            </w:tcBorders>
            <w:vAlign w:val="center"/>
          </w:tcPr>
          <w:p>
            <w:pPr>
              <w:pStyle w:val="116"/>
              <w:jc w:val="center"/>
              <w:rPr>
                <w:rFonts w:cs="宋体"/>
                <w:color w:val="auto"/>
                <w:highlight w:val="none"/>
              </w:rPr>
            </w:pPr>
          </w:p>
        </w:tc>
        <w:tc>
          <w:tcPr>
            <w:tcW w:w="1538" w:type="dxa"/>
            <w:tcBorders>
              <w:top w:val="single" w:color="auto" w:sz="4" w:space="0"/>
              <w:left w:val="single" w:color="auto" w:sz="4" w:space="0"/>
              <w:bottom w:val="single" w:color="auto" w:sz="4" w:space="0"/>
              <w:right w:val="single" w:color="auto" w:sz="4" w:space="0"/>
            </w:tcBorders>
            <w:vAlign w:val="center"/>
          </w:tcPr>
          <w:p>
            <w:pPr>
              <w:snapToGrid w:val="0"/>
              <w:spacing w:before="62" w:beforeLines="20" w:after="62" w:afterLines="20"/>
              <w:ind w:left="-53" w:leftChars="-25" w:right="-53" w:rightChars="-25"/>
              <w:jc w:val="center"/>
              <w:rPr>
                <w:rFonts w:cs="宋体"/>
                <w:strike w:val="0"/>
                <w:color w:val="auto"/>
                <w:highlight w:val="none"/>
              </w:rPr>
            </w:pPr>
            <w:r>
              <w:rPr>
                <w:rFonts w:hint="eastAsia" w:ascii="宋体" w:hAnsi="宋体"/>
                <w:color w:val="auto"/>
                <w:szCs w:val="21"/>
                <w:highlight w:val="none"/>
              </w:rPr>
              <w:t>给排水施工工程师</w:t>
            </w:r>
          </w:p>
        </w:tc>
        <w:tc>
          <w:tcPr>
            <w:tcW w:w="709" w:type="dxa"/>
            <w:tcBorders>
              <w:top w:val="single" w:color="auto" w:sz="4" w:space="0"/>
              <w:left w:val="single" w:color="auto" w:sz="4" w:space="0"/>
              <w:bottom w:val="single" w:color="auto" w:sz="4" w:space="0"/>
              <w:right w:val="single" w:color="auto" w:sz="4" w:space="0"/>
            </w:tcBorders>
            <w:vAlign w:val="center"/>
          </w:tcPr>
          <w:p>
            <w:pPr>
              <w:pStyle w:val="116"/>
              <w:jc w:val="center"/>
              <w:rPr>
                <w:rFonts w:cs="宋体"/>
                <w:color w:val="auto"/>
                <w:highlight w:val="none"/>
              </w:rPr>
            </w:pPr>
          </w:p>
        </w:tc>
        <w:tc>
          <w:tcPr>
            <w:tcW w:w="2409"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color w:val="auto"/>
                <w:highlight w:val="none"/>
              </w:rPr>
            </w:pPr>
          </w:p>
        </w:tc>
        <w:tc>
          <w:tcPr>
            <w:tcW w:w="567" w:type="dxa"/>
            <w:tcBorders>
              <w:top w:val="single" w:color="auto" w:sz="4" w:space="0"/>
              <w:left w:val="single" w:color="auto" w:sz="4" w:space="0"/>
              <w:bottom w:val="single" w:color="auto" w:sz="4" w:space="0"/>
              <w:right w:val="single" w:color="auto" w:sz="4" w:space="0"/>
            </w:tcBorders>
            <w:vAlign w:val="center"/>
          </w:tcPr>
          <w:p>
            <w:pPr>
              <w:pStyle w:val="116"/>
              <w:jc w:val="center"/>
              <w:rPr>
                <w:rFonts w:cs="宋体"/>
                <w:color w:val="auto"/>
                <w:highlight w:val="none"/>
              </w:rPr>
            </w:pPr>
          </w:p>
        </w:tc>
        <w:tc>
          <w:tcPr>
            <w:tcW w:w="567" w:type="dxa"/>
            <w:tcBorders>
              <w:top w:val="single" w:color="auto" w:sz="4" w:space="0"/>
              <w:left w:val="single" w:color="auto" w:sz="4" w:space="0"/>
              <w:bottom w:val="single" w:color="auto" w:sz="4" w:space="0"/>
              <w:right w:val="single" w:color="auto" w:sz="4" w:space="0"/>
            </w:tcBorders>
            <w:vAlign w:val="center"/>
          </w:tcPr>
          <w:p>
            <w:pPr>
              <w:pStyle w:val="116"/>
              <w:jc w:val="center"/>
              <w:rPr>
                <w:rFonts w:cs="宋体"/>
                <w:color w:val="auto"/>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pPr>
              <w:pStyle w:val="116"/>
              <w:jc w:val="center"/>
              <w:rPr>
                <w:rFonts w:cs="宋体"/>
                <w:color w:val="auto"/>
                <w:highlight w:val="none"/>
              </w:rPr>
            </w:pPr>
          </w:p>
        </w:tc>
        <w:tc>
          <w:tcPr>
            <w:tcW w:w="689" w:type="dxa"/>
            <w:tcBorders>
              <w:top w:val="single" w:color="auto" w:sz="4" w:space="0"/>
              <w:left w:val="single" w:color="auto" w:sz="4" w:space="0"/>
              <w:bottom w:val="single" w:color="auto" w:sz="4" w:space="0"/>
              <w:right w:val="single" w:color="auto" w:sz="4" w:space="0"/>
            </w:tcBorders>
            <w:vAlign w:val="center"/>
          </w:tcPr>
          <w:p>
            <w:pPr>
              <w:pStyle w:val="116"/>
              <w:jc w:val="center"/>
              <w:rPr>
                <w:rFonts w:cs="宋体"/>
                <w:color w:val="auto"/>
                <w:highlight w:val="none"/>
              </w:rPr>
            </w:pPr>
          </w:p>
        </w:tc>
        <w:tc>
          <w:tcPr>
            <w:tcW w:w="596" w:type="dxa"/>
            <w:tcBorders>
              <w:top w:val="single" w:color="auto" w:sz="4" w:space="0"/>
              <w:left w:val="single" w:color="auto" w:sz="4" w:space="0"/>
              <w:bottom w:val="single" w:color="auto" w:sz="4" w:space="0"/>
              <w:right w:val="single" w:color="auto" w:sz="4" w:space="0"/>
            </w:tcBorders>
            <w:vAlign w:val="center"/>
          </w:tcPr>
          <w:p>
            <w:pPr>
              <w:pStyle w:val="116"/>
              <w:jc w:val="center"/>
              <w:rPr>
                <w:rFonts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116"/>
              <w:jc w:val="center"/>
              <w:rPr>
                <w:rFonts w:hint="eastAsia" w:eastAsia="宋体" w:cs="宋体"/>
                <w:color w:val="auto"/>
                <w:highlight w:val="none"/>
                <w:lang w:eastAsia="zh-CN"/>
              </w:rPr>
            </w:pPr>
            <w:r>
              <w:rPr>
                <w:rFonts w:hint="eastAsia" w:cs="宋体"/>
                <w:color w:val="auto"/>
                <w:highlight w:val="none"/>
                <w:lang w:val="en-US" w:eastAsia="zh-CN"/>
              </w:rPr>
              <w:t>9</w:t>
            </w:r>
          </w:p>
        </w:tc>
        <w:tc>
          <w:tcPr>
            <w:tcW w:w="1055" w:type="dxa"/>
            <w:tcBorders>
              <w:top w:val="single" w:color="auto" w:sz="4" w:space="0"/>
              <w:left w:val="single" w:color="auto" w:sz="4" w:space="0"/>
              <w:bottom w:val="single" w:color="auto" w:sz="4" w:space="0"/>
              <w:right w:val="single" w:color="auto" w:sz="4" w:space="0"/>
            </w:tcBorders>
            <w:vAlign w:val="center"/>
          </w:tcPr>
          <w:p>
            <w:pPr>
              <w:pStyle w:val="116"/>
              <w:jc w:val="center"/>
              <w:rPr>
                <w:rFonts w:cs="宋体"/>
                <w:color w:val="auto"/>
                <w:highlight w:val="none"/>
              </w:rPr>
            </w:pPr>
          </w:p>
        </w:tc>
        <w:tc>
          <w:tcPr>
            <w:tcW w:w="1538"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strike w:val="0"/>
                <w:color w:val="auto"/>
                <w:highlight w:val="none"/>
              </w:rPr>
            </w:pPr>
            <w:r>
              <w:rPr>
                <w:rFonts w:hint="eastAsia" w:ascii="宋体" w:hAnsi="宋体" w:cs="宋体"/>
                <w:bCs/>
                <w:color w:val="auto"/>
                <w:szCs w:val="21"/>
                <w:highlight w:val="none"/>
              </w:rPr>
              <w:t>暖通空调工程师</w:t>
            </w:r>
          </w:p>
        </w:tc>
        <w:tc>
          <w:tcPr>
            <w:tcW w:w="709" w:type="dxa"/>
            <w:tcBorders>
              <w:top w:val="single" w:color="auto" w:sz="4" w:space="0"/>
              <w:left w:val="single" w:color="auto" w:sz="4" w:space="0"/>
              <w:bottom w:val="single" w:color="auto" w:sz="4" w:space="0"/>
              <w:right w:val="single" w:color="auto" w:sz="4" w:space="0"/>
            </w:tcBorders>
            <w:vAlign w:val="center"/>
          </w:tcPr>
          <w:p>
            <w:pPr>
              <w:pStyle w:val="116"/>
              <w:jc w:val="center"/>
              <w:rPr>
                <w:rFonts w:cs="宋体"/>
                <w:color w:val="auto"/>
                <w:highlight w:val="none"/>
              </w:rPr>
            </w:pPr>
          </w:p>
        </w:tc>
        <w:tc>
          <w:tcPr>
            <w:tcW w:w="2409" w:type="dxa"/>
            <w:tcBorders>
              <w:top w:val="single" w:color="auto" w:sz="4" w:space="0"/>
              <w:left w:val="single" w:color="auto" w:sz="4" w:space="0"/>
              <w:bottom w:val="single" w:color="auto" w:sz="4" w:space="0"/>
              <w:right w:val="single" w:color="auto" w:sz="4" w:space="0"/>
            </w:tcBorders>
            <w:vAlign w:val="center"/>
          </w:tcPr>
          <w:p>
            <w:pPr>
              <w:snapToGrid w:val="0"/>
              <w:spacing w:before="62" w:beforeLines="20" w:after="62" w:afterLines="20"/>
              <w:ind w:left="-53" w:leftChars="-25" w:right="-53" w:rightChars="-25"/>
              <w:jc w:val="center"/>
              <w:rPr>
                <w:rFonts w:cs="宋体"/>
                <w:color w:val="auto"/>
                <w:highlight w:val="none"/>
              </w:rPr>
            </w:pPr>
          </w:p>
        </w:tc>
        <w:tc>
          <w:tcPr>
            <w:tcW w:w="567" w:type="dxa"/>
            <w:tcBorders>
              <w:top w:val="single" w:color="auto" w:sz="4" w:space="0"/>
              <w:left w:val="single" w:color="auto" w:sz="4" w:space="0"/>
              <w:bottom w:val="single" w:color="auto" w:sz="4" w:space="0"/>
              <w:right w:val="single" w:color="auto" w:sz="4" w:space="0"/>
            </w:tcBorders>
            <w:vAlign w:val="center"/>
          </w:tcPr>
          <w:p>
            <w:pPr>
              <w:pStyle w:val="116"/>
              <w:jc w:val="center"/>
              <w:rPr>
                <w:rFonts w:cs="宋体"/>
                <w:color w:val="auto"/>
                <w:highlight w:val="none"/>
              </w:rPr>
            </w:pPr>
          </w:p>
        </w:tc>
        <w:tc>
          <w:tcPr>
            <w:tcW w:w="567" w:type="dxa"/>
            <w:tcBorders>
              <w:top w:val="single" w:color="auto" w:sz="4" w:space="0"/>
              <w:left w:val="single" w:color="auto" w:sz="4" w:space="0"/>
              <w:bottom w:val="single" w:color="auto" w:sz="4" w:space="0"/>
              <w:right w:val="single" w:color="auto" w:sz="4" w:space="0"/>
            </w:tcBorders>
            <w:vAlign w:val="center"/>
          </w:tcPr>
          <w:p>
            <w:pPr>
              <w:pStyle w:val="116"/>
              <w:jc w:val="center"/>
              <w:rPr>
                <w:rFonts w:cs="宋体"/>
                <w:color w:val="auto"/>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pPr>
              <w:pStyle w:val="116"/>
              <w:jc w:val="center"/>
              <w:rPr>
                <w:rFonts w:cs="宋体"/>
                <w:color w:val="auto"/>
                <w:highlight w:val="none"/>
              </w:rPr>
            </w:pPr>
          </w:p>
        </w:tc>
        <w:tc>
          <w:tcPr>
            <w:tcW w:w="689" w:type="dxa"/>
            <w:tcBorders>
              <w:top w:val="single" w:color="auto" w:sz="4" w:space="0"/>
              <w:left w:val="single" w:color="auto" w:sz="4" w:space="0"/>
              <w:bottom w:val="single" w:color="auto" w:sz="4" w:space="0"/>
              <w:right w:val="single" w:color="auto" w:sz="4" w:space="0"/>
            </w:tcBorders>
            <w:vAlign w:val="center"/>
          </w:tcPr>
          <w:p>
            <w:pPr>
              <w:pStyle w:val="116"/>
              <w:jc w:val="center"/>
              <w:rPr>
                <w:rFonts w:cs="宋体"/>
                <w:color w:val="auto"/>
                <w:highlight w:val="none"/>
              </w:rPr>
            </w:pPr>
          </w:p>
        </w:tc>
        <w:tc>
          <w:tcPr>
            <w:tcW w:w="596" w:type="dxa"/>
            <w:tcBorders>
              <w:top w:val="single" w:color="auto" w:sz="4" w:space="0"/>
              <w:left w:val="single" w:color="auto" w:sz="4" w:space="0"/>
              <w:bottom w:val="single" w:color="auto" w:sz="4" w:space="0"/>
              <w:right w:val="single" w:color="auto" w:sz="4" w:space="0"/>
            </w:tcBorders>
            <w:vAlign w:val="center"/>
          </w:tcPr>
          <w:p>
            <w:pPr>
              <w:pStyle w:val="116"/>
              <w:jc w:val="center"/>
              <w:rPr>
                <w:rFonts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116"/>
              <w:jc w:val="center"/>
              <w:rPr>
                <w:rFonts w:hint="eastAsia" w:eastAsia="宋体" w:cs="宋体"/>
                <w:color w:val="auto"/>
                <w:highlight w:val="none"/>
                <w:lang w:eastAsia="zh-CN"/>
              </w:rPr>
            </w:pPr>
            <w:r>
              <w:rPr>
                <w:rFonts w:hint="eastAsia" w:cs="宋体"/>
                <w:color w:val="auto"/>
                <w:highlight w:val="none"/>
              </w:rPr>
              <w:t>1</w:t>
            </w:r>
            <w:r>
              <w:rPr>
                <w:rFonts w:hint="eastAsia" w:cs="宋体"/>
                <w:color w:val="auto"/>
                <w:highlight w:val="none"/>
                <w:lang w:val="en-US" w:eastAsia="zh-CN"/>
              </w:rPr>
              <w:t>0</w:t>
            </w:r>
          </w:p>
        </w:tc>
        <w:tc>
          <w:tcPr>
            <w:tcW w:w="1055" w:type="dxa"/>
            <w:tcBorders>
              <w:top w:val="single" w:color="auto" w:sz="4" w:space="0"/>
              <w:left w:val="single" w:color="auto" w:sz="4" w:space="0"/>
              <w:bottom w:val="single" w:color="auto" w:sz="4" w:space="0"/>
              <w:right w:val="single" w:color="auto" w:sz="4" w:space="0"/>
            </w:tcBorders>
            <w:vAlign w:val="center"/>
          </w:tcPr>
          <w:p>
            <w:pPr>
              <w:pStyle w:val="116"/>
              <w:jc w:val="center"/>
              <w:rPr>
                <w:rFonts w:cs="宋体"/>
                <w:color w:val="auto"/>
                <w:highlight w:val="none"/>
              </w:rPr>
            </w:pPr>
          </w:p>
        </w:tc>
        <w:tc>
          <w:tcPr>
            <w:tcW w:w="1538"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color w:val="auto"/>
                <w:highlight w:val="none"/>
              </w:rPr>
            </w:pPr>
            <w:r>
              <w:rPr>
                <w:rFonts w:hint="eastAsia" w:ascii="宋体" w:hAnsi="宋体" w:cs="宋体"/>
                <w:bCs/>
                <w:color w:val="auto"/>
                <w:szCs w:val="21"/>
                <w:highlight w:val="none"/>
              </w:rPr>
              <w:t>安全工程师</w:t>
            </w:r>
          </w:p>
        </w:tc>
        <w:tc>
          <w:tcPr>
            <w:tcW w:w="709" w:type="dxa"/>
            <w:tcBorders>
              <w:top w:val="single" w:color="auto" w:sz="4" w:space="0"/>
              <w:left w:val="single" w:color="auto" w:sz="4" w:space="0"/>
              <w:bottom w:val="single" w:color="auto" w:sz="4" w:space="0"/>
              <w:right w:val="single" w:color="auto" w:sz="4" w:space="0"/>
            </w:tcBorders>
            <w:vAlign w:val="center"/>
          </w:tcPr>
          <w:p>
            <w:pPr>
              <w:pStyle w:val="116"/>
              <w:jc w:val="center"/>
              <w:rPr>
                <w:rFonts w:cs="宋体"/>
                <w:color w:val="auto"/>
                <w:highlight w:val="none"/>
              </w:rPr>
            </w:pPr>
          </w:p>
        </w:tc>
        <w:tc>
          <w:tcPr>
            <w:tcW w:w="2409" w:type="dxa"/>
            <w:tcBorders>
              <w:top w:val="single" w:color="auto" w:sz="4" w:space="0"/>
              <w:left w:val="single" w:color="auto" w:sz="4" w:space="0"/>
              <w:bottom w:val="single" w:color="auto" w:sz="4" w:space="0"/>
              <w:right w:val="single" w:color="auto" w:sz="4" w:space="0"/>
            </w:tcBorders>
            <w:vAlign w:val="center"/>
          </w:tcPr>
          <w:p>
            <w:pPr>
              <w:snapToGrid w:val="0"/>
              <w:spacing w:before="62" w:beforeLines="20" w:after="62" w:afterLines="20"/>
              <w:ind w:left="-53" w:leftChars="-25" w:right="-53" w:rightChars="-25"/>
              <w:jc w:val="center"/>
              <w:rPr>
                <w:rFonts w:cs="宋体"/>
                <w:color w:val="auto"/>
                <w:highlight w:val="none"/>
              </w:rPr>
            </w:pPr>
          </w:p>
        </w:tc>
        <w:tc>
          <w:tcPr>
            <w:tcW w:w="567" w:type="dxa"/>
            <w:tcBorders>
              <w:top w:val="single" w:color="auto" w:sz="4" w:space="0"/>
              <w:left w:val="single" w:color="auto" w:sz="4" w:space="0"/>
              <w:bottom w:val="single" w:color="auto" w:sz="4" w:space="0"/>
              <w:right w:val="single" w:color="auto" w:sz="4" w:space="0"/>
            </w:tcBorders>
            <w:vAlign w:val="center"/>
          </w:tcPr>
          <w:p>
            <w:pPr>
              <w:pStyle w:val="116"/>
              <w:jc w:val="center"/>
              <w:rPr>
                <w:rFonts w:cs="宋体"/>
                <w:color w:val="auto"/>
                <w:highlight w:val="none"/>
              </w:rPr>
            </w:pPr>
          </w:p>
        </w:tc>
        <w:tc>
          <w:tcPr>
            <w:tcW w:w="567" w:type="dxa"/>
            <w:tcBorders>
              <w:top w:val="single" w:color="auto" w:sz="4" w:space="0"/>
              <w:left w:val="single" w:color="auto" w:sz="4" w:space="0"/>
              <w:bottom w:val="single" w:color="auto" w:sz="4" w:space="0"/>
              <w:right w:val="single" w:color="auto" w:sz="4" w:space="0"/>
            </w:tcBorders>
            <w:vAlign w:val="center"/>
          </w:tcPr>
          <w:p>
            <w:pPr>
              <w:pStyle w:val="116"/>
              <w:jc w:val="center"/>
              <w:rPr>
                <w:rFonts w:cs="宋体"/>
                <w:color w:val="auto"/>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pPr>
              <w:pStyle w:val="116"/>
              <w:jc w:val="center"/>
              <w:rPr>
                <w:rFonts w:cs="宋体"/>
                <w:color w:val="auto"/>
                <w:highlight w:val="none"/>
              </w:rPr>
            </w:pPr>
          </w:p>
        </w:tc>
        <w:tc>
          <w:tcPr>
            <w:tcW w:w="689" w:type="dxa"/>
            <w:tcBorders>
              <w:top w:val="single" w:color="auto" w:sz="4" w:space="0"/>
              <w:left w:val="single" w:color="auto" w:sz="4" w:space="0"/>
              <w:bottom w:val="single" w:color="auto" w:sz="4" w:space="0"/>
              <w:right w:val="single" w:color="auto" w:sz="4" w:space="0"/>
            </w:tcBorders>
            <w:vAlign w:val="center"/>
          </w:tcPr>
          <w:p>
            <w:pPr>
              <w:pStyle w:val="116"/>
              <w:jc w:val="center"/>
              <w:rPr>
                <w:rFonts w:cs="宋体"/>
                <w:color w:val="auto"/>
                <w:highlight w:val="none"/>
              </w:rPr>
            </w:pPr>
          </w:p>
        </w:tc>
        <w:tc>
          <w:tcPr>
            <w:tcW w:w="596" w:type="dxa"/>
            <w:tcBorders>
              <w:top w:val="single" w:color="auto" w:sz="4" w:space="0"/>
              <w:left w:val="single" w:color="auto" w:sz="4" w:space="0"/>
              <w:bottom w:val="single" w:color="auto" w:sz="4" w:space="0"/>
              <w:right w:val="single" w:color="auto" w:sz="4" w:space="0"/>
            </w:tcBorders>
            <w:vAlign w:val="center"/>
          </w:tcPr>
          <w:p>
            <w:pPr>
              <w:pStyle w:val="116"/>
              <w:jc w:val="center"/>
              <w:rPr>
                <w:rFonts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116"/>
              <w:jc w:val="center"/>
              <w:rPr>
                <w:rFonts w:hint="eastAsia" w:eastAsia="宋体" w:cs="宋体"/>
                <w:color w:val="auto"/>
                <w:highlight w:val="none"/>
                <w:lang w:eastAsia="zh-CN"/>
              </w:rPr>
            </w:pPr>
            <w:r>
              <w:rPr>
                <w:rFonts w:hint="eastAsia" w:cs="宋体"/>
                <w:color w:val="auto"/>
                <w:highlight w:val="none"/>
              </w:rPr>
              <w:t>1</w:t>
            </w:r>
            <w:r>
              <w:rPr>
                <w:rFonts w:hint="eastAsia" w:cs="宋体"/>
                <w:color w:val="auto"/>
                <w:highlight w:val="none"/>
                <w:lang w:val="en-US" w:eastAsia="zh-CN"/>
              </w:rPr>
              <w:t>1</w:t>
            </w:r>
          </w:p>
        </w:tc>
        <w:tc>
          <w:tcPr>
            <w:tcW w:w="1055" w:type="dxa"/>
            <w:tcBorders>
              <w:top w:val="single" w:color="auto" w:sz="4" w:space="0"/>
              <w:left w:val="single" w:color="auto" w:sz="4" w:space="0"/>
              <w:bottom w:val="single" w:color="auto" w:sz="4" w:space="0"/>
              <w:right w:val="single" w:color="auto" w:sz="4" w:space="0"/>
            </w:tcBorders>
            <w:vAlign w:val="center"/>
          </w:tcPr>
          <w:p>
            <w:pPr>
              <w:pStyle w:val="116"/>
              <w:jc w:val="center"/>
              <w:rPr>
                <w:rFonts w:cs="宋体"/>
                <w:color w:val="auto"/>
                <w:highlight w:val="none"/>
              </w:rPr>
            </w:pPr>
          </w:p>
        </w:tc>
        <w:tc>
          <w:tcPr>
            <w:tcW w:w="1538" w:type="dxa"/>
            <w:tcBorders>
              <w:top w:val="single" w:color="auto" w:sz="4" w:space="0"/>
              <w:left w:val="single" w:color="auto" w:sz="4" w:space="0"/>
              <w:bottom w:val="single" w:color="auto" w:sz="4" w:space="0"/>
              <w:right w:val="single" w:color="auto" w:sz="4" w:space="0"/>
            </w:tcBorders>
            <w:vAlign w:val="center"/>
          </w:tcPr>
          <w:p>
            <w:pPr>
              <w:pStyle w:val="116"/>
              <w:jc w:val="center"/>
              <w:rPr>
                <w:rFonts w:cs="宋体"/>
                <w:color w:val="auto"/>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pPr>
              <w:pStyle w:val="116"/>
              <w:jc w:val="center"/>
              <w:rPr>
                <w:rFonts w:cs="宋体"/>
                <w:color w:val="auto"/>
                <w:highlight w:val="none"/>
              </w:rPr>
            </w:pPr>
          </w:p>
        </w:tc>
        <w:tc>
          <w:tcPr>
            <w:tcW w:w="2409"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color w:val="auto"/>
                <w:highlight w:val="none"/>
              </w:rPr>
            </w:pPr>
          </w:p>
        </w:tc>
        <w:tc>
          <w:tcPr>
            <w:tcW w:w="567" w:type="dxa"/>
            <w:tcBorders>
              <w:top w:val="single" w:color="auto" w:sz="4" w:space="0"/>
              <w:left w:val="single" w:color="auto" w:sz="4" w:space="0"/>
              <w:bottom w:val="single" w:color="auto" w:sz="4" w:space="0"/>
              <w:right w:val="single" w:color="auto" w:sz="4" w:space="0"/>
            </w:tcBorders>
            <w:vAlign w:val="center"/>
          </w:tcPr>
          <w:p>
            <w:pPr>
              <w:pStyle w:val="116"/>
              <w:jc w:val="center"/>
              <w:rPr>
                <w:rFonts w:cs="宋体"/>
                <w:color w:val="auto"/>
                <w:highlight w:val="none"/>
              </w:rPr>
            </w:pPr>
          </w:p>
        </w:tc>
        <w:tc>
          <w:tcPr>
            <w:tcW w:w="567" w:type="dxa"/>
            <w:tcBorders>
              <w:top w:val="single" w:color="auto" w:sz="4" w:space="0"/>
              <w:left w:val="single" w:color="auto" w:sz="4" w:space="0"/>
              <w:bottom w:val="single" w:color="auto" w:sz="4" w:space="0"/>
              <w:right w:val="single" w:color="auto" w:sz="4" w:space="0"/>
            </w:tcBorders>
            <w:vAlign w:val="center"/>
          </w:tcPr>
          <w:p>
            <w:pPr>
              <w:pStyle w:val="116"/>
              <w:jc w:val="center"/>
              <w:rPr>
                <w:rFonts w:cs="宋体"/>
                <w:color w:val="auto"/>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pPr>
              <w:pStyle w:val="116"/>
              <w:jc w:val="center"/>
              <w:rPr>
                <w:rFonts w:cs="宋体"/>
                <w:color w:val="auto"/>
                <w:highlight w:val="none"/>
              </w:rPr>
            </w:pPr>
          </w:p>
        </w:tc>
        <w:tc>
          <w:tcPr>
            <w:tcW w:w="689" w:type="dxa"/>
            <w:tcBorders>
              <w:top w:val="single" w:color="auto" w:sz="4" w:space="0"/>
              <w:left w:val="single" w:color="auto" w:sz="4" w:space="0"/>
              <w:bottom w:val="single" w:color="auto" w:sz="4" w:space="0"/>
              <w:right w:val="single" w:color="auto" w:sz="4" w:space="0"/>
            </w:tcBorders>
            <w:vAlign w:val="center"/>
          </w:tcPr>
          <w:p>
            <w:pPr>
              <w:pStyle w:val="116"/>
              <w:jc w:val="center"/>
              <w:rPr>
                <w:rFonts w:cs="宋体"/>
                <w:color w:val="auto"/>
                <w:highlight w:val="none"/>
              </w:rPr>
            </w:pPr>
          </w:p>
        </w:tc>
        <w:tc>
          <w:tcPr>
            <w:tcW w:w="596" w:type="dxa"/>
            <w:tcBorders>
              <w:top w:val="single" w:color="auto" w:sz="4" w:space="0"/>
              <w:left w:val="single" w:color="auto" w:sz="4" w:space="0"/>
              <w:bottom w:val="single" w:color="auto" w:sz="4" w:space="0"/>
              <w:right w:val="single" w:color="auto" w:sz="4" w:space="0"/>
            </w:tcBorders>
            <w:vAlign w:val="center"/>
          </w:tcPr>
          <w:p>
            <w:pPr>
              <w:pStyle w:val="116"/>
              <w:jc w:val="center"/>
              <w:rPr>
                <w:rFonts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116"/>
              <w:jc w:val="center"/>
              <w:rPr>
                <w:rFonts w:hint="eastAsia" w:eastAsia="宋体" w:cs="宋体"/>
                <w:color w:val="auto"/>
                <w:highlight w:val="none"/>
                <w:lang w:eastAsia="zh-CN"/>
              </w:rPr>
            </w:pPr>
            <w:r>
              <w:rPr>
                <w:rFonts w:hint="eastAsia" w:cs="宋体"/>
                <w:color w:val="auto"/>
                <w:highlight w:val="none"/>
              </w:rPr>
              <w:t>1</w:t>
            </w:r>
            <w:r>
              <w:rPr>
                <w:rFonts w:hint="eastAsia" w:cs="宋体"/>
                <w:color w:val="auto"/>
                <w:highlight w:val="none"/>
                <w:lang w:val="en-US" w:eastAsia="zh-CN"/>
              </w:rPr>
              <w:t>2</w:t>
            </w:r>
          </w:p>
        </w:tc>
        <w:tc>
          <w:tcPr>
            <w:tcW w:w="1055" w:type="dxa"/>
            <w:tcBorders>
              <w:top w:val="single" w:color="auto" w:sz="4" w:space="0"/>
              <w:left w:val="single" w:color="auto" w:sz="4" w:space="0"/>
              <w:bottom w:val="single" w:color="auto" w:sz="4" w:space="0"/>
              <w:right w:val="single" w:color="auto" w:sz="4" w:space="0"/>
            </w:tcBorders>
            <w:vAlign w:val="center"/>
          </w:tcPr>
          <w:p>
            <w:pPr>
              <w:pStyle w:val="116"/>
              <w:jc w:val="center"/>
              <w:rPr>
                <w:rFonts w:cs="宋体"/>
                <w:color w:val="auto"/>
                <w:highlight w:val="none"/>
              </w:rPr>
            </w:pPr>
          </w:p>
        </w:tc>
        <w:tc>
          <w:tcPr>
            <w:tcW w:w="1538" w:type="dxa"/>
            <w:tcBorders>
              <w:top w:val="single" w:color="auto" w:sz="4" w:space="0"/>
              <w:left w:val="single" w:color="auto" w:sz="4" w:space="0"/>
              <w:bottom w:val="single" w:color="auto" w:sz="4" w:space="0"/>
              <w:right w:val="single" w:color="auto" w:sz="4" w:space="0"/>
            </w:tcBorders>
            <w:vAlign w:val="center"/>
          </w:tcPr>
          <w:p>
            <w:pPr>
              <w:pStyle w:val="116"/>
              <w:jc w:val="center"/>
              <w:rPr>
                <w:rFonts w:cs="宋体"/>
                <w:color w:val="auto"/>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pPr>
              <w:pStyle w:val="116"/>
              <w:jc w:val="center"/>
              <w:rPr>
                <w:rFonts w:cs="宋体"/>
                <w:color w:val="auto"/>
                <w:highlight w:val="none"/>
              </w:rPr>
            </w:pPr>
          </w:p>
        </w:tc>
        <w:tc>
          <w:tcPr>
            <w:tcW w:w="2409"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color w:val="auto"/>
                <w:highlight w:val="none"/>
              </w:rPr>
            </w:pPr>
          </w:p>
        </w:tc>
        <w:tc>
          <w:tcPr>
            <w:tcW w:w="567" w:type="dxa"/>
            <w:tcBorders>
              <w:top w:val="single" w:color="auto" w:sz="4" w:space="0"/>
              <w:left w:val="single" w:color="auto" w:sz="4" w:space="0"/>
              <w:bottom w:val="single" w:color="auto" w:sz="4" w:space="0"/>
              <w:right w:val="single" w:color="auto" w:sz="4" w:space="0"/>
            </w:tcBorders>
            <w:vAlign w:val="center"/>
          </w:tcPr>
          <w:p>
            <w:pPr>
              <w:pStyle w:val="116"/>
              <w:jc w:val="center"/>
              <w:rPr>
                <w:rFonts w:cs="宋体"/>
                <w:color w:val="auto"/>
                <w:highlight w:val="none"/>
              </w:rPr>
            </w:pPr>
          </w:p>
        </w:tc>
        <w:tc>
          <w:tcPr>
            <w:tcW w:w="567" w:type="dxa"/>
            <w:tcBorders>
              <w:top w:val="single" w:color="auto" w:sz="4" w:space="0"/>
              <w:left w:val="single" w:color="auto" w:sz="4" w:space="0"/>
              <w:bottom w:val="single" w:color="auto" w:sz="4" w:space="0"/>
              <w:right w:val="single" w:color="auto" w:sz="4" w:space="0"/>
            </w:tcBorders>
            <w:vAlign w:val="center"/>
          </w:tcPr>
          <w:p>
            <w:pPr>
              <w:pStyle w:val="116"/>
              <w:jc w:val="center"/>
              <w:rPr>
                <w:rFonts w:cs="宋体"/>
                <w:color w:val="auto"/>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pPr>
              <w:pStyle w:val="116"/>
              <w:jc w:val="center"/>
              <w:rPr>
                <w:rFonts w:cs="宋体"/>
                <w:color w:val="auto"/>
                <w:highlight w:val="none"/>
              </w:rPr>
            </w:pPr>
          </w:p>
        </w:tc>
        <w:tc>
          <w:tcPr>
            <w:tcW w:w="689" w:type="dxa"/>
            <w:tcBorders>
              <w:top w:val="single" w:color="auto" w:sz="4" w:space="0"/>
              <w:left w:val="single" w:color="auto" w:sz="4" w:space="0"/>
              <w:bottom w:val="single" w:color="auto" w:sz="4" w:space="0"/>
              <w:right w:val="single" w:color="auto" w:sz="4" w:space="0"/>
            </w:tcBorders>
            <w:vAlign w:val="center"/>
          </w:tcPr>
          <w:p>
            <w:pPr>
              <w:pStyle w:val="116"/>
              <w:jc w:val="center"/>
              <w:rPr>
                <w:rFonts w:cs="宋体"/>
                <w:color w:val="auto"/>
                <w:highlight w:val="none"/>
              </w:rPr>
            </w:pPr>
          </w:p>
        </w:tc>
        <w:tc>
          <w:tcPr>
            <w:tcW w:w="596" w:type="dxa"/>
            <w:tcBorders>
              <w:top w:val="single" w:color="auto" w:sz="4" w:space="0"/>
              <w:left w:val="single" w:color="auto" w:sz="4" w:space="0"/>
              <w:bottom w:val="single" w:color="auto" w:sz="4" w:space="0"/>
              <w:right w:val="single" w:color="auto" w:sz="4" w:space="0"/>
            </w:tcBorders>
            <w:vAlign w:val="center"/>
          </w:tcPr>
          <w:p>
            <w:pPr>
              <w:pStyle w:val="116"/>
              <w:jc w:val="center"/>
              <w:rPr>
                <w:rFonts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116"/>
              <w:jc w:val="center"/>
              <w:rPr>
                <w:rFonts w:hint="eastAsia" w:eastAsia="宋体" w:cs="宋体"/>
                <w:color w:val="auto"/>
                <w:highlight w:val="none"/>
                <w:lang w:eastAsia="zh-CN"/>
              </w:rPr>
            </w:pPr>
            <w:r>
              <w:rPr>
                <w:rFonts w:hint="eastAsia" w:cs="宋体"/>
                <w:color w:val="auto"/>
                <w:highlight w:val="none"/>
              </w:rPr>
              <w:t>1</w:t>
            </w:r>
            <w:r>
              <w:rPr>
                <w:rFonts w:hint="eastAsia" w:cs="宋体"/>
                <w:color w:val="auto"/>
                <w:highlight w:val="none"/>
                <w:lang w:val="en-US" w:eastAsia="zh-CN"/>
              </w:rPr>
              <w:t>3</w:t>
            </w:r>
          </w:p>
        </w:tc>
        <w:tc>
          <w:tcPr>
            <w:tcW w:w="1055" w:type="dxa"/>
            <w:tcBorders>
              <w:top w:val="single" w:color="auto" w:sz="4" w:space="0"/>
              <w:left w:val="single" w:color="auto" w:sz="4" w:space="0"/>
              <w:bottom w:val="single" w:color="auto" w:sz="4" w:space="0"/>
              <w:right w:val="single" w:color="auto" w:sz="4" w:space="0"/>
            </w:tcBorders>
            <w:vAlign w:val="center"/>
          </w:tcPr>
          <w:p>
            <w:pPr>
              <w:pStyle w:val="116"/>
              <w:jc w:val="center"/>
              <w:rPr>
                <w:rFonts w:cs="宋体"/>
                <w:color w:val="auto"/>
                <w:highlight w:val="none"/>
              </w:rPr>
            </w:pPr>
          </w:p>
        </w:tc>
        <w:tc>
          <w:tcPr>
            <w:tcW w:w="1538" w:type="dxa"/>
            <w:tcBorders>
              <w:top w:val="single" w:color="auto" w:sz="4" w:space="0"/>
              <w:left w:val="single" w:color="auto" w:sz="4" w:space="0"/>
              <w:bottom w:val="single" w:color="auto" w:sz="4" w:space="0"/>
              <w:right w:val="single" w:color="auto" w:sz="4" w:space="0"/>
            </w:tcBorders>
            <w:vAlign w:val="center"/>
          </w:tcPr>
          <w:p>
            <w:pPr>
              <w:pStyle w:val="116"/>
              <w:jc w:val="center"/>
              <w:rPr>
                <w:rFonts w:cs="宋体"/>
                <w:color w:val="auto"/>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pPr>
              <w:pStyle w:val="116"/>
              <w:jc w:val="center"/>
              <w:rPr>
                <w:rFonts w:cs="宋体"/>
                <w:color w:val="auto"/>
                <w:highlight w:val="none"/>
              </w:rPr>
            </w:pPr>
          </w:p>
        </w:tc>
        <w:tc>
          <w:tcPr>
            <w:tcW w:w="2409" w:type="dxa"/>
            <w:tcBorders>
              <w:top w:val="single" w:color="auto" w:sz="4" w:space="0"/>
              <w:left w:val="single" w:color="auto" w:sz="4" w:space="0"/>
              <w:bottom w:val="single" w:color="auto" w:sz="4" w:space="0"/>
              <w:right w:val="single" w:color="auto" w:sz="4" w:space="0"/>
            </w:tcBorders>
            <w:vAlign w:val="center"/>
          </w:tcPr>
          <w:p>
            <w:pPr>
              <w:pStyle w:val="116"/>
              <w:jc w:val="center"/>
              <w:rPr>
                <w:rFonts w:cs="宋体"/>
                <w:color w:val="auto"/>
                <w:highlight w:val="none"/>
              </w:rPr>
            </w:pPr>
          </w:p>
        </w:tc>
        <w:tc>
          <w:tcPr>
            <w:tcW w:w="567" w:type="dxa"/>
            <w:tcBorders>
              <w:top w:val="single" w:color="auto" w:sz="4" w:space="0"/>
              <w:left w:val="single" w:color="auto" w:sz="4" w:space="0"/>
              <w:bottom w:val="single" w:color="auto" w:sz="4" w:space="0"/>
              <w:right w:val="single" w:color="auto" w:sz="4" w:space="0"/>
            </w:tcBorders>
            <w:vAlign w:val="center"/>
          </w:tcPr>
          <w:p>
            <w:pPr>
              <w:pStyle w:val="116"/>
              <w:jc w:val="center"/>
              <w:rPr>
                <w:rFonts w:cs="宋体"/>
                <w:color w:val="auto"/>
                <w:highlight w:val="none"/>
              </w:rPr>
            </w:pPr>
          </w:p>
        </w:tc>
        <w:tc>
          <w:tcPr>
            <w:tcW w:w="567" w:type="dxa"/>
            <w:tcBorders>
              <w:top w:val="single" w:color="auto" w:sz="4" w:space="0"/>
              <w:left w:val="single" w:color="auto" w:sz="4" w:space="0"/>
              <w:bottom w:val="single" w:color="auto" w:sz="4" w:space="0"/>
              <w:right w:val="single" w:color="auto" w:sz="4" w:space="0"/>
            </w:tcBorders>
            <w:vAlign w:val="center"/>
          </w:tcPr>
          <w:p>
            <w:pPr>
              <w:pStyle w:val="116"/>
              <w:jc w:val="center"/>
              <w:rPr>
                <w:rFonts w:cs="宋体"/>
                <w:color w:val="auto"/>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pPr>
              <w:pStyle w:val="116"/>
              <w:jc w:val="center"/>
              <w:rPr>
                <w:rFonts w:cs="宋体"/>
                <w:color w:val="auto"/>
                <w:highlight w:val="none"/>
              </w:rPr>
            </w:pPr>
          </w:p>
        </w:tc>
        <w:tc>
          <w:tcPr>
            <w:tcW w:w="689" w:type="dxa"/>
            <w:tcBorders>
              <w:top w:val="single" w:color="auto" w:sz="4" w:space="0"/>
              <w:left w:val="single" w:color="auto" w:sz="4" w:space="0"/>
              <w:bottom w:val="single" w:color="auto" w:sz="4" w:space="0"/>
              <w:right w:val="single" w:color="auto" w:sz="4" w:space="0"/>
            </w:tcBorders>
            <w:vAlign w:val="center"/>
          </w:tcPr>
          <w:p>
            <w:pPr>
              <w:pStyle w:val="116"/>
              <w:jc w:val="center"/>
              <w:rPr>
                <w:rFonts w:cs="宋体"/>
                <w:color w:val="auto"/>
                <w:highlight w:val="none"/>
              </w:rPr>
            </w:pPr>
          </w:p>
        </w:tc>
        <w:tc>
          <w:tcPr>
            <w:tcW w:w="596" w:type="dxa"/>
            <w:tcBorders>
              <w:top w:val="single" w:color="auto" w:sz="4" w:space="0"/>
              <w:left w:val="single" w:color="auto" w:sz="4" w:space="0"/>
              <w:bottom w:val="single" w:color="auto" w:sz="4" w:space="0"/>
              <w:right w:val="single" w:color="auto" w:sz="4" w:space="0"/>
            </w:tcBorders>
            <w:vAlign w:val="center"/>
          </w:tcPr>
          <w:p>
            <w:pPr>
              <w:pStyle w:val="116"/>
              <w:jc w:val="center"/>
              <w:rPr>
                <w:rFonts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116"/>
              <w:jc w:val="center"/>
              <w:rPr>
                <w:rFonts w:hint="eastAsia" w:eastAsia="宋体" w:cs="宋体"/>
                <w:color w:val="auto"/>
                <w:highlight w:val="none"/>
                <w:lang w:eastAsia="zh-CN"/>
              </w:rPr>
            </w:pPr>
            <w:r>
              <w:rPr>
                <w:rFonts w:hint="eastAsia" w:cs="宋体"/>
                <w:color w:val="auto"/>
                <w:highlight w:val="none"/>
              </w:rPr>
              <w:t>1</w:t>
            </w:r>
            <w:r>
              <w:rPr>
                <w:rFonts w:hint="eastAsia" w:cs="宋体"/>
                <w:color w:val="auto"/>
                <w:highlight w:val="none"/>
                <w:lang w:val="en-US" w:eastAsia="zh-CN"/>
              </w:rPr>
              <w:t>4</w:t>
            </w:r>
          </w:p>
        </w:tc>
        <w:tc>
          <w:tcPr>
            <w:tcW w:w="1055" w:type="dxa"/>
            <w:tcBorders>
              <w:top w:val="single" w:color="auto" w:sz="4" w:space="0"/>
              <w:left w:val="single" w:color="auto" w:sz="4" w:space="0"/>
              <w:bottom w:val="single" w:color="auto" w:sz="4" w:space="0"/>
              <w:right w:val="single" w:color="auto" w:sz="4" w:space="0"/>
            </w:tcBorders>
            <w:vAlign w:val="center"/>
          </w:tcPr>
          <w:p>
            <w:pPr>
              <w:pStyle w:val="116"/>
              <w:jc w:val="center"/>
              <w:rPr>
                <w:rFonts w:cs="宋体"/>
                <w:color w:val="auto"/>
                <w:highlight w:val="none"/>
              </w:rPr>
            </w:pPr>
          </w:p>
        </w:tc>
        <w:tc>
          <w:tcPr>
            <w:tcW w:w="1538" w:type="dxa"/>
            <w:tcBorders>
              <w:top w:val="single" w:color="auto" w:sz="4" w:space="0"/>
              <w:left w:val="single" w:color="auto" w:sz="4" w:space="0"/>
              <w:bottom w:val="single" w:color="auto" w:sz="4" w:space="0"/>
              <w:right w:val="single" w:color="auto" w:sz="4" w:space="0"/>
            </w:tcBorders>
            <w:vAlign w:val="center"/>
          </w:tcPr>
          <w:p>
            <w:pPr>
              <w:pStyle w:val="116"/>
              <w:jc w:val="center"/>
              <w:rPr>
                <w:rFonts w:cs="宋体"/>
                <w:color w:val="auto"/>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pPr>
              <w:pStyle w:val="116"/>
              <w:jc w:val="center"/>
              <w:rPr>
                <w:rFonts w:cs="宋体"/>
                <w:color w:val="auto"/>
                <w:highlight w:val="none"/>
              </w:rPr>
            </w:pPr>
          </w:p>
        </w:tc>
        <w:tc>
          <w:tcPr>
            <w:tcW w:w="2409" w:type="dxa"/>
            <w:tcBorders>
              <w:top w:val="single" w:color="auto" w:sz="4" w:space="0"/>
              <w:left w:val="single" w:color="auto" w:sz="4" w:space="0"/>
              <w:bottom w:val="single" w:color="auto" w:sz="4" w:space="0"/>
              <w:right w:val="single" w:color="auto" w:sz="4" w:space="0"/>
            </w:tcBorders>
            <w:vAlign w:val="center"/>
          </w:tcPr>
          <w:p>
            <w:pPr>
              <w:pStyle w:val="116"/>
              <w:jc w:val="center"/>
              <w:rPr>
                <w:rFonts w:cs="宋体"/>
                <w:color w:val="auto"/>
                <w:highlight w:val="none"/>
              </w:rPr>
            </w:pPr>
          </w:p>
        </w:tc>
        <w:tc>
          <w:tcPr>
            <w:tcW w:w="567" w:type="dxa"/>
            <w:tcBorders>
              <w:top w:val="single" w:color="auto" w:sz="4" w:space="0"/>
              <w:left w:val="single" w:color="auto" w:sz="4" w:space="0"/>
              <w:bottom w:val="single" w:color="auto" w:sz="4" w:space="0"/>
              <w:right w:val="single" w:color="auto" w:sz="4" w:space="0"/>
            </w:tcBorders>
            <w:vAlign w:val="center"/>
          </w:tcPr>
          <w:p>
            <w:pPr>
              <w:pStyle w:val="116"/>
              <w:jc w:val="center"/>
              <w:rPr>
                <w:rFonts w:cs="宋体"/>
                <w:color w:val="auto"/>
                <w:highlight w:val="none"/>
              </w:rPr>
            </w:pPr>
          </w:p>
        </w:tc>
        <w:tc>
          <w:tcPr>
            <w:tcW w:w="567" w:type="dxa"/>
            <w:tcBorders>
              <w:top w:val="single" w:color="auto" w:sz="4" w:space="0"/>
              <w:left w:val="single" w:color="auto" w:sz="4" w:space="0"/>
              <w:bottom w:val="single" w:color="auto" w:sz="4" w:space="0"/>
              <w:right w:val="single" w:color="auto" w:sz="4" w:space="0"/>
            </w:tcBorders>
            <w:vAlign w:val="center"/>
          </w:tcPr>
          <w:p>
            <w:pPr>
              <w:pStyle w:val="116"/>
              <w:jc w:val="center"/>
              <w:rPr>
                <w:rFonts w:cs="宋体"/>
                <w:color w:val="auto"/>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pPr>
              <w:pStyle w:val="116"/>
              <w:jc w:val="center"/>
              <w:rPr>
                <w:rFonts w:cs="宋体"/>
                <w:color w:val="auto"/>
                <w:highlight w:val="none"/>
              </w:rPr>
            </w:pPr>
          </w:p>
        </w:tc>
        <w:tc>
          <w:tcPr>
            <w:tcW w:w="689" w:type="dxa"/>
            <w:tcBorders>
              <w:top w:val="single" w:color="auto" w:sz="4" w:space="0"/>
              <w:left w:val="single" w:color="auto" w:sz="4" w:space="0"/>
              <w:bottom w:val="single" w:color="auto" w:sz="4" w:space="0"/>
              <w:right w:val="single" w:color="auto" w:sz="4" w:space="0"/>
            </w:tcBorders>
            <w:vAlign w:val="center"/>
          </w:tcPr>
          <w:p>
            <w:pPr>
              <w:pStyle w:val="116"/>
              <w:jc w:val="center"/>
              <w:rPr>
                <w:rFonts w:cs="宋体"/>
                <w:color w:val="auto"/>
                <w:highlight w:val="none"/>
              </w:rPr>
            </w:pPr>
          </w:p>
        </w:tc>
        <w:tc>
          <w:tcPr>
            <w:tcW w:w="596" w:type="dxa"/>
            <w:tcBorders>
              <w:top w:val="single" w:color="auto" w:sz="4" w:space="0"/>
              <w:left w:val="single" w:color="auto" w:sz="4" w:space="0"/>
              <w:bottom w:val="single" w:color="auto" w:sz="4" w:space="0"/>
              <w:right w:val="single" w:color="auto" w:sz="4" w:space="0"/>
            </w:tcBorders>
            <w:vAlign w:val="center"/>
          </w:tcPr>
          <w:p>
            <w:pPr>
              <w:pStyle w:val="116"/>
              <w:jc w:val="center"/>
              <w:rPr>
                <w:rFonts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78"/>
              <w:ind w:right="-13" w:rightChars="-6" w:firstLine="0" w:firstLineChars="0"/>
              <w:rPr>
                <w:rFonts w:ascii="宋体" w:hAnsi="宋体" w:cs="宋体"/>
                <w:snapToGrid w:val="0"/>
                <w:color w:val="auto"/>
                <w:sz w:val="21"/>
                <w:szCs w:val="21"/>
                <w:highlight w:val="none"/>
              </w:rPr>
            </w:pPr>
            <w:r>
              <w:rPr>
                <w:rFonts w:hint="eastAsia" w:ascii="宋体" w:hAnsi="宋体" w:cs="宋体"/>
                <w:snapToGrid w:val="0"/>
                <w:color w:val="auto"/>
                <w:sz w:val="21"/>
                <w:szCs w:val="21"/>
                <w:highlight w:val="none"/>
              </w:rPr>
              <w:t>……</w:t>
            </w:r>
          </w:p>
        </w:tc>
        <w:tc>
          <w:tcPr>
            <w:tcW w:w="1055" w:type="dxa"/>
            <w:tcBorders>
              <w:top w:val="single" w:color="auto" w:sz="4" w:space="0"/>
              <w:left w:val="single" w:color="auto" w:sz="4" w:space="0"/>
              <w:bottom w:val="single" w:color="auto" w:sz="4" w:space="0"/>
              <w:right w:val="single" w:color="auto" w:sz="4" w:space="0"/>
            </w:tcBorders>
            <w:vAlign w:val="center"/>
          </w:tcPr>
          <w:p>
            <w:pPr>
              <w:pStyle w:val="116"/>
              <w:jc w:val="center"/>
              <w:rPr>
                <w:rFonts w:cs="宋体"/>
                <w:color w:val="auto"/>
                <w:highlight w:val="none"/>
              </w:rPr>
            </w:pPr>
          </w:p>
        </w:tc>
        <w:tc>
          <w:tcPr>
            <w:tcW w:w="1538" w:type="dxa"/>
            <w:tcBorders>
              <w:top w:val="single" w:color="auto" w:sz="4" w:space="0"/>
              <w:left w:val="single" w:color="auto" w:sz="4" w:space="0"/>
              <w:bottom w:val="single" w:color="auto" w:sz="4" w:space="0"/>
              <w:right w:val="single" w:color="auto" w:sz="4" w:space="0"/>
            </w:tcBorders>
            <w:vAlign w:val="center"/>
          </w:tcPr>
          <w:p>
            <w:pPr>
              <w:pStyle w:val="116"/>
              <w:jc w:val="center"/>
              <w:rPr>
                <w:rFonts w:cs="宋体"/>
                <w:color w:val="auto"/>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pPr>
              <w:pStyle w:val="116"/>
              <w:jc w:val="center"/>
              <w:rPr>
                <w:rFonts w:cs="宋体"/>
                <w:color w:val="auto"/>
                <w:highlight w:val="none"/>
              </w:rPr>
            </w:pPr>
          </w:p>
        </w:tc>
        <w:tc>
          <w:tcPr>
            <w:tcW w:w="2409" w:type="dxa"/>
            <w:tcBorders>
              <w:top w:val="single" w:color="auto" w:sz="4" w:space="0"/>
              <w:left w:val="single" w:color="auto" w:sz="4" w:space="0"/>
              <w:bottom w:val="single" w:color="auto" w:sz="4" w:space="0"/>
              <w:right w:val="single" w:color="auto" w:sz="4" w:space="0"/>
            </w:tcBorders>
            <w:vAlign w:val="center"/>
          </w:tcPr>
          <w:p>
            <w:pPr>
              <w:pStyle w:val="116"/>
              <w:jc w:val="center"/>
              <w:rPr>
                <w:rFonts w:cs="宋体"/>
                <w:color w:val="auto"/>
                <w:highlight w:val="none"/>
              </w:rPr>
            </w:pPr>
          </w:p>
        </w:tc>
        <w:tc>
          <w:tcPr>
            <w:tcW w:w="567" w:type="dxa"/>
            <w:tcBorders>
              <w:top w:val="single" w:color="auto" w:sz="4" w:space="0"/>
              <w:left w:val="single" w:color="auto" w:sz="4" w:space="0"/>
              <w:bottom w:val="single" w:color="auto" w:sz="4" w:space="0"/>
              <w:right w:val="single" w:color="auto" w:sz="4" w:space="0"/>
            </w:tcBorders>
            <w:vAlign w:val="center"/>
          </w:tcPr>
          <w:p>
            <w:pPr>
              <w:pStyle w:val="116"/>
              <w:jc w:val="center"/>
              <w:rPr>
                <w:rFonts w:cs="宋体"/>
                <w:color w:val="auto"/>
                <w:highlight w:val="none"/>
              </w:rPr>
            </w:pPr>
          </w:p>
        </w:tc>
        <w:tc>
          <w:tcPr>
            <w:tcW w:w="567" w:type="dxa"/>
            <w:tcBorders>
              <w:top w:val="single" w:color="auto" w:sz="4" w:space="0"/>
              <w:left w:val="single" w:color="auto" w:sz="4" w:space="0"/>
              <w:bottom w:val="single" w:color="auto" w:sz="4" w:space="0"/>
              <w:right w:val="single" w:color="auto" w:sz="4" w:space="0"/>
            </w:tcBorders>
            <w:vAlign w:val="center"/>
          </w:tcPr>
          <w:p>
            <w:pPr>
              <w:pStyle w:val="116"/>
              <w:jc w:val="center"/>
              <w:rPr>
                <w:rFonts w:cs="宋体"/>
                <w:color w:val="auto"/>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pPr>
              <w:pStyle w:val="116"/>
              <w:jc w:val="center"/>
              <w:rPr>
                <w:rFonts w:cs="宋体"/>
                <w:color w:val="auto"/>
                <w:highlight w:val="none"/>
              </w:rPr>
            </w:pPr>
          </w:p>
        </w:tc>
        <w:tc>
          <w:tcPr>
            <w:tcW w:w="689" w:type="dxa"/>
            <w:tcBorders>
              <w:top w:val="single" w:color="auto" w:sz="4" w:space="0"/>
              <w:left w:val="single" w:color="auto" w:sz="4" w:space="0"/>
              <w:bottom w:val="single" w:color="auto" w:sz="4" w:space="0"/>
              <w:right w:val="single" w:color="auto" w:sz="4" w:space="0"/>
            </w:tcBorders>
            <w:vAlign w:val="center"/>
          </w:tcPr>
          <w:p>
            <w:pPr>
              <w:pStyle w:val="116"/>
              <w:jc w:val="center"/>
              <w:rPr>
                <w:rFonts w:cs="宋体"/>
                <w:color w:val="auto"/>
                <w:highlight w:val="none"/>
              </w:rPr>
            </w:pPr>
          </w:p>
        </w:tc>
        <w:tc>
          <w:tcPr>
            <w:tcW w:w="596" w:type="dxa"/>
            <w:tcBorders>
              <w:top w:val="single" w:color="auto" w:sz="4" w:space="0"/>
              <w:left w:val="single" w:color="auto" w:sz="4" w:space="0"/>
              <w:bottom w:val="single" w:color="auto" w:sz="4" w:space="0"/>
              <w:right w:val="single" w:color="auto" w:sz="4" w:space="0"/>
            </w:tcBorders>
            <w:vAlign w:val="center"/>
          </w:tcPr>
          <w:p>
            <w:pPr>
              <w:pStyle w:val="116"/>
              <w:jc w:val="center"/>
              <w:rPr>
                <w:rFonts w:cs="宋体"/>
                <w:color w:val="auto"/>
                <w:highlight w:val="none"/>
              </w:rPr>
            </w:pPr>
          </w:p>
        </w:tc>
      </w:tr>
    </w:tbl>
    <w:p>
      <w:pPr>
        <w:widowControl/>
        <w:shd w:val="clear" w:color="auto" w:fill="FFFFFF"/>
        <w:adjustRightInd w:val="0"/>
        <w:ind w:firstLine="422" w:firstLineChars="200"/>
        <w:jc w:val="left"/>
        <w:rPr>
          <w:rFonts w:ascii="宋体" w:hAnsi="宋体" w:cs="宋体"/>
          <w:color w:val="auto"/>
          <w:highlight w:val="none"/>
        </w:rPr>
      </w:pPr>
      <w:r>
        <w:rPr>
          <w:rFonts w:hint="eastAsia" w:ascii="宋体" w:hAnsi="宋体" w:cs="宋体"/>
          <w:b/>
          <w:color w:val="auto"/>
          <w:highlight w:val="none"/>
        </w:rPr>
        <w:t>备注：</w:t>
      </w:r>
      <w:r>
        <w:rPr>
          <w:rFonts w:hint="eastAsia" w:ascii="宋体" w:hAnsi="宋体" w:cs="宋体"/>
          <w:color w:val="auto"/>
          <w:highlight w:val="none"/>
        </w:rPr>
        <w:t>1、“岗位”要求（除项目负责人和专职安全员外）由招标人根据项目管理需要在本表备注中明确提出。以上项目管理团队人员信息将由交易系统提取后供各相关单位在履约时比对、查核。</w:t>
      </w:r>
    </w:p>
    <w:p>
      <w:pPr>
        <w:widowControl/>
        <w:shd w:val="clear" w:color="auto" w:fill="FFFFFF"/>
        <w:adjustRightInd w:val="0"/>
        <w:ind w:firstLine="420" w:firstLineChars="200"/>
        <w:jc w:val="left"/>
        <w:rPr>
          <w:rFonts w:ascii="宋体" w:hAnsi="宋体" w:cs="宋体"/>
          <w:color w:val="auto"/>
          <w:highlight w:val="none"/>
        </w:rPr>
      </w:pPr>
      <w:r>
        <w:rPr>
          <w:rFonts w:hint="eastAsia" w:ascii="宋体" w:hAnsi="宋体" w:cs="宋体"/>
          <w:color w:val="auto"/>
          <w:highlight w:val="none"/>
        </w:rPr>
        <w:t>2、投标人应根据本表备注中的“岗位”要求，填写本表“岗位”栏和相关人员“姓名”、“职称”和“职称证书编号”栏。“职称”栏填“高级”、“中级”、“初级”或“无”；无职称证书或资格证书的，“职称证书或资格证书编号”栏填“无”；同时具备职称证书和资格证书的，“职称证书或资格证书编号”栏填职称证书编号。投标人完整填写相关表格内容后，投标登记方能成功(投标截止时间前可以补充、修改、替代)。</w:t>
      </w:r>
    </w:p>
    <w:p>
      <w:pPr>
        <w:widowControl/>
        <w:shd w:val="clear" w:color="auto" w:fill="FFFFFF"/>
        <w:adjustRightInd w:val="0"/>
        <w:ind w:firstLine="420" w:firstLineChars="200"/>
        <w:jc w:val="left"/>
        <w:rPr>
          <w:rFonts w:ascii="宋体" w:hAnsi="宋体" w:cs="宋体"/>
          <w:color w:val="auto"/>
          <w:highlight w:val="none"/>
        </w:rPr>
      </w:pPr>
      <w:r>
        <w:rPr>
          <w:rFonts w:hint="eastAsia" w:ascii="宋体" w:hAnsi="宋体" w:cs="宋体"/>
          <w:color w:val="auto"/>
          <w:highlight w:val="none"/>
        </w:rPr>
        <w:t>3、如评标办法对投标人拟投入的项目管理团队进行评审的，如相同岗位投入人员姓名与本表不一致的，以本表中姓名为准；投标人提供的团队人员职称或资格（含证书编号）情况与本表不一致的，以投标人提供的相关证明材料为准。</w:t>
      </w:r>
    </w:p>
    <w:p>
      <w:pPr>
        <w:widowControl/>
        <w:shd w:val="clear" w:color="auto" w:fill="FFFFFF"/>
        <w:adjustRightInd w:val="0"/>
        <w:ind w:firstLine="420" w:firstLineChars="200"/>
        <w:jc w:val="left"/>
        <w:rPr>
          <w:rFonts w:ascii="宋体" w:hAnsi="宋体" w:cs="宋体"/>
          <w:color w:val="auto"/>
          <w:highlight w:val="none"/>
        </w:rPr>
      </w:pPr>
      <w:r>
        <w:rPr>
          <w:rFonts w:hint="eastAsia" w:ascii="宋体" w:hAnsi="宋体" w:cs="宋体"/>
          <w:color w:val="auto"/>
          <w:highlight w:val="none"/>
        </w:rPr>
        <w:t>4、本表为项目管理团队人员的基本情况汇总，投标人可根据自身情况和招标文件要求配备专业技术管理人员，各岗位人员不得相互兼职。本表中填报的所有人员均需按招标文件第四章《主要人员简历表》格式要求编制并提交个人简历。</w:t>
      </w:r>
    </w:p>
    <w:p>
      <w:pPr>
        <w:widowControl/>
        <w:shd w:val="clear" w:color="auto" w:fill="FFFFFF"/>
        <w:adjustRightInd w:val="0"/>
        <w:ind w:firstLine="420" w:firstLineChars="200"/>
        <w:jc w:val="left"/>
        <w:rPr>
          <w:rFonts w:ascii="宋体" w:hAnsi="宋体" w:cs="宋体"/>
          <w:color w:val="auto"/>
          <w:highlight w:val="none"/>
        </w:rPr>
      </w:pPr>
      <w:r>
        <w:rPr>
          <w:rFonts w:hint="eastAsia" w:ascii="宋体" w:hAnsi="宋体" w:cs="宋体"/>
          <w:color w:val="auto"/>
          <w:highlight w:val="none"/>
        </w:rPr>
        <w:t>5、本表项目管理团队人员需提供近一个月（2022年</w:t>
      </w:r>
      <w:r>
        <w:rPr>
          <w:rFonts w:hint="eastAsia" w:ascii="宋体" w:hAnsi="宋体" w:cs="宋体"/>
          <w:color w:val="auto"/>
          <w:highlight w:val="none"/>
          <w:lang w:val="en-US" w:eastAsia="zh-CN"/>
        </w:rPr>
        <w:t>12</w:t>
      </w:r>
      <w:r>
        <w:rPr>
          <w:rFonts w:hint="eastAsia" w:ascii="宋体" w:hAnsi="宋体" w:cs="宋体"/>
          <w:color w:val="auto"/>
          <w:highlight w:val="none"/>
        </w:rPr>
        <w:t>月）社保证明文件原件清晰扫描件（若在“新型冠状病毒感染肺炎”疫情期间，当地政府部门允许企业在疫情期间缓缴社会保险费且投标人未缴纳的，投标人可提供当地政府部门允许缓缴社保的相关文件作为缴纳社保的证明；并在中标后，提供后续的社保补缴情况供招标方核实，若发现弄虚作假的，则将其行为纳入不诚信名单，招标人保留上报给行政主管部门的权力），并按招标公告及招标文件第二章附表四《技术标详细审查评分表》和附表四附件《投标人投入主要人员基本要求表》的评分要求提供相应证明材料，否则相应评分项不得分。所有证明材料要求为原件清晰扫描件。</w:t>
      </w:r>
    </w:p>
    <w:p>
      <w:pPr>
        <w:widowControl/>
        <w:shd w:val="clear" w:color="auto" w:fill="FFFFFF"/>
        <w:adjustRightInd w:val="0"/>
        <w:ind w:firstLine="420" w:firstLineChars="200"/>
        <w:jc w:val="left"/>
        <w:rPr>
          <w:rFonts w:ascii="宋体" w:hAnsi="宋体" w:cs="宋体"/>
          <w:color w:val="auto"/>
          <w:highlight w:val="none"/>
        </w:rPr>
      </w:pPr>
      <w:r>
        <w:rPr>
          <w:rFonts w:hint="eastAsia" w:ascii="宋体" w:hAnsi="宋体" w:cs="宋体"/>
          <w:color w:val="auto"/>
          <w:highlight w:val="none"/>
        </w:rPr>
        <w:t>6、人员仅指投标人（不含子公司）自身人员。</w:t>
      </w:r>
    </w:p>
    <w:p>
      <w:pPr>
        <w:widowControl/>
        <w:shd w:val="clear" w:color="auto" w:fill="FFFFFF"/>
        <w:adjustRightInd w:val="0"/>
        <w:ind w:firstLine="420" w:firstLineChars="200"/>
        <w:jc w:val="left"/>
        <w:rPr>
          <w:rFonts w:ascii="宋体" w:hAnsi="宋体" w:cs="宋体"/>
          <w:color w:val="auto"/>
          <w:highlight w:val="none"/>
        </w:rPr>
      </w:pPr>
      <w:r>
        <w:rPr>
          <w:rFonts w:hint="eastAsia" w:ascii="宋体" w:hAnsi="宋体" w:cs="宋体"/>
          <w:color w:val="auto"/>
          <w:highlight w:val="none"/>
        </w:rPr>
        <w:t>7、拟投入的项目管理团队人员，未经招标人同意，中标后不得更换，否则按合同约定承担违约责任。</w:t>
      </w:r>
    </w:p>
    <w:p>
      <w:pPr>
        <w:pStyle w:val="78"/>
        <w:ind w:firstLine="3596" w:firstLineChars="1450"/>
        <w:rPr>
          <w:rFonts w:ascii="宋体" w:hAnsi="宋体" w:cs="宋体"/>
          <w:color w:val="auto"/>
          <w:highlight w:val="none"/>
        </w:rPr>
      </w:pPr>
    </w:p>
    <w:p>
      <w:pPr>
        <w:pStyle w:val="78"/>
        <w:ind w:firstLine="3596" w:firstLineChars="1450"/>
        <w:rPr>
          <w:rFonts w:ascii="宋体" w:hAnsi="宋体" w:cs="宋体"/>
          <w:color w:val="auto"/>
          <w:highlight w:val="none"/>
        </w:rPr>
      </w:pPr>
      <w:r>
        <w:rPr>
          <w:rFonts w:hint="eastAsia" w:ascii="宋体" w:hAnsi="宋体" w:cs="宋体"/>
          <w:color w:val="auto"/>
          <w:highlight w:val="none"/>
        </w:rPr>
        <w:t>投标人：　　（盖章）</w:t>
      </w:r>
    </w:p>
    <w:p>
      <w:pPr>
        <w:pStyle w:val="78"/>
        <w:ind w:firstLine="3596" w:firstLineChars="1450"/>
        <w:rPr>
          <w:rFonts w:ascii="宋体" w:hAnsi="宋体" w:cs="宋体"/>
          <w:color w:val="auto"/>
          <w:highlight w:val="none"/>
        </w:rPr>
      </w:pPr>
      <w:r>
        <w:rPr>
          <w:rFonts w:hint="eastAsia" w:ascii="宋体" w:hAnsi="宋体" w:cs="宋体"/>
          <w:color w:val="auto"/>
          <w:highlight w:val="none"/>
        </w:rPr>
        <w:t>法定代表人或授权代理人(签字或盖章)：</w:t>
      </w:r>
    </w:p>
    <w:p>
      <w:pPr>
        <w:ind w:firstLine="3600" w:firstLineChars="1500"/>
        <w:rPr>
          <w:rFonts w:ascii="宋体" w:hAnsi="宋体" w:cs="宋体"/>
          <w:color w:val="auto"/>
          <w:sz w:val="24"/>
          <w:highlight w:val="none"/>
        </w:rPr>
      </w:pPr>
      <w:r>
        <w:rPr>
          <w:rFonts w:hint="eastAsia" w:ascii="宋体" w:hAnsi="宋体" w:cs="宋体"/>
          <w:color w:val="auto"/>
          <w:sz w:val="24"/>
          <w:highlight w:val="none"/>
        </w:rPr>
        <w:t>日   期：    年    月    日</w:t>
      </w:r>
    </w:p>
    <w:p>
      <w:pPr>
        <w:pStyle w:val="78"/>
        <w:ind w:firstLine="496"/>
        <w:rPr>
          <w:rFonts w:ascii="宋体" w:hAnsi="宋体" w:cs="宋体"/>
          <w:color w:val="auto"/>
          <w:highlight w:val="none"/>
        </w:rPr>
      </w:pPr>
    </w:p>
    <w:p>
      <w:pPr>
        <w:autoSpaceDE w:val="0"/>
        <w:autoSpaceDN w:val="0"/>
        <w:adjustRightInd w:val="0"/>
        <w:rPr>
          <w:rFonts w:ascii="宋体" w:hAnsi="宋体" w:cs="宋体"/>
          <w:color w:val="auto"/>
          <w:sz w:val="24"/>
          <w:szCs w:val="24"/>
          <w:highlight w:val="none"/>
        </w:rPr>
      </w:pPr>
    </w:p>
    <w:p>
      <w:pPr>
        <w:rPr>
          <w:rFonts w:ascii="宋体" w:hAnsi="宋体" w:cs="宋体"/>
          <w:b/>
          <w:color w:val="auto"/>
          <w:sz w:val="24"/>
          <w:szCs w:val="24"/>
          <w:highlight w:val="none"/>
        </w:rPr>
      </w:pPr>
      <w:r>
        <w:rPr>
          <w:rFonts w:hint="eastAsia" w:ascii="宋体" w:hAnsi="宋体" w:cs="宋体"/>
          <w:b/>
          <w:color w:val="auto"/>
          <w:sz w:val="24"/>
          <w:szCs w:val="24"/>
          <w:highlight w:val="none"/>
        </w:rPr>
        <w:br w:type="page"/>
      </w:r>
    </w:p>
    <w:p>
      <w:pPr>
        <w:widowControl/>
        <w:jc w:val="left"/>
        <w:rPr>
          <w:rFonts w:ascii="宋体" w:hAnsi="宋体" w:cs="宋体"/>
          <w:b/>
          <w:bCs w:val="0"/>
          <w:color w:val="auto"/>
          <w:sz w:val="24"/>
          <w:szCs w:val="24"/>
          <w:highlight w:val="none"/>
        </w:rPr>
      </w:pPr>
      <w:r>
        <w:rPr>
          <w:rFonts w:hint="eastAsia" w:ascii="宋体" w:hAnsi="宋体" w:cs="宋体"/>
          <w:color w:val="auto"/>
          <w:sz w:val="24"/>
          <w:highlight w:val="none"/>
        </w:rPr>
        <w:t>★</w:t>
      </w:r>
      <w:r>
        <w:rPr>
          <w:rFonts w:hint="eastAsia" w:ascii="宋体" w:hAnsi="宋体" w:cs="宋体"/>
          <w:b/>
          <w:bCs w:val="0"/>
          <w:color w:val="auto"/>
          <w:sz w:val="24"/>
          <w:szCs w:val="24"/>
          <w:highlight w:val="none"/>
        </w:rPr>
        <w:t>技术部分格式</w:t>
      </w:r>
      <w:r>
        <w:rPr>
          <w:rFonts w:hint="eastAsia" w:ascii="宋体" w:hAnsi="宋体" w:cs="宋体"/>
          <w:b/>
          <w:bCs w:val="0"/>
          <w:color w:val="auto"/>
          <w:sz w:val="24"/>
          <w:szCs w:val="24"/>
          <w:highlight w:val="none"/>
          <w:lang w:val="en-US" w:eastAsia="zh-CN"/>
        </w:rPr>
        <w:t>9</w:t>
      </w:r>
      <w:r>
        <w:rPr>
          <w:rFonts w:hint="eastAsia" w:ascii="宋体" w:hAnsi="宋体" w:cs="宋体"/>
          <w:b/>
          <w:bCs w:val="0"/>
          <w:color w:val="auto"/>
          <w:sz w:val="24"/>
          <w:szCs w:val="24"/>
          <w:highlight w:val="none"/>
        </w:rPr>
        <w:t>：</w:t>
      </w:r>
    </w:p>
    <w:p>
      <w:pPr>
        <w:pStyle w:val="8"/>
        <w:rPr>
          <w:rFonts w:hint="eastAsia" w:ascii="宋体" w:hAnsi="宋体" w:cs="宋体"/>
          <w:color w:val="auto"/>
          <w:highlight w:val="none"/>
        </w:rPr>
      </w:pPr>
      <w:bookmarkStart w:id="27" w:name="_Toc11987"/>
      <w:bookmarkStart w:id="28" w:name="_Toc352623427"/>
      <w:bookmarkStart w:id="29" w:name="_Toc449308426"/>
      <w:bookmarkStart w:id="30" w:name="_Toc358370584"/>
      <w:bookmarkStart w:id="31" w:name="_Toc163337626"/>
      <w:bookmarkStart w:id="32" w:name="_Toc464131230"/>
      <w:bookmarkStart w:id="33" w:name="_Toc369536776"/>
      <w:bookmarkStart w:id="34" w:name="_Toc352240529"/>
      <w:bookmarkStart w:id="35" w:name="_Toc318924501"/>
      <w:bookmarkStart w:id="36" w:name="_Toc515454599"/>
      <w:bookmarkStart w:id="37" w:name="_Toc23443"/>
      <w:bookmarkStart w:id="38" w:name="_Toc239216037"/>
      <w:bookmarkStart w:id="39" w:name="_Toc337720097"/>
      <w:bookmarkStart w:id="40" w:name="_Toc226209009"/>
      <w:bookmarkStart w:id="41" w:name="_Toc395261105"/>
      <w:bookmarkStart w:id="42" w:name="_Toc239311752"/>
    </w:p>
    <w:p>
      <w:pPr>
        <w:pStyle w:val="8"/>
        <w:rPr>
          <w:rFonts w:hint="eastAsia" w:ascii="宋体" w:hAnsi="宋体" w:cs="宋体"/>
          <w:color w:val="auto"/>
          <w:highlight w:val="none"/>
        </w:rPr>
      </w:pPr>
    </w:p>
    <w:p>
      <w:pPr>
        <w:autoSpaceDE w:val="0"/>
        <w:autoSpaceDN w:val="0"/>
        <w:adjustRightInd w:val="0"/>
        <w:snapToGrid w:val="0"/>
        <w:spacing w:line="480" w:lineRule="auto"/>
        <w:jc w:val="center"/>
        <w:rPr>
          <w:rFonts w:hint="eastAsia" w:ascii="宋体" w:hAnsi="宋体" w:cs="宋体"/>
          <w:b/>
          <w:color w:val="auto"/>
          <w:sz w:val="32"/>
          <w:szCs w:val="32"/>
          <w:highlight w:val="none"/>
          <w:lang w:val="zh-CN"/>
        </w:rPr>
      </w:pPr>
      <w:r>
        <w:rPr>
          <w:rFonts w:hint="eastAsia" w:ascii="宋体" w:hAnsi="宋体" w:cs="宋体"/>
          <w:b/>
          <w:color w:val="auto"/>
          <w:sz w:val="32"/>
          <w:szCs w:val="32"/>
          <w:highlight w:val="none"/>
          <w:lang w:val="zh-CN"/>
        </w:rPr>
        <w:t>技术负责人（或其他项目管理机构人员）基本情况表</w:t>
      </w:r>
    </w:p>
    <w:tbl>
      <w:tblPr>
        <w:tblStyle w:val="39"/>
        <w:tblW w:w="89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8"/>
        <w:gridCol w:w="1243"/>
        <w:gridCol w:w="2123"/>
        <w:gridCol w:w="2036"/>
        <w:gridCol w:w="1224"/>
        <w:gridCol w:w="1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06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auto"/>
                <w:sz w:val="24"/>
                <w:highlight w:val="none"/>
              </w:rPr>
            </w:pPr>
            <w:r>
              <w:rPr>
                <w:rFonts w:hint="eastAsia" w:ascii="宋体" w:hAnsi="宋体" w:cs="宋体"/>
                <w:color w:val="auto"/>
                <w:sz w:val="24"/>
                <w:highlight w:val="none"/>
              </w:rPr>
              <w:t>姓名</w:t>
            </w:r>
          </w:p>
        </w:tc>
        <w:tc>
          <w:tcPr>
            <w:tcW w:w="124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b/>
                <w:color w:val="auto"/>
                <w:sz w:val="24"/>
                <w:highlight w:val="none"/>
              </w:rPr>
            </w:pPr>
          </w:p>
        </w:tc>
        <w:tc>
          <w:tcPr>
            <w:tcW w:w="212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auto"/>
                <w:sz w:val="24"/>
                <w:highlight w:val="none"/>
              </w:rPr>
            </w:pPr>
            <w:r>
              <w:rPr>
                <w:rFonts w:hint="eastAsia" w:ascii="宋体" w:hAnsi="宋体" w:cs="宋体"/>
                <w:color w:val="auto"/>
                <w:sz w:val="24"/>
                <w:highlight w:val="none"/>
              </w:rPr>
              <w:t>性别</w:t>
            </w:r>
          </w:p>
        </w:tc>
        <w:tc>
          <w:tcPr>
            <w:tcW w:w="203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b/>
                <w:color w:val="auto"/>
                <w:sz w:val="24"/>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auto"/>
                <w:sz w:val="24"/>
                <w:highlight w:val="none"/>
              </w:rPr>
            </w:pPr>
            <w:r>
              <w:rPr>
                <w:rFonts w:hint="eastAsia" w:ascii="宋体" w:hAnsi="宋体" w:cs="宋体"/>
                <w:color w:val="auto"/>
                <w:sz w:val="24"/>
                <w:highlight w:val="none"/>
              </w:rPr>
              <w:t>技术职称</w:t>
            </w:r>
          </w:p>
        </w:tc>
        <w:tc>
          <w:tcPr>
            <w:tcW w:w="122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06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auto"/>
                <w:sz w:val="24"/>
                <w:highlight w:val="none"/>
              </w:rPr>
            </w:pPr>
            <w:r>
              <w:rPr>
                <w:rFonts w:hint="eastAsia" w:ascii="宋体" w:hAnsi="宋体" w:cs="宋体"/>
                <w:color w:val="auto"/>
                <w:sz w:val="24"/>
                <w:highlight w:val="none"/>
              </w:rPr>
              <w:t>身份证号</w:t>
            </w:r>
          </w:p>
        </w:tc>
        <w:tc>
          <w:tcPr>
            <w:tcW w:w="124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b/>
                <w:color w:val="auto"/>
                <w:sz w:val="24"/>
                <w:highlight w:val="none"/>
              </w:rPr>
            </w:pPr>
          </w:p>
        </w:tc>
        <w:tc>
          <w:tcPr>
            <w:tcW w:w="212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auto"/>
                <w:sz w:val="24"/>
                <w:highlight w:val="none"/>
              </w:rPr>
            </w:pPr>
            <w:r>
              <w:rPr>
                <w:rFonts w:hint="eastAsia" w:ascii="宋体" w:hAnsi="宋体" w:cs="宋体"/>
                <w:color w:val="auto"/>
                <w:sz w:val="24"/>
                <w:highlight w:val="none"/>
              </w:rPr>
              <w:t>学历</w:t>
            </w:r>
          </w:p>
        </w:tc>
        <w:tc>
          <w:tcPr>
            <w:tcW w:w="203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b/>
                <w:color w:val="auto"/>
                <w:sz w:val="24"/>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auto"/>
                <w:sz w:val="24"/>
                <w:highlight w:val="none"/>
              </w:rPr>
            </w:pPr>
            <w:r>
              <w:rPr>
                <w:rFonts w:hint="eastAsia" w:ascii="宋体" w:hAnsi="宋体" w:cs="宋体"/>
                <w:color w:val="auto"/>
                <w:sz w:val="24"/>
                <w:highlight w:val="none"/>
              </w:rPr>
              <w:t>所学专业</w:t>
            </w:r>
          </w:p>
        </w:tc>
        <w:tc>
          <w:tcPr>
            <w:tcW w:w="122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06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auto"/>
                <w:sz w:val="24"/>
                <w:highlight w:val="none"/>
              </w:rPr>
            </w:pPr>
            <w:r>
              <w:rPr>
                <w:rFonts w:hint="eastAsia" w:ascii="宋体" w:hAnsi="宋体" w:cs="宋体"/>
                <w:color w:val="auto"/>
                <w:sz w:val="24"/>
                <w:highlight w:val="none"/>
              </w:rPr>
              <w:t>社保号</w:t>
            </w:r>
          </w:p>
        </w:tc>
        <w:tc>
          <w:tcPr>
            <w:tcW w:w="7851" w:type="dxa"/>
            <w:gridSpan w:val="5"/>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8919" w:type="dxa"/>
            <w:gridSpan w:val="6"/>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auto"/>
                <w:sz w:val="24"/>
                <w:highlight w:val="none"/>
              </w:rPr>
            </w:pPr>
            <w:r>
              <w:rPr>
                <w:rFonts w:hint="eastAsia" w:ascii="宋体" w:hAnsi="宋体" w:cs="宋体"/>
                <w:color w:val="auto"/>
                <w:sz w:val="24"/>
                <w:highlight w:val="none"/>
              </w:rPr>
              <w:t>从业简历</w:t>
            </w:r>
          </w:p>
          <w:p>
            <w:pPr>
              <w:autoSpaceDE w:val="0"/>
              <w:autoSpaceDN w:val="0"/>
              <w:adjustRightInd w:val="0"/>
              <w:jc w:val="center"/>
              <w:rPr>
                <w:rFonts w:hint="eastAsia" w:ascii="宋体" w:hAnsi="宋体" w:cs="宋体"/>
                <w:b/>
                <w:color w:val="auto"/>
                <w:sz w:val="24"/>
                <w:highlight w:val="none"/>
              </w:rPr>
            </w:pPr>
          </w:p>
          <w:p>
            <w:pPr>
              <w:autoSpaceDE w:val="0"/>
              <w:autoSpaceDN w:val="0"/>
              <w:adjustRightInd w:val="0"/>
              <w:jc w:val="center"/>
              <w:rPr>
                <w:rFonts w:hint="eastAsia" w:ascii="宋体" w:hAnsi="宋体" w:cs="宋体"/>
                <w:b/>
                <w:color w:val="auto"/>
                <w:sz w:val="24"/>
                <w:highlight w:val="none"/>
              </w:rPr>
            </w:pPr>
          </w:p>
          <w:p>
            <w:pPr>
              <w:autoSpaceDE w:val="0"/>
              <w:autoSpaceDN w:val="0"/>
              <w:adjustRightInd w:val="0"/>
              <w:jc w:val="center"/>
              <w:rPr>
                <w:rFonts w:hint="eastAsia" w:ascii="宋体" w:hAnsi="宋体" w:cs="宋体"/>
                <w:b/>
                <w:color w:val="auto"/>
                <w:sz w:val="24"/>
                <w:highlight w:val="none"/>
              </w:rPr>
            </w:pPr>
          </w:p>
          <w:p>
            <w:pPr>
              <w:autoSpaceDE w:val="0"/>
              <w:autoSpaceDN w:val="0"/>
              <w:adjustRightInd w:val="0"/>
              <w:jc w:val="center"/>
              <w:rPr>
                <w:rFonts w:hint="eastAsia" w:ascii="宋体" w:hAnsi="宋体" w:cs="宋体"/>
                <w:b/>
                <w:color w:val="auto"/>
                <w:sz w:val="24"/>
                <w:highlight w:val="none"/>
              </w:rPr>
            </w:pPr>
          </w:p>
          <w:p>
            <w:pPr>
              <w:autoSpaceDE w:val="0"/>
              <w:autoSpaceDN w:val="0"/>
              <w:adjustRightInd w:val="0"/>
              <w:jc w:val="center"/>
              <w:rPr>
                <w:rFonts w:hint="eastAsia" w:ascii="宋体" w:hAnsi="宋体" w:cs="宋体"/>
                <w:b/>
                <w:color w:val="auto"/>
                <w:sz w:val="24"/>
                <w:highlight w:val="none"/>
              </w:rPr>
            </w:pPr>
          </w:p>
          <w:p>
            <w:pPr>
              <w:autoSpaceDE w:val="0"/>
              <w:autoSpaceDN w:val="0"/>
              <w:adjustRightInd w:val="0"/>
              <w:jc w:val="center"/>
              <w:rPr>
                <w:rFonts w:hint="eastAsia" w:ascii="宋体" w:hAnsi="宋体" w:cs="宋体"/>
                <w:b/>
                <w:color w:val="auto"/>
                <w:sz w:val="24"/>
                <w:highlight w:val="none"/>
              </w:rPr>
            </w:pPr>
          </w:p>
        </w:tc>
      </w:tr>
    </w:tbl>
    <w:p>
      <w:pPr>
        <w:autoSpaceDE w:val="0"/>
        <w:autoSpaceDN w:val="0"/>
        <w:adjustRightInd w:val="0"/>
        <w:ind w:firstLine="360" w:firstLineChars="150"/>
        <w:rPr>
          <w:rFonts w:hint="eastAsia" w:ascii="宋体" w:hAnsi="宋体" w:cs="宋体"/>
          <w:color w:val="auto"/>
          <w:sz w:val="24"/>
          <w:highlight w:val="none"/>
        </w:rPr>
      </w:pPr>
    </w:p>
    <w:p>
      <w:pPr>
        <w:autoSpaceDE w:val="0"/>
        <w:autoSpaceDN w:val="0"/>
        <w:adjustRightInd w:val="0"/>
        <w:ind w:firstLine="360" w:firstLineChars="150"/>
        <w:rPr>
          <w:rFonts w:hint="eastAsia" w:ascii="宋体" w:hAnsi="宋体" w:cs="宋体"/>
          <w:color w:val="auto"/>
          <w:sz w:val="24"/>
          <w:highlight w:val="none"/>
        </w:rPr>
      </w:pPr>
    </w:p>
    <w:p>
      <w:pPr>
        <w:autoSpaceDE w:val="0"/>
        <w:autoSpaceDN w:val="0"/>
        <w:adjustRightInd w:val="0"/>
        <w:ind w:firstLine="360" w:firstLineChars="150"/>
        <w:rPr>
          <w:rFonts w:hint="eastAsia" w:ascii="宋体" w:hAnsi="宋体" w:cs="宋体"/>
          <w:color w:val="auto"/>
          <w:sz w:val="24"/>
          <w:highlight w:val="none"/>
        </w:rPr>
      </w:pPr>
      <w:r>
        <w:rPr>
          <w:rFonts w:hint="eastAsia" w:ascii="宋体" w:hAnsi="宋体" w:cs="宋体"/>
          <w:color w:val="auto"/>
          <w:sz w:val="24"/>
          <w:highlight w:val="none"/>
        </w:rPr>
        <w:t>本人承诺以上填写内容真实有效。我知道隐瞒有关真实情况和填报虚假信息是严重的违法行为，以上关于我本人的基本信息如有虚假，本人愿接受招标监管主管部门或其他有关部门依法给予的行政处罚并纳入个人诚信记录，除身份证号外，本人同意上述内容在评标后全部公开。</w:t>
      </w:r>
    </w:p>
    <w:p>
      <w:pPr>
        <w:wordWrap w:val="0"/>
        <w:autoSpaceDE w:val="0"/>
        <w:autoSpaceDN w:val="0"/>
        <w:adjustRightInd w:val="0"/>
        <w:ind w:firstLine="240" w:firstLineChars="100"/>
        <w:jc w:val="right"/>
        <w:rPr>
          <w:rFonts w:hint="eastAsia" w:ascii="宋体" w:hAnsi="宋体" w:cs="宋体"/>
          <w:color w:val="auto"/>
          <w:sz w:val="24"/>
          <w:highlight w:val="none"/>
        </w:rPr>
      </w:pPr>
      <w:r>
        <w:rPr>
          <w:rFonts w:hint="eastAsia" w:ascii="宋体" w:hAnsi="宋体" w:cs="宋体"/>
          <w:color w:val="auto"/>
          <w:sz w:val="24"/>
          <w:highlight w:val="none"/>
        </w:rPr>
        <w:t xml:space="preserve">本人签字：      </w:t>
      </w:r>
    </w:p>
    <w:p>
      <w:pPr>
        <w:autoSpaceDE w:val="0"/>
        <w:autoSpaceDN w:val="0"/>
        <w:adjustRightInd w:val="0"/>
        <w:ind w:firstLine="240" w:firstLineChars="100"/>
        <w:jc w:val="right"/>
        <w:rPr>
          <w:rFonts w:hint="eastAsia" w:ascii="宋体" w:hAnsi="宋体" w:cs="宋体"/>
          <w:color w:val="auto"/>
          <w:sz w:val="24"/>
          <w:highlight w:val="none"/>
        </w:rPr>
      </w:pPr>
      <w:r>
        <w:rPr>
          <w:rFonts w:hint="eastAsia" w:ascii="宋体" w:hAnsi="宋体" w:cs="宋体"/>
          <w:color w:val="auto"/>
          <w:sz w:val="24"/>
          <w:highlight w:val="none"/>
        </w:rPr>
        <w:t>年 月  日</w:t>
      </w:r>
    </w:p>
    <w:p>
      <w:pP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我公司承诺上述内容真实有效。我公司知道隐瞒有关真实情况和填报虚假信息是严重的违法行为，上述内容如有虚假，我公司愿接受招标监管部门或其他有关部门依法给予的行政处罚，并接受招标人将我公司永久进入黑名单，不参与招标人今后所有项目的投标。</w:t>
      </w:r>
    </w:p>
    <w:p>
      <w:pPr>
        <w:wordWrap w:val="0"/>
        <w:jc w:val="right"/>
        <w:rPr>
          <w:rFonts w:hint="eastAsia" w:ascii="宋体" w:hAnsi="宋体" w:cs="宋体"/>
          <w:color w:val="auto"/>
          <w:sz w:val="24"/>
          <w:highlight w:val="none"/>
        </w:rPr>
      </w:pPr>
      <w:r>
        <w:rPr>
          <w:rFonts w:hint="eastAsia" w:ascii="宋体" w:hAnsi="宋体" w:cs="宋体"/>
          <w:color w:val="auto"/>
          <w:sz w:val="24"/>
          <w:highlight w:val="none"/>
        </w:rPr>
        <w:t>单位盖章或电子印章</w:t>
      </w:r>
    </w:p>
    <w:p>
      <w:pPr>
        <w:spacing w:line="320" w:lineRule="exact"/>
        <w:jc w:val="right"/>
        <w:rPr>
          <w:rFonts w:hint="eastAsia" w:ascii="宋体" w:hAnsi="宋体" w:cs="宋体"/>
          <w:color w:val="auto"/>
          <w:szCs w:val="21"/>
          <w:highlight w:val="none"/>
        </w:rPr>
      </w:pPr>
      <w:r>
        <w:rPr>
          <w:rFonts w:hint="eastAsia" w:ascii="宋体" w:hAnsi="宋体" w:cs="宋体"/>
          <w:color w:val="auto"/>
          <w:sz w:val="24"/>
          <w:highlight w:val="none"/>
        </w:rPr>
        <w:t>年  月  日</w:t>
      </w:r>
    </w:p>
    <w:p>
      <w:pPr>
        <w:pStyle w:val="8"/>
        <w:rPr>
          <w:rFonts w:hint="eastAsia" w:ascii="宋体" w:hAnsi="宋体" w:cs="宋体"/>
          <w:color w:val="auto"/>
          <w:highlight w:val="none"/>
        </w:rPr>
      </w:pPr>
    </w:p>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Pr>
        <w:topLinePunct/>
        <w:adjustRightInd w:val="0"/>
        <w:snapToGrid w:val="0"/>
        <w:spacing w:line="360" w:lineRule="auto"/>
        <w:ind w:firstLine="168" w:firstLineChars="80"/>
        <w:rPr>
          <w:rFonts w:ascii="宋体" w:hAnsi="宋体" w:cs="宋体"/>
          <w:color w:val="auto"/>
          <w:szCs w:val="21"/>
          <w:highlight w:val="none"/>
        </w:rPr>
      </w:pPr>
      <w:r>
        <w:rPr>
          <w:rFonts w:hint="eastAsia" w:ascii="宋体" w:hAnsi="宋体" w:cs="宋体"/>
          <w:color w:val="auto"/>
          <w:szCs w:val="21"/>
          <w:highlight w:val="none"/>
        </w:rPr>
        <w:br w:type="page"/>
      </w:r>
    </w:p>
    <w:p>
      <w:pPr>
        <w:tabs>
          <w:tab w:val="left" w:pos="720"/>
        </w:tabs>
        <w:snapToGrid w:val="0"/>
        <w:spacing w:line="360" w:lineRule="auto"/>
        <w:rPr>
          <w:rFonts w:ascii="宋体" w:hAnsi="宋体" w:cs="宋体"/>
          <w:b/>
          <w:bCs/>
          <w:color w:val="auto"/>
          <w:sz w:val="24"/>
          <w:szCs w:val="24"/>
          <w:highlight w:val="none"/>
        </w:rPr>
      </w:pPr>
      <w:r>
        <w:rPr>
          <w:rFonts w:hint="eastAsia" w:ascii="宋体" w:hAnsi="宋体" w:cs="宋体"/>
          <w:b/>
          <w:bCs w:val="0"/>
          <w:color w:val="auto"/>
          <w:sz w:val="24"/>
          <w:szCs w:val="24"/>
          <w:highlight w:val="none"/>
        </w:rPr>
        <w:t>技术部分格式</w:t>
      </w:r>
      <w:r>
        <w:rPr>
          <w:rFonts w:hint="eastAsia" w:ascii="宋体" w:hAnsi="宋体" w:cs="宋体"/>
          <w:b/>
          <w:bCs w:val="0"/>
          <w:color w:val="auto"/>
          <w:sz w:val="24"/>
          <w:szCs w:val="24"/>
          <w:highlight w:val="none"/>
          <w:lang w:val="en-US" w:eastAsia="zh-CN"/>
        </w:rPr>
        <w:t>10</w:t>
      </w:r>
      <w:r>
        <w:rPr>
          <w:rFonts w:hint="eastAsia" w:ascii="宋体" w:hAnsi="宋体" w:cs="宋体"/>
          <w:b/>
          <w:bCs/>
          <w:color w:val="auto"/>
          <w:sz w:val="24"/>
          <w:szCs w:val="24"/>
          <w:highlight w:val="none"/>
        </w:rPr>
        <w:t>：业绩及获奖情况一览表</w:t>
      </w:r>
    </w:p>
    <w:p>
      <w:pPr>
        <w:tabs>
          <w:tab w:val="left" w:pos="720"/>
        </w:tabs>
        <w:snapToGrid w:val="0"/>
        <w:spacing w:line="360" w:lineRule="auto"/>
        <w:jc w:val="center"/>
        <w:rPr>
          <w:rFonts w:ascii="宋体" w:hAnsi="宋体" w:cs="宋体"/>
          <w:color w:val="auto"/>
          <w:sz w:val="24"/>
          <w:szCs w:val="24"/>
          <w:highlight w:val="none"/>
        </w:rPr>
      </w:pPr>
    </w:p>
    <w:p>
      <w:pPr>
        <w:tabs>
          <w:tab w:val="left" w:pos="720"/>
        </w:tabs>
        <w:snapToGrid w:val="0"/>
        <w:spacing w:line="36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业绩及获奖情况一览表</w:t>
      </w:r>
    </w:p>
    <w:p>
      <w:pPr>
        <w:tabs>
          <w:tab w:val="left" w:pos="720"/>
        </w:tabs>
        <w:snapToGrid w:val="0"/>
        <w:spacing w:line="360" w:lineRule="auto"/>
        <w:ind w:firstLine="1200" w:firstLineChars="500"/>
        <w:rPr>
          <w:rFonts w:ascii="宋体" w:hAnsi="宋体" w:cs="宋体"/>
          <w:color w:val="auto"/>
          <w:sz w:val="24"/>
          <w:szCs w:val="24"/>
          <w:highlight w:val="none"/>
        </w:rPr>
      </w:pPr>
    </w:p>
    <w:p>
      <w:pPr>
        <w:tabs>
          <w:tab w:val="left" w:pos="720"/>
        </w:tabs>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项目名称：</w:t>
      </w:r>
    </w:p>
    <w:tbl>
      <w:tblPr>
        <w:tblStyle w:val="39"/>
        <w:tblW w:w="88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1214"/>
        <w:gridCol w:w="1227"/>
        <w:gridCol w:w="2073"/>
        <w:gridCol w:w="1214"/>
        <w:gridCol w:w="2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vAlign w:val="center"/>
          </w:tcPr>
          <w:p>
            <w:pPr>
              <w:tabs>
                <w:tab w:val="left" w:pos="720"/>
              </w:tabs>
              <w:snapToGrid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序号</w:t>
            </w:r>
          </w:p>
        </w:tc>
        <w:tc>
          <w:tcPr>
            <w:tcW w:w="1214" w:type="dxa"/>
            <w:vAlign w:val="center"/>
          </w:tcPr>
          <w:p>
            <w:pPr>
              <w:tabs>
                <w:tab w:val="left" w:pos="720"/>
              </w:tabs>
              <w:snapToGrid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项目编号</w:t>
            </w:r>
          </w:p>
        </w:tc>
        <w:tc>
          <w:tcPr>
            <w:tcW w:w="1227" w:type="dxa"/>
            <w:vAlign w:val="center"/>
          </w:tcPr>
          <w:p>
            <w:pPr>
              <w:tabs>
                <w:tab w:val="left" w:pos="720"/>
              </w:tabs>
              <w:snapToGrid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项目名称</w:t>
            </w:r>
          </w:p>
        </w:tc>
        <w:tc>
          <w:tcPr>
            <w:tcW w:w="2073" w:type="dxa"/>
            <w:vAlign w:val="center"/>
          </w:tcPr>
          <w:p>
            <w:pPr>
              <w:tabs>
                <w:tab w:val="left" w:pos="720"/>
              </w:tabs>
              <w:snapToGrid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合同总价（万元）</w:t>
            </w:r>
          </w:p>
        </w:tc>
        <w:tc>
          <w:tcPr>
            <w:tcW w:w="1214" w:type="dxa"/>
            <w:vAlign w:val="center"/>
          </w:tcPr>
          <w:p>
            <w:pPr>
              <w:tabs>
                <w:tab w:val="left" w:pos="720"/>
              </w:tabs>
              <w:snapToGrid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获奖情况</w:t>
            </w:r>
          </w:p>
        </w:tc>
        <w:tc>
          <w:tcPr>
            <w:tcW w:w="2413" w:type="dxa"/>
            <w:vAlign w:val="center"/>
          </w:tcPr>
          <w:p>
            <w:pPr>
              <w:tabs>
                <w:tab w:val="left" w:pos="720"/>
              </w:tabs>
              <w:snapToGrid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建设单位联系人及联系电话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tcPr>
          <w:p>
            <w:pPr>
              <w:tabs>
                <w:tab w:val="left" w:pos="720"/>
              </w:tabs>
              <w:snapToGrid w:val="0"/>
              <w:spacing w:line="360" w:lineRule="auto"/>
              <w:rPr>
                <w:rFonts w:ascii="宋体" w:hAnsi="宋体" w:cs="宋体"/>
                <w:color w:val="auto"/>
                <w:sz w:val="24"/>
                <w:szCs w:val="24"/>
                <w:highlight w:val="none"/>
              </w:rPr>
            </w:pPr>
          </w:p>
        </w:tc>
        <w:tc>
          <w:tcPr>
            <w:tcW w:w="1214" w:type="dxa"/>
          </w:tcPr>
          <w:p>
            <w:pPr>
              <w:tabs>
                <w:tab w:val="left" w:pos="720"/>
              </w:tabs>
              <w:snapToGrid w:val="0"/>
              <w:spacing w:line="360" w:lineRule="auto"/>
              <w:rPr>
                <w:rFonts w:ascii="宋体" w:hAnsi="宋体" w:cs="宋体"/>
                <w:color w:val="auto"/>
                <w:sz w:val="24"/>
                <w:szCs w:val="24"/>
                <w:highlight w:val="none"/>
              </w:rPr>
            </w:pPr>
          </w:p>
        </w:tc>
        <w:tc>
          <w:tcPr>
            <w:tcW w:w="1227" w:type="dxa"/>
          </w:tcPr>
          <w:p>
            <w:pPr>
              <w:tabs>
                <w:tab w:val="left" w:pos="720"/>
              </w:tabs>
              <w:snapToGrid w:val="0"/>
              <w:spacing w:line="360" w:lineRule="auto"/>
              <w:rPr>
                <w:rFonts w:ascii="宋体" w:hAnsi="宋体" w:cs="宋体"/>
                <w:color w:val="auto"/>
                <w:sz w:val="24"/>
                <w:szCs w:val="24"/>
                <w:highlight w:val="none"/>
              </w:rPr>
            </w:pPr>
          </w:p>
        </w:tc>
        <w:tc>
          <w:tcPr>
            <w:tcW w:w="2073" w:type="dxa"/>
          </w:tcPr>
          <w:p>
            <w:pPr>
              <w:tabs>
                <w:tab w:val="left" w:pos="720"/>
              </w:tabs>
              <w:snapToGrid w:val="0"/>
              <w:spacing w:line="360" w:lineRule="auto"/>
              <w:rPr>
                <w:rFonts w:ascii="宋体" w:hAnsi="宋体" w:cs="宋体"/>
                <w:color w:val="auto"/>
                <w:sz w:val="24"/>
                <w:szCs w:val="24"/>
                <w:highlight w:val="none"/>
              </w:rPr>
            </w:pPr>
          </w:p>
        </w:tc>
        <w:tc>
          <w:tcPr>
            <w:tcW w:w="1214" w:type="dxa"/>
          </w:tcPr>
          <w:p>
            <w:pPr>
              <w:tabs>
                <w:tab w:val="left" w:pos="720"/>
              </w:tabs>
              <w:snapToGrid w:val="0"/>
              <w:spacing w:line="360" w:lineRule="auto"/>
              <w:rPr>
                <w:rFonts w:ascii="宋体" w:hAnsi="宋体" w:cs="宋体"/>
                <w:color w:val="auto"/>
                <w:sz w:val="24"/>
                <w:szCs w:val="24"/>
                <w:highlight w:val="none"/>
              </w:rPr>
            </w:pPr>
          </w:p>
        </w:tc>
        <w:tc>
          <w:tcPr>
            <w:tcW w:w="2413" w:type="dxa"/>
          </w:tcPr>
          <w:p>
            <w:pPr>
              <w:tabs>
                <w:tab w:val="left" w:pos="720"/>
              </w:tabs>
              <w:snapToGrid w:val="0"/>
              <w:spacing w:line="360" w:lineRule="auto"/>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tcPr>
          <w:p>
            <w:pPr>
              <w:tabs>
                <w:tab w:val="left" w:pos="720"/>
              </w:tabs>
              <w:snapToGrid w:val="0"/>
              <w:spacing w:line="360" w:lineRule="auto"/>
              <w:rPr>
                <w:rFonts w:ascii="宋体" w:hAnsi="宋体" w:cs="宋体"/>
                <w:color w:val="auto"/>
                <w:sz w:val="24"/>
                <w:szCs w:val="24"/>
                <w:highlight w:val="none"/>
              </w:rPr>
            </w:pPr>
          </w:p>
        </w:tc>
        <w:tc>
          <w:tcPr>
            <w:tcW w:w="1214" w:type="dxa"/>
          </w:tcPr>
          <w:p>
            <w:pPr>
              <w:tabs>
                <w:tab w:val="left" w:pos="720"/>
              </w:tabs>
              <w:snapToGrid w:val="0"/>
              <w:spacing w:line="360" w:lineRule="auto"/>
              <w:rPr>
                <w:rFonts w:ascii="宋体" w:hAnsi="宋体" w:cs="宋体"/>
                <w:color w:val="auto"/>
                <w:sz w:val="24"/>
                <w:szCs w:val="24"/>
                <w:highlight w:val="none"/>
              </w:rPr>
            </w:pPr>
          </w:p>
        </w:tc>
        <w:tc>
          <w:tcPr>
            <w:tcW w:w="1227" w:type="dxa"/>
          </w:tcPr>
          <w:p>
            <w:pPr>
              <w:tabs>
                <w:tab w:val="left" w:pos="720"/>
              </w:tabs>
              <w:snapToGrid w:val="0"/>
              <w:spacing w:line="360" w:lineRule="auto"/>
              <w:rPr>
                <w:rFonts w:ascii="宋体" w:hAnsi="宋体" w:cs="宋体"/>
                <w:color w:val="auto"/>
                <w:sz w:val="24"/>
                <w:szCs w:val="24"/>
                <w:highlight w:val="none"/>
              </w:rPr>
            </w:pPr>
          </w:p>
        </w:tc>
        <w:tc>
          <w:tcPr>
            <w:tcW w:w="2073" w:type="dxa"/>
          </w:tcPr>
          <w:p>
            <w:pPr>
              <w:tabs>
                <w:tab w:val="left" w:pos="720"/>
              </w:tabs>
              <w:snapToGrid w:val="0"/>
              <w:spacing w:line="360" w:lineRule="auto"/>
              <w:rPr>
                <w:rFonts w:ascii="宋体" w:hAnsi="宋体" w:cs="宋体"/>
                <w:color w:val="auto"/>
                <w:sz w:val="24"/>
                <w:szCs w:val="24"/>
                <w:highlight w:val="none"/>
              </w:rPr>
            </w:pPr>
          </w:p>
        </w:tc>
        <w:tc>
          <w:tcPr>
            <w:tcW w:w="1214" w:type="dxa"/>
          </w:tcPr>
          <w:p>
            <w:pPr>
              <w:tabs>
                <w:tab w:val="left" w:pos="720"/>
              </w:tabs>
              <w:snapToGrid w:val="0"/>
              <w:spacing w:line="360" w:lineRule="auto"/>
              <w:rPr>
                <w:rFonts w:ascii="宋体" w:hAnsi="宋体" w:cs="宋体"/>
                <w:color w:val="auto"/>
                <w:sz w:val="24"/>
                <w:szCs w:val="24"/>
                <w:highlight w:val="none"/>
              </w:rPr>
            </w:pPr>
          </w:p>
        </w:tc>
        <w:tc>
          <w:tcPr>
            <w:tcW w:w="2413" w:type="dxa"/>
          </w:tcPr>
          <w:p>
            <w:pPr>
              <w:tabs>
                <w:tab w:val="left" w:pos="720"/>
              </w:tabs>
              <w:snapToGrid w:val="0"/>
              <w:spacing w:line="360" w:lineRule="auto"/>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tcPr>
          <w:p>
            <w:pPr>
              <w:tabs>
                <w:tab w:val="left" w:pos="720"/>
              </w:tabs>
              <w:snapToGrid w:val="0"/>
              <w:spacing w:line="360" w:lineRule="auto"/>
              <w:rPr>
                <w:rFonts w:ascii="宋体" w:hAnsi="宋体" w:cs="宋体"/>
                <w:color w:val="auto"/>
                <w:sz w:val="24"/>
                <w:szCs w:val="24"/>
                <w:highlight w:val="none"/>
              </w:rPr>
            </w:pPr>
          </w:p>
        </w:tc>
        <w:tc>
          <w:tcPr>
            <w:tcW w:w="1214" w:type="dxa"/>
          </w:tcPr>
          <w:p>
            <w:pPr>
              <w:tabs>
                <w:tab w:val="left" w:pos="720"/>
              </w:tabs>
              <w:snapToGrid w:val="0"/>
              <w:spacing w:line="360" w:lineRule="auto"/>
              <w:rPr>
                <w:rFonts w:ascii="宋体" w:hAnsi="宋体" w:cs="宋体"/>
                <w:color w:val="auto"/>
                <w:sz w:val="24"/>
                <w:szCs w:val="24"/>
                <w:highlight w:val="none"/>
              </w:rPr>
            </w:pPr>
          </w:p>
        </w:tc>
        <w:tc>
          <w:tcPr>
            <w:tcW w:w="1227" w:type="dxa"/>
          </w:tcPr>
          <w:p>
            <w:pPr>
              <w:tabs>
                <w:tab w:val="left" w:pos="720"/>
              </w:tabs>
              <w:snapToGrid w:val="0"/>
              <w:spacing w:line="360" w:lineRule="auto"/>
              <w:rPr>
                <w:rFonts w:ascii="宋体" w:hAnsi="宋体" w:cs="宋体"/>
                <w:color w:val="auto"/>
                <w:sz w:val="24"/>
                <w:szCs w:val="24"/>
                <w:highlight w:val="none"/>
              </w:rPr>
            </w:pPr>
          </w:p>
        </w:tc>
        <w:tc>
          <w:tcPr>
            <w:tcW w:w="2073" w:type="dxa"/>
          </w:tcPr>
          <w:p>
            <w:pPr>
              <w:tabs>
                <w:tab w:val="left" w:pos="720"/>
              </w:tabs>
              <w:snapToGrid w:val="0"/>
              <w:spacing w:line="360" w:lineRule="auto"/>
              <w:rPr>
                <w:rFonts w:ascii="宋体" w:hAnsi="宋体" w:cs="宋体"/>
                <w:color w:val="auto"/>
                <w:sz w:val="24"/>
                <w:szCs w:val="24"/>
                <w:highlight w:val="none"/>
              </w:rPr>
            </w:pPr>
          </w:p>
        </w:tc>
        <w:tc>
          <w:tcPr>
            <w:tcW w:w="1214" w:type="dxa"/>
          </w:tcPr>
          <w:p>
            <w:pPr>
              <w:tabs>
                <w:tab w:val="left" w:pos="720"/>
              </w:tabs>
              <w:snapToGrid w:val="0"/>
              <w:spacing w:line="360" w:lineRule="auto"/>
              <w:rPr>
                <w:rFonts w:ascii="宋体" w:hAnsi="宋体" w:cs="宋体"/>
                <w:color w:val="auto"/>
                <w:sz w:val="24"/>
                <w:szCs w:val="24"/>
                <w:highlight w:val="none"/>
              </w:rPr>
            </w:pPr>
          </w:p>
        </w:tc>
        <w:tc>
          <w:tcPr>
            <w:tcW w:w="2413" w:type="dxa"/>
          </w:tcPr>
          <w:p>
            <w:pPr>
              <w:tabs>
                <w:tab w:val="left" w:pos="720"/>
              </w:tabs>
              <w:snapToGrid w:val="0"/>
              <w:spacing w:line="360" w:lineRule="auto"/>
              <w:rPr>
                <w:rFonts w:ascii="宋体" w:hAnsi="宋体" w:cs="宋体"/>
                <w:color w:val="auto"/>
                <w:sz w:val="24"/>
                <w:szCs w:val="24"/>
                <w:highlight w:val="none"/>
              </w:rPr>
            </w:pPr>
          </w:p>
        </w:tc>
      </w:tr>
    </w:tbl>
    <w:p>
      <w:pPr>
        <w:tabs>
          <w:tab w:val="left" w:pos="720"/>
        </w:tabs>
        <w:snapToGrid w:val="0"/>
        <w:spacing w:line="360" w:lineRule="auto"/>
        <w:rPr>
          <w:rFonts w:ascii="宋体" w:hAnsi="宋体" w:cs="宋体"/>
          <w:color w:val="auto"/>
          <w:szCs w:val="20"/>
          <w:highlight w:val="none"/>
        </w:rPr>
      </w:pPr>
      <w:r>
        <w:rPr>
          <w:rFonts w:hint="eastAsia" w:ascii="宋体" w:hAnsi="宋体" w:cs="宋体"/>
          <w:color w:val="auto"/>
          <w:szCs w:val="20"/>
          <w:highlight w:val="none"/>
        </w:rPr>
        <w:t>按照《技术标详细审查评分表》的要求后附相关的证明材料。</w:t>
      </w:r>
    </w:p>
    <w:p>
      <w:pPr>
        <w:tabs>
          <w:tab w:val="left" w:pos="720"/>
        </w:tabs>
        <w:snapToGrid w:val="0"/>
        <w:spacing w:line="360" w:lineRule="auto"/>
        <w:rPr>
          <w:rFonts w:ascii="宋体" w:hAnsi="宋体" w:cs="宋体"/>
          <w:color w:val="auto"/>
          <w:szCs w:val="20"/>
          <w:highlight w:val="none"/>
        </w:rPr>
      </w:pPr>
    </w:p>
    <w:p>
      <w:pPr>
        <w:tabs>
          <w:tab w:val="left" w:pos="720"/>
        </w:tabs>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投标人名称：（盖章）</w:t>
      </w:r>
    </w:p>
    <w:p>
      <w:pPr>
        <w:tabs>
          <w:tab w:val="left" w:pos="720"/>
        </w:tabs>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投标人授权代表：（签字或盖章）</w:t>
      </w:r>
    </w:p>
    <w:p>
      <w:pPr>
        <w:rPr>
          <w:rFonts w:ascii="宋体" w:hAnsi="宋体" w:cs="宋体"/>
          <w:b/>
          <w:color w:val="auto"/>
          <w:highlight w:val="none"/>
        </w:rPr>
      </w:pPr>
    </w:p>
    <w:p>
      <w:pPr>
        <w:rPr>
          <w:rFonts w:ascii="宋体" w:hAnsi="宋体" w:cs="宋体"/>
          <w:b/>
          <w:color w:val="auto"/>
          <w:sz w:val="24"/>
          <w:szCs w:val="24"/>
          <w:highlight w:val="none"/>
        </w:rPr>
      </w:pPr>
      <w:r>
        <w:rPr>
          <w:rFonts w:hint="eastAsia" w:ascii="宋体" w:hAnsi="宋体" w:cs="宋体"/>
          <w:b/>
          <w:color w:val="auto"/>
          <w:sz w:val="24"/>
          <w:szCs w:val="24"/>
          <w:highlight w:val="none"/>
        </w:rPr>
        <w:br w:type="page"/>
      </w:r>
    </w:p>
    <w:p>
      <w:pPr>
        <w:rPr>
          <w:rFonts w:ascii="宋体" w:hAnsi="宋体" w:cs="宋体"/>
          <w:b/>
          <w:color w:val="auto"/>
          <w:sz w:val="24"/>
          <w:szCs w:val="24"/>
          <w:highlight w:val="none"/>
        </w:rPr>
      </w:pPr>
      <w:r>
        <w:rPr>
          <w:rFonts w:hint="eastAsia" w:ascii="宋体" w:hAnsi="宋体" w:cs="宋体"/>
          <w:color w:val="auto"/>
          <w:sz w:val="24"/>
          <w:highlight w:val="none"/>
        </w:rPr>
        <w:t>★</w:t>
      </w:r>
      <w:r>
        <w:rPr>
          <w:rFonts w:hint="eastAsia" w:ascii="宋体" w:hAnsi="宋体" w:cs="宋体"/>
          <w:b/>
          <w:bCs w:val="0"/>
          <w:color w:val="auto"/>
          <w:sz w:val="24"/>
          <w:szCs w:val="24"/>
          <w:highlight w:val="none"/>
        </w:rPr>
        <w:t>技术部分格式</w:t>
      </w:r>
      <w:r>
        <w:rPr>
          <w:rFonts w:hint="eastAsia" w:ascii="宋体" w:hAnsi="宋体" w:cs="宋体"/>
          <w:b/>
          <w:bCs w:val="0"/>
          <w:color w:val="auto"/>
          <w:sz w:val="24"/>
          <w:szCs w:val="24"/>
          <w:highlight w:val="none"/>
          <w:lang w:val="en-US" w:eastAsia="zh-CN"/>
        </w:rPr>
        <w:t>11</w:t>
      </w:r>
      <w:r>
        <w:rPr>
          <w:rFonts w:hint="eastAsia" w:ascii="宋体" w:hAnsi="宋体" w:cs="宋体"/>
          <w:b/>
          <w:bCs/>
          <w:color w:val="auto"/>
          <w:sz w:val="24"/>
          <w:szCs w:val="24"/>
          <w:highlight w:val="none"/>
        </w:rPr>
        <w:t>：</w:t>
      </w:r>
    </w:p>
    <w:p>
      <w:pPr>
        <w:pStyle w:val="121"/>
        <w:spacing w:before="100" w:beforeAutospacing="1" w:after="100" w:afterAutospacing="1" w:line="24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危险性较大的分部分项工程清单及</w:t>
      </w:r>
    </w:p>
    <w:p>
      <w:pPr>
        <w:pStyle w:val="121"/>
        <w:spacing w:before="100" w:beforeAutospacing="1" w:after="100" w:afterAutospacing="1" w:line="240" w:lineRule="auto"/>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超过一定规模的危险性较大的分部分项工程清单</w:t>
      </w:r>
    </w:p>
    <w:p>
      <w:pPr>
        <w:widowControl/>
        <w:numPr>
          <w:ilvl w:val="0"/>
          <w:numId w:val="6"/>
        </w:numPr>
        <w:autoSpaceDE w:val="0"/>
        <w:autoSpaceDN w:val="0"/>
        <w:adjustRightInd w:val="0"/>
        <w:spacing w:line="360" w:lineRule="auto"/>
        <w:jc w:val="left"/>
        <w:rPr>
          <w:rFonts w:ascii="宋体" w:hAnsi="宋体" w:cs="宋体"/>
          <w:snapToGrid w:val="0"/>
          <w:color w:val="auto"/>
          <w:spacing w:val="4"/>
          <w:kern w:val="0"/>
          <w:sz w:val="24"/>
          <w:szCs w:val="24"/>
          <w:highlight w:val="none"/>
        </w:rPr>
      </w:pPr>
      <w:r>
        <w:rPr>
          <w:rFonts w:hint="eastAsia" w:ascii="宋体" w:hAnsi="宋体" w:cs="宋体"/>
          <w:color w:val="auto"/>
          <w:kern w:val="0"/>
          <w:sz w:val="24"/>
          <w:szCs w:val="28"/>
          <w:highlight w:val="none"/>
        </w:rPr>
        <w:t>根据中华人民共和国住房和城乡建设部令第37号《危险性较大的分部分项工程安全管理规定》（以下简称“37号文”），投标人在投标时须补充完善危大工程清单并</w:t>
      </w:r>
      <w:r>
        <w:rPr>
          <w:rFonts w:hint="eastAsia" w:ascii="宋体" w:hAnsi="宋体" w:cs="宋体"/>
          <w:snapToGrid w:val="0"/>
          <w:color w:val="auto"/>
          <w:spacing w:val="4"/>
          <w:kern w:val="0"/>
          <w:sz w:val="24"/>
          <w:szCs w:val="24"/>
          <w:highlight w:val="none"/>
        </w:rPr>
        <w:t>结合本工程的类型和特点，科学、合理地设置本项目的危险性较大的分部分项工程安全管理措施，危险性较大的分部分项工程安全管理措施由投标人结合招标人对本工程的具体要求自行设定。</w:t>
      </w:r>
    </w:p>
    <w:p>
      <w:pPr>
        <w:widowControl/>
        <w:numPr>
          <w:ilvl w:val="0"/>
          <w:numId w:val="6"/>
        </w:numPr>
        <w:autoSpaceDE w:val="0"/>
        <w:autoSpaceDN w:val="0"/>
        <w:adjustRightInd w:val="0"/>
        <w:spacing w:line="360" w:lineRule="auto"/>
        <w:jc w:val="left"/>
        <w:rPr>
          <w:rFonts w:ascii="宋体" w:hAnsi="宋体" w:cs="宋体"/>
          <w:color w:val="auto"/>
          <w:kern w:val="0"/>
          <w:sz w:val="24"/>
          <w:szCs w:val="28"/>
          <w:highlight w:val="none"/>
        </w:rPr>
      </w:pPr>
      <w:r>
        <w:rPr>
          <w:rFonts w:hint="eastAsia" w:ascii="宋体" w:hAnsi="宋体" w:cs="宋体"/>
          <w:color w:val="auto"/>
          <w:kern w:val="0"/>
          <w:sz w:val="24"/>
          <w:szCs w:val="28"/>
          <w:highlight w:val="none"/>
        </w:rPr>
        <w:t>招标人根据设计文件的要求及37号文的规定列出“危险性较大的分部分项工程清单及超过一定规模的危险性较大的分部分项工程清单”中与本招标项目相关的清单项，具体详第5点“打</w:t>
      </w:r>
      <w:r>
        <w:rPr>
          <w:rFonts w:hint="eastAsia" w:ascii="宋体" w:hAnsi="宋体" w:cs="宋体"/>
          <w:color w:val="auto"/>
          <w:kern w:val="0"/>
          <w:sz w:val="24"/>
          <w:szCs w:val="36"/>
          <w:highlight w:val="none"/>
        </w:rPr>
        <w:t>√”标识。</w:t>
      </w:r>
    </w:p>
    <w:p>
      <w:pPr>
        <w:widowControl/>
        <w:numPr>
          <w:ilvl w:val="0"/>
          <w:numId w:val="7"/>
        </w:numPr>
        <w:autoSpaceDE w:val="0"/>
        <w:autoSpaceDN w:val="0"/>
        <w:adjustRightInd w:val="0"/>
        <w:spacing w:line="360" w:lineRule="auto"/>
        <w:jc w:val="left"/>
        <w:rPr>
          <w:rFonts w:ascii="宋体" w:hAnsi="宋体" w:cs="宋体"/>
          <w:color w:val="auto"/>
          <w:kern w:val="0"/>
          <w:sz w:val="24"/>
          <w:szCs w:val="36"/>
          <w:highlight w:val="none"/>
        </w:rPr>
      </w:pPr>
      <w:r>
        <w:rPr>
          <w:rFonts w:hint="eastAsia" w:ascii="宋体" w:hAnsi="宋体" w:cs="宋体"/>
          <w:color w:val="auto"/>
          <w:kern w:val="0"/>
          <w:sz w:val="24"/>
          <w:szCs w:val="28"/>
          <w:highlight w:val="none"/>
        </w:rPr>
        <w:t>投标人同意招标人在清单中标识的该项请在对应项打“</w:t>
      </w:r>
      <w:r>
        <w:rPr>
          <w:rFonts w:hint="eastAsia" w:ascii="宋体" w:hAnsi="宋体" w:cs="宋体"/>
          <w:color w:val="auto"/>
          <w:kern w:val="0"/>
          <w:sz w:val="24"/>
          <w:szCs w:val="36"/>
          <w:highlight w:val="none"/>
        </w:rPr>
        <w:t>√”标识，并在投标文件中提供相应的安全管理措施。</w:t>
      </w:r>
    </w:p>
    <w:p>
      <w:pPr>
        <w:widowControl/>
        <w:numPr>
          <w:ilvl w:val="0"/>
          <w:numId w:val="7"/>
        </w:numPr>
        <w:autoSpaceDE w:val="0"/>
        <w:autoSpaceDN w:val="0"/>
        <w:adjustRightInd w:val="0"/>
        <w:spacing w:line="360" w:lineRule="auto"/>
        <w:jc w:val="left"/>
        <w:rPr>
          <w:rFonts w:ascii="宋体" w:hAnsi="宋体" w:cs="宋体"/>
          <w:color w:val="auto"/>
          <w:kern w:val="0"/>
          <w:sz w:val="24"/>
          <w:szCs w:val="36"/>
          <w:highlight w:val="none"/>
        </w:rPr>
      </w:pPr>
      <w:r>
        <w:rPr>
          <w:rFonts w:hint="eastAsia" w:ascii="宋体" w:hAnsi="宋体" w:cs="宋体"/>
          <w:color w:val="auto"/>
          <w:kern w:val="0"/>
          <w:sz w:val="24"/>
          <w:szCs w:val="28"/>
          <w:highlight w:val="none"/>
        </w:rPr>
        <w:t>投标人对清单中认为需要补充的该项请在对应项打“</w:t>
      </w:r>
      <w:r>
        <w:rPr>
          <w:rFonts w:hint="eastAsia" w:ascii="宋体" w:hAnsi="宋体" w:cs="宋体"/>
          <w:color w:val="auto"/>
          <w:kern w:val="0"/>
          <w:sz w:val="24"/>
          <w:szCs w:val="36"/>
          <w:highlight w:val="none"/>
        </w:rPr>
        <w:t>√”标识，并在投标文件中提供相应的安全管理措施。</w:t>
      </w:r>
    </w:p>
    <w:p>
      <w:pPr>
        <w:widowControl/>
        <w:numPr>
          <w:ilvl w:val="0"/>
          <w:numId w:val="7"/>
        </w:numPr>
        <w:autoSpaceDE w:val="0"/>
        <w:autoSpaceDN w:val="0"/>
        <w:adjustRightInd w:val="0"/>
        <w:spacing w:line="360" w:lineRule="auto"/>
        <w:jc w:val="left"/>
        <w:rPr>
          <w:rFonts w:ascii="宋体" w:hAnsi="宋体" w:cs="宋体"/>
          <w:color w:val="auto"/>
          <w:kern w:val="0"/>
          <w:sz w:val="24"/>
          <w:szCs w:val="28"/>
          <w:highlight w:val="none"/>
        </w:rPr>
      </w:pPr>
      <w:r>
        <w:rPr>
          <w:rFonts w:hint="eastAsia" w:ascii="宋体" w:hAnsi="宋体" w:cs="宋体"/>
          <w:color w:val="auto"/>
          <w:kern w:val="0"/>
          <w:sz w:val="24"/>
          <w:szCs w:val="36"/>
          <w:highlight w:val="none"/>
        </w:rPr>
        <w:t>投标人不同意招标人</w:t>
      </w:r>
      <w:r>
        <w:rPr>
          <w:rFonts w:hint="eastAsia" w:ascii="宋体" w:hAnsi="宋体" w:cs="宋体"/>
          <w:color w:val="auto"/>
          <w:kern w:val="0"/>
          <w:sz w:val="24"/>
          <w:szCs w:val="28"/>
          <w:highlight w:val="none"/>
        </w:rPr>
        <w:t>在清单中标识的该项</w:t>
      </w:r>
      <w:r>
        <w:rPr>
          <w:rFonts w:hint="eastAsia" w:ascii="宋体" w:hAnsi="宋体" w:cs="宋体"/>
          <w:color w:val="auto"/>
          <w:kern w:val="0"/>
          <w:sz w:val="24"/>
          <w:szCs w:val="36"/>
          <w:highlight w:val="none"/>
        </w:rPr>
        <w:t>请在对应项打“×”标识，并在备注栏填上相关说明。</w:t>
      </w:r>
    </w:p>
    <w:p>
      <w:pPr>
        <w:widowControl/>
        <w:numPr>
          <w:ilvl w:val="0"/>
          <w:numId w:val="6"/>
        </w:numPr>
        <w:autoSpaceDE w:val="0"/>
        <w:autoSpaceDN w:val="0"/>
        <w:adjustRightInd w:val="0"/>
        <w:spacing w:line="360" w:lineRule="auto"/>
        <w:jc w:val="left"/>
        <w:rPr>
          <w:rFonts w:ascii="宋体" w:hAnsi="宋体" w:cs="宋体"/>
          <w:color w:val="auto"/>
          <w:kern w:val="0"/>
          <w:sz w:val="24"/>
          <w:szCs w:val="28"/>
          <w:highlight w:val="none"/>
        </w:rPr>
      </w:pPr>
      <w:r>
        <w:rPr>
          <w:rFonts w:hint="eastAsia" w:ascii="宋体" w:hAnsi="宋体" w:cs="宋体"/>
          <w:color w:val="auto"/>
          <w:kern w:val="0"/>
          <w:sz w:val="24"/>
          <w:szCs w:val="28"/>
          <w:highlight w:val="none"/>
        </w:rPr>
        <w:t>投标人应当在投标时根据招标人提供的下述第5点清单，在投标文件中编制专项施工方案。</w:t>
      </w:r>
    </w:p>
    <w:p>
      <w:pPr>
        <w:widowControl/>
        <w:numPr>
          <w:ilvl w:val="0"/>
          <w:numId w:val="6"/>
        </w:numPr>
        <w:autoSpaceDE w:val="0"/>
        <w:autoSpaceDN w:val="0"/>
        <w:adjustRightInd w:val="0"/>
        <w:spacing w:line="360" w:lineRule="auto"/>
        <w:jc w:val="left"/>
        <w:rPr>
          <w:rFonts w:ascii="宋体" w:hAnsi="宋体" w:cs="宋体"/>
          <w:color w:val="auto"/>
          <w:kern w:val="0"/>
          <w:sz w:val="24"/>
          <w:szCs w:val="28"/>
          <w:highlight w:val="none"/>
        </w:rPr>
      </w:pPr>
      <w:r>
        <w:rPr>
          <w:rFonts w:hint="eastAsia" w:ascii="宋体" w:hAnsi="宋体" w:cs="宋体"/>
          <w:color w:val="auto"/>
          <w:kern w:val="0"/>
          <w:sz w:val="24"/>
          <w:szCs w:val="28"/>
          <w:highlight w:val="none"/>
        </w:rPr>
        <w:t>对于超过一定规模的危大工程，中标单位应当组织召开专家论证会对专项施工方案进行论证。实行施工总承包的，由施工总承包单位组织召开专家论证会。专家论证前专项施工方案应当通过施工总承包单位审核和总监理工程师审查。</w:t>
      </w:r>
    </w:p>
    <w:p>
      <w:pPr>
        <w:widowControl/>
        <w:numPr>
          <w:ilvl w:val="0"/>
          <w:numId w:val="6"/>
        </w:numPr>
        <w:autoSpaceDE w:val="0"/>
        <w:autoSpaceDN w:val="0"/>
        <w:adjustRightInd w:val="0"/>
        <w:spacing w:line="360" w:lineRule="auto"/>
        <w:jc w:val="left"/>
        <w:rPr>
          <w:rFonts w:ascii="宋体" w:hAnsi="宋体" w:cs="宋体"/>
          <w:color w:val="auto"/>
          <w:kern w:val="0"/>
          <w:sz w:val="24"/>
          <w:szCs w:val="28"/>
          <w:highlight w:val="none"/>
        </w:rPr>
      </w:pPr>
      <w:r>
        <w:rPr>
          <w:rFonts w:hint="eastAsia" w:ascii="宋体" w:hAnsi="宋体" w:cs="宋体"/>
          <w:color w:val="auto"/>
          <w:kern w:val="0"/>
          <w:sz w:val="24"/>
          <w:szCs w:val="28"/>
          <w:highlight w:val="none"/>
        </w:rPr>
        <w:t>危险性较大的分部分项工程清单及超过一定规模的危险性较大的分部分项工程清单：</w:t>
      </w:r>
    </w:p>
    <w:p>
      <w:pPr>
        <w:widowControl/>
        <w:autoSpaceDE w:val="0"/>
        <w:autoSpaceDN w:val="0"/>
        <w:adjustRightInd w:val="0"/>
        <w:spacing w:line="360" w:lineRule="auto"/>
        <w:jc w:val="left"/>
        <w:rPr>
          <w:rFonts w:ascii="宋体" w:hAnsi="宋体" w:cs="宋体"/>
          <w:color w:val="auto"/>
          <w:kern w:val="0"/>
          <w:sz w:val="24"/>
          <w:szCs w:val="28"/>
          <w:highlight w:val="none"/>
        </w:rPr>
        <w:sectPr>
          <w:pgSz w:w="11907" w:h="16840"/>
          <w:pgMar w:top="1440" w:right="1797" w:bottom="1440" w:left="1797" w:header="720" w:footer="720" w:gutter="0"/>
          <w:cols w:space="720" w:num="1"/>
        </w:sectPr>
      </w:pP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59"/>
        <w:gridCol w:w="1353"/>
        <w:gridCol w:w="1353"/>
        <w:gridCol w:w="1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vAlign w:val="center"/>
          </w:tcPr>
          <w:p>
            <w:pPr>
              <w:widowControl/>
              <w:jc w:val="left"/>
              <w:rPr>
                <w:rFonts w:ascii="宋体" w:hAnsi="宋体" w:cs="宋体"/>
                <w:b/>
                <w:color w:val="auto"/>
                <w:kern w:val="0"/>
                <w:szCs w:val="21"/>
                <w:highlight w:val="none"/>
              </w:rPr>
            </w:pPr>
            <w:r>
              <w:rPr>
                <w:rFonts w:hint="eastAsia" w:ascii="宋体" w:hAnsi="宋体" w:cs="宋体"/>
                <w:b/>
                <w:color w:val="auto"/>
                <w:kern w:val="0"/>
                <w:szCs w:val="21"/>
                <w:highlight w:val="none"/>
              </w:rPr>
              <w:t>第一部分、危险性较大的分部分项工程清单</w:t>
            </w:r>
          </w:p>
        </w:tc>
        <w:tc>
          <w:tcPr>
            <w:tcW w:w="1353"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招标人</w:t>
            </w:r>
          </w:p>
        </w:tc>
        <w:tc>
          <w:tcPr>
            <w:tcW w:w="1353"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投标人</w:t>
            </w:r>
          </w:p>
        </w:tc>
        <w:tc>
          <w:tcPr>
            <w:tcW w:w="1057"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一、基坑工程</w:t>
            </w:r>
          </w:p>
        </w:tc>
        <w:tc>
          <w:tcPr>
            <w:tcW w:w="1353" w:type="dxa"/>
            <w:vAlign w:val="center"/>
          </w:tcPr>
          <w:p>
            <w:pPr>
              <w:widowControl/>
              <w:jc w:val="center"/>
              <w:rPr>
                <w:rFonts w:ascii="宋体" w:hAnsi="宋体" w:cs="宋体"/>
                <w:color w:val="auto"/>
                <w:kern w:val="0"/>
                <w:szCs w:val="21"/>
                <w:highlight w:val="none"/>
              </w:rPr>
            </w:pPr>
          </w:p>
        </w:tc>
        <w:tc>
          <w:tcPr>
            <w:tcW w:w="1353" w:type="dxa"/>
            <w:vAlign w:val="center"/>
          </w:tcPr>
          <w:p>
            <w:pPr>
              <w:widowControl/>
              <w:jc w:val="center"/>
              <w:rPr>
                <w:rFonts w:ascii="宋体" w:hAnsi="宋体" w:cs="宋体"/>
                <w:color w:val="auto"/>
                <w:kern w:val="0"/>
                <w:szCs w:val="21"/>
                <w:highlight w:val="none"/>
              </w:rPr>
            </w:pPr>
          </w:p>
        </w:tc>
        <w:tc>
          <w:tcPr>
            <w:tcW w:w="1057" w:type="dxa"/>
            <w:vAlign w:val="center"/>
          </w:tcPr>
          <w:p>
            <w:pPr>
              <w:widowControl/>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（一）开挖深度超过3m（含3m）的基坑（槽）的土方开挖、支护、降水工程。</w:t>
            </w:r>
          </w:p>
        </w:tc>
        <w:tc>
          <w:tcPr>
            <w:tcW w:w="1353"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353"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57" w:type="dxa"/>
            <w:vAlign w:val="center"/>
          </w:tcPr>
          <w:p>
            <w:pPr>
              <w:widowControl/>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tcPr>
          <w:p>
            <w:pPr>
              <w:widowControl/>
              <w:spacing w:line="36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（二）开挖深度虽未超过3m，但地质条件、周围环境和地下管线复杂，或影响毗邻建、构筑物安全的基坑（槽）的土方开挖、支护、降水工程。</w:t>
            </w:r>
          </w:p>
        </w:tc>
        <w:tc>
          <w:tcPr>
            <w:tcW w:w="1353"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353"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57" w:type="dxa"/>
            <w:vAlign w:val="center"/>
          </w:tcPr>
          <w:p>
            <w:pPr>
              <w:widowControl/>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二、模板工程及支撑体系</w:t>
            </w:r>
          </w:p>
        </w:tc>
        <w:tc>
          <w:tcPr>
            <w:tcW w:w="1353" w:type="dxa"/>
            <w:vAlign w:val="center"/>
          </w:tcPr>
          <w:p>
            <w:pPr>
              <w:widowControl/>
              <w:jc w:val="center"/>
              <w:rPr>
                <w:rFonts w:ascii="宋体" w:hAnsi="宋体" w:cs="宋体"/>
                <w:color w:val="auto"/>
                <w:kern w:val="0"/>
                <w:szCs w:val="21"/>
                <w:highlight w:val="none"/>
              </w:rPr>
            </w:pPr>
          </w:p>
        </w:tc>
        <w:tc>
          <w:tcPr>
            <w:tcW w:w="1353" w:type="dxa"/>
            <w:vAlign w:val="center"/>
          </w:tcPr>
          <w:p>
            <w:pPr>
              <w:widowControl/>
              <w:jc w:val="center"/>
              <w:rPr>
                <w:rFonts w:ascii="宋体" w:hAnsi="宋体" w:cs="宋体"/>
                <w:color w:val="auto"/>
                <w:kern w:val="0"/>
                <w:szCs w:val="21"/>
                <w:highlight w:val="none"/>
              </w:rPr>
            </w:pPr>
          </w:p>
        </w:tc>
        <w:tc>
          <w:tcPr>
            <w:tcW w:w="1057" w:type="dxa"/>
            <w:vAlign w:val="center"/>
          </w:tcPr>
          <w:p>
            <w:pPr>
              <w:widowControl/>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（一）各类工具式模板工程：包括滑模、爬模、飞模、隧道模等工程。</w:t>
            </w:r>
          </w:p>
        </w:tc>
        <w:tc>
          <w:tcPr>
            <w:tcW w:w="1353"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353"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57" w:type="dxa"/>
            <w:vAlign w:val="center"/>
          </w:tcPr>
          <w:p>
            <w:pPr>
              <w:widowControl/>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二）混凝土模板支撑工程：搭设高度5m及以上，或搭设跨度10m及以上，或施工总荷载（荷载效应基本组合的设计值，以下简称设计值）10kN/m2及以上，或集中线荷载（设计值）15kN/m及以上，或高度大于支撑水平投影宽度且相对独立无联系构件的混凝土模板支撑工程。</w:t>
            </w:r>
          </w:p>
        </w:tc>
        <w:tc>
          <w:tcPr>
            <w:tcW w:w="1353"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353"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57" w:type="dxa"/>
            <w:vAlign w:val="center"/>
          </w:tcPr>
          <w:p>
            <w:pPr>
              <w:widowControl/>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（三）承重支撑体系：用于钢结构安装等满堂支撑体系。</w:t>
            </w:r>
          </w:p>
        </w:tc>
        <w:tc>
          <w:tcPr>
            <w:tcW w:w="1353"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353"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57" w:type="dxa"/>
            <w:vAlign w:val="center"/>
          </w:tcPr>
          <w:p>
            <w:pPr>
              <w:widowControl/>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三、起重吊装及起重机械安装拆卸工程</w:t>
            </w:r>
          </w:p>
        </w:tc>
        <w:tc>
          <w:tcPr>
            <w:tcW w:w="1353" w:type="dxa"/>
            <w:vAlign w:val="center"/>
          </w:tcPr>
          <w:p>
            <w:pPr>
              <w:widowControl/>
              <w:jc w:val="center"/>
              <w:rPr>
                <w:rFonts w:ascii="宋体" w:hAnsi="宋体" w:cs="宋体"/>
                <w:color w:val="auto"/>
                <w:kern w:val="0"/>
                <w:szCs w:val="21"/>
                <w:highlight w:val="none"/>
              </w:rPr>
            </w:pPr>
          </w:p>
        </w:tc>
        <w:tc>
          <w:tcPr>
            <w:tcW w:w="1353" w:type="dxa"/>
            <w:vAlign w:val="center"/>
          </w:tcPr>
          <w:p>
            <w:pPr>
              <w:widowControl/>
              <w:jc w:val="center"/>
              <w:rPr>
                <w:rFonts w:ascii="宋体" w:hAnsi="宋体" w:cs="宋体"/>
                <w:color w:val="auto"/>
                <w:kern w:val="0"/>
                <w:szCs w:val="21"/>
                <w:highlight w:val="none"/>
              </w:rPr>
            </w:pPr>
          </w:p>
        </w:tc>
        <w:tc>
          <w:tcPr>
            <w:tcW w:w="1057" w:type="dxa"/>
            <w:vAlign w:val="center"/>
          </w:tcPr>
          <w:p>
            <w:pPr>
              <w:widowControl/>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（一）采用非常规起重设备、方法，且单件起吊重量在10kN及以上的起重吊装工程。</w:t>
            </w:r>
          </w:p>
        </w:tc>
        <w:tc>
          <w:tcPr>
            <w:tcW w:w="1353"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353"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57" w:type="dxa"/>
            <w:vAlign w:val="center"/>
          </w:tcPr>
          <w:p>
            <w:pPr>
              <w:widowControl/>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（二）采用起重机械进行安装的工程。</w:t>
            </w:r>
          </w:p>
        </w:tc>
        <w:tc>
          <w:tcPr>
            <w:tcW w:w="1353"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353"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57" w:type="dxa"/>
            <w:vAlign w:val="center"/>
          </w:tcPr>
          <w:p>
            <w:pPr>
              <w:widowControl/>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（三）起重机械安装和拆卸工程。</w:t>
            </w:r>
          </w:p>
        </w:tc>
        <w:tc>
          <w:tcPr>
            <w:tcW w:w="1353"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353"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57" w:type="dxa"/>
            <w:vAlign w:val="center"/>
          </w:tcPr>
          <w:p>
            <w:pPr>
              <w:widowControl/>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四、脚手架工程</w:t>
            </w:r>
          </w:p>
        </w:tc>
        <w:tc>
          <w:tcPr>
            <w:tcW w:w="1353" w:type="dxa"/>
            <w:vAlign w:val="center"/>
          </w:tcPr>
          <w:p>
            <w:pPr>
              <w:widowControl/>
              <w:jc w:val="center"/>
              <w:rPr>
                <w:rFonts w:ascii="宋体" w:hAnsi="宋体" w:cs="宋体"/>
                <w:color w:val="auto"/>
                <w:kern w:val="0"/>
                <w:szCs w:val="21"/>
                <w:highlight w:val="none"/>
              </w:rPr>
            </w:pPr>
          </w:p>
        </w:tc>
        <w:tc>
          <w:tcPr>
            <w:tcW w:w="1353" w:type="dxa"/>
            <w:vAlign w:val="center"/>
          </w:tcPr>
          <w:p>
            <w:pPr>
              <w:widowControl/>
              <w:jc w:val="center"/>
              <w:rPr>
                <w:rFonts w:ascii="宋体" w:hAnsi="宋体" w:cs="宋体"/>
                <w:color w:val="auto"/>
                <w:kern w:val="0"/>
                <w:szCs w:val="21"/>
                <w:highlight w:val="none"/>
              </w:rPr>
            </w:pPr>
          </w:p>
        </w:tc>
        <w:tc>
          <w:tcPr>
            <w:tcW w:w="1057" w:type="dxa"/>
            <w:vAlign w:val="center"/>
          </w:tcPr>
          <w:p>
            <w:pPr>
              <w:widowControl/>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（一）搭设高度24m及以上的落地式钢管脚手架工程（包括采光井、电梯井脚手架）。</w:t>
            </w:r>
          </w:p>
        </w:tc>
        <w:tc>
          <w:tcPr>
            <w:tcW w:w="1353"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 )</w:t>
            </w:r>
          </w:p>
        </w:tc>
        <w:tc>
          <w:tcPr>
            <w:tcW w:w="1353"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57" w:type="dxa"/>
            <w:vAlign w:val="center"/>
          </w:tcPr>
          <w:p>
            <w:pPr>
              <w:widowControl/>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（二）附着式升降脚手架工程。</w:t>
            </w:r>
          </w:p>
        </w:tc>
        <w:tc>
          <w:tcPr>
            <w:tcW w:w="1353"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353"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57" w:type="dxa"/>
            <w:vAlign w:val="center"/>
          </w:tcPr>
          <w:p>
            <w:pPr>
              <w:widowControl/>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（三）悬挑式脚手架工程。</w:t>
            </w:r>
          </w:p>
        </w:tc>
        <w:tc>
          <w:tcPr>
            <w:tcW w:w="1353"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353"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57" w:type="dxa"/>
            <w:vAlign w:val="center"/>
          </w:tcPr>
          <w:p>
            <w:pPr>
              <w:widowControl/>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（四）高处作业吊篮。</w:t>
            </w:r>
          </w:p>
        </w:tc>
        <w:tc>
          <w:tcPr>
            <w:tcW w:w="1353"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353"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57" w:type="dxa"/>
            <w:vAlign w:val="center"/>
          </w:tcPr>
          <w:p>
            <w:pPr>
              <w:widowControl/>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（五）卸料平台、操作平台工程。</w:t>
            </w:r>
          </w:p>
        </w:tc>
        <w:tc>
          <w:tcPr>
            <w:tcW w:w="1353"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353"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57" w:type="dxa"/>
            <w:vAlign w:val="center"/>
          </w:tcPr>
          <w:p>
            <w:pPr>
              <w:widowControl/>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（六）异型脚手架工程。</w:t>
            </w:r>
          </w:p>
        </w:tc>
        <w:tc>
          <w:tcPr>
            <w:tcW w:w="1353"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353"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57" w:type="dxa"/>
            <w:vAlign w:val="center"/>
          </w:tcPr>
          <w:p>
            <w:pPr>
              <w:widowControl/>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五、拆除工程</w:t>
            </w:r>
          </w:p>
        </w:tc>
        <w:tc>
          <w:tcPr>
            <w:tcW w:w="1353" w:type="dxa"/>
            <w:vAlign w:val="center"/>
          </w:tcPr>
          <w:p>
            <w:pPr>
              <w:widowControl/>
              <w:jc w:val="center"/>
              <w:rPr>
                <w:rFonts w:ascii="宋体" w:hAnsi="宋体" w:cs="宋体"/>
                <w:color w:val="auto"/>
                <w:kern w:val="0"/>
                <w:szCs w:val="21"/>
                <w:highlight w:val="none"/>
              </w:rPr>
            </w:pPr>
          </w:p>
        </w:tc>
        <w:tc>
          <w:tcPr>
            <w:tcW w:w="1353" w:type="dxa"/>
            <w:vAlign w:val="center"/>
          </w:tcPr>
          <w:p>
            <w:pPr>
              <w:widowControl/>
              <w:jc w:val="center"/>
              <w:rPr>
                <w:rFonts w:ascii="宋体" w:hAnsi="宋体" w:cs="宋体"/>
                <w:color w:val="auto"/>
                <w:kern w:val="0"/>
                <w:szCs w:val="21"/>
                <w:highlight w:val="none"/>
              </w:rPr>
            </w:pPr>
          </w:p>
        </w:tc>
        <w:tc>
          <w:tcPr>
            <w:tcW w:w="1057" w:type="dxa"/>
            <w:vAlign w:val="center"/>
          </w:tcPr>
          <w:p>
            <w:pPr>
              <w:widowControl/>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可能影响行人、交通、电力设施、通讯设施或其它建、构筑物安全的拆除工程。</w:t>
            </w:r>
          </w:p>
        </w:tc>
        <w:tc>
          <w:tcPr>
            <w:tcW w:w="1353"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353"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57" w:type="dxa"/>
            <w:vAlign w:val="center"/>
          </w:tcPr>
          <w:p>
            <w:pPr>
              <w:widowControl/>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六、暗挖工程</w:t>
            </w:r>
          </w:p>
        </w:tc>
        <w:tc>
          <w:tcPr>
            <w:tcW w:w="1353" w:type="dxa"/>
            <w:vAlign w:val="center"/>
          </w:tcPr>
          <w:p>
            <w:pPr>
              <w:widowControl/>
              <w:jc w:val="center"/>
              <w:rPr>
                <w:rFonts w:ascii="宋体" w:hAnsi="宋体" w:cs="宋体"/>
                <w:color w:val="auto"/>
                <w:kern w:val="0"/>
                <w:szCs w:val="21"/>
                <w:highlight w:val="none"/>
              </w:rPr>
            </w:pPr>
          </w:p>
        </w:tc>
        <w:tc>
          <w:tcPr>
            <w:tcW w:w="1353" w:type="dxa"/>
            <w:vAlign w:val="center"/>
          </w:tcPr>
          <w:p>
            <w:pPr>
              <w:widowControl/>
              <w:jc w:val="center"/>
              <w:rPr>
                <w:rFonts w:ascii="宋体" w:hAnsi="宋体" w:cs="宋体"/>
                <w:color w:val="auto"/>
                <w:kern w:val="0"/>
                <w:szCs w:val="21"/>
                <w:highlight w:val="none"/>
              </w:rPr>
            </w:pPr>
          </w:p>
        </w:tc>
        <w:tc>
          <w:tcPr>
            <w:tcW w:w="1057" w:type="dxa"/>
            <w:vAlign w:val="center"/>
          </w:tcPr>
          <w:p>
            <w:pPr>
              <w:widowControl/>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采用矿山法、盾构法、顶管法施工的隧道、洞室工程。</w:t>
            </w:r>
          </w:p>
        </w:tc>
        <w:tc>
          <w:tcPr>
            <w:tcW w:w="1353"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353"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57" w:type="dxa"/>
            <w:vAlign w:val="center"/>
          </w:tcPr>
          <w:p>
            <w:pPr>
              <w:widowControl/>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七、其它</w:t>
            </w:r>
          </w:p>
        </w:tc>
        <w:tc>
          <w:tcPr>
            <w:tcW w:w="1353" w:type="dxa"/>
            <w:vAlign w:val="center"/>
          </w:tcPr>
          <w:p>
            <w:pPr>
              <w:widowControl/>
              <w:jc w:val="center"/>
              <w:rPr>
                <w:rFonts w:ascii="宋体" w:hAnsi="宋体" w:cs="宋体"/>
                <w:color w:val="auto"/>
                <w:kern w:val="0"/>
                <w:szCs w:val="21"/>
                <w:highlight w:val="none"/>
              </w:rPr>
            </w:pPr>
          </w:p>
        </w:tc>
        <w:tc>
          <w:tcPr>
            <w:tcW w:w="1353" w:type="dxa"/>
            <w:vAlign w:val="center"/>
          </w:tcPr>
          <w:p>
            <w:pPr>
              <w:widowControl/>
              <w:jc w:val="center"/>
              <w:rPr>
                <w:rFonts w:ascii="宋体" w:hAnsi="宋体" w:cs="宋体"/>
                <w:color w:val="auto"/>
                <w:kern w:val="0"/>
                <w:szCs w:val="21"/>
                <w:highlight w:val="none"/>
              </w:rPr>
            </w:pPr>
          </w:p>
        </w:tc>
        <w:tc>
          <w:tcPr>
            <w:tcW w:w="1057" w:type="dxa"/>
            <w:vAlign w:val="center"/>
          </w:tcPr>
          <w:p>
            <w:pPr>
              <w:widowControl/>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（一）建筑幕墙安装工程。</w:t>
            </w:r>
          </w:p>
        </w:tc>
        <w:tc>
          <w:tcPr>
            <w:tcW w:w="1353"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353"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57" w:type="dxa"/>
            <w:vAlign w:val="center"/>
          </w:tcPr>
          <w:p>
            <w:pPr>
              <w:widowControl/>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（二）钢结构、网架和索膜结构安装工程。</w:t>
            </w:r>
          </w:p>
        </w:tc>
        <w:tc>
          <w:tcPr>
            <w:tcW w:w="1353"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353"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57" w:type="dxa"/>
            <w:vAlign w:val="center"/>
          </w:tcPr>
          <w:p>
            <w:pPr>
              <w:widowControl/>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（三）人工挖孔桩工程。</w:t>
            </w:r>
          </w:p>
        </w:tc>
        <w:tc>
          <w:tcPr>
            <w:tcW w:w="1353"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353"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57" w:type="dxa"/>
            <w:vAlign w:val="center"/>
          </w:tcPr>
          <w:p>
            <w:pPr>
              <w:widowControl/>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（四）水下作业工程。</w:t>
            </w:r>
          </w:p>
        </w:tc>
        <w:tc>
          <w:tcPr>
            <w:tcW w:w="1353"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353"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57" w:type="dxa"/>
            <w:vAlign w:val="center"/>
          </w:tcPr>
          <w:p>
            <w:pPr>
              <w:widowControl/>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（五）装配式建筑混凝土预制构件安装工程。</w:t>
            </w:r>
          </w:p>
        </w:tc>
        <w:tc>
          <w:tcPr>
            <w:tcW w:w="1353"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353"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57" w:type="dxa"/>
            <w:vAlign w:val="center"/>
          </w:tcPr>
          <w:p>
            <w:pPr>
              <w:widowControl/>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（六）采用新技术、新工艺、新材料、新设备可能影响工程施工安全，尚无国家、行业及地方技术标准的分部分项工程。</w:t>
            </w:r>
          </w:p>
        </w:tc>
        <w:tc>
          <w:tcPr>
            <w:tcW w:w="1353"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353"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57" w:type="dxa"/>
            <w:vAlign w:val="center"/>
          </w:tcPr>
          <w:p>
            <w:pPr>
              <w:widowControl/>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tcPr>
          <w:p>
            <w:pPr>
              <w:widowControl/>
              <w:jc w:val="left"/>
              <w:rPr>
                <w:rFonts w:ascii="宋体" w:hAnsi="宋体" w:cs="宋体"/>
                <w:b/>
                <w:color w:val="auto"/>
                <w:kern w:val="0"/>
                <w:szCs w:val="21"/>
                <w:highlight w:val="none"/>
              </w:rPr>
            </w:pPr>
            <w:r>
              <w:rPr>
                <w:rFonts w:hint="eastAsia" w:ascii="宋体" w:hAnsi="宋体" w:cs="宋体"/>
                <w:b/>
                <w:color w:val="auto"/>
                <w:kern w:val="0"/>
                <w:szCs w:val="21"/>
                <w:highlight w:val="none"/>
              </w:rPr>
              <w:t>第二部分、超过一定规模的危险性较大的分部分项工程清单</w:t>
            </w:r>
          </w:p>
        </w:tc>
        <w:tc>
          <w:tcPr>
            <w:tcW w:w="1353"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招标人</w:t>
            </w:r>
          </w:p>
        </w:tc>
        <w:tc>
          <w:tcPr>
            <w:tcW w:w="1353"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投标人</w:t>
            </w:r>
          </w:p>
        </w:tc>
        <w:tc>
          <w:tcPr>
            <w:tcW w:w="1057"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一、深基坑工程</w:t>
            </w:r>
          </w:p>
        </w:tc>
        <w:tc>
          <w:tcPr>
            <w:tcW w:w="1353" w:type="dxa"/>
            <w:vAlign w:val="center"/>
          </w:tcPr>
          <w:p>
            <w:pPr>
              <w:widowControl/>
              <w:jc w:val="center"/>
              <w:rPr>
                <w:rFonts w:ascii="宋体" w:hAnsi="宋体" w:cs="宋体"/>
                <w:color w:val="auto"/>
                <w:kern w:val="0"/>
                <w:szCs w:val="21"/>
                <w:highlight w:val="none"/>
              </w:rPr>
            </w:pPr>
          </w:p>
        </w:tc>
        <w:tc>
          <w:tcPr>
            <w:tcW w:w="1353" w:type="dxa"/>
            <w:vAlign w:val="center"/>
          </w:tcPr>
          <w:p>
            <w:pPr>
              <w:widowControl/>
              <w:jc w:val="center"/>
              <w:rPr>
                <w:rFonts w:ascii="宋体" w:hAnsi="宋体" w:cs="宋体"/>
                <w:color w:val="auto"/>
                <w:kern w:val="0"/>
                <w:szCs w:val="21"/>
                <w:highlight w:val="none"/>
              </w:rPr>
            </w:pPr>
          </w:p>
        </w:tc>
        <w:tc>
          <w:tcPr>
            <w:tcW w:w="1057" w:type="dxa"/>
            <w:vAlign w:val="center"/>
          </w:tcPr>
          <w:p>
            <w:pPr>
              <w:widowControl/>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开挖深度超过5m（含5m）的基坑（槽）的土方开挖、支护、降水工程。</w:t>
            </w:r>
          </w:p>
        </w:tc>
        <w:tc>
          <w:tcPr>
            <w:tcW w:w="1353"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353"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57" w:type="dxa"/>
            <w:vAlign w:val="center"/>
          </w:tcPr>
          <w:p>
            <w:pPr>
              <w:widowControl/>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二、模板工程及支撑体系</w:t>
            </w:r>
          </w:p>
        </w:tc>
        <w:tc>
          <w:tcPr>
            <w:tcW w:w="1353" w:type="dxa"/>
            <w:vAlign w:val="center"/>
          </w:tcPr>
          <w:p>
            <w:pPr>
              <w:widowControl/>
              <w:jc w:val="center"/>
              <w:rPr>
                <w:rFonts w:ascii="宋体" w:hAnsi="宋体" w:cs="宋体"/>
                <w:color w:val="auto"/>
                <w:kern w:val="0"/>
                <w:szCs w:val="21"/>
                <w:highlight w:val="none"/>
              </w:rPr>
            </w:pPr>
          </w:p>
        </w:tc>
        <w:tc>
          <w:tcPr>
            <w:tcW w:w="1353" w:type="dxa"/>
            <w:vAlign w:val="center"/>
          </w:tcPr>
          <w:p>
            <w:pPr>
              <w:widowControl/>
              <w:jc w:val="center"/>
              <w:rPr>
                <w:rFonts w:ascii="宋体" w:hAnsi="宋体" w:cs="宋体"/>
                <w:color w:val="auto"/>
                <w:kern w:val="0"/>
                <w:szCs w:val="21"/>
                <w:highlight w:val="none"/>
              </w:rPr>
            </w:pPr>
          </w:p>
        </w:tc>
        <w:tc>
          <w:tcPr>
            <w:tcW w:w="1057" w:type="dxa"/>
            <w:vAlign w:val="center"/>
          </w:tcPr>
          <w:p>
            <w:pPr>
              <w:widowControl/>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（一）各类工具式模板工程：包括滑模、爬模、飞模、隧道模等工程。</w:t>
            </w:r>
          </w:p>
        </w:tc>
        <w:tc>
          <w:tcPr>
            <w:tcW w:w="1353"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353"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57" w:type="dxa"/>
            <w:vAlign w:val="center"/>
          </w:tcPr>
          <w:p>
            <w:pPr>
              <w:widowControl/>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（二）混凝土模板支撑工程：搭设高度8m及以上，或搭设跨度18m及以上，或施工总荷载（设计值）15kN/m2及以上，或集中线荷载（设计值）20kN/m及以上。</w:t>
            </w:r>
          </w:p>
        </w:tc>
        <w:tc>
          <w:tcPr>
            <w:tcW w:w="1353"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353"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57" w:type="dxa"/>
            <w:vAlign w:val="center"/>
          </w:tcPr>
          <w:p>
            <w:pPr>
              <w:widowControl/>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（三）承重支撑体系：用于钢结构安装等满堂支撑体系，承受单点集中荷载7kN及以上。</w:t>
            </w:r>
          </w:p>
        </w:tc>
        <w:tc>
          <w:tcPr>
            <w:tcW w:w="1353"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353"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57" w:type="dxa"/>
            <w:vAlign w:val="center"/>
          </w:tcPr>
          <w:p>
            <w:pPr>
              <w:widowControl/>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三、起重吊装及起重机械安装拆卸工程</w:t>
            </w:r>
          </w:p>
        </w:tc>
        <w:tc>
          <w:tcPr>
            <w:tcW w:w="1353" w:type="dxa"/>
            <w:vAlign w:val="center"/>
          </w:tcPr>
          <w:p>
            <w:pPr>
              <w:widowControl/>
              <w:jc w:val="center"/>
              <w:rPr>
                <w:rFonts w:ascii="宋体" w:hAnsi="宋体" w:cs="宋体"/>
                <w:color w:val="auto"/>
                <w:kern w:val="0"/>
                <w:szCs w:val="21"/>
                <w:highlight w:val="none"/>
              </w:rPr>
            </w:pPr>
          </w:p>
        </w:tc>
        <w:tc>
          <w:tcPr>
            <w:tcW w:w="1353" w:type="dxa"/>
            <w:vAlign w:val="center"/>
          </w:tcPr>
          <w:p>
            <w:pPr>
              <w:widowControl/>
              <w:jc w:val="center"/>
              <w:rPr>
                <w:rFonts w:ascii="宋体" w:hAnsi="宋体" w:cs="宋体"/>
                <w:color w:val="auto"/>
                <w:kern w:val="0"/>
                <w:szCs w:val="21"/>
                <w:highlight w:val="none"/>
              </w:rPr>
            </w:pPr>
          </w:p>
        </w:tc>
        <w:tc>
          <w:tcPr>
            <w:tcW w:w="1057" w:type="dxa"/>
            <w:vAlign w:val="center"/>
          </w:tcPr>
          <w:p>
            <w:pPr>
              <w:widowControl/>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（一）采用非常规起重设备、方法，且单件起吊重量在100kN及以上的起重吊装工程。</w:t>
            </w:r>
          </w:p>
        </w:tc>
        <w:tc>
          <w:tcPr>
            <w:tcW w:w="1353"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353"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57" w:type="dxa"/>
            <w:vAlign w:val="center"/>
          </w:tcPr>
          <w:p>
            <w:pPr>
              <w:widowControl/>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（二）起重量300kN及以上，或搭设总高度200m及以上，或搭设基础标高在200m及以上的起重机械安装和拆卸工程。</w:t>
            </w:r>
          </w:p>
        </w:tc>
        <w:tc>
          <w:tcPr>
            <w:tcW w:w="1353"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353"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57" w:type="dxa"/>
            <w:vAlign w:val="center"/>
          </w:tcPr>
          <w:p>
            <w:pPr>
              <w:widowControl/>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四、脚手架工程</w:t>
            </w:r>
          </w:p>
        </w:tc>
        <w:tc>
          <w:tcPr>
            <w:tcW w:w="1353" w:type="dxa"/>
            <w:vAlign w:val="center"/>
          </w:tcPr>
          <w:p>
            <w:pPr>
              <w:widowControl/>
              <w:jc w:val="center"/>
              <w:rPr>
                <w:rFonts w:ascii="宋体" w:hAnsi="宋体" w:cs="宋体"/>
                <w:color w:val="auto"/>
                <w:kern w:val="0"/>
                <w:szCs w:val="21"/>
                <w:highlight w:val="none"/>
              </w:rPr>
            </w:pPr>
          </w:p>
        </w:tc>
        <w:tc>
          <w:tcPr>
            <w:tcW w:w="1353" w:type="dxa"/>
            <w:vAlign w:val="center"/>
          </w:tcPr>
          <w:p>
            <w:pPr>
              <w:widowControl/>
              <w:jc w:val="center"/>
              <w:rPr>
                <w:rFonts w:ascii="宋体" w:hAnsi="宋体" w:cs="宋体"/>
                <w:color w:val="auto"/>
                <w:kern w:val="0"/>
                <w:szCs w:val="21"/>
                <w:highlight w:val="none"/>
              </w:rPr>
            </w:pPr>
          </w:p>
        </w:tc>
        <w:tc>
          <w:tcPr>
            <w:tcW w:w="1057" w:type="dxa"/>
            <w:vAlign w:val="center"/>
          </w:tcPr>
          <w:p>
            <w:pPr>
              <w:widowControl/>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（一）搭设高度50m及以上的落地式钢管脚手架工程。</w:t>
            </w:r>
          </w:p>
        </w:tc>
        <w:tc>
          <w:tcPr>
            <w:tcW w:w="1353"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353"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57" w:type="dxa"/>
            <w:vAlign w:val="center"/>
          </w:tcPr>
          <w:p>
            <w:pPr>
              <w:widowControl/>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（二）提升高度在150m及以上的附着式升降脚手架工程或附着式升降操作平台工程。</w:t>
            </w:r>
          </w:p>
        </w:tc>
        <w:tc>
          <w:tcPr>
            <w:tcW w:w="1353"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353"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57" w:type="dxa"/>
            <w:vAlign w:val="center"/>
          </w:tcPr>
          <w:p>
            <w:pPr>
              <w:widowControl/>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（三）分段架体搭设高度20m及以上的悬挑式脚手架工程。</w:t>
            </w:r>
          </w:p>
        </w:tc>
        <w:tc>
          <w:tcPr>
            <w:tcW w:w="1353"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353"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57" w:type="dxa"/>
            <w:vAlign w:val="center"/>
          </w:tcPr>
          <w:p>
            <w:pPr>
              <w:widowControl/>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五、拆除工程</w:t>
            </w:r>
          </w:p>
        </w:tc>
        <w:tc>
          <w:tcPr>
            <w:tcW w:w="1353" w:type="dxa"/>
            <w:vAlign w:val="center"/>
          </w:tcPr>
          <w:p>
            <w:pPr>
              <w:widowControl/>
              <w:jc w:val="center"/>
              <w:rPr>
                <w:rFonts w:ascii="宋体" w:hAnsi="宋体" w:cs="宋体"/>
                <w:color w:val="auto"/>
                <w:kern w:val="0"/>
                <w:szCs w:val="21"/>
                <w:highlight w:val="none"/>
              </w:rPr>
            </w:pPr>
          </w:p>
        </w:tc>
        <w:tc>
          <w:tcPr>
            <w:tcW w:w="1353" w:type="dxa"/>
            <w:vAlign w:val="center"/>
          </w:tcPr>
          <w:p>
            <w:pPr>
              <w:widowControl/>
              <w:jc w:val="center"/>
              <w:rPr>
                <w:rFonts w:ascii="宋体" w:hAnsi="宋体" w:cs="宋体"/>
                <w:color w:val="auto"/>
                <w:kern w:val="0"/>
                <w:szCs w:val="21"/>
                <w:highlight w:val="none"/>
              </w:rPr>
            </w:pPr>
          </w:p>
        </w:tc>
        <w:tc>
          <w:tcPr>
            <w:tcW w:w="1057" w:type="dxa"/>
            <w:vAlign w:val="center"/>
          </w:tcPr>
          <w:p>
            <w:pPr>
              <w:widowControl/>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（一）码头、桥梁、高架、烟囱、水塔或拆除中容易引起有毒有害气（液）体或粉尘扩散、易燃易爆事故发生的特殊建、构筑物的拆除工程。</w:t>
            </w:r>
          </w:p>
        </w:tc>
        <w:tc>
          <w:tcPr>
            <w:tcW w:w="1353"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353"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57" w:type="dxa"/>
            <w:vAlign w:val="center"/>
          </w:tcPr>
          <w:p>
            <w:pPr>
              <w:widowControl/>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（二）文物保护建筑、优秀历史建筑或历史文化风貌区影响范围内的拆除工程。</w:t>
            </w:r>
          </w:p>
        </w:tc>
        <w:tc>
          <w:tcPr>
            <w:tcW w:w="1353"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353"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57" w:type="dxa"/>
            <w:vAlign w:val="center"/>
          </w:tcPr>
          <w:p>
            <w:pPr>
              <w:widowControl/>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六、暗挖工程</w:t>
            </w:r>
          </w:p>
        </w:tc>
        <w:tc>
          <w:tcPr>
            <w:tcW w:w="1353" w:type="dxa"/>
            <w:vAlign w:val="center"/>
          </w:tcPr>
          <w:p>
            <w:pPr>
              <w:widowControl/>
              <w:jc w:val="center"/>
              <w:rPr>
                <w:rFonts w:ascii="宋体" w:hAnsi="宋体" w:cs="宋体"/>
                <w:color w:val="auto"/>
                <w:kern w:val="0"/>
                <w:szCs w:val="21"/>
                <w:highlight w:val="none"/>
              </w:rPr>
            </w:pPr>
          </w:p>
        </w:tc>
        <w:tc>
          <w:tcPr>
            <w:tcW w:w="1353" w:type="dxa"/>
            <w:vAlign w:val="center"/>
          </w:tcPr>
          <w:p>
            <w:pPr>
              <w:widowControl/>
              <w:jc w:val="center"/>
              <w:rPr>
                <w:rFonts w:ascii="宋体" w:hAnsi="宋体" w:cs="宋体"/>
                <w:color w:val="auto"/>
                <w:kern w:val="0"/>
                <w:szCs w:val="21"/>
                <w:highlight w:val="none"/>
              </w:rPr>
            </w:pPr>
          </w:p>
        </w:tc>
        <w:tc>
          <w:tcPr>
            <w:tcW w:w="1057" w:type="dxa"/>
            <w:vAlign w:val="center"/>
          </w:tcPr>
          <w:p>
            <w:pPr>
              <w:widowControl/>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采用矿山法、盾构法、顶管法施工的隧道、洞室工程。</w:t>
            </w:r>
          </w:p>
        </w:tc>
        <w:tc>
          <w:tcPr>
            <w:tcW w:w="1353"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353"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57" w:type="dxa"/>
            <w:vAlign w:val="center"/>
          </w:tcPr>
          <w:p>
            <w:pPr>
              <w:widowControl/>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七、其它</w:t>
            </w:r>
          </w:p>
        </w:tc>
        <w:tc>
          <w:tcPr>
            <w:tcW w:w="1353" w:type="dxa"/>
            <w:vAlign w:val="center"/>
          </w:tcPr>
          <w:p>
            <w:pPr>
              <w:widowControl/>
              <w:jc w:val="center"/>
              <w:rPr>
                <w:rFonts w:ascii="宋体" w:hAnsi="宋体" w:cs="宋体"/>
                <w:color w:val="auto"/>
                <w:kern w:val="0"/>
                <w:szCs w:val="21"/>
                <w:highlight w:val="none"/>
              </w:rPr>
            </w:pPr>
          </w:p>
        </w:tc>
        <w:tc>
          <w:tcPr>
            <w:tcW w:w="1353" w:type="dxa"/>
            <w:vAlign w:val="center"/>
          </w:tcPr>
          <w:p>
            <w:pPr>
              <w:widowControl/>
              <w:jc w:val="center"/>
              <w:rPr>
                <w:rFonts w:ascii="宋体" w:hAnsi="宋体" w:cs="宋体"/>
                <w:color w:val="auto"/>
                <w:kern w:val="0"/>
                <w:szCs w:val="21"/>
                <w:highlight w:val="none"/>
              </w:rPr>
            </w:pPr>
          </w:p>
        </w:tc>
        <w:tc>
          <w:tcPr>
            <w:tcW w:w="1057" w:type="dxa"/>
            <w:vAlign w:val="center"/>
          </w:tcPr>
          <w:p>
            <w:pPr>
              <w:widowControl/>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（一）施工高度50m及以上的建筑幕墙安装工程。</w:t>
            </w:r>
          </w:p>
        </w:tc>
        <w:tc>
          <w:tcPr>
            <w:tcW w:w="1353"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353"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57" w:type="dxa"/>
            <w:vAlign w:val="center"/>
          </w:tcPr>
          <w:p>
            <w:pPr>
              <w:widowControl/>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（二）跨度36m及以上的钢结构安装工程，或跨度60m及以上的网架和索膜结构安装工程。</w:t>
            </w:r>
          </w:p>
        </w:tc>
        <w:tc>
          <w:tcPr>
            <w:tcW w:w="1353"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353"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57" w:type="dxa"/>
            <w:vAlign w:val="center"/>
          </w:tcPr>
          <w:p>
            <w:pPr>
              <w:widowControl/>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（三）开挖深度16m及以上的人工挖孔桩工程。</w:t>
            </w:r>
          </w:p>
        </w:tc>
        <w:tc>
          <w:tcPr>
            <w:tcW w:w="1353"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353"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57" w:type="dxa"/>
            <w:vAlign w:val="center"/>
          </w:tcPr>
          <w:p>
            <w:pPr>
              <w:widowControl/>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（四）水下作业工程。</w:t>
            </w:r>
          </w:p>
        </w:tc>
        <w:tc>
          <w:tcPr>
            <w:tcW w:w="1353"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353"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57" w:type="dxa"/>
            <w:vAlign w:val="center"/>
          </w:tcPr>
          <w:p>
            <w:pPr>
              <w:widowControl/>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（五）重量1000kN及以上的大型结构整体顶升、平移、转体等施工工艺。</w:t>
            </w:r>
          </w:p>
        </w:tc>
        <w:tc>
          <w:tcPr>
            <w:tcW w:w="1353"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353"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57" w:type="dxa"/>
            <w:vAlign w:val="center"/>
          </w:tcPr>
          <w:p>
            <w:pPr>
              <w:widowControl/>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（六）采用新技术、新工艺、新材料、新设备可能影响工程施工安全，尚无国家、行业及地方技术标准的分部分项工程。</w:t>
            </w:r>
          </w:p>
        </w:tc>
        <w:tc>
          <w:tcPr>
            <w:tcW w:w="1353"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353"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57" w:type="dxa"/>
            <w:vAlign w:val="center"/>
          </w:tcPr>
          <w:p>
            <w:pPr>
              <w:widowControl/>
              <w:jc w:val="center"/>
              <w:rPr>
                <w:rFonts w:ascii="宋体" w:hAnsi="宋体" w:cs="宋体"/>
                <w:color w:val="auto"/>
                <w:kern w:val="0"/>
                <w:szCs w:val="21"/>
                <w:highlight w:val="none"/>
              </w:rPr>
            </w:pPr>
          </w:p>
        </w:tc>
      </w:tr>
    </w:tbl>
    <w:p>
      <w:pPr>
        <w:rPr>
          <w:rFonts w:ascii="宋体" w:hAnsi="宋体" w:cs="宋体"/>
          <w:color w:val="auto"/>
          <w:highlight w:val="none"/>
        </w:rPr>
      </w:pPr>
    </w:p>
    <w:p>
      <w:pPr>
        <w:widowControl/>
        <w:topLinePunct/>
        <w:adjustRightInd w:val="0"/>
        <w:snapToGrid w:val="0"/>
        <w:spacing w:line="360" w:lineRule="auto"/>
        <w:ind w:firstLine="496" w:firstLineChars="200"/>
        <w:jc w:val="left"/>
        <w:rPr>
          <w:rFonts w:ascii="宋体" w:hAnsi="宋体" w:cs="宋体"/>
          <w:color w:val="auto"/>
          <w:spacing w:val="4"/>
          <w:kern w:val="0"/>
          <w:sz w:val="24"/>
          <w:szCs w:val="24"/>
          <w:highlight w:val="none"/>
        </w:rPr>
      </w:pPr>
    </w:p>
    <w:p>
      <w:pPr>
        <w:pStyle w:val="78"/>
        <w:ind w:right="2480" w:firstLine="3543" w:firstLineChars="1429"/>
        <w:jc w:val="left"/>
        <w:rPr>
          <w:rFonts w:ascii="宋体" w:hAnsi="宋体" w:cs="宋体"/>
          <w:color w:val="auto"/>
          <w:szCs w:val="20"/>
          <w:highlight w:val="none"/>
        </w:rPr>
      </w:pPr>
      <w:r>
        <w:rPr>
          <w:rFonts w:hint="eastAsia" w:ascii="宋体" w:hAnsi="宋体" w:cs="宋体"/>
          <w:color w:val="auto"/>
          <w:szCs w:val="20"/>
          <w:highlight w:val="none"/>
        </w:rPr>
        <w:t>投标人：　　（盖章）</w:t>
      </w:r>
    </w:p>
    <w:p>
      <w:pPr>
        <w:pStyle w:val="78"/>
        <w:ind w:right="248" w:firstLine="3543" w:firstLineChars="1429"/>
        <w:jc w:val="left"/>
        <w:rPr>
          <w:rFonts w:ascii="宋体" w:hAnsi="宋体" w:cs="宋体"/>
          <w:color w:val="auto"/>
          <w:szCs w:val="20"/>
          <w:highlight w:val="none"/>
        </w:rPr>
      </w:pPr>
      <w:r>
        <w:rPr>
          <w:rFonts w:hint="eastAsia" w:ascii="宋体" w:hAnsi="宋体" w:cs="宋体"/>
          <w:color w:val="auto"/>
          <w:szCs w:val="20"/>
          <w:highlight w:val="none"/>
        </w:rPr>
        <w:t>法定代表人或授权代理人(签字或盖章)：</w:t>
      </w:r>
    </w:p>
    <w:p>
      <w:pPr>
        <w:pStyle w:val="78"/>
        <w:ind w:right="992" w:firstLine="3543" w:firstLineChars="1429"/>
        <w:rPr>
          <w:rFonts w:ascii="宋体" w:hAnsi="宋体" w:cs="宋体"/>
          <w:color w:val="auto"/>
          <w:szCs w:val="20"/>
          <w:highlight w:val="none"/>
        </w:rPr>
      </w:pPr>
      <w:r>
        <w:rPr>
          <w:rFonts w:hint="eastAsia" w:ascii="宋体" w:hAnsi="宋体" w:cs="宋体"/>
          <w:color w:val="auto"/>
          <w:szCs w:val="20"/>
          <w:highlight w:val="none"/>
        </w:rPr>
        <w:t>日期：　　　年　　月　　日</w:t>
      </w:r>
    </w:p>
    <w:p>
      <w:pPr>
        <w:pStyle w:val="78"/>
        <w:ind w:right="992" w:firstLine="3543" w:firstLineChars="1429"/>
        <w:rPr>
          <w:rFonts w:ascii="宋体" w:hAnsi="宋体" w:cs="宋体"/>
          <w:color w:val="auto"/>
          <w:szCs w:val="20"/>
          <w:highlight w:val="none"/>
        </w:rPr>
      </w:pPr>
    </w:p>
    <w:p>
      <w:pPr>
        <w:pStyle w:val="78"/>
        <w:ind w:right="992" w:firstLine="3543" w:firstLineChars="1429"/>
        <w:rPr>
          <w:rFonts w:ascii="宋体" w:hAnsi="宋体" w:cs="宋体"/>
          <w:color w:val="auto"/>
          <w:szCs w:val="20"/>
          <w:highlight w:val="none"/>
        </w:rPr>
      </w:pPr>
    </w:p>
    <w:p>
      <w:pPr>
        <w:pStyle w:val="78"/>
        <w:ind w:right="992" w:firstLine="3543" w:firstLineChars="1429"/>
        <w:rPr>
          <w:rFonts w:ascii="宋体" w:hAnsi="宋体" w:cs="宋体"/>
          <w:color w:val="auto"/>
          <w:szCs w:val="20"/>
          <w:highlight w:val="none"/>
        </w:rPr>
      </w:pPr>
    </w:p>
    <w:p>
      <w:pPr>
        <w:pStyle w:val="78"/>
        <w:ind w:right="992" w:firstLine="3543" w:firstLineChars="1429"/>
        <w:rPr>
          <w:rFonts w:ascii="宋体" w:hAnsi="宋体" w:cs="宋体"/>
          <w:color w:val="auto"/>
          <w:szCs w:val="20"/>
          <w:highlight w:val="none"/>
        </w:rPr>
      </w:pPr>
    </w:p>
    <w:p>
      <w:pPr>
        <w:rPr>
          <w:rFonts w:ascii="宋体" w:hAnsi="宋体" w:cs="宋体"/>
          <w:color w:val="auto"/>
          <w:sz w:val="32"/>
          <w:szCs w:val="32"/>
          <w:highlight w:val="none"/>
        </w:rPr>
      </w:pPr>
      <w:r>
        <w:rPr>
          <w:rFonts w:hint="eastAsia" w:ascii="宋体" w:hAnsi="宋体" w:cs="宋体"/>
          <w:color w:val="auto"/>
          <w:sz w:val="32"/>
          <w:szCs w:val="32"/>
          <w:highlight w:val="none"/>
        </w:rPr>
        <w:br w:type="page"/>
      </w:r>
    </w:p>
    <w:p>
      <w:pPr>
        <w:pStyle w:val="78"/>
        <w:ind w:firstLine="899"/>
        <w:rPr>
          <w:rFonts w:ascii="宋体" w:hAnsi="宋体" w:cs="宋体"/>
          <w:b/>
          <w:bCs/>
          <w:color w:val="auto"/>
          <w:sz w:val="44"/>
          <w:szCs w:val="44"/>
          <w:highlight w:val="none"/>
        </w:rPr>
      </w:pPr>
    </w:p>
    <w:p>
      <w:pPr>
        <w:pStyle w:val="78"/>
        <w:ind w:firstLine="899"/>
        <w:rPr>
          <w:rFonts w:ascii="宋体" w:hAnsi="宋体" w:cs="宋体"/>
          <w:b/>
          <w:bCs/>
          <w:color w:val="auto"/>
          <w:sz w:val="44"/>
          <w:szCs w:val="44"/>
          <w:highlight w:val="none"/>
        </w:rPr>
      </w:pPr>
    </w:p>
    <w:p>
      <w:pPr>
        <w:rPr>
          <w:rFonts w:ascii="宋体" w:hAnsi="宋体" w:cs="宋体"/>
          <w:b/>
          <w:color w:val="auto"/>
          <w:sz w:val="24"/>
          <w:szCs w:val="24"/>
          <w:highlight w:val="none"/>
        </w:rPr>
      </w:pPr>
      <w:r>
        <w:rPr>
          <w:rFonts w:hint="eastAsia" w:ascii="宋体" w:hAnsi="宋体" w:cs="宋体"/>
          <w:b/>
          <w:bCs/>
          <w:color w:val="auto"/>
          <w:sz w:val="44"/>
          <w:szCs w:val="44"/>
          <w:highlight w:val="none"/>
        </w:rPr>
        <w:t>第二部分  投标文件经济标部分（部分格式）</w:t>
      </w:r>
      <w:r>
        <w:rPr>
          <w:rFonts w:hint="eastAsia" w:ascii="宋体" w:hAnsi="宋体" w:cs="宋体"/>
          <w:b/>
          <w:color w:val="auto"/>
          <w:highlight w:val="none"/>
        </w:rPr>
        <w:br w:type="page"/>
      </w:r>
      <w:r>
        <w:rPr>
          <w:rFonts w:hint="eastAsia" w:ascii="宋体" w:hAnsi="宋体" w:cs="宋体"/>
          <w:b/>
          <w:color w:val="auto"/>
          <w:sz w:val="24"/>
          <w:szCs w:val="24"/>
          <w:highlight w:val="none"/>
        </w:rPr>
        <w:t>经济部分格式1：经济标封面</w:t>
      </w:r>
    </w:p>
    <w:p>
      <w:pPr>
        <w:pStyle w:val="78"/>
        <w:ind w:firstLine="496"/>
        <w:rPr>
          <w:rFonts w:ascii="宋体" w:hAnsi="宋体" w:cs="宋体"/>
          <w:color w:val="auto"/>
          <w:highlight w:val="none"/>
        </w:rPr>
      </w:pPr>
    </w:p>
    <w:p>
      <w:pPr>
        <w:pStyle w:val="78"/>
        <w:ind w:firstLine="496"/>
        <w:rPr>
          <w:rFonts w:ascii="宋体" w:hAnsi="宋体" w:cs="宋体"/>
          <w:color w:val="auto"/>
          <w:highlight w:val="none"/>
        </w:rPr>
      </w:pPr>
    </w:p>
    <w:p>
      <w:pPr>
        <w:pStyle w:val="133"/>
        <w:rPr>
          <w:rFonts w:ascii="宋体" w:hAnsi="宋体" w:eastAsia="宋体" w:cs="宋体"/>
          <w:b w:val="0"/>
          <w:color w:val="auto"/>
          <w:highlight w:val="none"/>
          <w:u w:val="single"/>
        </w:rPr>
      </w:pPr>
      <w:r>
        <w:rPr>
          <w:rFonts w:hint="eastAsia" w:ascii="宋体" w:hAnsi="宋体" w:eastAsia="宋体" w:cs="宋体"/>
          <w:b w:val="0"/>
          <w:color w:val="auto"/>
          <w:highlight w:val="none"/>
          <w:u w:val="single"/>
        </w:rPr>
        <w:t xml:space="preserve">[工程名称] </w:t>
      </w:r>
    </w:p>
    <w:p>
      <w:pPr>
        <w:pStyle w:val="78"/>
        <w:ind w:firstLine="496"/>
        <w:rPr>
          <w:rFonts w:ascii="宋体" w:hAnsi="宋体" w:cs="宋体"/>
          <w:color w:val="auto"/>
          <w:highlight w:val="none"/>
        </w:rPr>
      </w:pPr>
    </w:p>
    <w:p>
      <w:pPr>
        <w:pStyle w:val="78"/>
        <w:ind w:firstLine="496"/>
        <w:rPr>
          <w:rFonts w:ascii="宋体" w:hAnsi="宋体" w:cs="宋体"/>
          <w:color w:val="auto"/>
          <w:highlight w:val="none"/>
        </w:rPr>
      </w:pPr>
    </w:p>
    <w:p>
      <w:pPr>
        <w:pStyle w:val="78"/>
        <w:ind w:firstLine="496"/>
        <w:rPr>
          <w:rFonts w:ascii="宋体" w:hAnsi="宋体" w:cs="宋体"/>
          <w:color w:val="auto"/>
          <w:highlight w:val="none"/>
        </w:rPr>
      </w:pPr>
    </w:p>
    <w:p>
      <w:pPr>
        <w:pStyle w:val="78"/>
        <w:ind w:firstLine="496"/>
        <w:rPr>
          <w:rFonts w:ascii="宋体" w:hAnsi="宋体" w:cs="宋体"/>
          <w:color w:val="auto"/>
          <w:highlight w:val="none"/>
        </w:rPr>
      </w:pPr>
    </w:p>
    <w:p>
      <w:pPr>
        <w:pStyle w:val="134"/>
        <w:rPr>
          <w:rFonts w:ascii="宋体" w:hAnsi="宋体" w:eastAsia="宋体" w:cs="宋体"/>
          <w:b w:val="0"/>
          <w:color w:val="auto"/>
          <w:highlight w:val="none"/>
        </w:rPr>
      </w:pPr>
      <w:r>
        <w:rPr>
          <w:rFonts w:hint="eastAsia" w:ascii="宋体" w:hAnsi="宋体" w:eastAsia="宋体" w:cs="宋体"/>
          <w:b w:val="0"/>
          <w:color w:val="auto"/>
          <w:highlight w:val="none"/>
        </w:rPr>
        <w:t>投标文件</w:t>
      </w:r>
    </w:p>
    <w:p>
      <w:pPr>
        <w:pStyle w:val="133"/>
        <w:rPr>
          <w:rFonts w:hint="eastAsia" w:ascii="宋体" w:hAnsi="宋体" w:eastAsia="宋体" w:cs="宋体"/>
          <w:b w:val="0"/>
          <w:color w:val="auto"/>
          <w:highlight w:val="none"/>
          <w:lang w:eastAsia="zh-CN"/>
        </w:rPr>
      </w:pPr>
      <w:r>
        <w:rPr>
          <w:rFonts w:hint="eastAsia" w:ascii="宋体" w:hAnsi="宋体" w:eastAsia="宋体" w:cs="宋体"/>
          <w:b w:val="0"/>
          <w:color w:val="auto"/>
          <w:highlight w:val="none"/>
        </w:rPr>
        <w:t>第二册 经济标</w:t>
      </w:r>
      <w:r>
        <w:rPr>
          <w:rFonts w:hint="eastAsia" w:ascii="宋体" w:hAnsi="宋体" w:eastAsia="宋体" w:cs="宋体"/>
          <w:b w:val="0"/>
          <w:color w:val="auto"/>
          <w:highlight w:val="none"/>
          <w:lang w:val="en-US" w:eastAsia="zh-CN"/>
        </w:rPr>
        <w:t>书</w:t>
      </w:r>
    </w:p>
    <w:p>
      <w:pPr>
        <w:pStyle w:val="78"/>
        <w:ind w:firstLine="496"/>
        <w:rPr>
          <w:rFonts w:ascii="宋体" w:hAnsi="宋体" w:cs="宋体"/>
          <w:color w:val="auto"/>
          <w:highlight w:val="none"/>
        </w:rPr>
      </w:pPr>
      <w:r>
        <w:rPr>
          <w:rFonts w:hint="eastAsia" w:ascii="宋体" w:hAnsi="宋体" w:cs="宋体"/>
          <w:color w:val="auto"/>
          <w:highlight w:val="none"/>
        </w:rPr>
        <w:t xml:space="preserve">   </w:t>
      </w:r>
    </w:p>
    <w:p>
      <w:pPr>
        <w:pStyle w:val="78"/>
        <w:ind w:firstLine="496"/>
        <w:rPr>
          <w:rFonts w:ascii="宋体" w:hAnsi="宋体" w:cs="宋体"/>
          <w:color w:val="auto"/>
          <w:highlight w:val="none"/>
        </w:rPr>
      </w:pPr>
    </w:p>
    <w:p>
      <w:pPr>
        <w:pStyle w:val="78"/>
        <w:ind w:firstLine="496"/>
        <w:rPr>
          <w:rFonts w:ascii="宋体" w:hAnsi="宋体" w:cs="宋体"/>
          <w:color w:val="auto"/>
          <w:highlight w:val="none"/>
        </w:rPr>
      </w:pPr>
    </w:p>
    <w:p>
      <w:pPr>
        <w:pStyle w:val="78"/>
        <w:ind w:firstLine="496"/>
        <w:rPr>
          <w:rFonts w:ascii="宋体" w:hAnsi="宋体" w:cs="宋体"/>
          <w:color w:val="auto"/>
          <w:highlight w:val="none"/>
        </w:rPr>
      </w:pPr>
    </w:p>
    <w:p>
      <w:pPr>
        <w:pStyle w:val="78"/>
        <w:ind w:firstLine="496"/>
        <w:rPr>
          <w:rFonts w:ascii="宋体" w:hAnsi="宋体" w:cs="宋体"/>
          <w:color w:val="auto"/>
          <w:highlight w:val="none"/>
        </w:rPr>
      </w:pPr>
    </w:p>
    <w:p>
      <w:pPr>
        <w:pStyle w:val="78"/>
        <w:ind w:firstLine="496"/>
        <w:rPr>
          <w:rFonts w:ascii="宋体" w:hAnsi="宋体" w:cs="宋体"/>
          <w:color w:val="auto"/>
          <w:highlight w:val="none"/>
        </w:rPr>
      </w:pPr>
    </w:p>
    <w:p>
      <w:pPr>
        <w:pStyle w:val="135"/>
        <w:ind w:firstLine="616"/>
        <w:rPr>
          <w:rFonts w:ascii="宋体" w:hAnsi="宋体" w:cs="宋体"/>
          <w:color w:val="auto"/>
          <w:highlight w:val="none"/>
        </w:rPr>
      </w:pPr>
      <w:r>
        <w:rPr>
          <w:rFonts w:hint="eastAsia" w:ascii="宋体" w:hAnsi="宋体" w:cs="宋体"/>
          <w:color w:val="auto"/>
          <w:highlight w:val="none"/>
        </w:rPr>
        <w:t>投标人：</w:t>
      </w:r>
      <w:r>
        <w:rPr>
          <w:rFonts w:hint="eastAsia" w:ascii="宋体" w:hAnsi="宋体" w:cs="宋体"/>
          <w:color w:val="auto"/>
          <w:highlight w:val="none"/>
          <w:u w:val="single"/>
        </w:rPr>
        <w:t xml:space="preserve">       （填写投标人单位名称）       （盖章）</w:t>
      </w:r>
    </w:p>
    <w:p>
      <w:pPr>
        <w:pStyle w:val="135"/>
        <w:ind w:firstLine="616"/>
        <w:rPr>
          <w:rFonts w:ascii="宋体" w:hAnsi="宋体" w:cs="宋体"/>
          <w:color w:val="auto"/>
          <w:highlight w:val="none"/>
        </w:rPr>
      </w:pPr>
    </w:p>
    <w:p>
      <w:pPr>
        <w:pStyle w:val="135"/>
        <w:ind w:firstLine="616"/>
        <w:rPr>
          <w:rFonts w:ascii="宋体" w:hAnsi="宋体" w:cs="宋体"/>
          <w:color w:val="auto"/>
          <w:highlight w:val="none"/>
        </w:rPr>
      </w:pPr>
      <w:r>
        <w:rPr>
          <w:rFonts w:hint="eastAsia" w:ascii="宋体" w:hAnsi="宋体" w:cs="宋体"/>
          <w:color w:val="auto"/>
          <w:highlight w:val="none"/>
        </w:rPr>
        <w:t>法定代表人或</w:t>
      </w:r>
    </w:p>
    <w:p>
      <w:pPr>
        <w:pStyle w:val="135"/>
        <w:ind w:firstLine="616"/>
        <w:rPr>
          <w:rFonts w:ascii="宋体" w:hAnsi="宋体" w:cs="宋体"/>
          <w:color w:val="auto"/>
          <w:highlight w:val="none"/>
        </w:rPr>
      </w:pPr>
      <w:r>
        <w:rPr>
          <w:rFonts w:hint="eastAsia" w:ascii="宋体" w:hAnsi="宋体" w:cs="宋体"/>
          <w:color w:val="auto"/>
          <w:highlight w:val="none"/>
        </w:rPr>
        <w:t>其委托代理人：</w:t>
      </w:r>
      <w:r>
        <w:rPr>
          <w:rFonts w:hint="eastAsia" w:ascii="宋体" w:hAnsi="宋体" w:cs="宋体"/>
          <w:color w:val="auto"/>
          <w:highlight w:val="none"/>
          <w:u w:val="single"/>
        </w:rPr>
        <w:t xml:space="preserve">                        （签字或盖章）</w:t>
      </w:r>
    </w:p>
    <w:p>
      <w:pPr>
        <w:pStyle w:val="135"/>
        <w:ind w:firstLine="616"/>
        <w:rPr>
          <w:rFonts w:ascii="宋体" w:hAnsi="宋体" w:cs="宋体"/>
          <w:color w:val="auto"/>
          <w:highlight w:val="none"/>
        </w:rPr>
      </w:pPr>
      <w:r>
        <w:rPr>
          <w:rFonts w:hint="eastAsia" w:ascii="宋体" w:hAnsi="宋体" w:cs="宋体"/>
          <w:color w:val="auto"/>
          <w:highlight w:val="none"/>
        </w:rPr>
        <w:t>日  期：</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w:t>
      </w:r>
    </w:p>
    <w:p>
      <w:pPr>
        <w:rPr>
          <w:rFonts w:hint="eastAsia" w:ascii="宋体" w:hAnsi="宋体" w:cs="宋体"/>
          <w:color w:val="auto"/>
          <w:highlight w:val="none"/>
        </w:rPr>
      </w:pPr>
    </w:p>
    <w:p>
      <w:pPr>
        <w:rPr>
          <w:rFonts w:hint="eastAsia" w:ascii="宋体" w:hAnsi="宋体" w:cs="宋体"/>
          <w:color w:val="auto"/>
          <w:highlight w:val="none"/>
        </w:rPr>
      </w:pPr>
    </w:p>
    <w:p>
      <w:pPr>
        <w:rPr>
          <w:rFonts w:hint="eastAsia" w:ascii="宋体" w:hAnsi="宋体" w:cs="宋体"/>
          <w:b/>
          <w:color w:val="auto"/>
          <w:sz w:val="32"/>
          <w:szCs w:val="32"/>
          <w:highlight w:val="none"/>
        </w:rPr>
      </w:pPr>
      <w:r>
        <w:rPr>
          <w:rFonts w:hint="eastAsia" w:ascii="宋体" w:hAnsi="宋体" w:cs="宋体"/>
          <w:b/>
          <w:color w:val="auto"/>
          <w:sz w:val="32"/>
          <w:szCs w:val="32"/>
          <w:highlight w:val="none"/>
        </w:rPr>
        <w:br w:type="page"/>
      </w:r>
    </w:p>
    <w:p>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目  录</w:t>
      </w:r>
    </w:p>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一、广州建设工程施工招标投标书</w:t>
      </w:r>
    </w:p>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二、工程量清单计价表</w:t>
      </w:r>
    </w:p>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三、参与编制经济标投标文件人员名单</w:t>
      </w:r>
    </w:p>
    <w:p>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四、对投标文件编制的承诺</w:t>
      </w:r>
    </w:p>
    <w:p>
      <w:pPr>
        <w:pStyle w:val="22"/>
        <w:rPr>
          <w:rFonts w:hint="eastAsia" w:eastAsia="宋体"/>
          <w:color w:val="auto"/>
          <w:highlight w:val="none"/>
          <w:lang w:eastAsia="zh-CN"/>
        </w:rPr>
      </w:pPr>
      <w:r>
        <w:rPr>
          <w:rFonts w:hint="eastAsia" w:hAnsi="宋体" w:cs="宋体"/>
          <w:color w:val="auto"/>
          <w:sz w:val="24"/>
          <w:szCs w:val="24"/>
          <w:highlight w:val="none"/>
          <w:lang w:eastAsia="zh-CN"/>
        </w:rPr>
        <w:t>五、</w:t>
      </w:r>
      <w:r>
        <w:rPr>
          <w:rFonts w:hint="eastAsia" w:ascii="宋体" w:hAnsi="宋体" w:eastAsia="宋体" w:cs="宋体"/>
          <w:color w:val="auto"/>
          <w:kern w:val="2"/>
          <w:sz w:val="24"/>
          <w:szCs w:val="24"/>
          <w:highlight w:val="none"/>
          <w:lang w:val="en-US" w:eastAsia="zh-CN" w:bidi="ar-SA"/>
        </w:rPr>
        <w:t>其他投标人认为须提交的资料</w:t>
      </w:r>
    </w:p>
    <w:p>
      <w:pPr>
        <w:rPr>
          <w:rFonts w:hint="eastAsia" w:ascii="宋体" w:hAnsi="宋体" w:cs="宋体"/>
          <w:color w:val="auto"/>
          <w:highlight w:val="none"/>
        </w:rPr>
      </w:pPr>
    </w:p>
    <w:p>
      <w:pPr>
        <w:rPr>
          <w:rFonts w:ascii="宋体" w:hAnsi="宋体" w:cs="宋体"/>
          <w:color w:val="auto"/>
          <w:highlight w:val="none"/>
        </w:rPr>
      </w:pPr>
      <w:r>
        <w:rPr>
          <w:rFonts w:hint="eastAsia" w:ascii="宋体" w:hAnsi="宋体" w:cs="宋体"/>
          <w:color w:val="auto"/>
          <w:highlight w:val="none"/>
        </w:rPr>
        <w:br w:type="page"/>
      </w:r>
    </w:p>
    <w:p>
      <w:pPr>
        <w:autoSpaceDE w:val="0"/>
        <w:autoSpaceDN w:val="0"/>
        <w:adjustRightInd w:val="0"/>
        <w:ind w:left="-540" w:leftChars="-257" w:firstLine="616" w:firstLineChars="257"/>
        <w:jc w:val="left"/>
        <w:rPr>
          <w:rFonts w:ascii="宋体" w:hAnsi="宋体" w:cs="宋体"/>
          <w:b/>
          <w:bCs/>
          <w:color w:val="auto"/>
          <w:sz w:val="24"/>
          <w:szCs w:val="24"/>
          <w:highlight w:val="none"/>
          <w:lang w:val="zh-CN"/>
        </w:rPr>
      </w:pPr>
      <w:r>
        <w:rPr>
          <w:rFonts w:hint="eastAsia" w:ascii="宋体" w:hAnsi="宋体" w:cs="宋体"/>
          <w:bCs/>
          <w:color w:val="auto"/>
          <w:sz w:val="24"/>
          <w:szCs w:val="24"/>
          <w:highlight w:val="none"/>
        </w:rPr>
        <w:t>★经济部分格式2：广州建设工程施工招标投标书</w:t>
      </w:r>
    </w:p>
    <w:p>
      <w:pPr>
        <w:autoSpaceDE w:val="0"/>
        <w:autoSpaceDN w:val="0"/>
        <w:adjustRightInd w:val="0"/>
        <w:ind w:left="-540" w:leftChars="-257" w:firstLine="1135" w:firstLineChars="257"/>
        <w:jc w:val="center"/>
        <w:rPr>
          <w:rFonts w:ascii="宋体" w:hAnsi="宋体" w:cs="宋体"/>
          <w:b/>
          <w:bCs/>
          <w:color w:val="auto"/>
          <w:sz w:val="44"/>
          <w:szCs w:val="44"/>
          <w:highlight w:val="none"/>
          <w:lang w:val="zh-CN"/>
        </w:rPr>
      </w:pPr>
    </w:p>
    <w:p>
      <w:pPr>
        <w:autoSpaceDE w:val="0"/>
        <w:autoSpaceDN w:val="0"/>
        <w:adjustRightInd w:val="0"/>
        <w:ind w:left="-540" w:leftChars="-257" w:firstLine="1135" w:firstLineChars="257"/>
        <w:jc w:val="center"/>
        <w:rPr>
          <w:rFonts w:ascii="宋体" w:hAnsi="宋体" w:cs="宋体"/>
          <w:b/>
          <w:bCs/>
          <w:color w:val="auto"/>
          <w:sz w:val="52"/>
          <w:szCs w:val="52"/>
          <w:highlight w:val="none"/>
        </w:rPr>
      </w:pPr>
      <w:r>
        <w:rPr>
          <w:rFonts w:hint="eastAsia" w:ascii="宋体" w:hAnsi="宋体" w:cs="宋体"/>
          <w:b/>
          <w:bCs/>
          <w:color w:val="auto"/>
          <w:sz w:val="44"/>
          <w:szCs w:val="44"/>
          <w:highlight w:val="none"/>
          <w:lang w:val="zh-CN"/>
        </w:rPr>
        <w:t>广州建设工程施工招标投标书</w:t>
      </w:r>
    </w:p>
    <w:tbl>
      <w:tblPr>
        <w:tblStyle w:val="39"/>
        <w:tblpPr w:leftFromText="180" w:rightFromText="180" w:vertAnchor="text" w:horzAnchor="margin" w:tblpXSpec="center" w:tblpY="275"/>
        <w:tblW w:w="93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31"/>
        <w:gridCol w:w="45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483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bCs/>
                <w:color w:val="auto"/>
                <w:sz w:val="24"/>
                <w:szCs w:val="24"/>
                <w:highlight w:val="none"/>
                <w:lang w:val="zh-CN"/>
              </w:rPr>
            </w:pPr>
            <w:r>
              <w:rPr>
                <w:rFonts w:hint="eastAsia" w:ascii="宋体" w:hAnsi="宋体" w:cs="宋体"/>
                <w:b/>
                <w:color w:val="auto"/>
                <w:sz w:val="24"/>
                <w:szCs w:val="24"/>
                <w:highlight w:val="none"/>
                <w:lang w:val="zh-CN"/>
              </w:rPr>
              <w:t>工 程 名 称</w:t>
            </w:r>
          </w:p>
        </w:tc>
        <w:tc>
          <w:tcPr>
            <w:tcW w:w="4548" w:type="dxa"/>
            <w:tcBorders>
              <w:top w:val="single" w:color="auto" w:sz="4" w:space="0"/>
              <w:left w:val="single" w:color="auto" w:sz="4" w:space="0"/>
              <w:bottom w:val="single" w:color="auto" w:sz="4" w:space="0"/>
              <w:right w:val="single" w:color="auto" w:sz="4" w:space="0"/>
            </w:tcBorders>
          </w:tcPr>
          <w:p>
            <w:pPr>
              <w:autoSpaceDE w:val="0"/>
              <w:autoSpaceDN w:val="0"/>
              <w:adjustRightInd w:val="0"/>
              <w:rPr>
                <w:rFonts w:ascii="宋体" w:hAnsi="宋体" w:cs="宋体"/>
                <w:b/>
                <w:bCs/>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483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bCs/>
                <w:color w:val="auto"/>
                <w:sz w:val="24"/>
                <w:szCs w:val="24"/>
                <w:highlight w:val="none"/>
                <w:lang w:val="zh-CN"/>
              </w:rPr>
            </w:pPr>
            <w:r>
              <w:rPr>
                <w:rFonts w:hint="eastAsia" w:ascii="宋体" w:hAnsi="宋体" w:cs="宋体"/>
                <w:b/>
                <w:color w:val="auto"/>
                <w:sz w:val="24"/>
                <w:szCs w:val="24"/>
                <w:highlight w:val="none"/>
                <w:lang w:val="zh-CN"/>
              </w:rPr>
              <w:t>投标总报价（元）</w:t>
            </w:r>
          </w:p>
        </w:tc>
        <w:tc>
          <w:tcPr>
            <w:tcW w:w="454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cs="宋体"/>
                <w:b/>
                <w:bCs/>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483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bCs/>
                <w:color w:val="auto"/>
                <w:sz w:val="24"/>
                <w:szCs w:val="24"/>
                <w:highlight w:val="none"/>
                <w:lang w:val="zh-CN"/>
              </w:rPr>
            </w:pPr>
            <w:r>
              <w:rPr>
                <w:rFonts w:hint="eastAsia" w:ascii="宋体" w:hAnsi="宋体" w:cs="宋体"/>
                <w:b/>
                <w:color w:val="auto"/>
                <w:sz w:val="24"/>
                <w:szCs w:val="24"/>
                <w:highlight w:val="none"/>
                <w:lang w:val="zh-CN"/>
              </w:rPr>
              <w:t>其中：</w:t>
            </w:r>
            <w:r>
              <w:rPr>
                <w:rFonts w:hint="eastAsia" w:ascii="宋体" w:hAnsi="宋体" w:cs="宋体"/>
                <w:b/>
                <w:bCs/>
                <w:color w:val="auto"/>
                <w:sz w:val="24"/>
                <w:szCs w:val="24"/>
                <w:highlight w:val="none"/>
                <w:lang w:val="zh-CN"/>
              </w:rPr>
              <w:t>人工费</w:t>
            </w:r>
            <w:r>
              <w:rPr>
                <w:rFonts w:hint="eastAsia" w:ascii="宋体" w:hAnsi="宋体" w:cs="宋体"/>
                <w:b/>
                <w:color w:val="auto"/>
                <w:sz w:val="24"/>
                <w:szCs w:val="24"/>
                <w:highlight w:val="none"/>
                <w:lang w:val="zh-CN"/>
              </w:rPr>
              <w:t>（元）</w:t>
            </w:r>
          </w:p>
        </w:tc>
        <w:tc>
          <w:tcPr>
            <w:tcW w:w="454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cs="宋体"/>
                <w:b/>
                <w:bCs/>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483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其中：</w:t>
            </w:r>
            <w:r>
              <w:rPr>
                <w:rFonts w:hint="eastAsia" w:ascii="宋体" w:hAnsi="宋体" w:cs="宋体"/>
                <w:b/>
                <w:color w:val="auto"/>
                <w:sz w:val="24"/>
                <w:szCs w:val="24"/>
                <w:highlight w:val="none"/>
                <w:lang w:val="zh-CN"/>
              </w:rPr>
              <w:t>绿色施工安全防护措施费（元）</w:t>
            </w:r>
          </w:p>
        </w:tc>
        <w:tc>
          <w:tcPr>
            <w:tcW w:w="454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cs="宋体"/>
                <w:b/>
                <w:bCs/>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483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sz w:val="24"/>
                <w:szCs w:val="24"/>
                <w:highlight w:val="none"/>
                <w:lang w:val="zh-CN"/>
              </w:rPr>
            </w:pPr>
            <w:r>
              <w:rPr>
                <w:rFonts w:hint="eastAsia" w:ascii="宋体" w:hAnsi="宋体" w:cs="宋体"/>
                <w:b/>
                <w:color w:val="auto"/>
                <w:sz w:val="24"/>
                <w:szCs w:val="24"/>
                <w:highlight w:val="none"/>
                <w:lang w:val="zh-CN"/>
              </w:rPr>
              <w:t>投 标 总工 期</w:t>
            </w:r>
          </w:p>
        </w:tc>
        <w:tc>
          <w:tcPr>
            <w:tcW w:w="4548" w:type="dxa"/>
            <w:tcBorders>
              <w:top w:val="single" w:color="auto" w:sz="4" w:space="0"/>
              <w:left w:val="single" w:color="auto" w:sz="4" w:space="0"/>
              <w:bottom w:val="single" w:color="auto" w:sz="4" w:space="0"/>
              <w:right w:val="single" w:color="auto" w:sz="4" w:space="0"/>
            </w:tcBorders>
          </w:tcPr>
          <w:p>
            <w:pPr>
              <w:autoSpaceDE w:val="0"/>
              <w:autoSpaceDN w:val="0"/>
              <w:adjustRightInd w:val="0"/>
              <w:rPr>
                <w:rFonts w:ascii="宋体" w:hAnsi="宋体" w:cs="宋体"/>
                <w:b/>
                <w:bCs/>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483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sz w:val="24"/>
                <w:szCs w:val="24"/>
                <w:highlight w:val="none"/>
              </w:rPr>
            </w:pPr>
            <w:r>
              <w:rPr>
                <w:rFonts w:hint="eastAsia" w:ascii="宋体" w:hAnsi="宋体" w:cs="宋体"/>
                <w:b/>
                <w:color w:val="auto"/>
                <w:sz w:val="24"/>
                <w:szCs w:val="24"/>
                <w:highlight w:val="none"/>
                <w:lang w:val="zh-CN"/>
              </w:rPr>
              <w:t>工程质量标准</w:t>
            </w:r>
          </w:p>
        </w:tc>
        <w:tc>
          <w:tcPr>
            <w:tcW w:w="4548" w:type="dxa"/>
            <w:tcBorders>
              <w:top w:val="single" w:color="auto" w:sz="4" w:space="0"/>
              <w:left w:val="single" w:color="auto" w:sz="4" w:space="0"/>
              <w:bottom w:val="single" w:color="auto" w:sz="4" w:space="0"/>
              <w:right w:val="single" w:color="auto" w:sz="4" w:space="0"/>
            </w:tcBorders>
          </w:tcPr>
          <w:p>
            <w:pPr>
              <w:autoSpaceDE w:val="0"/>
              <w:autoSpaceDN w:val="0"/>
              <w:adjustRightInd w:val="0"/>
              <w:rPr>
                <w:rFonts w:ascii="宋体" w:hAnsi="宋体" w:cs="宋体"/>
                <w:b/>
                <w:bCs/>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483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bCs/>
                <w:color w:val="auto"/>
                <w:sz w:val="24"/>
                <w:szCs w:val="24"/>
                <w:highlight w:val="none"/>
                <w:lang w:val="zh-CN"/>
              </w:rPr>
            </w:pPr>
            <w:r>
              <w:rPr>
                <w:rFonts w:hint="eastAsia" w:ascii="宋体" w:hAnsi="宋体" w:cs="宋体"/>
                <w:b/>
                <w:color w:val="auto"/>
                <w:sz w:val="24"/>
                <w:szCs w:val="24"/>
                <w:highlight w:val="none"/>
                <w:lang w:val="zh-CN"/>
              </w:rPr>
              <w:t>保 修 期 限</w:t>
            </w:r>
          </w:p>
        </w:tc>
        <w:tc>
          <w:tcPr>
            <w:tcW w:w="4548" w:type="dxa"/>
            <w:tcBorders>
              <w:top w:val="single" w:color="auto" w:sz="4" w:space="0"/>
              <w:left w:val="single" w:color="auto" w:sz="4" w:space="0"/>
              <w:bottom w:val="single" w:color="auto" w:sz="4" w:space="0"/>
              <w:right w:val="single" w:color="auto" w:sz="4" w:space="0"/>
            </w:tcBorders>
          </w:tcPr>
          <w:p>
            <w:pPr>
              <w:autoSpaceDE w:val="0"/>
              <w:autoSpaceDN w:val="0"/>
              <w:adjustRightInd w:val="0"/>
              <w:rPr>
                <w:rFonts w:ascii="宋体" w:hAnsi="宋体" w:cs="宋体"/>
                <w:b/>
                <w:bCs/>
                <w:color w:val="auto"/>
                <w:sz w:val="24"/>
                <w:szCs w:val="24"/>
                <w:highlight w:val="none"/>
                <w:lang w:val="zh-CN"/>
              </w:rPr>
            </w:pPr>
          </w:p>
        </w:tc>
      </w:tr>
    </w:tbl>
    <w:p>
      <w:pPr>
        <w:rPr>
          <w:rFonts w:ascii="宋体" w:hAnsi="宋体" w:cs="宋体"/>
          <w:color w:val="auto"/>
          <w:highlight w:val="none"/>
        </w:rPr>
      </w:pPr>
    </w:p>
    <w:p>
      <w:pPr>
        <w:pStyle w:val="38"/>
        <w:ind w:left="420" w:firstLine="420"/>
        <w:rPr>
          <w:rFonts w:ascii="宋体" w:hAnsi="宋体" w:cs="宋体"/>
          <w:color w:val="auto"/>
          <w:highlight w:val="none"/>
        </w:rPr>
      </w:pPr>
    </w:p>
    <w:p>
      <w:pPr>
        <w:rPr>
          <w:rFonts w:ascii="宋体" w:hAnsi="宋体" w:cs="宋体"/>
          <w:b/>
          <w:color w:val="auto"/>
          <w:sz w:val="24"/>
          <w:szCs w:val="24"/>
          <w:highlight w:val="none"/>
        </w:rPr>
      </w:pPr>
      <w:r>
        <w:rPr>
          <w:rFonts w:hint="eastAsia" w:ascii="宋体" w:hAnsi="宋体" w:cs="宋体"/>
          <w:b/>
          <w:color w:val="auto"/>
          <w:sz w:val="24"/>
          <w:szCs w:val="24"/>
          <w:highlight w:val="none"/>
        </w:rPr>
        <w:br w:type="page"/>
      </w:r>
    </w:p>
    <w:p>
      <w:pPr>
        <w:rPr>
          <w:rFonts w:ascii="宋体" w:hAnsi="宋体" w:cs="宋体"/>
          <w:b/>
          <w:bCs w:val="0"/>
          <w:color w:val="auto"/>
          <w:sz w:val="24"/>
          <w:szCs w:val="24"/>
          <w:highlight w:val="none"/>
        </w:rPr>
      </w:pPr>
      <w:r>
        <w:rPr>
          <w:rFonts w:hint="eastAsia" w:ascii="宋体" w:hAnsi="宋体" w:cs="宋体"/>
          <w:b/>
          <w:bCs w:val="0"/>
          <w:color w:val="auto"/>
          <w:sz w:val="24"/>
          <w:szCs w:val="24"/>
          <w:highlight w:val="none"/>
        </w:rPr>
        <w:t>经济部分格式</w:t>
      </w:r>
      <w:r>
        <w:rPr>
          <w:rFonts w:hint="eastAsia" w:ascii="宋体" w:hAnsi="宋体" w:cs="宋体"/>
          <w:b/>
          <w:bCs w:val="0"/>
          <w:color w:val="auto"/>
          <w:sz w:val="24"/>
          <w:szCs w:val="24"/>
          <w:highlight w:val="none"/>
          <w:lang w:val="en-US" w:eastAsia="zh-CN"/>
        </w:rPr>
        <w:t>3</w:t>
      </w:r>
      <w:r>
        <w:rPr>
          <w:rFonts w:hint="eastAsia" w:ascii="宋体" w:hAnsi="宋体" w:cs="宋体"/>
          <w:b/>
          <w:bCs w:val="0"/>
          <w:color w:val="auto"/>
          <w:sz w:val="24"/>
          <w:szCs w:val="24"/>
          <w:highlight w:val="none"/>
        </w:rPr>
        <w:t>：工程量清单计价表</w:t>
      </w:r>
    </w:p>
    <w:p>
      <w:pPr>
        <w:pStyle w:val="121"/>
        <w:spacing w:before="100" w:beforeAutospacing="1" w:after="100" w:afterAutospacing="1" w:line="240" w:lineRule="auto"/>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工程量清单计价表</w:t>
      </w:r>
    </w:p>
    <w:p>
      <w:pPr>
        <w:pStyle w:val="78"/>
        <w:ind w:firstLine="0" w:firstLineChars="0"/>
        <w:jc w:val="center"/>
        <w:rPr>
          <w:rFonts w:ascii="宋体" w:hAnsi="宋体" w:cs="宋体"/>
          <w:b/>
          <w:color w:val="auto"/>
          <w:highlight w:val="none"/>
        </w:rPr>
      </w:pPr>
      <w:r>
        <w:rPr>
          <w:rFonts w:hint="eastAsia" w:ascii="宋体" w:hAnsi="宋体" w:cs="宋体"/>
          <w:b/>
          <w:color w:val="auto"/>
          <w:highlight w:val="none"/>
        </w:rPr>
        <w:t>本部分内容详见招标文件第七章工程量清单。</w:t>
      </w:r>
    </w:p>
    <w:p>
      <w:pPr>
        <w:pStyle w:val="78"/>
        <w:ind w:firstLine="496"/>
        <w:rPr>
          <w:rFonts w:ascii="宋体" w:hAnsi="宋体" w:cs="宋体"/>
          <w:color w:val="auto"/>
          <w:highlight w:val="none"/>
        </w:rPr>
      </w:pPr>
    </w:p>
    <w:p>
      <w:pPr>
        <w:rPr>
          <w:rFonts w:ascii="宋体" w:hAnsi="宋体" w:cs="宋体"/>
          <w:b/>
          <w:color w:val="auto"/>
          <w:sz w:val="24"/>
          <w:szCs w:val="24"/>
          <w:highlight w:val="none"/>
        </w:rPr>
      </w:pPr>
      <w:r>
        <w:rPr>
          <w:rFonts w:hint="eastAsia" w:ascii="宋体" w:hAnsi="宋体" w:cs="宋体"/>
          <w:color w:val="auto"/>
          <w:highlight w:val="none"/>
        </w:rPr>
        <w:br w:type="page"/>
      </w:r>
      <w:r>
        <w:rPr>
          <w:rFonts w:hint="eastAsia" w:ascii="宋体" w:hAnsi="宋体" w:cs="宋体"/>
          <w:b/>
          <w:bCs w:val="0"/>
          <w:color w:val="auto"/>
          <w:sz w:val="24"/>
          <w:szCs w:val="24"/>
          <w:highlight w:val="none"/>
        </w:rPr>
        <w:t>经济部分格式</w:t>
      </w:r>
      <w:r>
        <w:rPr>
          <w:rFonts w:hint="eastAsia" w:ascii="宋体" w:hAnsi="宋体" w:cs="宋体"/>
          <w:b/>
          <w:bCs w:val="0"/>
          <w:color w:val="auto"/>
          <w:sz w:val="24"/>
          <w:szCs w:val="24"/>
          <w:highlight w:val="none"/>
          <w:lang w:val="en-US" w:eastAsia="zh-CN"/>
        </w:rPr>
        <w:t>4</w:t>
      </w:r>
      <w:r>
        <w:rPr>
          <w:rFonts w:hint="eastAsia" w:ascii="宋体" w:hAnsi="宋体" w:cs="宋体"/>
          <w:b/>
          <w:bCs w:val="0"/>
          <w:color w:val="auto"/>
          <w:sz w:val="24"/>
          <w:szCs w:val="24"/>
          <w:highlight w:val="none"/>
        </w:rPr>
        <w:t>：</w:t>
      </w:r>
      <w:r>
        <w:rPr>
          <w:rFonts w:hint="eastAsia" w:ascii="宋体" w:hAnsi="宋体" w:cs="宋体"/>
          <w:b/>
          <w:color w:val="auto"/>
          <w:sz w:val="24"/>
          <w:szCs w:val="24"/>
          <w:highlight w:val="none"/>
        </w:rPr>
        <w:t>参与编制经济标投标文件人员名单</w:t>
      </w:r>
    </w:p>
    <w:p>
      <w:pPr>
        <w:pStyle w:val="121"/>
        <w:spacing w:before="100" w:beforeAutospacing="1" w:after="100" w:afterAutospacing="1" w:line="240" w:lineRule="auto"/>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参与编制经济标投标文件人员名单</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2"/>
        <w:gridCol w:w="1382"/>
        <w:gridCol w:w="2341"/>
        <w:gridCol w:w="2245"/>
        <w:gridCol w:w="2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9464" w:type="dxa"/>
            <w:gridSpan w:val="5"/>
            <w:vAlign w:val="center"/>
          </w:tcPr>
          <w:p>
            <w:pPr>
              <w:tabs>
                <w:tab w:val="left" w:pos="720"/>
              </w:tabs>
              <w:snapToGrid w:val="0"/>
              <w:jc w:val="center"/>
              <w:rPr>
                <w:rFonts w:ascii="宋体" w:hAnsi="宋体" w:cs="宋体"/>
                <w:color w:val="auto"/>
                <w:sz w:val="24"/>
                <w:highlight w:val="none"/>
              </w:rPr>
            </w:pPr>
            <w:r>
              <w:rPr>
                <w:rFonts w:hint="eastAsia" w:ascii="宋体" w:hAnsi="宋体" w:cs="宋体"/>
                <w:color w:val="auto"/>
                <w:szCs w:val="21"/>
                <w:highlight w:val="none"/>
              </w:rPr>
              <w:t>投标人名称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192" w:type="dxa"/>
            <w:vAlign w:val="center"/>
          </w:tcPr>
          <w:p>
            <w:pPr>
              <w:tabs>
                <w:tab w:val="left" w:pos="720"/>
              </w:tabs>
              <w:snapToGrid w:val="0"/>
              <w:jc w:val="center"/>
              <w:rPr>
                <w:rFonts w:ascii="宋体" w:hAnsi="宋体" w:cs="宋体"/>
                <w:color w:val="auto"/>
                <w:szCs w:val="21"/>
                <w:highlight w:val="none"/>
              </w:rPr>
            </w:pPr>
            <w:r>
              <w:rPr>
                <w:rFonts w:hint="eastAsia" w:ascii="宋体" w:hAnsi="宋体" w:cs="宋体"/>
                <w:color w:val="auto"/>
                <w:szCs w:val="21"/>
                <w:highlight w:val="none"/>
              </w:rPr>
              <w:t>姓名</w:t>
            </w:r>
          </w:p>
        </w:tc>
        <w:tc>
          <w:tcPr>
            <w:tcW w:w="1382" w:type="dxa"/>
            <w:vAlign w:val="center"/>
          </w:tcPr>
          <w:p>
            <w:pPr>
              <w:tabs>
                <w:tab w:val="left" w:pos="720"/>
              </w:tabs>
              <w:snapToGrid w:val="0"/>
              <w:jc w:val="center"/>
              <w:rPr>
                <w:rFonts w:ascii="宋体" w:hAnsi="宋体" w:cs="宋体"/>
                <w:color w:val="auto"/>
                <w:szCs w:val="21"/>
                <w:highlight w:val="none"/>
              </w:rPr>
            </w:pPr>
            <w:r>
              <w:rPr>
                <w:rFonts w:hint="eastAsia" w:ascii="宋体" w:hAnsi="宋体" w:cs="宋体"/>
                <w:color w:val="auto"/>
                <w:szCs w:val="21"/>
                <w:highlight w:val="none"/>
              </w:rPr>
              <w:t>职务</w:t>
            </w:r>
          </w:p>
        </w:tc>
        <w:tc>
          <w:tcPr>
            <w:tcW w:w="2341" w:type="dxa"/>
            <w:vAlign w:val="center"/>
          </w:tcPr>
          <w:p>
            <w:pPr>
              <w:tabs>
                <w:tab w:val="left" w:pos="720"/>
              </w:tabs>
              <w:snapToGrid w:val="0"/>
              <w:jc w:val="center"/>
              <w:rPr>
                <w:rFonts w:ascii="宋体" w:hAnsi="宋体" w:cs="宋体"/>
                <w:color w:val="auto"/>
                <w:szCs w:val="21"/>
                <w:highlight w:val="none"/>
              </w:rPr>
            </w:pPr>
            <w:r>
              <w:rPr>
                <w:rFonts w:hint="eastAsia" w:ascii="宋体" w:hAnsi="宋体" w:cs="宋体"/>
                <w:color w:val="auto"/>
                <w:szCs w:val="21"/>
                <w:highlight w:val="none"/>
              </w:rPr>
              <w:t>所承担工作</w:t>
            </w:r>
          </w:p>
        </w:tc>
        <w:tc>
          <w:tcPr>
            <w:tcW w:w="2245" w:type="dxa"/>
            <w:vAlign w:val="center"/>
          </w:tcPr>
          <w:p>
            <w:pPr>
              <w:tabs>
                <w:tab w:val="left" w:pos="720"/>
              </w:tabs>
              <w:snapToGrid w:val="0"/>
              <w:jc w:val="center"/>
              <w:rPr>
                <w:rFonts w:ascii="宋体" w:hAnsi="宋体" w:cs="宋体"/>
                <w:color w:val="auto"/>
                <w:szCs w:val="21"/>
                <w:highlight w:val="none"/>
              </w:rPr>
            </w:pPr>
            <w:r>
              <w:rPr>
                <w:rFonts w:hint="eastAsia" w:ascii="宋体" w:hAnsi="宋体" w:cs="宋体"/>
                <w:color w:val="auto"/>
                <w:szCs w:val="21"/>
                <w:highlight w:val="none"/>
              </w:rPr>
              <w:t>身份证号码</w:t>
            </w:r>
          </w:p>
        </w:tc>
        <w:tc>
          <w:tcPr>
            <w:tcW w:w="2304" w:type="dxa"/>
            <w:vAlign w:val="center"/>
          </w:tcPr>
          <w:p>
            <w:pPr>
              <w:tabs>
                <w:tab w:val="left" w:pos="720"/>
              </w:tabs>
              <w:snapToGrid w:val="0"/>
              <w:jc w:val="center"/>
              <w:rPr>
                <w:rFonts w:ascii="宋体" w:hAnsi="宋体" w:cs="宋体"/>
                <w:color w:val="auto"/>
                <w:szCs w:val="21"/>
                <w:highlight w:val="none"/>
              </w:rPr>
            </w:pPr>
            <w:r>
              <w:rPr>
                <w:rFonts w:hint="eastAsia" w:ascii="宋体" w:hAnsi="宋体" w:cs="宋体"/>
                <w:color w:val="auto"/>
                <w:szCs w:val="21"/>
                <w:highlight w:val="none"/>
              </w:rPr>
              <w:t>本人签名栏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192" w:type="dxa"/>
            <w:vAlign w:val="center"/>
          </w:tcPr>
          <w:p>
            <w:pPr>
              <w:tabs>
                <w:tab w:val="left" w:pos="720"/>
              </w:tabs>
              <w:snapToGrid w:val="0"/>
              <w:jc w:val="center"/>
              <w:rPr>
                <w:rFonts w:ascii="宋体" w:hAnsi="宋体" w:cs="宋体"/>
                <w:color w:val="auto"/>
                <w:sz w:val="24"/>
                <w:highlight w:val="none"/>
              </w:rPr>
            </w:pPr>
          </w:p>
        </w:tc>
        <w:tc>
          <w:tcPr>
            <w:tcW w:w="1382" w:type="dxa"/>
            <w:vAlign w:val="center"/>
          </w:tcPr>
          <w:p>
            <w:pPr>
              <w:tabs>
                <w:tab w:val="left" w:pos="720"/>
              </w:tabs>
              <w:snapToGrid w:val="0"/>
              <w:jc w:val="center"/>
              <w:rPr>
                <w:rFonts w:ascii="宋体" w:hAnsi="宋体" w:cs="宋体"/>
                <w:color w:val="auto"/>
                <w:sz w:val="24"/>
                <w:highlight w:val="none"/>
              </w:rPr>
            </w:pPr>
          </w:p>
        </w:tc>
        <w:tc>
          <w:tcPr>
            <w:tcW w:w="2341" w:type="dxa"/>
            <w:vAlign w:val="center"/>
          </w:tcPr>
          <w:p>
            <w:pPr>
              <w:tabs>
                <w:tab w:val="left" w:pos="720"/>
              </w:tabs>
              <w:snapToGrid w:val="0"/>
              <w:jc w:val="center"/>
              <w:rPr>
                <w:rFonts w:ascii="宋体" w:hAnsi="宋体" w:cs="宋体"/>
                <w:color w:val="auto"/>
                <w:sz w:val="24"/>
                <w:highlight w:val="none"/>
              </w:rPr>
            </w:pPr>
          </w:p>
        </w:tc>
        <w:tc>
          <w:tcPr>
            <w:tcW w:w="2245" w:type="dxa"/>
            <w:vAlign w:val="center"/>
          </w:tcPr>
          <w:p>
            <w:pPr>
              <w:tabs>
                <w:tab w:val="left" w:pos="720"/>
              </w:tabs>
              <w:snapToGrid w:val="0"/>
              <w:jc w:val="center"/>
              <w:rPr>
                <w:rFonts w:ascii="宋体" w:hAnsi="宋体" w:cs="宋体"/>
                <w:color w:val="auto"/>
                <w:sz w:val="24"/>
                <w:highlight w:val="none"/>
              </w:rPr>
            </w:pPr>
          </w:p>
        </w:tc>
        <w:tc>
          <w:tcPr>
            <w:tcW w:w="2304" w:type="dxa"/>
            <w:vAlign w:val="center"/>
          </w:tcPr>
          <w:p>
            <w:pPr>
              <w:tabs>
                <w:tab w:val="left" w:pos="720"/>
              </w:tabs>
              <w:snapToGrid w:val="0"/>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192" w:type="dxa"/>
            <w:vAlign w:val="center"/>
          </w:tcPr>
          <w:p>
            <w:pPr>
              <w:tabs>
                <w:tab w:val="left" w:pos="720"/>
              </w:tabs>
              <w:snapToGrid w:val="0"/>
              <w:jc w:val="center"/>
              <w:rPr>
                <w:rFonts w:ascii="宋体" w:hAnsi="宋体" w:cs="宋体"/>
                <w:color w:val="auto"/>
                <w:sz w:val="24"/>
                <w:highlight w:val="none"/>
              </w:rPr>
            </w:pPr>
          </w:p>
        </w:tc>
        <w:tc>
          <w:tcPr>
            <w:tcW w:w="1382" w:type="dxa"/>
            <w:vAlign w:val="center"/>
          </w:tcPr>
          <w:p>
            <w:pPr>
              <w:tabs>
                <w:tab w:val="left" w:pos="720"/>
              </w:tabs>
              <w:snapToGrid w:val="0"/>
              <w:jc w:val="center"/>
              <w:rPr>
                <w:rFonts w:ascii="宋体" w:hAnsi="宋体" w:cs="宋体"/>
                <w:color w:val="auto"/>
                <w:sz w:val="24"/>
                <w:highlight w:val="none"/>
              </w:rPr>
            </w:pPr>
          </w:p>
        </w:tc>
        <w:tc>
          <w:tcPr>
            <w:tcW w:w="2341" w:type="dxa"/>
            <w:vAlign w:val="center"/>
          </w:tcPr>
          <w:p>
            <w:pPr>
              <w:tabs>
                <w:tab w:val="left" w:pos="720"/>
              </w:tabs>
              <w:snapToGrid w:val="0"/>
              <w:jc w:val="center"/>
              <w:rPr>
                <w:rFonts w:ascii="宋体" w:hAnsi="宋体" w:cs="宋体"/>
                <w:color w:val="auto"/>
                <w:sz w:val="24"/>
                <w:highlight w:val="none"/>
              </w:rPr>
            </w:pPr>
          </w:p>
        </w:tc>
        <w:tc>
          <w:tcPr>
            <w:tcW w:w="2245" w:type="dxa"/>
            <w:vAlign w:val="center"/>
          </w:tcPr>
          <w:p>
            <w:pPr>
              <w:tabs>
                <w:tab w:val="left" w:pos="720"/>
              </w:tabs>
              <w:snapToGrid w:val="0"/>
              <w:jc w:val="center"/>
              <w:rPr>
                <w:rFonts w:ascii="宋体" w:hAnsi="宋体" w:cs="宋体"/>
                <w:color w:val="auto"/>
                <w:sz w:val="24"/>
                <w:highlight w:val="none"/>
              </w:rPr>
            </w:pPr>
          </w:p>
        </w:tc>
        <w:tc>
          <w:tcPr>
            <w:tcW w:w="2304" w:type="dxa"/>
            <w:vAlign w:val="center"/>
          </w:tcPr>
          <w:p>
            <w:pPr>
              <w:tabs>
                <w:tab w:val="left" w:pos="720"/>
              </w:tabs>
              <w:snapToGrid w:val="0"/>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192" w:type="dxa"/>
            <w:vAlign w:val="center"/>
          </w:tcPr>
          <w:p>
            <w:pPr>
              <w:tabs>
                <w:tab w:val="left" w:pos="720"/>
              </w:tabs>
              <w:snapToGrid w:val="0"/>
              <w:jc w:val="center"/>
              <w:rPr>
                <w:rFonts w:ascii="宋体" w:hAnsi="宋体" w:cs="宋体"/>
                <w:color w:val="auto"/>
                <w:sz w:val="24"/>
                <w:highlight w:val="none"/>
              </w:rPr>
            </w:pPr>
          </w:p>
        </w:tc>
        <w:tc>
          <w:tcPr>
            <w:tcW w:w="1382" w:type="dxa"/>
            <w:vAlign w:val="center"/>
          </w:tcPr>
          <w:p>
            <w:pPr>
              <w:tabs>
                <w:tab w:val="left" w:pos="720"/>
              </w:tabs>
              <w:snapToGrid w:val="0"/>
              <w:jc w:val="center"/>
              <w:rPr>
                <w:rFonts w:ascii="宋体" w:hAnsi="宋体" w:cs="宋体"/>
                <w:color w:val="auto"/>
                <w:sz w:val="24"/>
                <w:highlight w:val="none"/>
              </w:rPr>
            </w:pPr>
          </w:p>
        </w:tc>
        <w:tc>
          <w:tcPr>
            <w:tcW w:w="2341" w:type="dxa"/>
            <w:vAlign w:val="center"/>
          </w:tcPr>
          <w:p>
            <w:pPr>
              <w:tabs>
                <w:tab w:val="left" w:pos="720"/>
              </w:tabs>
              <w:snapToGrid w:val="0"/>
              <w:jc w:val="center"/>
              <w:rPr>
                <w:rFonts w:ascii="宋体" w:hAnsi="宋体" w:cs="宋体"/>
                <w:color w:val="auto"/>
                <w:sz w:val="24"/>
                <w:highlight w:val="none"/>
              </w:rPr>
            </w:pPr>
          </w:p>
        </w:tc>
        <w:tc>
          <w:tcPr>
            <w:tcW w:w="2245" w:type="dxa"/>
            <w:vAlign w:val="center"/>
          </w:tcPr>
          <w:p>
            <w:pPr>
              <w:tabs>
                <w:tab w:val="left" w:pos="720"/>
              </w:tabs>
              <w:snapToGrid w:val="0"/>
              <w:jc w:val="center"/>
              <w:rPr>
                <w:rFonts w:ascii="宋体" w:hAnsi="宋体" w:cs="宋体"/>
                <w:color w:val="auto"/>
                <w:sz w:val="24"/>
                <w:highlight w:val="none"/>
              </w:rPr>
            </w:pPr>
          </w:p>
        </w:tc>
        <w:tc>
          <w:tcPr>
            <w:tcW w:w="2304" w:type="dxa"/>
            <w:vAlign w:val="center"/>
          </w:tcPr>
          <w:p>
            <w:pPr>
              <w:tabs>
                <w:tab w:val="left" w:pos="720"/>
              </w:tabs>
              <w:snapToGrid w:val="0"/>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192" w:type="dxa"/>
            <w:vAlign w:val="center"/>
          </w:tcPr>
          <w:p>
            <w:pPr>
              <w:tabs>
                <w:tab w:val="left" w:pos="720"/>
              </w:tabs>
              <w:snapToGrid w:val="0"/>
              <w:jc w:val="center"/>
              <w:rPr>
                <w:rFonts w:ascii="宋体" w:hAnsi="宋体" w:cs="宋体"/>
                <w:color w:val="auto"/>
                <w:sz w:val="24"/>
                <w:highlight w:val="none"/>
              </w:rPr>
            </w:pPr>
          </w:p>
        </w:tc>
        <w:tc>
          <w:tcPr>
            <w:tcW w:w="1382" w:type="dxa"/>
            <w:vAlign w:val="center"/>
          </w:tcPr>
          <w:p>
            <w:pPr>
              <w:tabs>
                <w:tab w:val="left" w:pos="720"/>
              </w:tabs>
              <w:snapToGrid w:val="0"/>
              <w:jc w:val="center"/>
              <w:rPr>
                <w:rFonts w:ascii="宋体" w:hAnsi="宋体" w:cs="宋体"/>
                <w:color w:val="auto"/>
                <w:sz w:val="24"/>
                <w:highlight w:val="none"/>
              </w:rPr>
            </w:pPr>
          </w:p>
        </w:tc>
        <w:tc>
          <w:tcPr>
            <w:tcW w:w="2341" w:type="dxa"/>
            <w:vAlign w:val="center"/>
          </w:tcPr>
          <w:p>
            <w:pPr>
              <w:tabs>
                <w:tab w:val="left" w:pos="720"/>
              </w:tabs>
              <w:snapToGrid w:val="0"/>
              <w:jc w:val="center"/>
              <w:rPr>
                <w:rFonts w:ascii="宋体" w:hAnsi="宋体" w:cs="宋体"/>
                <w:color w:val="auto"/>
                <w:sz w:val="24"/>
                <w:highlight w:val="none"/>
              </w:rPr>
            </w:pPr>
          </w:p>
        </w:tc>
        <w:tc>
          <w:tcPr>
            <w:tcW w:w="2245" w:type="dxa"/>
            <w:vAlign w:val="center"/>
          </w:tcPr>
          <w:p>
            <w:pPr>
              <w:tabs>
                <w:tab w:val="left" w:pos="720"/>
              </w:tabs>
              <w:snapToGrid w:val="0"/>
              <w:jc w:val="center"/>
              <w:rPr>
                <w:rFonts w:ascii="宋体" w:hAnsi="宋体" w:cs="宋体"/>
                <w:color w:val="auto"/>
                <w:sz w:val="24"/>
                <w:highlight w:val="none"/>
              </w:rPr>
            </w:pPr>
          </w:p>
        </w:tc>
        <w:tc>
          <w:tcPr>
            <w:tcW w:w="2304" w:type="dxa"/>
            <w:vAlign w:val="center"/>
          </w:tcPr>
          <w:p>
            <w:pPr>
              <w:tabs>
                <w:tab w:val="left" w:pos="720"/>
              </w:tabs>
              <w:snapToGrid w:val="0"/>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192" w:type="dxa"/>
            <w:vAlign w:val="center"/>
          </w:tcPr>
          <w:p>
            <w:pPr>
              <w:tabs>
                <w:tab w:val="left" w:pos="720"/>
              </w:tabs>
              <w:snapToGrid w:val="0"/>
              <w:jc w:val="center"/>
              <w:rPr>
                <w:rFonts w:ascii="宋体" w:hAnsi="宋体" w:cs="宋体"/>
                <w:color w:val="auto"/>
                <w:sz w:val="24"/>
                <w:highlight w:val="none"/>
              </w:rPr>
            </w:pPr>
          </w:p>
        </w:tc>
        <w:tc>
          <w:tcPr>
            <w:tcW w:w="1382" w:type="dxa"/>
            <w:vAlign w:val="center"/>
          </w:tcPr>
          <w:p>
            <w:pPr>
              <w:tabs>
                <w:tab w:val="left" w:pos="720"/>
              </w:tabs>
              <w:snapToGrid w:val="0"/>
              <w:jc w:val="center"/>
              <w:rPr>
                <w:rFonts w:ascii="宋体" w:hAnsi="宋体" w:cs="宋体"/>
                <w:color w:val="auto"/>
                <w:sz w:val="24"/>
                <w:highlight w:val="none"/>
              </w:rPr>
            </w:pPr>
          </w:p>
        </w:tc>
        <w:tc>
          <w:tcPr>
            <w:tcW w:w="2341" w:type="dxa"/>
            <w:vAlign w:val="center"/>
          </w:tcPr>
          <w:p>
            <w:pPr>
              <w:tabs>
                <w:tab w:val="left" w:pos="720"/>
              </w:tabs>
              <w:snapToGrid w:val="0"/>
              <w:jc w:val="center"/>
              <w:rPr>
                <w:rFonts w:ascii="宋体" w:hAnsi="宋体" w:cs="宋体"/>
                <w:color w:val="auto"/>
                <w:sz w:val="24"/>
                <w:highlight w:val="none"/>
              </w:rPr>
            </w:pPr>
          </w:p>
        </w:tc>
        <w:tc>
          <w:tcPr>
            <w:tcW w:w="2245" w:type="dxa"/>
            <w:vAlign w:val="center"/>
          </w:tcPr>
          <w:p>
            <w:pPr>
              <w:tabs>
                <w:tab w:val="left" w:pos="720"/>
              </w:tabs>
              <w:snapToGrid w:val="0"/>
              <w:jc w:val="center"/>
              <w:rPr>
                <w:rFonts w:ascii="宋体" w:hAnsi="宋体" w:cs="宋体"/>
                <w:color w:val="auto"/>
                <w:sz w:val="24"/>
                <w:highlight w:val="none"/>
              </w:rPr>
            </w:pPr>
          </w:p>
        </w:tc>
        <w:tc>
          <w:tcPr>
            <w:tcW w:w="2304" w:type="dxa"/>
            <w:vAlign w:val="center"/>
          </w:tcPr>
          <w:p>
            <w:pPr>
              <w:tabs>
                <w:tab w:val="left" w:pos="720"/>
              </w:tabs>
              <w:snapToGrid w:val="0"/>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192" w:type="dxa"/>
            <w:vAlign w:val="center"/>
          </w:tcPr>
          <w:p>
            <w:pPr>
              <w:tabs>
                <w:tab w:val="left" w:pos="720"/>
              </w:tabs>
              <w:snapToGrid w:val="0"/>
              <w:jc w:val="center"/>
              <w:rPr>
                <w:rFonts w:ascii="宋体" w:hAnsi="宋体" w:cs="宋体"/>
                <w:color w:val="auto"/>
                <w:sz w:val="24"/>
                <w:highlight w:val="none"/>
              </w:rPr>
            </w:pPr>
          </w:p>
        </w:tc>
        <w:tc>
          <w:tcPr>
            <w:tcW w:w="1382" w:type="dxa"/>
            <w:vAlign w:val="center"/>
          </w:tcPr>
          <w:p>
            <w:pPr>
              <w:tabs>
                <w:tab w:val="left" w:pos="720"/>
              </w:tabs>
              <w:snapToGrid w:val="0"/>
              <w:jc w:val="center"/>
              <w:rPr>
                <w:rFonts w:ascii="宋体" w:hAnsi="宋体" w:cs="宋体"/>
                <w:color w:val="auto"/>
                <w:sz w:val="24"/>
                <w:highlight w:val="none"/>
              </w:rPr>
            </w:pPr>
          </w:p>
        </w:tc>
        <w:tc>
          <w:tcPr>
            <w:tcW w:w="2341" w:type="dxa"/>
            <w:vAlign w:val="center"/>
          </w:tcPr>
          <w:p>
            <w:pPr>
              <w:tabs>
                <w:tab w:val="left" w:pos="720"/>
              </w:tabs>
              <w:snapToGrid w:val="0"/>
              <w:jc w:val="center"/>
              <w:rPr>
                <w:rFonts w:ascii="宋体" w:hAnsi="宋体" w:cs="宋体"/>
                <w:color w:val="auto"/>
                <w:sz w:val="24"/>
                <w:highlight w:val="none"/>
              </w:rPr>
            </w:pPr>
          </w:p>
        </w:tc>
        <w:tc>
          <w:tcPr>
            <w:tcW w:w="2245" w:type="dxa"/>
            <w:vAlign w:val="center"/>
          </w:tcPr>
          <w:p>
            <w:pPr>
              <w:tabs>
                <w:tab w:val="left" w:pos="720"/>
              </w:tabs>
              <w:snapToGrid w:val="0"/>
              <w:jc w:val="center"/>
              <w:rPr>
                <w:rFonts w:ascii="宋体" w:hAnsi="宋体" w:cs="宋体"/>
                <w:color w:val="auto"/>
                <w:sz w:val="24"/>
                <w:highlight w:val="none"/>
              </w:rPr>
            </w:pPr>
          </w:p>
        </w:tc>
        <w:tc>
          <w:tcPr>
            <w:tcW w:w="2304" w:type="dxa"/>
            <w:vAlign w:val="center"/>
          </w:tcPr>
          <w:p>
            <w:pPr>
              <w:tabs>
                <w:tab w:val="left" w:pos="720"/>
              </w:tabs>
              <w:snapToGrid w:val="0"/>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192" w:type="dxa"/>
            <w:vAlign w:val="center"/>
          </w:tcPr>
          <w:p>
            <w:pPr>
              <w:tabs>
                <w:tab w:val="left" w:pos="720"/>
              </w:tabs>
              <w:snapToGrid w:val="0"/>
              <w:jc w:val="center"/>
              <w:rPr>
                <w:rFonts w:ascii="宋体" w:hAnsi="宋体" w:cs="宋体"/>
                <w:color w:val="auto"/>
                <w:sz w:val="24"/>
                <w:highlight w:val="none"/>
              </w:rPr>
            </w:pPr>
          </w:p>
        </w:tc>
        <w:tc>
          <w:tcPr>
            <w:tcW w:w="1382" w:type="dxa"/>
            <w:vAlign w:val="center"/>
          </w:tcPr>
          <w:p>
            <w:pPr>
              <w:tabs>
                <w:tab w:val="left" w:pos="720"/>
              </w:tabs>
              <w:snapToGrid w:val="0"/>
              <w:jc w:val="center"/>
              <w:rPr>
                <w:rFonts w:ascii="宋体" w:hAnsi="宋体" w:cs="宋体"/>
                <w:color w:val="auto"/>
                <w:sz w:val="24"/>
                <w:highlight w:val="none"/>
              </w:rPr>
            </w:pPr>
          </w:p>
        </w:tc>
        <w:tc>
          <w:tcPr>
            <w:tcW w:w="2341" w:type="dxa"/>
            <w:vAlign w:val="center"/>
          </w:tcPr>
          <w:p>
            <w:pPr>
              <w:tabs>
                <w:tab w:val="left" w:pos="720"/>
              </w:tabs>
              <w:snapToGrid w:val="0"/>
              <w:jc w:val="center"/>
              <w:rPr>
                <w:rFonts w:ascii="宋体" w:hAnsi="宋体" w:cs="宋体"/>
                <w:color w:val="auto"/>
                <w:sz w:val="24"/>
                <w:highlight w:val="none"/>
              </w:rPr>
            </w:pPr>
          </w:p>
        </w:tc>
        <w:tc>
          <w:tcPr>
            <w:tcW w:w="2245" w:type="dxa"/>
            <w:vAlign w:val="center"/>
          </w:tcPr>
          <w:p>
            <w:pPr>
              <w:tabs>
                <w:tab w:val="left" w:pos="720"/>
              </w:tabs>
              <w:snapToGrid w:val="0"/>
              <w:jc w:val="center"/>
              <w:rPr>
                <w:rFonts w:ascii="宋体" w:hAnsi="宋体" w:cs="宋体"/>
                <w:color w:val="auto"/>
                <w:sz w:val="24"/>
                <w:highlight w:val="none"/>
              </w:rPr>
            </w:pPr>
          </w:p>
        </w:tc>
        <w:tc>
          <w:tcPr>
            <w:tcW w:w="2304" w:type="dxa"/>
            <w:vAlign w:val="center"/>
          </w:tcPr>
          <w:p>
            <w:pPr>
              <w:tabs>
                <w:tab w:val="left" w:pos="720"/>
              </w:tabs>
              <w:snapToGrid w:val="0"/>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192" w:type="dxa"/>
            <w:vAlign w:val="center"/>
          </w:tcPr>
          <w:p>
            <w:pPr>
              <w:tabs>
                <w:tab w:val="left" w:pos="720"/>
              </w:tabs>
              <w:snapToGrid w:val="0"/>
              <w:jc w:val="center"/>
              <w:rPr>
                <w:rFonts w:ascii="宋体" w:hAnsi="宋体" w:cs="宋体"/>
                <w:color w:val="auto"/>
                <w:sz w:val="24"/>
                <w:highlight w:val="none"/>
              </w:rPr>
            </w:pPr>
          </w:p>
        </w:tc>
        <w:tc>
          <w:tcPr>
            <w:tcW w:w="1382" w:type="dxa"/>
            <w:vAlign w:val="center"/>
          </w:tcPr>
          <w:p>
            <w:pPr>
              <w:tabs>
                <w:tab w:val="left" w:pos="720"/>
              </w:tabs>
              <w:snapToGrid w:val="0"/>
              <w:jc w:val="center"/>
              <w:rPr>
                <w:rFonts w:ascii="宋体" w:hAnsi="宋体" w:cs="宋体"/>
                <w:color w:val="auto"/>
                <w:sz w:val="24"/>
                <w:highlight w:val="none"/>
              </w:rPr>
            </w:pPr>
          </w:p>
        </w:tc>
        <w:tc>
          <w:tcPr>
            <w:tcW w:w="2341" w:type="dxa"/>
            <w:vAlign w:val="center"/>
          </w:tcPr>
          <w:p>
            <w:pPr>
              <w:tabs>
                <w:tab w:val="left" w:pos="720"/>
              </w:tabs>
              <w:snapToGrid w:val="0"/>
              <w:jc w:val="center"/>
              <w:rPr>
                <w:rFonts w:ascii="宋体" w:hAnsi="宋体" w:cs="宋体"/>
                <w:color w:val="auto"/>
                <w:sz w:val="24"/>
                <w:highlight w:val="none"/>
              </w:rPr>
            </w:pPr>
          </w:p>
        </w:tc>
        <w:tc>
          <w:tcPr>
            <w:tcW w:w="2245" w:type="dxa"/>
            <w:vAlign w:val="center"/>
          </w:tcPr>
          <w:p>
            <w:pPr>
              <w:tabs>
                <w:tab w:val="left" w:pos="720"/>
              </w:tabs>
              <w:snapToGrid w:val="0"/>
              <w:jc w:val="center"/>
              <w:rPr>
                <w:rFonts w:ascii="宋体" w:hAnsi="宋体" w:cs="宋体"/>
                <w:color w:val="auto"/>
                <w:sz w:val="24"/>
                <w:highlight w:val="none"/>
              </w:rPr>
            </w:pPr>
          </w:p>
        </w:tc>
        <w:tc>
          <w:tcPr>
            <w:tcW w:w="2304" w:type="dxa"/>
            <w:vAlign w:val="center"/>
          </w:tcPr>
          <w:p>
            <w:pPr>
              <w:tabs>
                <w:tab w:val="left" w:pos="720"/>
              </w:tabs>
              <w:snapToGrid w:val="0"/>
              <w:jc w:val="center"/>
              <w:rPr>
                <w:rFonts w:ascii="宋体" w:hAnsi="宋体" w:cs="宋体"/>
                <w:color w:val="auto"/>
                <w:sz w:val="24"/>
                <w:highlight w:val="none"/>
              </w:rPr>
            </w:pPr>
          </w:p>
        </w:tc>
      </w:tr>
    </w:tbl>
    <w:p>
      <w:pPr>
        <w:autoSpaceDE w:val="0"/>
        <w:autoSpaceDN w:val="0"/>
        <w:adjustRightInd w:val="0"/>
        <w:spacing w:line="360" w:lineRule="auto"/>
        <w:rPr>
          <w:rFonts w:ascii="宋体" w:hAnsi="宋体" w:cs="宋体"/>
          <w:color w:val="auto"/>
          <w:szCs w:val="21"/>
          <w:highlight w:val="none"/>
        </w:rPr>
      </w:pPr>
      <w:r>
        <w:rPr>
          <w:rFonts w:hint="eastAsia" w:ascii="宋体" w:hAnsi="宋体" w:cs="宋体"/>
          <w:color w:val="auto"/>
          <w:highlight w:val="none"/>
        </w:rPr>
        <w:t>注：参与编制经济标书所有人员名单应包括如编制各种专业工程量清单投标报价、负责清样校对、负责打印及复印等所有人员在内的人员名单。</w:t>
      </w:r>
      <w:r>
        <w:rPr>
          <w:rFonts w:hint="eastAsia" w:ascii="宋体" w:hAnsi="宋体" w:cs="宋体"/>
          <w:bCs/>
          <w:color w:val="auto"/>
          <w:sz w:val="24"/>
          <w:highlight w:val="none"/>
        </w:rPr>
        <w:t xml:space="preserve"> </w:t>
      </w:r>
    </w:p>
    <w:p>
      <w:pPr>
        <w:pStyle w:val="5"/>
        <w:spacing w:after="0" w:line="360" w:lineRule="auto"/>
        <w:ind w:firstLine="0"/>
        <w:jc w:val="left"/>
        <w:rPr>
          <w:rFonts w:ascii="宋体" w:hAnsi="宋体" w:cs="宋体"/>
          <w:b/>
          <w:color w:val="auto"/>
          <w:sz w:val="24"/>
          <w:szCs w:val="24"/>
          <w:highlight w:val="none"/>
        </w:rPr>
      </w:pPr>
      <w:r>
        <w:rPr>
          <w:rFonts w:hint="eastAsia" w:ascii="宋体" w:hAnsi="宋体" w:cs="宋体"/>
          <w:color w:val="auto"/>
          <w:sz w:val="24"/>
          <w:highlight w:val="none"/>
        </w:rPr>
        <w:br w:type="page"/>
      </w:r>
      <w:r>
        <w:rPr>
          <w:rFonts w:hint="eastAsia" w:ascii="宋体" w:hAnsi="宋体" w:cs="宋体"/>
          <w:b/>
          <w:color w:val="auto"/>
          <w:sz w:val="24"/>
          <w:szCs w:val="24"/>
          <w:highlight w:val="none"/>
        </w:rPr>
        <w:t>★经济部分格式5：对投标文件编制的承诺</w:t>
      </w:r>
    </w:p>
    <w:p>
      <w:pPr>
        <w:pStyle w:val="121"/>
        <w:spacing w:before="100" w:beforeAutospacing="1" w:after="100" w:afterAutospacing="1" w:line="240" w:lineRule="auto"/>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对投标文件编制的承诺</w:t>
      </w:r>
    </w:p>
    <w:p>
      <w:pPr>
        <w:pStyle w:val="5"/>
        <w:spacing w:after="0" w:line="360" w:lineRule="auto"/>
        <w:ind w:left="-2" w:leftChars="-1" w:firstLine="540" w:firstLineChars="225"/>
        <w:rPr>
          <w:rFonts w:ascii="宋体" w:hAnsi="宋体" w:cs="宋体"/>
          <w:color w:val="auto"/>
          <w:sz w:val="24"/>
          <w:highlight w:val="none"/>
        </w:rPr>
      </w:pPr>
      <w:r>
        <w:rPr>
          <w:rFonts w:hint="eastAsia" w:ascii="宋体" w:hAnsi="宋体" w:cs="宋体"/>
          <w:color w:val="auto"/>
          <w:sz w:val="24"/>
          <w:highlight w:val="none"/>
        </w:rPr>
        <w:t>本公司授权</w:t>
      </w:r>
      <w:r>
        <w:rPr>
          <w:rFonts w:hint="eastAsia" w:ascii="宋体" w:hAnsi="宋体" w:cs="宋体"/>
          <w:color w:val="auto"/>
          <w:sz w:val="24"/>
          <w:highlight w:val="none"/>
          <w:u w:val="single"/>
        </w:rPr>
        <w:t xml:space="preserve">         （身份证号：               ）</w:t>
      </w:r>
      <w:r>
        <w:rPr>
          <w:rFonts w:hint="eastAsia" w:ascii="宋体" w:hAnsi="宋体" w:cs="宋体"/>
          <w:color w:val="auto"/>
          <w:sz w:val="24"/>
          <w:highlight w:val="none"/>
        </w:rPr>
        <w:t>负责对投标文件的编制及内容进行解释、说明，并承诺以下事项：</w:t>
      </w:r>
    </w:p>
    <w:p>
      <w:pPr>
        <w:pStyle w:val="5"/>
        <w:spacing w:after="0" w:line="360" w:lineRule="auto"/>
        <w:ind w:left="-2" w:leftChars="-1" w:firstLine="540" w:firstLineChars="225"/>
        <w:rPr>
          <w:rFonts w:ascii="宋体" w:hAnsi="宋体" w:cs="宋体"/>
          <w:color w:val="auto"/>
          <w:sz w:val="24"/>
          <w:highlight w:val="none"/>
        </w:rPr>
      </w:pPr>
      <w:r>
        <w:rPr>
          <w:rFonts w:hint="eastAsia" w:ascii="宋体" w:hAnsi="宋体" w:cs="宋体"/>
          <w:color w:val="auto"/>
          <w:sz w:val="24"/>
          <w:highlight w:val="none"/>
        </w:rPr>
        <w:t>1.被授权人清楚投标文件编制的具体情况，包括技术方案文件、工程量清单、以及投标文件的加密打包的理解；</w:t>
      </w:r>
    </w:p>
    <w:p>
      <w:pPr>
        <w:pStyle w:val="5"/>
        <w:spacing w:after="0" w:line="360" w:lineRule="auto"/>
        <w:ind w:left="-2" w:leftChars="-1" w:firstLine="540" w:firstLineChars="225"/>
        <w:rPr>
          <w:rFonts w:ascii="宋体" w:hAnsi="宋体" w:cs="宋体"/>
          <w:color w:val="auto"/>
          <w:sz w:val="24"/>
          <w:highlight w:val="none"/>
        </w:rPr>
      </w:pPr>
      <w:r>
        <w:rPr>
          <w:rFonts w:hint="eastAsia" w:ascii="宋体" w:hAnsi="宋体" w:cs="宋体"/>
          <w:color w:val="auto"/>
          <w:sz w:val="24"/>
          <w:highlight w:val="none"/>
        </w:rPr>
        <w:t>2.在本项目开标至评标结束前，努力确保被授权人在项目评标所在地附近；</w:t>
      </w:r>
    </w:p>
    <w:p>
      <w:pPr>
        <w:pStyle w:val="5"/>
        <w:spacing w:after="0" w:line="360" w:lineRule="auto"/>
        <w:ind w:left="-2" w:leftChars="-1" w:firstLine="540" w:firstLineChars="225"/>
        <w:rPr>
          <w:rFonts w:ascii="宋体" w:hAnsi="宋体" w:cs="宋体"/>
          <w:color w:val="auto"/>
          <w:sz w:val="24"/>
          <w:highlight w:val="none"/>
        </w:rPr>
      </w:pPr>
      <w:r>
        <w:rPr>
          <w:rFonts w:hint="eastAsia" w:ascii="宋体" w:hAnsi="宋体" w:cs="宋体"/>
          <w:color w:val="auto"/>
          <w:sz w:val="24"/>
          <w:highlight w:val="none"/>
        </w:rPr>
        <w:t>3.从评标委员会要求澄清起二小时内，被授权人应如实地书面澄清。</w:t>
      </w:r>
    </w:p>
    <w:p>
      <w:pPr>
        <w:pStyle w:val="5"/>
        <w:spacing w:after="0" w:line="360" w:lineRule="auto"/>
        <w:ind w:left="-2" w:leftChars="-1" w:firstLine="540" w:firstLineChars="225"/>
        <w:rPr>
          <w:rFonts w:ascii="宋体" w:hAnsi="宋体" w:cs="宋体"/>
          <w:color w:val="auto"/>
          <w:sz w:val="24"/>
          <w:highlight w:val="none"/>
        </w:rPr>
      </w:pPr>
      <w:r>
        <w:rPr>
          <w:rFonts w:hint="eastAsia" w:ascii="宋体" w:hAnsi="宋体" w:cs="宋体"/>
          <w:color w:val="auto"/>
          <w:sz w:val="24"/>
          <w:highlight w:val="none"/>
        </w:rPr>
        <w:t xml:space="preserve">如由于未遵守上述承诺内容之一导致无法进行澄清的，我公司认可和接受评标委员会作出的评审结论。                                 </w:t>
      </w:r>
    </w:p>
    <w:p>
      <w:pPr>
        <w:pStyle w:val="5"/>
        <w:spacing w:after="0"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 xml:space="preserve"> </w:t>
      </w:r>
    </w:p>
    <w:p>
      <w:pPr>
        <w:pStyle w:val="5"/>
        <w:spacing w:after="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附件：《投标文件编制情况》</w:t>
      </w:r>
    </w:p>
    <w:p>
      <w:pPr>
        <w:spacing w:line="360" w:lineRule="auto"/>
        <w:ind w:right="90" w:firstLine="3240" w:firstLineChars="1350"/>
        <w:rPr>
          <w:rFonts w:ascii="宋体" w:hAnsi="宋体" w:cs="宋体"/>
          <w:color w:val="auto"/>
          <w:sz w:val="24"/>
          <w:szCs w:val="24"/>
          <w:highlight w:val="none"/>
          <w:u w:val="single"/>
        </w:rPr>
      </w:pPr>
      <w:r>
        <w:rPr>
          <w:rFonts w:hint="eastAsia" w:ascii="宋体" w:hAnsi="宋体" w:cs="宋体"/>
          <w:color w:val="auto"/>
          <w:sz w:val="24"/>
          <w:szCs w:val="24"/>
          <w:highlight w:val="none"/>
        </w:rPr>
        <w:t xml:space="preserve"> 投标人名称（盖法人公章）：</w:t>
      </w:r>
      <w:r>
        <w:rPr>
          <w:rFonts w:hint="eastAsia" w:ascii="宋体" w:hAnsi="宋体" w:cs="宋体"/>
          <w:color w:val="auto"/>
          <w:sz w:val="24"/>
          <w:szCs w:val="24"/>
          <w:highlight w:val="none"/>
          <w:u w:val="single"/>
        </w:rPr>
        <w:t xml:space="preserve">                  </w:t>
      </w:r>
    </w:p>
    <w:p>
      <w:pPr>
        <w:spacing w:line="360" w:lineRule="auto"/>
        <w:ind w:firstLine="2160" w:firstLineChars="900"/>
        <w:rPr>
          <w:rFonts w:ascii="宋体" w:hAnsi="宋体" w:cs="宋体"/>
          <w:color w:val="auto"/>
          <w:sz w:val="24"/>
          <w:szCs w:val="24"/>
          <w:highlight w:val="none"/>
          <w:u w:val="single"/>
        </w:rPr>
      </w:pPr>
      <w:r>
        <w:rPr>
          <w:rFonts w:hint="eastAsia" w:ascii="宋体" w:hAnsi="宋体" w:cs="宋体"/>
          <w:color w:val="auto"/>
          <w:sz w:val="24"/>
          <w:szCs w:val="24"/>
          <w:highlight w:val="none"/>
        </w:rPr>
        <w:t>法定代表人或被授权人（签字或盖章）：</w:t>
      </w:r>
      <w:r>
        <w:rPr>
          <w:rFonts w:hint="eastAsia" w:ascii="宋体" w:hAnsi="宋体" w:cs="宋体"/>
          <w:color w:val="auto"/>
          <w:sz w:val="24"/>
          <w:szCs w:val="24"/>
          <w:highlight w:val="none"/>
          <w:u w:val="single"/>
        </w:rPr>
        <w:t xml:space="preserve">                  </w:t>
      </w:r>
    </w:p>
    <w:p>
      <w:pPr>
        <w:spacing w:line="360" w:lineRule="auto"/>
        <w:ind w:firstLine="4440" w:firstLineChars="1850"/>
        <w:jc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 日期：      年   月   日 </w:t>
      </w:r>
      <w:r>
        <w:rPr>
          <w:rFonts w:hint="eastAsia" w:ascii="宋体" w:hAnsi="宋体" w:cs="宋体"/>
          <w:color w:val="auto"/>
          <w:sz w:val="18"/>
          <w:szCs w:val="18"/>
          <w:highlight w:val="none"/>
        </w:rPr>
        <w:t xml:space="preserve"> </w:t>
      </w:r>
      <w:r>
        <w:rPr>
          <w:rFonts w:hint="eastAsia" w:ascii="宋体" w:hAnsi="宋体" w:cs="宋体"/>
          <w:color w:val="auto"/>
          <w:sz w:val="24"/>
          <w:szCs w:val="24"/>
          <w:highlight w:val="none"/>
        </w:rPr>
        <w:t xml:space="preserve">    </w:t>
      </w:r>
    </w:p>
    <w:p>
      <w:pPr>
        <w:pStyle w:val="121"/>
        <w:spacing w:before="100" w:beforeAutospacing="1" w:after="100" w:afterAutospacing="1" w:line="240" w:lineRule="auto"/>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投标文件编制情况</w:t>
      </w:r>
    </w:p>
    <w:tbl>
      <w:tblPr>
        <w:tblStyle w:val="39"/>
        <w:tblW w:w="0" w:type="auto"/>
        <w:tblInd w:w="0" w:type="dxa"/>
        <w:tblLayout w:type="fixed"/>
        <w:tblCellMar>
          <w:top w:w="0" w:type="dxa"/>
          <w:left w:w="108" w:type="dxa"/>
          <w:bottom w:w="0" w:type="dxa"/>
          <w:right w:w="108" w:type="dxa"/>
        </w:tblCellMar>
      </w:tblPr>
      <w:tblGrid>
        <w:gridCol w:w="8522"/>
      </w:tblGrid>
      <w:tr>
        <w:tblPrEx>
          <w:tblCellMar>
            <w:top w:w="0" w:type="dxa"/>
            <w:left w:w="108" w:type="dxa"/>
            <w:bottom w:w="0" w:type="dxa"/>
            <w:right w:w="108" w:type="dxa"/>
          </w:tblCellMar>
        </w:tblPrEx>
        <w:trPr>
          <w:trHeight w:val="2819" w:hRule="atLeast"/>
        </w:trPr>
        <w:tc>
          <w:tcPr>
            <w:tcW w:w="8522" w:type="dxa"/>
          </w:tcPr>
          <w:p>
            <w:pPr>
              <w:pStyle w:val="5"/>
              <w:spacing w:after="0" w:line="360" w:lineRule="auto"/>
              <w:ind w:firstLine="480" w:firstLineChars="200"/>
              <w:rPr>
                <w:rFonts w:ascii="宋体" w:hAnsi="宋体" w:cs="宋体"/>
                <w:color w:val="auto"/>
                <w:kern w:val="2"/>
                <w:sz w:val="24"/>
                <w:highlight w:val="none"/>
              </w:rPr>
            </w:pPr>
            <w:r>
              <w:rPr>
                <w:rFonts w:hint="eastAsia" w:ascii="宋体" w:hAnsi="宋体" w:cs="宋体"/>
                <w:color w:val="auto"/>
                <w:kern w:val="2"/>
                <w:sz w:val="24"/>
                <w:highlight w:val="none"/>
              </w:rPr>
              <w:t>1.投标文件报价编制方式: □自行编制的，编制的负责人：</w:t>
            </w:r>
            <w:r>
              <w:rPr>
                <w:rFonts w:hint="eastAsia" w:ascii="宋体" w:hAnsi="宋体" w:cs="宋体"/>
                <w:color w:val="auto"/>
                <w:kern w:val="2"/>
                <w:sz w:val="24"/>
                <w:highlight w:val="none"/>
                <w:u w:val="single"/>
              </w:rPr>
              <w:t xml:space="preserve"> （盖造价工程师执业专用章或全国建设工程造价员章，执业单位应与投标人一致） </w:t>
            </w:r>
            <w:r>
              <w:rPr>
                <w:rFonts w:hint="eastAsia" w:ascii="宋体" w:hAnsi="宋体" w:cs="宋体"/>
                <w:color w:val="auto"/>
                <w:kern w:val="2"/>
                <w:sz w:val="24"/>
                <w:highlight w:val="none"/>
              </w:rPr>
              <w:t>。□委托编制的，受委托单位</w:t>
            </w:r>
            <w:r>
              <w:rPr>
                <w:rFonts w:hint="eastAsia" w:ascii="宋体" w:hAnsi="宋体" w:cs="宋体"/>
                <w:color w:val="auto"/>
                <w:kern w:val="2"/>
                <w:sz w:val="24"/>
                <w:highlight w:val="none"/>
                <w:u w:val="single"/>
              </w:rPr>
              <w:t xml:space="preserve">                    </w:t>
            </w:r>
            <w:r>
              <w:rPr>
                <w:rFonts w:hint="eastAsia" w:ascii="宋体" w:hAnsi="宋体" w:cs="宋体"/>
                <w:color w:val="auto"/>
                <w:kern w:val="2"/>
                <w:sz w:val="24"/>
                <w:highlight w:val="none"/>
              </w:rPr>
              <w:t>，编制的负责人：</w:t>
            </w:r>
            <w:r>
              <w:rPr>
                <w:rFonts w:hint="eastAsia" w:ascii="宋体" w:hAnsi="宋体" w:cs="宋体"/>
                <w:color w:val="auto"/>
                <w:kern w:val="2"/>
                <w:sz w:val="24"/>
                <w:highlight w:val="none"/>
                <w:u w:val="single"/>
              </w:rPr>
              <w:t xml:space="preserve"> （盖造价工程师执业专用章或全国建设工程造价员章，执业单位应与受委托单位一致） </w:t>
            </w:r>
            <w:r>
              <w:rPr>
                <w:rFonts w:hint="eastAsia" w:ascii="宋体" w:hAnsi="宋体" w:cs="宋体"/>
                <w:color w:val="auto"/>
                <w:kern w:val="2"/>
                <w:sz w:val="24"/>
                <w:highlight w:val="none"/>
              </w:rPr>
              <w:t>。</w:t>
            </w:r>
          </w:p>
          <w:p>
            <w:pPr>
              <w:pStyle w:val="5"/>
              <w:spacing w:after="0" w:line="360" w:lineRule="auto"/>
              <w:ind w:firstLine="480" w:firstLineChars="200"/>
              <w:rPr>
                <w:rFonts w:ascii="宋体" w:hAnsi="宋体" w:cs="宋体"/>
                <w:color w:val="auto"/>
                <w:kern w:val="2"/>
                <w:sz w:val="24"/>
                <w:highlight w:val="none"/>
              </w:rPr>
            </w:pPr>
            <w:r>
              <w:rPr>
                <w:rFonts w:hint="eastAsia" w:ascii="宋体" w:hAnsi="宋体" w:cs="宋体"/>
                <w:color w:val="auto"/>
                <w:kern w:val="2"/>
                <w:sz w:val="24"/>
                <w:highlight w:val="none"/>
              </w:rPr>
              <w:t>2.投标文件加密打包的电脑情况</w:t>
            </w:r>
          </w:p>
          <w:p>
            <w:pPr>
              <w:pStyle w:val="5"/>
              <w:spacing w:after="0" w:line="360" w:lineRule="auto"/>
              <w:ind w:firstLine="0"/>
              <w:rPr>
                <w:rFonts w:ascii="宋体" w:hAnsi="宋体" w:cs="宋体"/>
                <w:color w:val="auto"/>
                <w:kern w:val="2"/>
                <w:sz w:val="24"/>
                <w:highlight w:val="none"/>
              </w:rPr>
            </w:pPr>
            <w:r>
              <w:rPr>
                <w:rFonts w:hint="eastAsia" w:ascii="宋体" w:hAnsi="宋体" w:cs="宋体"/>
                <w:color w:val="auto"/>
                <w:kern w:val="2"/>
                <w:sz w:val="24"/>
                <w:highlight w:val="none"/>
              </w:rPr>
              <w:t>投标文件加密打包的电脑     自有    □      外包    □     其他    □</w:t>
            </w:r>
          </w:p>
          <w:p>
            <w:pPr>
              <w:pStyle w:val="5"/>
              <w:spacing w:after="0" w:line="360" w:lineRule="auto"/>
              <w:ind w:firstLine="0"/>
              <w:rPr>
                <w:rFonts w:ascii="宋体" w:hAnsi="宋体" w:cs="宋体"/>
                <w:color w:val="auto"/>
                <w:kern w:val="2"/>
                <w:sz w:val="24"/>
                <w:highlight w:val="none"/>
              </w:rPr>
            </w:pPr>
            <w:r>
              <w:rPr>
                <w:rFonts w:hint="eastAsia" w:ascii="宋体" w:hAnsi="宋体" w:cs="宋体"/>
                <w:color w:val="auto"/>
                <w:kern w:val="2"/>
                <w:sz w:val="24"/>
                <w:highlight w:val="none"/>
              </w:rPr>
              <w:t>电脑类型</w:t>
            </w:r>
          </w:p>
          <w:p>
            <w:pPr>
              <w:pStyle w:val="5"/>
              <w:spacing w:after="0" w:line="360" w:lineRule="auto"/>
              <w:ind w:firstLine="0"/>
              <w:rPr>
                <w:rFonts w:ascii="宋体" w:hAnsi="宋体" w:cs="宋体"/>
                <w:color w:val="auto"/>
                <w:kern w:val="2"/>
                <w:sz w:val="24"/>
                <w:highlight w:val="none"/>
              </w:rPr>
            </w:pPr>
            <w:r>
              <w:rPr>
                <w:rFonts w:hint="eastAsia" w:ascii="宋体" w:hAnsi="宋体" w:cs="宋体"/>
                <w:color w:val="auto"/>
                <w:kern w:val="2"/>
                <w:sz w:val="24"/>
                <w:highlight w:val="none"/>
              </w:rPr>
              <w:t>电脑所属单位</w:t>
            </w:r>
          </w:p>
          <w:p>
            <w:pPr>
              <w:pStyle w:val="5"/>
              <w:spacing w:after="0" w:line="360" w:lineRule="auto"/>
              <w:ind w:firstLine="0"/>
              <w:rPr>
                <w:rFonts w:ascii="宋体" w:hAnsi="宋体" w:cs="宋体"/>
                <w:color w:val="auto"/>
                <w:kern w:val="2"/>
                <w:sz w:val="24"/>
                <w:highlight w:val="none"/>
              </w:rPr>
            </w:pPr>
            <w:r>
              <w:rPr>
                <w:rFonts w:hint="eastAsia" w:ascii="宋体" w:hAnsi="宋体" w:cs="宋体"/>
                <w:color w:val="auto"/>
                <w:kern w:val="2"/>
                <w:sz w:val="24"/>
                <w:highlight w:val="none"/>
              </w:rPr>
              <w:t>电脑所在地址     （如××市××区(县) ××街（路）××号××大厦××房）</w:t>
            </w:r>
          </w:p>
        </w:tc>
      </w:tr>
    </w:tbl>
    <w:p>
      <w:pPr>
        <w:pStyle w:val="3"/>
        <w:jc w:val="center"/>
        <w:rPr>
          <w:rFonts w:ascii="宋体" w:hAnsi="宋体" w:cs="宋体"/>
          <w:color w:val="auto"/>
          <w:sz w:val="44"/>
          <w:szCs w:val="44"/>
          <w:highlight w:val="none"/>
        </w:rPr>
      </w:pPr>
      <w:r>
        <w:rPr>
          <w:rFonts w:hint="eastAsia" w:ascii="宋体" w:hAnsi="宋体" w:cs="宋体"/>
          <w:b w:val="0"/>
          <w:color w:val="auto"/>
          <w:kern w:val="2"/>
          <w:sz w:val="24"/>
          <w:szCs w:val="24"/>
          <w:highlight w:val="none"/>
        </w:rPr>
        <w:br w:type="page"/>
      </w:r>
      <w:bookmarkStart w:id="43" w:name="_Toc22889"/>
      <w:r>
        <w:rPr>
          <w:rFonts w:hint="eastAsia" w:ascii="宋体" w:hAnsi="宋体" w:cs="宋体"/>
          <w:bCs/>
          <w:color w:val="auto"/>
          <w:kern w:val="2"/>
          <w:sz w:val="32"/>
          <w:szCs w:val="32"/>
          <w:highlight w:val="none"/>
        </w:rPr>
        <w:t>第五章</w:t>
      </w:r>
      <w:r>
        <w:rPr>
          <w:rFonts w:hint="eastAsia" w:ascii="宋体" w:hAnsi="宋体" w:cs="宋体"/>
          <w:bCs/>
          <w:color w:val="auto"/>
          <w:sz w:val="32"/>
          <w:szCs w:val="32"/>
          <w:highlight w:val="none"/>
        </w:rPr>
        <w:t>.技术条件（工程建设标准）</w:t>
      </w:r>
      <w:bookmarkEnd w:id="43"/>
    </w:p>
    <w:p>
      <w:pPr>
        <w:tabs>
          <w:tab w:val="left" w:pos="2105"/>
        </w:tabs>
        <w:spacing w:line="460" w:lineRule="exact"/>
        <w:ind w:firstLine="480" w:firstLineChars="200"/>
        <w:rPr>
          <w:rFonts w:ascii="宋体" w:hAnsi="宋体" w:cs="宋体"/>
          <w:color w:val="auto"/>
          <w:sz w:val="24"/>
          <w:szCs w:val="24"/>
          <w:highlight w:val="none"/>
        </w:rPr>
      </w:pPr>
      <w:bookmarkStart w:id="44" w:name="_Toc291172704"/>
      <w:bookmarkStart w:id="45" w:name="_Toc42392986"/>
      <w:bookmarkStart w:id="46" w:name="_Toc162252729"/>
      <w:bookmarkStart w:id="47" w:name="_Toc162269370"/>
      <w:bookmarkStart w:id="48" w:name="_Toc162253569"/>
    </w:p>
    <w:p>
      <w:pPr>
        <w:topLinePunct/>
        <w:adjustRightInd w:val="0"/>
        <w:spacing w:line="360" w:lineRule="auto"/>
        <w:ind w:firstLine="496" w:firstLineChars="200"/>
        <w:rPr>
          <w:rFonts w:ascii="宋体" w:hAnsi="宋体" w:cs="宋体"/>
          <w:color w:val="auto"/>
          <w:spacing w:val="4"/>
          <w:kern w:val="0"/>
          <w:sz w:val="24"/>
          <w:szCs w:val="24"/>
          <w:highlight w:val="none"/>
        </w:rPr>
      </w:pPr>
      <w:r>
        <w:rPr>
          <w:rFonts w:hint="eastAsia" w:ascii="宋体" w:hAnsi="宋体" w:cs="宋体"/>
          <w:color w:val="auto"/>
          <w:spacing w:val="4"/>
          <w:kern w:val="0"/>
          <w:sz w:val="24"/>
          <w:szCs w:val="24"/>
          <w:highlight w:val="none"/>
        </w:rPr>
        <w:t>下列文件应被认为是组成本章内容的一部分，并互为补充和解释，如各文件存在冲突之处，以如下排列次序在前者优先适用：</w:t>
      </w:r>
    </w:p>
    <w:p>
      <w:pPr>
        <w:topLinePunct/>
        <w:adjustRightInd w:val="0"/>
        <w:snapToGrid w:val="0"/>
        <w:spacing w:line="360" w:lineRule="auto"/>
        <w:ind w:firstLine="496" w:firstLineChars="200"/>
        <w:rPr>
          <w:rFonts w:ascii="宋体" w:hAnsi="宋体" w:cs="宋体"/>
          <w:color w:val="auto"/>
          <w:spacing w:val="4"/>
          <w:kern w:val="0"/>
          <w:sz w:val="24"/>
          <w:szCs w:val="24"/>
          <w:highlight w:val="none"/>
        </w:rPr>
      </w:pPr>
      <w:r>
        <w:rPr>
          <w:rFonts w:hint="eastAsia" w:ascii="宋体" w:hAnsi="宋体" w:cs="宋体"/>
          <w:color w:val="auto"/>
          <w:spacing w:val="4"/>
          <w:kern w:val="0"/>
          <w:sz w:val="24"/>
          <w:szCs w:val="24"/>
          <w:highlight w:val="none"/>
        </w:rPr>
        <w:t>1、遵照招标人相关管理规定要求；</w:t>
      </w:r>
    </w:p>
    <w:p>
      <w:pPr>
        <w:topLinePunct/>
        <w:adjustRightInd w:val="0"/>
        <w:snapToGrid w:val="0"/>
        <w:spacing w:line="360" w:lineRule="auto"/>
        <w:ind w:firstLine="496" w:firstLineChars="200"/>
        <w:rPr>
          <w:rFonts w:ascii="宋体" w:hAnsi="宋体" w:cs="宋体"/>
          <w:color w:val="auto"/>
          <w:spacing w:val="4"/>
          <w:kern w:val="0"/>
          <w:sz w:val="24"/>
          <w:szCs w:val="24"/>
          <w:highlight w:val="none"/>
        </w:rPr>
      </w:pPr>
      <w:r>
        <w:rPr>
          <w:rFonts w:hint="eastAsia" w:ascii="宋体" w:hAnsi="宋体" w:cs="宋体"/>
          <w:color w:val="auto"/>
          <w:spacing w:val="4"/>
          <w:kern w:val="0"/>
          <w:sz w:val="24"/>
          <w:szCs w:val="24"/>
          <w:highlight w:val="none"/>
        </w:rPr>
        <w:t>2、采用图纸中规定的其它技术和验收标准；</w:t>
      </w:r>
    </w:p>
    <w:p>
      <w:pPr>
        <w:topLinePunct/>
        <w:adjustRightInd w:val="0"/>
        <w:snapToGrid w:val="0"/>
        <w:spacing w:line="360" w:lineRule="auto"/>
        <w:ind w:firstLine="496" w:firstLineChars="200"/>
        <w:rPr>
          <w:rFonts w:ascii="宋体" w:hAnsi="宋体" w:cs="宋体"/>
          <w:color w:val="auto"/>
          <w:spacing w:val="4"/>
          <w:kern w:val="0"/>
          <w:sz w:val="24"/>
          <w:szCs w:val="24"/>
          <w:highlight w:val="none"/>
        </w:rPr>
      </w:pPr>
      <w:r>
        <w:rPr>
          <w:rFonts w:hint="eastAsia" w:ascii="宋体" w:hAnsi="宋体" w:cs="宋体"/>
          <w:color w:val="auto"/>
          <w:spacing w:val="4"/>
          <w:kern w:val="0"/>
          <w:sz w:val="24"/>
          <w:szCs w:val="24"/>
          <w:highlight w:val="none"/>
        </w:rPr>
        <w:t>3、采用中华人民共和国现行技术和验收规范。</w:t>
      </w:r>
    </w:p>
    <w:p>
      <w:pPr>
        <w:spacing w:line="360" w:lineRule="auto"/>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一、项目管理目标</w:t>
      </w:r>
    </w:p>
    <w:p>
      <w:pPr>
        <w:topLinePunct/>
        <w:adjustRightInd w:val="0"/>
        <w:spacing w:line="360" w:lineRule="auto"/>
        <w:ind w:firstLine="498" w:firstLineChars="200"/>
        <w:rPr>
          <w:rFonts w:ascii="宋体" w:hAnsi="宋体" w:cs="宋体"/>
          <w:b/>
          <w:color w:val="auto"/>
          <w:spacing w:val="4"/>
          <w:kern w:val="0"/>
          <w:sz w:val="24"/>
          <w:szCs w:val="24"/>
          <w:highlight w:val="none"/>
        </w:rPr>
      </w:pPr>
      <w:bookmarkStart w:id="49" w:name="_Toc392863103"/>
      <w:bookmarkStart w:id="50" w:name="_Toc392692104"/>
      <w:r>
        <w:rPr>
          <w:rFonts w:hint="eastAsia" w:ascii="宋体" w:hAnsi="宋体" w:cs="宋体"/>
          <w:b/>
          <w:color w:val="auto"/>
          <w:spacing w:val="4"/>
          <w:kern w:val="0"/>
          <w:sz w:val="24"/>
          <w:szCs w:val="24"/>
          <w:highlight w:val="none"/>
        </w:rPr>
        <w:t>（一）工期进度目标</w:t>
      </w:r>
      <w:bookmarkEnd w:id="49"/>
      <w:bookmarkEnd w:id="50"/>
    </w:p>
    <w:p>
      <w:pPr>
        <w:topLinePunct/>
        <w:adjustRightInd w:val="0"/>
        <w:spacing w:line="360" w:lineRule="auto"/>
        <w:ind w:firstLine="496" w:firstLineChars="200"/>
        <w:rPr>
          <w:rFonts w:ascii="宋体" w:hAnsi="宋体" w:cs="宋体"/>
          <w:color w:val="auto"/>
          <w:spacing w:val="4"/>
          <w:kern w:val="0"/>
          <w:sz w:val="24"/>
          <w:szCs w:val="24"/>
          <w:highlight w:val="none"/>
        </w:rPr>
      </w:pPr>
      <w:r>
        <w:rPr>
          <w:rFonts w:hint="eastAsia" w:ascii="宋体" w:hAnsi="宋体" w:cs="宋体"/>
          <w:color w:val="auto"/>
          <w:spacing w:val="4"/>
          <w:kern w:val="0"/>
          <w:sz w:val="24"/>
          <w:szCs w:val="24"/>
          <w:highlight w:val="none"/>
        </w:rPr>
        <w:t xml:space="preserve">本项目的总工期 </w:t>
      </w:r>
      <w:r>
        <w:rPr>
          <w:rFonts w:hint="eastAsia" w:ascii="宋体" w:hAnsi="宋体" w:cs="宋体"/>
          <w:color w:val="auto"/>
          <w:spacing w:val="4"/>
          <w:kern w:val="0"/>
          <w:sz w:val="24"/>
          <w:szCs w:val="24"/>
          <w:highlight w:val="none"/>
          <w:lang w:val="en-US" w:eastAsia="zh-CN"/>
        </w:rPr>
        <w:t>350</w:t>
      </w:r>
      <w:r>
        <w:rPr>
          <w:rFonts w:hint="eastAsia" w:ascii="宋体" w:hAnsi="宋体" w:cs="宋体"/>
          <w:color w:val="auto"/>
          <w:spacing w:val="4"/>
          <w:kern w:val="0"/>
          <w:sz w:val="24"/>
          <w:szCs w:val="24"/>
          <w:highlight w:val="none"/>
        </w:rPr>
        <w:t xml:space="preserve"> 日历天（具体开工日期以总监理工程师发出的开工令为准），总工期以总监理工程师发出的开工令开始至完成竣工验收及移交工作为止。</w:t>
      </w:r>
    </w:p>
    <w:p>
      <w:pPr>
        <w:topLinePunct/>
        <w:adjustRightInd w:val="0"/>
        <w:spacing w:line="360" w:lineRule="auto"/>
        <w:ind w:firstLine="498" w:firstLineChars="200"/>
        <w:rPr>
          <w:rFonts w:ascii="宋体" w:hAnsi="宋体" w:cs="宋体"/>
          <w:b/>
          <w:color w:val="auto"/>
          <w:spacing w:val="4"/>
          <w:kern w:val="0"/>
          <w:sz w:val="24"/>
          <w:szCs w:val="24"/>
          <w:highlight w:val="none"/>
        </w:rPr>
      </w:pPr>
      <w:bookmarkStart w:id="51" w:name="_Toc392692105"/>
      <w:bookmarkStart w:id="52" w:name="_Toc392863104"/>
      <w:r>
        <w:rPr>
          <w:rFonts w:hint="eastAsia" w:ascii="宋体" w:hAnsi="宋体" w:cs="宋体"/>
          <w:b/>
          <w:color w:val="auto"/>
          <w:spacing w:val="4"/>
          <w:kern w:val="0"/>
          <w:sz w:val="24"/>
          <w:szCs w:val="24"/>
          <w:highlight w:val="none"/>
        </w:rPr>
        <w:t>（二）质量目标</w:t>
      </w:r>
      <w:bookmarkEnd w:id="51"/>
      <w:bookmarkEnd w:id="52"/>
    </w:p>
    <w:p>
      <w:pPr>
        <w:topLinePunct/>
        <w:adjustRightInd w:val="0"/>
        <w:spacing w:line="360" w:lineRule="auto"/>
        <w:ind w:firstLine="496" w:firstLineChars="200"/>
        <w:rPr>
          <w:rFonts w:ascii="宋体" w:hAnsi="宋体" w:cs="宋体"/>
          <w:color w:val="auto"/>
          <w:spacing w:val="4"/>
          <w:kern w:val="0"/>
          <w:sz w:val="24"/>
          <w:szCs w:val="24"/>
          <w:highlight w:val="none"/>
        </w:rPr>
      </w:pPr>
      <w:r>
        <w:rPr>
          <w:rFonts w:hint="eastAsia" w:ascii="宋体" w:hAnsi="宋体" w:cs="宋体"/>
          <w:color w:val="auto"/>
          <w:spacing w:val="4"/>
          <w:kern w:val="0"/>
          <w:sz w:val="24"/>
          <w:szCs w:val="24"/>
          <w:highlight w:val="none"/>
        </w:rPr>
        <w:t>一次竣工验收合格。</w:t>
      </w:r>
    </w:p>
    <w:p>
      <w:pPr>
        <w:topLinePunct/>
        <w:adjustRightInd w:val="0"/>
        <w:spacing w:line="360" w:lineRule="auto"/>
        <w:ind w:firstLine="498" w:firstLineChars="200"/>
        <w:rPr>
          <w:rFonts w:ascii="宋体" w:hAnsi="宋体" w:cs="宋体"/>
          <w:b/>
          <w:bCs/>
          <w:color w:val="auto"/>
          <w:spacing w:val="4"/>
          <w:kern w:val="0"/>
          <w:sz w:val="24"/>
          <w:szCs w:val="24"/>
          <w:highlight w:val="none"/>
        </w:rPr>
      </w:pPr>
      <w:bookmarkStart w:id="53" w:name="_Toc403566280"/>
      <w:r>
        <w:rPr>
          <w:rFonts w:hint="eastAsia" w:ascii="宋体" w:hAnsi="宋体" w:cs="宋体"/>
          <w:b/>
          <w:bCs/>
          <w:color w:val="auto"/>
          <w:spacing w:val="4"/>
          <w:kern w:val="0"/>
          <w:sz w:val="24"/>
          <w:szCs w:val="24"/>
          <w:highlight w:val="none"/>
        </w:rPr>
        <w:t>（三）安全、文明施工目标</w:t>
      </w:r>
      <w:bookmarkEnd w:id="53"/>
    </w:p>
    <w:p>
      <w:pPr>
        <w:topLinePunct/>
        <w:adjustRightInd w:val="0"/>
        <w:spacing w:line="360" w:lineRule="auto"/>
        <w:ind w:firstLine="496" w:firstLineChars="200"/>
        <w:rPr>
          <w:rFonts w:ascii="宋体" w:hAnsi="宋体" w:cs="宋体"/>
          <w:color w:val="auto"/>
          <w:spacing w:val="4"/>
          <w:kern w:val="0"/>
          <w:sz w:val="24"/>
          <w:szCs w:val="24"/>
          <w:highlight w:val="none"/>
        </w:rPr>
      </w:pPr>
      <w:bookmarkStart w:id="54" w:name="_Toc459297587"/>
      <w:bookmarkStart w:id="55" w:name="_Toc459382303"/>
      <w:bookmarkStart w:id="56" w:name="_Toc392863106"/>
      <w:bookmarkStart w:id="57" w:name="_Toc415070052"/>
      <w:bookmarkStart w:id="58" w:name="_Toc459022429"/>
      <w:bookmarkStart w:id="59" w:name="_Toc459297646"/>
      <w:r>
        <w:rPr>
          <w:rFonts w:hint="eastAsia" w:ascii="宋体" w:hAnsi="宋体" w:cs="宋体"/>
          <w:color w:val="auto"/>
          <w:spacing w:val="4"/>
          <w:kern w:val="0"/>
          <w:sz w:val="24"/>
          <w:szCs w:val="24"/>
          <w:highlight w:val="none"/>
        </w:rPr>
        <w:t>杜绝一般事故等级以上的伤亡事故且工伤责任事故死亡人数为零。</w:t>
      </w:r>
      <w:bookmarkEnd w:id="54"/>
      <w:bookmarkEnd w:id="55"/>
      <w:bookmarkEnd w:id="56"/>
      <w:bookmarkEnd w:id="57"/>
      <w:bookmarkEnd w:id="58"/>
      <w:bookmarkEnd w:id="59"/>
    </w:p>
    <w:p>
      <w:pPr>
        <w:adjustRightInd w:val="0"/>
        <w:snapToGrid w:val="0"/>
        <w:spacing w:line="360" w:lineRule="auto"/>
        <w:ind w:right="11" w:firstLine="498" w:firstLineChars="200"/>
        <w:rPr>
          <w:rFonts w:ascii="宋体" w:hAnsi="宋体" w:cs="宋体"/>
          <w:b/>
          <w:bCs/>
          <w:color w:val="auto"/>
          <w:spacing w:val="4"/>
          <w:kern w:val="0"/>
          <w:sz w:val="24"/>
          <w:szCs w:val="24"/>
          <w:highlight w:val="none"/>
        </w:rPr>
      </w:pPr>
      <w:r>
        <w:rPr>
          <w:rFonts w:hint="eastAsia" w:ascii="宋体" w:hAnsi="宋体" w:cs="宋体"/>
          <w:b/>
          <w:bCs/>
          <w:color w:val="auto"/>
          <w:spacing w:val="4"/>
          <w:kern w:val="0"/>
          <w:sz w:val="24"/>
          <w:szCs w:val="24"/>
          <w:highlight w:val="none"/>
        </w:rPr>
        <w:t>（四）环境管理目标：</w:t>
      </w:r>
    </w:p>
    <w:p>
      <w:pPr>
        <w:topLinePunct/>
        <w:adjustRightInd w:val="0"/>
        <w:spacing w:line="360" w:lineRule="auto"/>
        <w:ind w:firstLine="496" w:firstLineChars="200"/>
        <w:rPr>
          <w:rFonts w:ascii="宋体" w:hAnsi="宋体" w:cs="宋体"/>
          <w:color w:val="auto"/>
          <w:spacing w:val="4"/>
          <w:kern w:val="0"/>
          <w:sz w:val="24"/>
          <w:szCs w:val="24"/>
          <w:highlight w:val="none"/>
        </w:rPr>
      </w:pPr>
      <w:r>
        <w:rPr>
          <w:rFonts w:hint="eastAsia" w:ascii="宋体" w:hAnsi="宋体" w:cs="宋体"/>
          <w:color w:val="auto"/>
          <w:spacing w:val="4"/>
          <w:kern w:val="0"/>
          <w:sz w:val="24"/>
          <w:szCs w:val="24"/>
          <w:highlight w:val="none"/>
        </w:rPr>
        <w:t>严格执行《广州市建设工程现场文明施工管理办法》（穗建质〔2008〕937号）、《广州市城乡建设委员会关于印发广州市加强建筑工地环保管理工作方案的通知》(穗建质〔2014〕754号) 、《广州市提升建设工程安全文明施工管理水平的工作指引》（穗建质〔2017〕815号）、《危险性较大的分部分项工程安全管理规定》(中华人民共和国住房和城乡建设部令第37号)、《关于加强建设工程安全生产管理 落实建设各方主体责任的暂行规定》（穗建规字〔2017〕21号）、《广州市住房和城乡建设委员会关于印发建设工程扬尘防治“6个100%”管理标准细化措施的通知》（穗建质〔2018〕1394号）、《广州市住房和城乡建设局关于印发广州市房屋建筑工程安全防护指导图集（防高坠篇）的通知》和《广州市建设工程绿色施工围蔽指导图集（V2.0版）》（穗建质〔2020〕1号）等国家、省、市现行标准、规定和文件要求。</w:t>
      </w:r>
    </w:p>
    <w:p>
      <w:pPr>
        <w:spacing w:line="360" w:lineRule="auto"/>
        <w:rPr>
          <w:rFonts w:ascii="宋体" w:hAnsi="宋体" w:cs="宋体"/>
          <w:color w:val="auto"/>
          <w:sz w:val="24"/>
          <w:szCs w:val="24"/>
          <w:highlight w:val="none"/>
        </w:rPr>
      </w:pPr>
    </w:p>
    <w:p>
      <w:pPr>
        <w:spacing w:line="360" w:lineRule="auto"/>
        <w:rPr>
          <w:rFonts w:ascii="宋体" w:hAnsi="宋体" w:cs="宋体"/>
          <w:b/>
          <w:color w:val="auto"/>
          <w:kern w:val="0"/>
          <w:sz w:val="28"/>
          <w:szCs w:val="28"/>
          <w:highlight w:val="none"/>
        </w:rPr>
      </w:pPr>
      <w:bookmarkStart w:id="60" w:name="_Toc14697673"/>
      <w:r>
        <w:rPr>
          <w:rFonts w:hint="eastAsia" w:ascii="宋体" w:hAnsi="宋体" w:cs="宋体"/>
          <w:b/>
          <w:color w:val="auto"/>
          <w:kern w:val="0"/>
          <w:sz w:val="28"/>
          <w:szCs w:val="28"/>
          <w:highlight w:val="none"/>
        </w:rPr>
        <w:t>二、</w:t>
      </w:r>
      <w:bookmarkEnd w:id="60"/>
      <w:bookmarkStart w:id="61" w:name="_Toc14697674"/>
      <w:r>
        <w:rPr>
          <w:rFonts w:hint="eastAsia" w:ascii="宋体" w:hAnsi="宋体" w:cs="宋体"/>
          <w:b/>
          <w:color w:val="auto"/>
          <w:kern w:val="0"/>
          <w:sz w:val="28"/>
          <w:szCs w:val="28"/>
          <w:highlight w:val="none"/>
        </w:rPr>
        <w:t>项目管理要求</w:t>
      </w:r>
      <w:bookmarkEnd w:id="61"/>
    </w:p>
    <w:p>
      <w:pPr>
        <w:keepNext/>
        <w:keepLines/>
        <w:spacing w:before="156" w:beforeLines="50" w:line="360" w:lineRule="auto"/>
        <w:jc w:val="left"/>
        <w:rPr>
          <w:rFonts w:ascii="宋体" w:hAnsi="宋体" w:cs="宋体"/>
          <w:b/>
          <w:snapToGrid w:val="0"/>
          <w:color w:val="auto"/>
          <w:spacing w:val="4"/>
          <w:kern w:val="0"/>
          <w:sz w:val="24"/>
          <w:szCs w:val="24"/>
          <w:highlight w:val="none"/>
        </w:rPr>
      </w:pPr>
      <w:r>
        <w:rPr>
          <w:rFonts w:hint="eastAsia" w:ascii="宋体" w:hAnsi="宋体" w:cs="宋体"/>
          <w:b/>
          <w:snapToGrid w:val="0"/>
          <w:color w:val="auto"/>
          <w:spacing w:val="4"/>
          <w:kern w:val="0"/>
          <w:sz w:val="24"/>
          <w:szCs w:val="24"/>
          <w:highlight w:val="none"/>
        </w:rPr>
        <w:t>（一）专业工程实施能力要求</w:t>
      </w:r>
    </w:p>
    <w:p>
      <w:pPr>
        <w:adjustRightIn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本项目中标人应具备完成本项目专业工程的能力,包括但不限于：土溶洞地基处理、高支模、大跨度预应力混凝土结构、钢结构等。对于主体、关键性的工作，中标人不得分包。对于非主体的工程、非关键性工作，中标人可结合项目情况，根据国家、住房和城乡建设部和省市相关规定，委托给具备相应专业资质及承包能力且经招标人、监理单位共同认可的专业承包单位实施。</w:t>
      </w:r>
    </w:p>
    <w:p>
      <w:pPr>
        <w:keepNext/>
        <w:keepLines/>
        <w:spacing w:before="156" w:beforeLines="50" w:line="360" w:lineRule="auto"/>
        <w:jc w:val="left"/>
        <w:rPr>
          <w:rFonts w:ascii="宋体" w:hAnsi="宋体" w:cs="宋体"/>
          <w:b/>
          <w:snapToGrid w:val="0"/>
          <w:color w:val="auto"/>
          <w:spacing w:val="4"/>
          <w:sz w:val="24"/>
          <w:szCs w:val="24"/>
          <w:highlight w:val="none"/>
        </w:rPr>
      </w:pPr>
      <w:bookmarkStart w:id="62" w:name="_Toc14697675"/>
      <w:r>
        <w:rPr>
          <w:rFonts w:hint="eastAsia" w:ascii="宋体" w:hAnsi="宋体" w:cs="宋体"/>
          <w:b/>
          <w:snapToGrid w:val="0"/>
          <w:color w:val="auto"/>
          <w:spacing w:val="4"/>
          <w:kern w:val="0"/>
          <w:sz w:val="24"/>
          <w:szCs w:val="24"/>
          <w:highlight w:val="none"/>
        </w:rPr>
        <w:t>（二）</w:t>
      </w:r>
      <w:bookmarkEnd w:id="62"/>
      <w:r>
        <w:rPr>
          <w:rFonts w:hint="eastAsia" w:ascii="宋体" w:hAnsi="宋体" w:cs="宋体"/>
          <w:b/>
          <w:snapToGrid w:val="0"/>
          <w:color w:val="auto"/>
          <w:spacing w:val="4"/>
          <w:kern w:val="0"/>
          <w:sz w:val="24"/>
          <w:szCs w:val="24"/>
          <w:highlight w:val="none"/>
        </w:rPr>
        <w:t>进度管理要求</w:t>
      </w:r>
    </w:p>
    <w:p>
      <w:pPr>
        <w:adjustRightIn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1、施工单位进场5天内根据合同工期要求，并结合工期节点要求、施工图纸和现场实际情况编制切实可行的实施进度计划。</w:t>
      </w:r>
    </w:p>
    <w:p>
      <w:pPr>
        <w:adjustRightIn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2、做好过程中的进度控制，按照PDCA循环的要求动态管理，定期对进度计划执行情况进行检查并及时纠偏，确保现场施工能够按照计划推进。</w:t>
      </w:r>
    </w:p>
    <w:p>
      <w:pPr>
        <w:adjustRightIn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3、施工单位需严格按照总控计划完成施工任务。</w:t>
      </w:r>
    </w:p>
    <w:p>
      <w:pPr>
        <w:adjustRightIn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4、施工单位应根据施工任务做好工期分析工作，按工期节点要求进行人料机的安排，及时根据计划的实施情况调整人料机的投入。</w:t>
      </w:r>
    </w:p>
    <w:p>
      <w:pPr>
        <w:tabs>
          <w:tab w:val="left" w:pos="900"/>
          <w:tab w:val="left" w:pos="1288"/>
          <w:tab w:val="left" w:pos="1429"/>
          <w:tab w:val="left" w:pos="1980"/>
        </w:tabs>
        <w:adjustRightInd w:val="0"/>
        <w:snapToGrid w:val="0"/>
        <w:spacing w:line="360" w:lineRule="auto"/>
        <w:ind w:left="19" w:firstLine="619" w:firstLineChars="258"/>
        <w:rPr>
          <w:rFonts w:ascii="宋体" w:hAnsi="宋体" w:cs="宋体"/>
          <w:color w:val="auto"/>
          <w:sz w:val="24"/>
          <w:szCs w:val="24"/>
          <w:highlight w:val="none"/>
        </w:rPr>
      </w:pPr>
      <w:r>
        <w:rPr>
          <w:rFonts w:hint="eastAsia" w:ascii="宋体" w:hAnsi="宋体" w:cs="宋体"/>
          <w:color w:val="auto"/>
          <w:sz w:val="24"/>
          <w:szCs w:val="24"/>
          <w:highlight w:val="none"/>
        </w:rPr>
        <w:t>承包人必须在收到发包人进场通知后，对开工条件进行全面摸查、分析，作出全面开工、或局部开工、或不具备开工条件的判断，并书面向监理人、招标人报告。如工程具备开工条件，承包人应就全面开工或局部开工的实际条件，合理安排相匹配的人员、材料、机械设备进场，对于大型机械设备还须报监理人、发包人批准进场方案后方能进场；如工程不具备开工条件，承包人应在收到发包人进场通知后5天内以书面形式向发包人提出延期进场的要求并说明理由，报监理单位和发包人批准后方可延期进场，否则发包人不承担由此造成承包人的损失。</w:t>
      </w:r>
    </w:p>
    <w:p>
      <w:pPr>
        <w:adjustRightIn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5、本工程工期紧，承包人须及时办理好施工许可证、夜间延长施工时间许可证、余泥排放证等相关审批手续。</w:t>
      </w:r>
    </w:p>
    <w:p>
      <w:pPr>
        <w:keepNext/>
        <w:keepLines/>
        <w:spacing w:before="156" w:beforeLines="50" w:line="360" w:lineRule="auto"/>
        <w:jc w:val="left"/>
        <w:rPr>
          <w:rFonts w:ascii="宋体" w:hAnsi="宋体" w:cs="宋体"/>
          <w:b/>
          <w:snapToGrid w:val="0"/>
          <w:color w:val="auto"/>
          <w:spacing w:val="4"/>
          <w:kern w:val="0"/>
          <w:sz w:val="24"/>
          <w:szCs w:val="24"/>
          <w:highlight w:val="none"/>
        </w:rPr>
      </w:pPr>
      <w:bookmarkStart w:id="63" w:name="_Toc14697677"/>
      <w:r>
        <w:rPr>
          <w:rFonts w:hint="eastAsia" w:ascii="宋体" w:hAnsi="宋体" w:cs="宋体"/>
          <w:b/>
          <w:snapToGrid w:val="0"/>
          <w:color w:val="auto"/>
          <w:spacing w:val="4"/>
          <w:kern w:val="0"/>
          <w:sz w:val="24"/>
          <w:szCs w:val="24"/>
          <w:highlight w:val="none"/>
        </w:rPr>
        <w:t>（三）质量管理要求</w:t>
      </w:r>
      <w:bookmarkEnd w:id="63"/>
    </w:p>
    <w:p>
      <w:pPr>
        <w:topLinePunct/>
        <w:adjustRightInd w:val="0"/>
        <w:snapToGrid w:val="0"/>
        <w:spacing w:line="360" w:lineRule="auto"/>
        <w:ind w:firstLine="567" w:firstLineChars="229"/>
        <w:rPr>
          <w:rFonts w:ascii="宋体" w:hAnsi="宋体" w:cs="宋体"/>
          <w:color w:val="auto"/>
          <w:spacing w:val="4"/>
          <w:kern w:val="0"/>
          <w:sz w:val="24"/>
          <w:szCs w:val="24"/>
          <w:highlight w:val="none"/>
        </w:rPr>
      </w:pPr>
      <w:r>
        <w:rPr>
          <w:rFonts w:hint="eastAsia" w:ascii="宋体" w:hAnsi="宋体" w:cs="宋体"/>
          <w:color w:val="auto"/>
          <w:spacing w:val="4"/>
          <w:kern w:val="0"/>
          <w:sz w:val="24"/>
          <w:szCs w:val="24"/>
          <w:highlight w:val="none"/>
        </w:rPr>
        <w:t>1、要求施工单位建立和健全管理体系，设立质量管理专职机构，配备满足规定要求的专职管理人员。</w:t>
      </w:r>
    </w:p>
    <w:p>
      <w:pPr>
        <w:topLinePunct/>
        <w:adjustRightInd w:val="0"/>
        <w:snapToGrid w:val="0"/>
        <w:spacing w:line="360" w:lineRule="auto"/>
        <w:ind w:firstLine="567" w:firstLineChars="229"/>
        <w:rPr>
          <w:rFonts w:ascii="宋体" w:hAnsi="宋体" w:cs="宋体"/>
          <w:color w:val="auto"/>
          <w:spacing w:val="4"/>
          <w:kern w:val="0"/>
          <w:sz w:val="24"/>
          <w:szCs w:val="24"/>
          <w:highlight w:val="none"/>
        </w:rPr>
      </w:pPr>
      <w:r>
        <w:rPr>
          <w:rFonts w:hint="eastAsia" w:ascii="宋体" w:hAnsi="宋体" w:cs="宋体"/>
          <w:color w:val="auto"/>
          <w:spacing w:val="4"/>
          <w:kern w:val="0"/>
          <w:sz w:val="24"/>
          <w:szCs w:val="24"/>
          <w:highlight w:val="none"/>
        </w:rPr>
        <w:t>2、施工单位严格遵照招标人的看样定板制度，保证施工所用材料、设备的质量，从源头上控制质量隐患。</w:t>
      </w:r>
    </w:p>
    <w:p>
      <w:pPr>
        <w:topLinePunct/>
        <w:adjustRightInd w:val="0"/>
        <w:snapToGrid w:val="0"/>
        <w:spacing w:line="360" w:lineRule="auto"/>
        <w:ind w:firstLine="567" w:firstLineChars="229"/>
        <w:rPr>
          <w:rFonts w:ascii="宋体" w:hAnsi="宋体" w:cs="宋体"/>
          <w:color w:val="auto"/>
          <w:spacing w:val="4"/>
          <w:kern w:val="0"/>
          <w:sz w:val="24"/>
          <w:szCs w:val="24"/>
          <w:highlight w:val="none"/>
        </w:rPr>
      </w:pPr>
      <w:r>
        <w:rPr>
          <w:rFonts w:hint="eastAsia" w:ascii="宋体" w:hAnsi="宋体" w:cs="宋体"/>
          <w:color w:val="auto"/>
          <w:spacing w:val="4"/>
          <w:kern w:val="0"/>
          <w:sz w:val="24"/>
          <w:szCs w:val="24"/>
          <w:highlight w:val="none"/>
        </w:rPr>
        <w:t>3、要求施工单位严格建立工序质量样板，在工序样板引路的基础上，实施分项分部子单位样板引路。</w:t>
      </w:r>
    </w:p>
    <w:p>
      <w:pPr>
        <w:topLinePunct/>
        <w:adjustRightInd w:val="0"/>
        <w:snapToGrid w:val="0"/>
        <w:spacing w:line="360" w:lineRule="auto"/>
        <w:ind w:firstLine="567" w:firstLineChars="229"/>
        <w:rPr>
          <w:rFonts w:ascii="宋体" w:hAnsi="宋体" w:cs="宋体"/>
          <w:color w:val="auto"/>
          <w:spacing w:val="4"/>
          <w:kern w:val="0"/>
          <w:sz w:val="24"/>
          <w:szCs w:val="24"/>
          <w:highlight w:val="none"/>
        </w:rPr>
      </w:pPr>
      <w:r>
        <w:rPr>
          <w:rFonts w:hint="eastAsia" w:ascii="宋体" w:hAnsi="宋体" w:cs="宋体"/>
          <w:color w:val="auto"/>
          <w:spacing w:val="4"/>
          <w:kern w:val="0"/>
          <w:sz w:val="24"/>
          <w:szCs w:val="24"/>
          <w:highlight w:val="none"/>
        </w:rPr>
        <w:t>4、承包人投入的施工作业人员必须具备相应的上岗证，如特种人员，还须具备特种人员作业证书，以确保施工质量。所有人员必须带证上岗，随时接受发包人、监理人检查，否则按合同约定承担违约责任。</w:t>
      </w:r>
    </w:p>
    <w:p>
      <w:pPr>
        <w:keepNext/>
        <w:keepLines/>
        <w:spacing w:before="156" w:beforeLines="50" w:line="360" w:lineRule="auto"/>
        <w:jc w:val="left"/>
        <w:rPr>
          <w:rFonts w:ascii="宋体" w:hAnsi="宋体" w:cs="宋体"/>
          <w:b/>
          <w:snapToGrid w:val="0"/>
          <w:color w:val="auto"/>
          <w:spacing w:val="4"/>
          <w:kern w:val="0"/>
          <w:sz w:val="24"/>
          <w:szCs w:val="24"/>
          <w:highlight w:val="none"/>
        </w:rPr>
      </w:pPr>
      <w:r>
        <w:rPr>
          <w:rFonts w:hint="eastAsia" w:ascii="宋体" w:hAnsi="宋体" w:cs="宋体"/>
          <w:b/>
          <w:snapToGrid w:val="0"/>
          <w:color w:val="auto"/>
          <w:spacing w:val="4"/>
          <w:kern w:val="0"/>
          <w:sz w:val="24"/>
          <w:szCs w:val="24"/>
          <w:highlight w:val="none"/>
        </w:rPr>
        <w:t>（四）深化设计管理要求</w:t>
      </w:r>
    </w:p>
    <w:p>
      <w:pPr>
        <w:topLinePunct/>
        <w:adjustRightInd w:val="0"/>
        <w:snapToGrid w:val="0"/>
        <w:spacing w:line="360" w:lineRule="auto"/>
        <w:ind w:firstLine="567" w:firstLineChars="229"/>
        <w:rPr>
          <w:rFonts w:ascii="宋体" w:hAnsi="宋体" w:cs="宋体"/>
          <w:color w:val="auto"/>
          <w:spacing w:val="4"/>
          <w:kern w:val="0"/>
          <w:sz w:val="24"/>
          <w:szCs w:val="24"/>
          <w:highlight w:val="none"/>
        </w:rPr>
      </w:pPr>
      <w:r>
        <w:rPr>
          <w:rFonts w:hint="eastAsia" w:ascii="宋体" w:hAnsi="宋体" w:cs="宋体"/>
          <w:color w:val="auto"/>
          <w:spacing w:val="4"/>
          <w:kern w:val="0"/>
          <w:sz w:val="24"/>
          <w:szCs w:val="24"/>
          <w:highlight w:val="none"/>
        </w:rPr>
        <w:t>（1）深化设计能力要求。承包人应具备相应的专业工程深化设计能力及深化设计业绩，如承包人不具备，则应经发包人同意依法委托给具有相应能力的单位实施。</w:t>
      </w:r>
    </w:p>
    <w:p>
      <w:pPr>
        <w:topLinePunct/>
        <w:adjustRightInd w:val="0"/>
        <w:snapToGrid w:val="0"/>
        <w:spacing w:line="360" w:lineRule="auto"/>
        <w:ind w:firstLine="567" w:firstLineChars="229"/>
        <w:rPr>
          <w:rFonts w:ascii="宋体" w:hAnsi="宋体" w:cs="宋体"/>
          <w:color w:val="auto"/>
          <w:spacing w:val="4"/>
          <w:kern w:val="0"/>
          <w:sz w:val="24"/>
          <w:szCs w:val="24"/>
          <w:highlight w:val="none"/>
        </w:rPr>
      </w:pPr>
      <w:r>
        <w:rPr>
          <w:rFonts w:hint="eastAsia" w:ascii="宋体" w:hAnsi="宋体" w:cs="宋体"/>
          <w:color w:val="auto"/>
          <w:spacing w:val="4"/>
          <w:kern w:val="0"/>
          <w:sz w:val="24"/>
          <w:szCs w:val="24"/>
          <w:highlight w:val="none"/>
        </w:rPr>
        <w:t>（2）深化设计工作要点</w:t>
      </w:r>
    </w:p>
    <w:p>
      <w:pPr>
        <w:topLinePunct/>
        <w:adjustRightInd w:val="0"/>
        <w:snapToGrid w:val="0"/>
        <w:spacing w:line="360" w:lineRule="auto"/>
        <w:ind w:firstLine="567" w:firstLineChars="229"/>
        <w:rPr>
          <w:rFonts w:ascii="宋体" w:hAnsi="宋体" w:cs="宋体"/>
          <w:color w:val="auto"/>
          <w:spacing w:val="4"/>
          <w:kern w:val="0"/>
          <w:sz w:val="24"/>
          <w:szCs w:val="24"/>
          <w:highlight w:val="none"/>
        </w:rPr>
      </w:pPr>
      <w:r>
        <w:rPr>
          <w:rFonts w:hint="eastAsia" w:ascii="宋体" w:hAnsi="宋体" w:cs="宋体"/>
          <w:color w:val="auto"/>
          <w:spacing w:val="4"/>
          <w:kern w:val="0"/>
          <w:sz w:val="24"/>
          <w:szCs w:val="24"/>
          <w:highlight w:val="none"/>
        </w:rPr>
        <w:t xml:space="preserve">  ①深化设计是在不改变原施工图设计功能、结构体系和设计意图的前提下，以提高施工图的可操作性和便于施工为目的，对施工图（包括但不限于钢结构、预应力混凝土、发电机房等）进行深化、优化和完善、力求节约投资的技术工作。有关费用已包含在合同总价中。</w:t>
      </w:r>
    </w:p>
    <w:p>
      <w:pPr>
        <w:topLinePunct/>
        <w:adjustRightInd w:val="0"/>
        <w:snapToGrid w:val="0"/>
        <w:spacing w:line="360" w:lineRule="auto"/>
        <w:ind w:firstLine="567" w:firstLineChars="229"/>
        <w:rPr>
          <w:rFonts w:ascii="宋体" w:hAnsi="宋体" w:cs="宋体"/>
          <w:color w:val="auto"/>
          <w:spacing w:val="4"/>
          <w:kern w:val="0"/>
          <w:sz w:val="24"/>
          <w:szCs w:val="24"/>
          <w:highlight w:val="none"/>
        </w:rPr>
      </w:pPr>
      <w:r>
        <w:rPr>
          <w:rFonts w:hint="eastAsia" w:ascii="宋体" w:hAnsi="宋体" w:cs="宋体"/>
          <w:color w:val="auto"/>
          <w:spacing w:val="4"/>
          <w:kern w:val="0"/>
          <w:sz w:val="24"/>
          <w:szCs w:val="24"/>
          <w:highlight w:val="none"/>
        </w:rPr>
        <w:t xml:space="preserve"> ②承包人进行深化设计时，应以设计院出的设计图纸为依据，如没有合理的原因，不能进行改动；深化设计图纸报经监理单位、和发包人同意批准后，报经设计单位及施工图审查单位进行审核同意后方可实施，没有以上2个单位的盖章，所出深化设计图纸不能作为施工图纸。如承包人的深化设计图纸达不到要求，发包人有权要求承包人对深化设计人员进行调整更换或另委托深化设计单位。</w:t>
      </w:r>
    </w:p>
    <w:p>
      <w:pPr>
        <w:topLinePunct/>
        <w:adjustRightInd w:val="0"/>
        <w:snapToGrid w:val="0"/>
        <w:spacing w:line="360" w:lineRule="auto"/>
        <w:ind w:firstLine="567" w:firstLineChars="229"/>
        <w:rPr>
          <w:rFonts w:ascii="宋体" w:hAnsi="宋体" w:cs="宋体"/>
          <w:color w:val="auto"/>
          <w:spacing w:val="4"/>
          <w:kern w:val="0"/>
          <w:sz w:val="24"/>
          <w:szCs w:val="24"/>
          <w:highlight w:val="none"/>
        </w:rPr>
      </w:pPr>
      <w:r>
        <w:rPr>
          <w:rFonts w:hint="eastAsia" w:ascii="宋体" w:hAnsi="宋体" w:cs="宋体"/>
          <w:color w:val="auto"/>
          <w:spacing w:val="4"/>
          <w:kern w:val="0"/>
          <w:sz w:val="24"/>
          <w:szCs w:val="24"/>
          <w:highlight w:val="none"/>
        </w:rPr>
        <w:t xml:space="preserve"> ③深化设计选用的材料厂家及品牌应是承包人根据招标文件《主要设备材料品牌/生产厂家推荐表》规定提交的投标文件上列明的材料厂家及品牌。如经考察，投标人选用的材料不满足工程需要，发包人有权在《主要设备材料品牌/生产厂家推荐表》中选择其他满足规定的材料厂家及品牌，合同价款不作调整。</w:t>
      </w:r>
    </w:p>
    <w:p>
      <w:pPr>
        <w:topLinePunct/>
        <w:adjustRightInd w:val="0"/>
        <w:snapToGrid w:val="0"/>
        <w:spacing w:line="360" w:lineRule="auto"/>
        <w:ind w:firstLine="567" w:firstLineChars="229"/>
        <w:rPr>
          <w:rFonts w:ascii="宋体" w:hAnsi="宋体" w:cs="宋体"/>
          <w:color w:val="auto"/>
          <w:spacing w:val="4"/>
          <w:kern w:val="0"/>
          <w:sz w:val="24"/>
          <w:szCs w:val="24"/>
          <w:highlight w:val="none"/>
        </w:rPr>
      </w:pPr>
      <w:r>
        <w:rPr>
          <w:rFonts w:hint="eastAsia" w:ascii="宋体" w:hAnsi="宋体" w:cs="宋体"/>
          <w:color w:val="auto"/>
          <w:spacing w:val="4"/>
          <w:kern w:val="0"/>
          <w:sz w:val="24"/>
          <w:szCs w:val="24"/>
          <w:highlight w:val="none"/>
        </w:rPr>
        <w:t xml:space="preserve"> ④深化设计须结合施工工艺要求，与各相关专业工程充分沟通，不得影响其他专业或系统的结构体系和使用功能等。</w:t>
      </w:r>
    </w:p>
    <w:p>
      <w:pPr>
        <w:topLinePunct/>
        <w:adjustRightInd w:val="0"/>
        <w:snapToGrid w:val="0"/>
        <w:spacing w:line="360" w:lineRule="auto"/>
        <w:ind w:firstLine="567" w:firstLineChars="229"/>
        <w:rPr>
          <w:rFonts w:ascii="宋体" w:hAnsi="宋体" w:cs="宋体"/>
          <w:color w:val="auto"/>
          <w:spacing w:val="4"/>
          <w:kern w:val="0"/>
          <w:sz w:val="24"/>
          <w:szCs w:val="24"/>
          <w:highlight w:val="none"/>
        </w:rPr>
      </w:pPr>
      <w:r>
        <w:rPr>
          <w:rFonts w:hint="eastAsia" w:ascii="宋体" w:hAnsi="宋体" w:cs="宋体"/>
          <w:color w:val="auto"/>
          <w:spacing w:val="4"/>
          <w:kern w:val="0"/>
          <w:sz w:val="24"/>
          <w:szCs w:val="24"/>
          <w:highlight w:val="none"/>
        </w:rPr>
        <w:t xml:space="preserve"> ⑤除节点设计和装配损耗之外，任何影响主要材料用量的设计变更或深化设计，承包人只有建议权，承包人有责任提出包括安全性、稳定性、合理性的设计调整方案，报设计单位审核，最后报发包人批准后由设计单位出具正式的优化设计图纸和设计变更，否则由此引起的增加造价由承包人承担。为方便施工的节点设计和装配损耗等导致的材料用量增加等由承包人承担，发包人不另行增加费用。</w:t>
      </w:r>
    </w:p>
    <w:p>
      <w:pPr>
        <w:topLinePunct/>
        <w:adjustRightInd w:val="0"/>
        <w:snapToGrid w:val="0"/>
        <w:spacing w:line="360" w:lineRule="auto"/>
        <w:ind w:firstLine="567" w:firstLineChars="229"/>
        <w:rPr>
          <w:rFonts w:ascii="宋体" w:hAnsi="宋体" w:cs="宋体"/>
          <w:color w:val="auto"/>
          <w:spacing w:val="4"/>
          <w:kern w:val="0"/>
          <w:sz w:val="24"/>
          <w:szCs w:val="24"/>
          <w:highlight w:val="none"/>
        </w:rPr>
      </w:pPr>
      <w:r>
        <w:rPr>
          <w:rFonts w:hint="eastAsia" w:ascii="宋体" w:hAnsi="宋体" w:cs="宋体"/>
          <w:color w:val="auto"/>
          <w:spacing w:val="4"/>
          <w:kern w:val="0"/>
          <w:sz w:val="24"/>
          <w:szCs w:val="24"/>
          <w:highlight w:val="none"/>
        </w:rPr>
        <w:t xml:space="preserve"> ⑥深化设计的计量计价原则：在满足招标技术要求（包括强制性条款、推荐品牌要求）的前提下，深化设计引起的材质、参数（含规格、型号等)的调整均不作为调价的依据。</w:t>
      </w:r>
    </w:p>
    <w:p>
      <w:pPr>
        <w:topLinePunct/>
        <w:adjustRightInd w:val="0"/>
        <w:snapToGrid w:val="0"/>
        <w:spacing w:line="360" w:lineRule="auto"/>
        <w:ind w:firstLine="567" w:firstLineChars="229"/>
        <w:rPr>
          <w:rFonts w:ascii="宋体" w:hAnsi="宋体" w:cs="宋体"/>
          <w:color w:val="auto"/>
          <w:spacing w:val="4"/>
          <w:kern w:val="0"/>
          <w:sz w:val="24"/>
          <w:szCs w:val="24"/>
          <w:highlight w:val="none"/>
        </w:rPr>
      </w:pPr>
      <w:r>
        <w:rPr>
          <w:rFonts w:hint="eastAsia" w:ascii="宋体" w:hAnsi="宋体" w:cs="宋体"/>
          <w:color w:val="auto"/>
          <w:spacing w:val="4"/>
          <w:kern w:val="0"/>
          <w:sz w:val="24"/>
          <w:szCs w:val="24"/>
          <w:highlight w:val="none"/>
        </w:rPr>
        <w:t>（3）深化设计工作流程</w:t>
      </w:r>
    </w:p>
    <w:p>
      <w:pPr>
        <w:topLinePunct/>
        <w:adjustRightInd w:val="0"/>
        <w:snapToGrid w:val="0"/>
        <w:spacing w:line="360" w:lineRule="auto"/>
        <w:ind w:firstLine="567" w:firstLineChars="229"/>
        <w:rPr>
          <w:rFonts w:ascii="宋体" w:hAnsi="宋体" w:cs="宋体"/>
          <w:color w:val="auto"/>
          <w:spacing w:val="4"/>
          <w:kern w:val="0"/>
          <w:sz w:val="24"/>
          <w:szCs w:val="24"/>
          <w:highlight w:val="none"/>
        </w:rPr>
      </w:pPr>
      <w:r>
        <w:rPr>
          <w:rFonts w:hint="eastAsia" w:ascii="宋体" w:hAnsi="宋体" w:cs="宋体"/>
          <w:color w:val="auto"/>
          <w:spacing w:val="4"/>
          <w:kern w:val="0"/>
          <w:sz w:val="24"/>
          <w:szCs w:val="24"/>
          <w:highlight w:val="none"/>
        </w:rPr>
        <w:t xml:space="preserve"> ①深化设计工作方案报审：中标后，深化设计工作开展前，承包人须报深化设计工作方案给监理单位、发包人审核，审核通过后方可正式开展深化设计工作。深化设计工作方案包括但不限于深化设计人员（含驻场设计人员）、深化设计的工作计划及具体的深化设计管理实施方案、工作流程。</w:t>
      </w:r>
    </w:p>
    <w:p>
      <w:pPr>
        <w:topLinePunct/>
        <w:adjustRightInd w:val="0"/>
        <w:snapToGrid w:val="0"/>
        <w:spacing w:line="360" w:lineRule="auto"/>
        <w:ind w:firstLine="567" w:firstLineChars="229"/>
        <w:rPr>
          <w:rFonts w:ascii="宋体" w:hAnsi="宋体" w:cs="宋体"/>
          <w:color w:val="auto"/>
          <w:spacing w:val="4"/>
          <w:kern w:val="0"/>
          <w:sz w:val="24"/>
          <w:szCs w:val="24"/>
          <w:highlight w:val="none"/>
        </w:rPr>
      </w:pPr>
      <w:r>
        <w:rPr>
          <w:rFonts w:hint="eastAsia" w:ascii="宋体" w:hAnsi="宋体" w:cs="宋体"/>
          <w:color w:val="auto"/>
          <w:spacing w:val="4"/>
          <w:kern w:val="0"/>
          <w:sz w:val="24"/>
          <w:szCs w:val="24"/>
          <w:highlight w:val="none"/>
        </w:rPr>
        <w:t xml:space="preserve"> ②专家评审会：进场2-3天内，组织一次专家评审会，对其所提交的投标文件（包括图纸、技术方案、设备清单等）进行认真、详细、严格的评审，作为深化设计的指导意见。</w:t>
      </w:r>
    </w:p>
    <w:p>
      <w:pPr>
        <w:topLinePunct/>
        <w:adjustRightInd w:val="0"/>
        <w:snapToGrid w:val="0"/>
        <w:spacing w:line="360" w:lineRule="auto"/>
        <w:ind w:firstLine="567" w:firstLineChars="229"/>
        <w:rPr>
          <w:rFonts w:ascii="宋体" w:hAnsi="宋体" w:cs="宋体"/>
          <w:color w:val="auto"/>
          <w:spacing w:val="4"/>
          <w:kern w:val="0"/>
          <w:sz w:val="24"/>
          <w:szCs w:val="24"/>
          <w:highlight w:val="none"/>
        </w:rPr>
      </w:pPr>
      <w:r>
        <w:rPr>
          <w:rFonts w:hint="eastAsia" w:ascii="宋体" w:hAnsi="宋体" w:cs="宋体"/>
          <w:color w:val="auto"/>
          <w:spacing w:val="4"/>
          <w:kern w:val="0"/>
          <w:sz w:val="24"/>
          <w:szCs w:val="24"/>
          <w:highlight w:val="none"/>
        </w:rPr>
        <w:t xml:space="preserve"> ③深化设计工作开展：深化设计须由承包人深化设计负责人统筹安排各项工作，并随时接受监理单位、发包人及设计单位的监督检查。</w:t>
      </w:r>
    </w:p>
    <w:p>
      <w:pPr>
        <w:topLinePunct/>
        <w:adjustRightInd w:val="0"/>
        <w:snapToGrid w:val="0"/>
        <w:spacing w:line="360" w:lineRule="auto"/>
        <w:ind w:firstLine="567" w:firstLineChars="229"/>
        <w:rPr>
          <w:rFonts w:ascii="宋体" w:hAnsi="宋体" w:cs="宋体"/>
          <w:color w:val="auto"/>
          <w:spacing w:val="4"/>
          <w:kern w:val="0"/>
          <w:sz w:val="24"/>
          <w:szCs w:val="24"/>
          <w:highlight w:val="none"/>
        </w:rPr>
      </w:pPr>
      <w:r>
        <w:rPr>
          <w:rFonts w:hint="eastAsia" w:ascii="宋体" w:hAnsi="宋体" w:cs="宋体"/>
          <w:color w:val="auto"/>
          <w:spacing w:val="4"/>
          <w:kern w:val="0"/>
          <w:sz w:val="24"/>
          <w:szCs w:val="24"/>
          <w:highlight w:val="none"/>
        </w:rPr>
        <w:t xml:space="preserve"> ④深化设计文件审核：深化设计图纸（含造价文件）完成后，报主体设计单位(原设计单位)、监理单位、发包人审核，并根据修改意见相应调整深化设计图纸。</w:t>
      </w:r>
    </w:p>
    <w:p>
      <w:pPr>
        <w:topLinePunct/>
        <w:adjustRightInd w:val="0"/>
        <w:snapToGrid w:val="0"/>
        <w:spacing w:line="360" w:lineRule="auto"/>
        <w:ind w:firstLine="567" w:firstLineChars="229"/>
        <w:rPr>
          <w:rFonts w:ascii="宋体" w:hAnsi="宋体" w:cs="宋体"/>
          <w:color w:val="auto"/>
          <w:spacing w:val="4"/>
          <w:kern w:val="0"/>
          <w:sz w:val="24"/>
          <w:szCs w:val="24"/>
          <w:highlight w:val="none"/>
        </w:rPr>
      </w:pPr>
      <w:r>
        <w:rPr>
          <w:rFonts w:hint="eastAsia" w:ascii="宋体" w:hAnsi="宋体" w:cs="宋体"/>
          <w:color w:val="auto"/>
          <w:spacing w:val="4"/>
          <w:kern w:val="0"/>
          <w:sz w:val="24"/>
          <w:szCs w:val="24"/>
          <w:highlight w:val="none"/>
        </w:rPr>
        <w:t xml:space="preserve"> ⑤施工图报审：经发包人同意后，按规定报施工图审查单位审查并办理施工图审查备案手续。</w:t>
      </w:r>
    </w:p>
    <w:p>
      <w:pPr>
        <w:topLinePunct/>
        <w:adjustRightInd w:val="0"/>
        <w:snapToGrid w:val="0"/>
        <w:spacing w:line="360" w:lineRule="auto"/>
        <w:ind w:firstLine="567" w:firstLineChars="229"/>
        <w:rPr>
          <w:rFonts w:ascii="宋体" w:hAnsi="宋体" w:cs="宋体"/>
          <w:color w:val="auto"/>
          <w:spacing w:val="4"/>
          <w:kern w:val="0"/>
          <w:sz w:val="24"/>
          <w:szCs w:val="24"/>
          <w:highlight w:val="none"/>
        </w:rPr>
      </w:pPr>
      <w:r>
        <w:rPr>
          <w:rFonts w:hint="eastAsia" w:ascii="宋体" w:hAnsi="宋体" w:cs="宋体"/>
          <w:color w:val="auto"/>
          <w:spacing w:val="4"/>
          <w:kern w:val="0"/>
          <w:sz w:val="24"/>
          <w:szCs w:val="24"/>
          <w:highlight w:val="none"/>
        </w:rPr>
        <w:t xml:space="preserve"> ⑥深化设计图纸审批：施工图审查合格并经发包人及项目业主审批同意后，作为施工图实施。深化设计图纸份数为20份。</w:t>
      </w:r>
    </w:p>
    <w:p>
      <w:pPr>
        <w:topLinePunct/>
        <w:adjustRightInd w:val="0"/>
        <w:snapToGrid w:val="0"/>
        <w:spacing w:line="360" w:lineRule="auto"/>
        <w:ind w:firstLine="567" w:firstLineChars="229"/>
        <w:rPr>
          <w:rFonts w:ascii="宋体" w:hAnsi="宋体" w:cs="宋体"/>
          <w:color w:val="auto"/>
          <w:spacing w:val="4"/>
          <w:kern w:val="0"/>
          <w:sz w:val="24"/>
          <w:szCs w:val="24"/>
          <w:highlight w:val="none"/>
        </w:rPr>
      </w:pPr>
      <w:r>
        <w:rPr>
          <w:rFonts w:hint="eastAsia" w:ascii="宋体" w:hAnsi="宋体" w:cs="宋体"/>
          <w:color w:val="auto"/>
          <w:spacing w:val="4"/>
          <w:kern w:val="0"/>
          <w:sz w:val="24"/>
          <w:szCs w:val="24"/>
          <w:highlight w:val="none"/>
        </w:rPr>
        <w:t xml:space="preserve"> ⑦技术交底及图纸会审：深化设计图纸和文件经过审核确认后，应进行相应技术交底及图纸会审。</w:t>
      </w:r>
    </w:p>
    <w:p>
      <w:pPr>
        <w:keepNext/>
        <w:keepLines/>
        <w:spacing w:before="156" w:beforeLines="50" w:line="360" w:lineRule="auto"/>
        <w:jc w:val="left"/>
        <w:rPr>
          <w:rFonts w:ascii="宋体" w:hAnsi="宋体" w:cs="宋体"/>
          <w:b/>
          <w:snapToGrid w:val="0"/>
          <w:color w:val="auto"/>
          <w:spacing w:val="4"/>
          <w:kern w:val="0"/>
          <w:sz w:val="24"/>
          <w:szCs w:val="24"/>
          <w:highlight w:val="none"/>
        </w:rPr>
      </w:pPr>
      <w:bookmarkStart w:id="64" w:name="_Toc14697678"/>
      <w:r>
        <w:rPr>
          <w:rFonts w:hint="eastAsia" w:ascii="宋体" w:hAnsi="宋体" w:cs="宋体"/>
          <w:b/>
          <w:snapToGrid w:val="0"/>
          <w:color w:val="auto"/>
          <w:spacing w:val="4"/>
          <w:kern w:val="0"/>
          <w:sz w:val="24"/>
          <w:szCs w:val="24"/>
          <w:highlight w:val="none"/>
        </w:rPr>
        <w:t>（五）工人工资及预付款支付管理要求</w:t>
      </w:r>
      <w:bookmarkEnd w:id="64"/>
    </w:p>
    <w:p>
      <w:pPr>
        <w:topLinePunct/>
        <w:adjustRightInd w:val="0"/>
        <w:snapToGrid w:val="0"/>
        <w:spacing w:line="360" w:lineRule="auto"/>
        <w:ind w:firstLine="567" w:firstLineChars="229"/>
        <w:rPr>
          <w:rFonts w:ascii="宋体" w:hAnsi="宋体" w:cs="宋体"/>
          <w:color w:val="auto"/>
          <w:spacing w:val="4"/>
          <w:kern w:val="0"/>
          <w:sz w:val="24"/>
          <w:szCs w:val="24"/>
          <w:highlight w:val="none"/>
        </w:rPr>
      </w:pPr>
      <w:r>
        <w:rPr>
          <w:rFonts w:hint="eastAsia" w:ascii="宋体" w:hAnsi="宋体" w:cs="宋体"/>
          <w:color w:val="auto"/>
          <w:spacing w:val="4"/>
          <w:kern w:val="0"/>
          <w:sz w:val="24"/>
          <w:szCs w:val="24"/>
          <w:highlight w:val="none"/>
        </w:rPr>
        <w:t>1.中标后，承包人必须建设主管部门要求设立工人工资支付专用账户，通过工人工资支付专用账户，依法按时足额将工人工资直接支付到工人的工资个人账户，并按月将工人工资支付明细表报发包人备案，作为次月工程进度款的支付条件之一。承包人应当建立用工管理台账，真实、准确记录工人名册、劳动合同、劳务合同、工程进度、工时、劳务承包款和工人工资支付情况等信息，并保存两年以上备查。</w:t>
      </w:r>
    </w:p>
    <w:p>
      <w:pPr>
        <w:topLinePunct/>
        <w:adjustRightInd w:val="0"/>
        <w:snapToGrid w:val="0"/>
        <w:spacing w:line="360" w:lineRule="auto"/>
        <w:ind w:firstLine="567" w:firstLineChars="229"/>
        <w:rPr>
          <w:rFonts w:ascii="宋体" w:hAnsi="宋体" w:cs="宋体"/>
          <w:color w:val="auto"/>
          <w:spacing w:val="4"/>
          <w:kern w:val="0"/>
          <w:sz w:val="24"/>
          <w:szCs w:val="24"/>
          <w:highlight w:val="none"/>
        </w:rPr>
      </w:pPr>
      <w:r>
        <w:rPr>
          <w:rFonts w:hint="eastAsia" w:ascii="宋体" w:hAnsi="宋体" w:cs="宋体"/>
          <w:color w:val="auto"/>
          <w:spacing w:val="4"/>
          <w:kern w:val="0"/>
          <w:sz w:val="24"/>
          <w:szCs w:val="24"/>
          <w:highlight w:val="none"/>
        </w:rPr>
        <w:t>2.承包人在收到发包人工程预付款后，应及时向作业班组、分包单位、供应商支付备料款等相关费用。承包人如挪用预付款，或未及时向作业班组、分包单位、供应商支付备料款导致工期延误的，发包人一经查实，将对承包人按合同约定处严重违约责任。</w:t>
      </w:r>
    </w:p>
    <w:p>
      <w:pPr>
        <w:spacing w:line="360" w:lineRule="auto"/>
        <w:rPr>
          <w:rFonts w:ascii="宋体" w:hAnsi="宋体" w:cs="宋体"/>
          <w:b/>
          <w:snapToGrid w:val="0"/>
          <w:color w:val="auto"/>
          <w:spacing w:val="4"/>
          <w:sz w:val="24"/>
          <w:szCs w:val="24"/>
          <w:highlight w:val="none"/>
        </w:rPr>
      </w:pPr>
      <w:bookmarkStart w:id="65" w:name="_Toc14697679"/>
      <w:r>
        <w:rPr>
          <w:rFonts w:hint="eastAsia" w:ascii="宋体" w:hAnsi="宋体" w:cs="宋体"/>
          <w:b/>
          <w:snapToGrid w:val="0"/>
          <w:color w:val="auto"/>
          <w:spacing w:val="4"/>
          <w:kern w:val="0"/>
          <w:sz w:val="24"/>
          <w:szCs w:val="24"/>
          <w:highlight w:val="none"/>
        </w:rPr>
        <w:t>（六）</w:t>
      </w:r>
      <w:bookmarkEnd w:id="65"/>
      <w:bookmarkStart w:id="66" w:name="_Toc14697680"/>
      <w:r>
        <w:rPr>
          <w:rFonts w:hint="eastAsia" w:ascii="宋体" w:hAnsi="宋体" w:cs="宋体"/>
          <w:b/>
          <w:snapToGrid w:val="0"/>
          <w:color w:val="auto"/>
          <w:spacing w:val="4"/>
          <w:sz w:val="24"/>
          <w:szCs w:val="24"/>
          <w:highlight w:val="none"/>
        </w:rPr>
        <w:t>安全文明、职业健康与环境管理施工要求</w:t>
      </w:r>
      <w:bookmarkEnd w:id="66"/>
    </w:p>
    <w:p>
      <w:pPr>
        <w:adjustRightInd w:val="0"/>
        <w:snapToGri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1、要求施工单位制定环境管理计划及应急处理预案，做到不因施工而影响周边环境。</w:t>
      </w:r>
    </w:p>
    <w:p>
      <w:pPr>
        <w:adjustRightInd w:val="0"/>
        <w:snapToGri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2、针对本项目的特点，施工单位必须对危险性较大的分部分项工程进行重点管理，编制专项施工方案报监理单位审批，并按批准的方案施工。在施工过程中如发现异常情况，必须能有效启动紧急预案，确保人员的安全。</w:t>
      </w:r>
    </w:p>
    <w:p>
      <w:pPr>
        <w:adjustRightInd w:val="0"/>
        <w:snapToGri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4、要求施工单位进场后严格遵守发包人的现场总平面管理，按经审批的总平面布置进行临时设施的施工。</w:t>
      </w:r>
    </w:p>
    <w:p>
      <w:pPr>
        <w:adjustRightInd w:val="0"/>
        <w:snapToGri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5、在工程实施期间，施工单位对经发包人移交的施工场地负有全过程、全面的管理责任，必须对施工场地范围内的治安秩序、安全保卫、环境卫生以及周围房屋、市政设施等全面负责，对施工场地范围内的交通道路、用水、用电、场地内的施工协调负责，确保不对周边环境、道路、行人和相邻施工现场造成不利影响，不得干扰周围居民的正常生活。</w:t>
      </w:r>
    </w:p>
    <w:p>
      <w:pPr>
        <w:adjustRightInd w:val="0"/>
        <w:snapToGri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5、施工单位在施工过程中必须严格执行安全文明施工方案，做到安全防护、文明施工措施费专款专用，严禁挪用。</w:t>
      </w:r>
    </w:p>
    <w:p>
      <w:pPr>
        <w:adjustRightInd w:val="0"/>
        <w:snapToGri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6、监理单位、发包人或监督部门在安全文明施工检查过程中，如发现施工现场不满足国家、省、市关于安全文明生产的相关规定和发包人对本工程安全文明施工的相关要求，且不按监理单位要求在限定时间内整改完毕的，发包人可以自行或委托他人实施整改，所发生的费用从安全防护、文明施工措施费款项中扣除，不足部分从施工单位的合同价款中扣除。</w:t>
      </w:r>
    </w:p>
    <w:p>
      <w:pPr>
        <w:adjustRightInd w:val="0"/>
        <w:snapToGri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7、施工单位需按国家、省市相关规定做好扬尘、噪音控制等文明环保保证工作，在施工中需做好对周边企事业、居民的投诉解释工作。</w:t>
      </w:r>
    </w:p>
    <w:p>
      <w:pPr>
        <w:adjustRightInd w:val="0"/>
        <w:snapToGri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8、施工单位需落实土方开挖运输过程中的文明施工管理工作，并负责做好运输路线及工程现场周边的保洁工作，由于污染周边路面产生的投诉及行政处罚由施工单位承担责任。</w:t>
      </w:r>
    </w:p>
    <w:p>
      <w:pPr>
        <w:keepNext/>
        <w:keepLines/>
        <w:spacing w:before="156" w:beforeLines="50" w:line="360" w:lineRule="auto"/>
        <w:jc w:val="left"/>
        <w:rPr>
          <w:rFonts w:ascii="宋体" w:hAnsi="宋体" w:cs="宋体"/>
          <w:b/>
          <w:snapToGrid w:val="0"/>
          <w:color w:val="auto"/>
          <w:spacing w:val="4"/>
          <w:kern w:val="0"/>
          <w:sz w:val="24"/>
          <w:szCs w:val="24"/>
          <w:highlight w:val="none"/>
        </w:rPr>
      </w:pPr>
      <w:bookmarkStart w:id="67" w:name="_Toc14697681"/>
      <w:r>
        <w:rPr>
          <w:rFonts w:hint="eastAsia" w:ascii="宋体" w:hAnsi="宋体" w:cs="宋体"/>
          <w:b/>
          <w:snapToGrid w:val="0"/>
          <w:color w:val="auto"/>
          <w:spacing w:val="4"/>
          <w:kern w:val="0"/>
          <w:sz w:val="24"/>
          <w:szCs w:val="24"/>
          <w:highlight w:val="none"/>
        </w:rPr>
        <w:t>（七）投资控制要求</w:t>
      </w:r>
      <w:bookmarkEnd w:id="67"/>
    </w:p>
    <w:p>
      <w:pPr>
        <w:tabs>
          <w:tab w:val="left" w:pos="1320"/>
        </w:tabs>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1、承包人复核清单</w:t>
      </w:r>
    </w:p>
    <w:p>
      <w:pPr>
        <w:tabs>
          <w:tab w:val="left" w:pos="1320"/>
        </w:tabs>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（1）投标单位应在招标阶段核对招标清单及图纸，在招标答疑中提出问题，确保工程过程中不漏项、不少量。</w:t>
      </w:r>
    </w:p>
    <w:p>
      <w:pPr>
        <w:tabs>
          <w:tab w:val="left" w:pos="1320"/>
        </w:tabs>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（2）承包人须在中标后1个月内根据施工图纸编制施工图预算，提出施工图预算工程量与招标清单工程量之间的差异，并报监理单位和发包人审核备案，但不得因此而影响工程进度。</w:t>
      </w:r>
    </w:p>
    <w:p>
      <w:pPr>
        <w:tabs>
          <w:tab w:val="left" w:pos="1320"/>
        </w:tabs>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（3）承包人在施工过程中必须严格执行发包人有关变更和签证的管理规定，遵循先审批后执行的原则。</w:t>
      </w:r>
    </w:p>
    <w:p>
      <w:pPr>
        <w:tabs>
          <w:tab w:val="left" w:pos="1320"/>
        </w:tabs>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（4）对承包范围内需要深化设计图纸的，要求中标单位委托有相关资质的设计单位进行深化设计，造价不因图纸深化情况而调整，图纸需经过主体设计单位确认，深化设计费已包含在投标报价中；</w:t>
      </w:r>
    </w:p>
    <w:p>
      <w:pPr>
        <w:tabs>
          <w:tab w:val="left" w:pos="1320"/>
        </w:tabs>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（5）对地质条件变化、地下障碍物的处理及排除风险作为施工风险由中标方承担。</w:t>
      </w:r>
    </w:p>
    <w:p>
      <w:pPr>
        <w:tabs>
          <w:tab w:val="left" w:pos="1320"/>
        </w:tabs>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（6）投标单位需自行勘察现场，对施工现场与施工图纸的差异引起的工程量及施工技术措施承担风险。</w:t>
      </w:r>
    </w:p>
    <w:p>
      <w:pPr>
        <w:tabs>
          <w:tab w:val="left" w:pos="1320"/>
        </w:tabs>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2、进度款支付申请准确性要求</w:t>
      </w:r>
    </w:p>
    <w:p>
      <w:pPr>
        <w:tabs>
          <w:tab w:val="left" w:pos="1320"/>
        </w:tabs>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承包人须协助发包人加强投资控制，每期申请进度款的计量计价应准确，进度款的申请应与主要材料设备采购计划相匹配，严禁虚报计量（承包人申报的进度款金额超出经监理人、发包人核实金额的10%，视为承包人虚报计量）或超前计量，否则严格按合同约定承担违约责任。</w:t>
      </w:r>
    </w:p>
    <w:p>
      <w:pPr>
        <w:adjustRightInd w:val="0"/>
        <w:spacing w:line="360" w:lineRule="auto"/>
        <w:ind w:firstLine="496" w:firstLineChars="200"/>
        <w:rPr>
          <w:rFonts w:ascii="宋体" w:hAnsi="宋体" w:cs="宋体"/>
          <w:snapToGrid w:val="0"/>
          <w:color w:val="auto"/>
          <w:spacing w:val="4"/>
          <w:sz w:val="24"/>
          <w:szCs w:val="24"/>
          <w:highlight w:val="none"/>
        </w:rPr>
      </w:pPr>
      <w:r>
        <w:rPr>
          <w:rFonts w:hint="eastAsia" w:ascii="宋体" w:hAnsi="宋体" w:cs="宋体"/>
          <w:snapToGrid w:val="0"/>
          <w:color w:val="auto"/>
          <w:spacing w:val="4"/>
          <w:sz w:val="24"/>
          <w:szCs w:val="24"/>
          <w:highlight w:val="none"/>
        </w:rPr>
        <w:t>在施工过程中发生的工程变更、工程签证等引起合同价款调增事件后，承包人未按合同约定办理变更工程预算审批的，则发包人有权根据实际情况决定是否调整合同价款以及调整的金额。</w:t>
      </w:r>
    </w:p>
    <w:p>
      <w:pPr>
        <w:tabs>
          <w:tab w:val="left" w:pos="1320"/>
        </w:tabs>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3、对承包人劳务工资、分包工程款、材料设备款支付的审核及限制</w:t>
      </w:r>
    </w:p>
    <w:p>
      <w:pPr>
        <w:tabs>
          <w:tab w:val="left" w:pos="1320"/>
        </w:tabs>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如果发包人有要求，承包人应向发包人提供其对雇员劳务工资、分包人已完工程款以及材料和工程设备供应商贷款的支付凭证。如果承包人未能提供上述凭证，视为承包人未向雇员、分包人、供应商支付相关款项。</w:t>
      </w:r>
    </w:p>
    <w:p>
      <w:pPr>
        <w:tabs>
          <w:tab w:val="left" w:pos="1320"/>
        </w:tabs>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如果承包人未按照雇员劳务合同和政府有关规定支付雇员劳务工资，或未按照分包合同支付分包人工程款，或未按照购销合同支付材料和工程设备供应商货款，均视为承包人违约。若在发包人或监理人书面通知改正后的7 天内，承包人仍未采取措施补救的，发包人可实施下列工作：</w:t>
      </w:r>
    </w:p>
    <w:p>
      <w:pPr>
        <w:tabs>
          <w:tab w:val="left" w:pos="1320"/>
        </w:tabs>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（1）立即停止向承包人支付应付的款项；</w:t>
      </w:r>
    </w:p>
    <w:p>
      <w:pPr>
        <w:tabs>
          <w:tab w:val="left" w:pos="1320"/>
        </w:tabs>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（2）在相应支付期应付的工程款范围内，直接向雇员、分包人和材料设备供应商支付承包人应付的款项。发包人在实施上述工作后的 14 天内应以书面形式通知承包人，抄送监理人。监理人在签发下期进度款支付证书时，应扣除已由发包人直接支付的款项。由于上述工作原因发生的费用由承包人承担；给发包人造成损失的，承包人应予赔偿。</w:t>
      </w:r>
    </w:p>
    <w:p>
      <w:pPr>
        <w:keepNext/>
        <w:keepLines/>
        <w:spacing w:before="156" w:beforeLines="50" w:line="360" w:lineRule="auto"/>
        <w:jc w:val="left"/>
        <w:rPr>
          <w:rFonts w:ascii="宋体" w:hAnsi="宋体" w:cs="宋体"/>
          <w:b/>
          <w:snapToGrid w:val="0"/>
          <w:color w:val="auto"/>
          <w:spacing w:val="4"/>
          <w:kern w:val="0"/>
          <w:sz w:val="24"/>
          <w:szCs w:val="24"/>
          <w:highlight w:val="none"/>
        </w:rPr>
      </w:pPr>
      <w:bookmarkStart w:id="68" w:name="_Toc14697682"/>
      <w:r>
        <w:rPr>
          <w:rFonts w:hint="eastAsia" w:ascii="宋体" w:hAnsi="宋体" w:cs="宋体"/>
          <w:b/>
          <w:snapToGrid w:val="0"/>
          <w:color w:val="auto"/>
          <w:spacing w:val="4"/>
          <w:kern w:val="0"/>
          <w:sz w:val="24"/>
          <w:szCs w:val="24"/>
          <w:highlight w:val="none"/>
        </w:rPr>
        <w:t>（八）</w:t>
      </w:r>
      <w:bookmarkEnd w:id="68"/>
      <w:r>
        <w:rPr>
          <w:rFonts w:hint="eastAsia" w:ascii="宋体" w:hAnsi="宋体" w:cs="宋体"/>
          <w:b/>
          <w:snapToGrid w:val="0"/>
          <w:color w:val="auto"/>
          <w:spacing w:val="4"/>
          <w:kern w:val="0"/>
          <w:sz w:val="24"/>
          <w:szCs w:val="24"/>
          <w:highlight w:val="none"/>
        </w:rPr>
        <w:t>材料管理要求</w:t>
      </w:r>
    </w:p>
    <w:p>
      <w:pPr>
        <w:tabs>
          <w:tab w:val="left" w:pos="1320"/>
        </w:tabs>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1、承包人在进场后21天内根据设计图纸及施工进度计划制定主要材料（钢材、商品砼等）设备采购计划，及时签订采购合同（签订供货合同的时间必须至少比第一批货物计划进场的时间提前两个月+备货期）。影响工程造价较大的大批量材料设备，承包人必须提前定制或锁定价格，否则由此引起的工期调整或价格调整，发包人有权不予批准。其中：</w:t>
      </w:r>
    </w:p>
    <w:p>
      <w:pPr>
        <w:tabs>
          <w:tab w:val="left" w:pos="1320"/>
        </w:tabs>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（1）承包人及时编制原材料、设备的采购计划，落实原材料、设备采购协议，作为第一期工程进度款的支付条件之一；</w:t>
      </w:r>
    </w:p>
    <w:p>
      <w:pPr>
        <w:tabs>
          <w:tab w:val="left" w:pos="1320"/>
        </w:tabs>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（2）主要材料设备的采购合同必须报发包人备案（具体需要备案的材料设备采购合同种类由发包人根据项目实际需要确定），作为涉及相应材料设备当期计量进度款的支付条件之一。</w:t>
      </w:r>
    </w:p>
    <w:p>
      <w:pPr>
        <w:tabs>
          <w:tab w:val="left" w:pos="1320"/>
        </w:tabs>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2、承包人必确保在满足或优于招标文件（包括招标文件各专业主要设备材料技术参数）、招标图纸和相关规范要求的条件下采购主要材料设备。其中：</w:t>
      </w:r>
    </w:p>
    <w:p>
      <w:pPr>
        <w:tabs>
          <w:tab w:val="left" w:pos="1320"/>
        </w:tabs>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（1）招标文件有推荐品牌范围的主要材料设备，原则上必须在推荐品牌范围内选用（具体见《主要设备材料品牌/生产厂家推荐表》）。承包人在中标后选用推荐品牌中的任一品牌，均不予调整其投标价。</w:t>
      </w:r>
    </w:p>
    <w:p>
      <w:pPr>
        <w:tabs>
          <w:tab w:val="left" w:pos="1320"/>
        </w:tabs>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2）若承包人选用同等或优于推荐品牌的，在采购前必须经发包人审批同意，同时在看样定板前须提供同等或优于推荐品牌档次的证明材料报发包人审核，否则视为承包人自行更换品牌，按招标文件和合同规定承担违约责任。</w:t>
      </w:r>
    </w:p>
    <w:p>
      <w:pPr>
        <w:tabs>
          <w:tab w:val="left" w:pos="1320"/>
        </w:tabs>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（3）招标文件没有推荐品牌范围的主要材料设备，承包人按中国名牌、国家免检产品、省知名品牌的顺序选定，同时须严格按照发包人看样定板的相关规定执行。</w:t>
      </w:r>
    </w:p>
    <w:p>
      <w:pPr>
        <w:tabs>
          <w:tab w:val="left" w:pos="1320"/>
        </w:tabs>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3、无论发包人是否推荐品牌范围，所有用于本工程的材料设备必须严格按合同条款的约定进行检验、试验，确保材料设备质量。材料进场批次要与见证取样检测批次一致，否则，多出批次的检测费由承包人承担。本项目应进行节能、室内环境检测，需委托具有相应资质检测机构实施的相关工作。</w:t>
      </w:r>
    </w:p>
    <w:p>
      <w:pPr>
        <w:tabs>
          <w:tab w:val="left" w:pos="1320"/>
        </w:tabs>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4、为加强本工程所使用的乙供材料设备的质量管理，确保承包人所选购的材料设备的质量、技术性能、款式、效果等方面满足设计和使用需求，所有主要材料设备在看样定板之前，发包人、使用业主、监理单位、设计单位有权对乙供材料设备厂家的生产能力、制造水平、生产工艺等方面进行综合考察评估，考核评估合格的方能采购。如经综合考察评估不合格，发包人有权在《主要设备材料品牌/生产厂家推荐表》中选择其他满足规定的材料厂家及品牌，经考核评估合格后予以选用，合同价款不作调整。</w:t>
      </w:r>
    </w:p>
    <w:p>
      <w:pPr>
        <w:tabs>
          <w:tab w:val="left" w:pos="1320"/>
        </w:tabs>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5、承包人应在确定主要乙供材料设备供应商的7个工作日内，将供应商的清单明细（包括供应商的名称、联系人、联系电话、联系地址等）报监理单位和发包人备案。供应商须服从监理单位和发包人的管理，并按要求参加相关工作例会。</w:t>
      </w:r>
    </w:p>
    <w:p>
      <w:pPr>
        <w:tabs>
          <w:tab w:val="left" w:pos="1320"/>
        </w:tabs>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6、承包人运入施工现场的材料、工程设备、施工设备以及在施工场地建设的临时设施，包括备品备件、安装工具与资料，必须专用于工程。未经发包人批准不得运出施工现场或挪作他用。</w:t>
      </w:r>
    </w:p>
    <w:p>
      <w:pPr>
        <w:tabs>
          <w:tab w:val="left" w:pos="1320"/>
        </w:tabs>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7、深化设计图纸经主体设计单位(原设计单位)、监理人、发包人审核同意后，承包人应在10天内向监理人及发包人提出材料设备看样定板申请，并提供材料样板及相应的文件资料。发包人收到看样定板申请7天内，组织主体设计单位、监理人、承包人开会确定样板；开会确定样板后5天内，承包人组织主体设计单位、监理人、发包人对审批同意的乙供材料生产企业开展调查，调查的主要内容包括不限于企业的规模、企业的性质、企业的生产保证能力、企业的产品质量保证能力、材料生产工艺、原材料采购等相关内容，并最终确定厂家和实物样板。施工时承包人按样板采购使用材料(对装修装饰效果有重大影响，先进行样板间（段）的施工)。</w:t>
      </w:r>
    </w:p>
    <w:p>
      <w:pPr>
        <w:tabs>
          <w:tab w:val="left" w:pos="1320"/>
        </w:tabs>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承包人应在深化设计图纸取得发包人审核确认后15天内向监理人、发包人报送所有材料的采购计划，并相应落实主要材料的采购合同，作为第一期工程进度款的支付条件之一。</w:t>
      </w:r>
    </w:p>
    <w:p>
      <w:pPr>
        <w:tabs>
          <w:tab w:val="left" w:pos="1320"/>
        </w:tabs>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8、本招标项目材料设备严格执行国家及广东省、广州市关于材料设备见证抽检的各项规定。如出现某批次材料设备见证抽检不合格，承包人应将该批次材料设备全部清理出现场，已安装部分也须全部拆除、清理；每发生一次前述情形，承包人须按合同规定承担一次严重违约责任，并支付相关的违约金；对该类型材料设备在后续见证抽样检测时，将在规定的见证抽样数量、频率的基础上加倍，所需增加的检测费用由承包人自行承担。</w:t>
      </w:r>
    </w:p>
    <w:p>
      <w:pPr>
        <w:tabs>
          <w:tab w:val="left" w:pos="1320"/>
        </w:tabs>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9、承包人进场14天内梳理需看样定板材料并编制材料看样定板计划，每一种材料提供不少于于三种品牌的质量证明材料，并提供实物样板。</w:t>
      </w:r>
    </w:p>
    <w:p>
      <w:pPr>
        <w:tabs>
          <w:tab w:val="left" w:pos="1320"/>
        </w:tabs>
        <w:spacing w:line="360" w:lineRule="auto"/>
        <w:ind w:firstLine="480" w:firstLineChars="200"/>
        <w:jc w:val="left"/>
        <w:rPr>
          <w:rFonts w:ascii="宋体" w:hAnsi="宋体" w:cs="宋体"/>
          <w:snapToGrid w:val="0"/>
          <w:color w:val="auto"/>
          <w:spacing w:val="4"/>
          <w:kern w:val="0"/>
          <w:sz w:val="24"/>
          <w:szCs w:val="24"/>
          <w:highlight w:val="none"/>
        </w:rPr>
      </w:pPr>
      <w:r>
        <w:rPr>
          <w:rFonts w:hint="eastAsia" w:ascii="宋体" w:hAnsi="宋体" w:cs="宋体"/>
          <w:color w:val="auto"/>
          <w:kern w:val="0"/>
          <w:sz w:val="24"/>
          <w:szCs w:val="24"/>
          <w:highlight w:val="none"/>
        </w:rPr>
        <w:t>10、承包人进场后立即根据设计文件要求对本工程施工所需的钢材、水泥、混凝土等先行进行资质申报。</w:t>
      </w:r>
    </w:p>
    <w:p>
      <w:pPr>
        <w:tabs>
          <w:tab w:val="left" w:pos="1320"/>
        </w:tabs>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11、本项目主要设备材料品牌/生产厂家推荐表详见下表：</w:t>
      </w:r>
    </w:p>
    <w:p>
      <w:pPr>
        <w:spacing w:line="360" w:lineRule="auto"/>
        <w:jc w:val="center"/>
        <w:rPr>
          <w:rFonts w:ascii="宋体" w:hAnsi="宋体" w:cs="宋体"/>
          <w:b/>
          <w:bCs/>
          <w:snapToGrid w:val="0"/>
          <w:color w:val="auto"/>
          <w:spacing w:val="4"/>
          <w:sz w:val="24"/>
          <w:szCs w:val="24"/>
          <w:highlight w:val="none"/>
        </w:rPr>
      </w:pPr>
      <w:r>
        <w:rPr>
          <w:rFonts w:hint="eastAsia" w:ascii="宋体" w:hAnsi="宋体" w:cs="宋体"/>
          <w:b/>
          <w:bCs/>
          <w:snapToGrid w:val="0"/>
          <w:color w:val="auto"/>
          <w:spacing w:val="4"/>
          <w:sz w:val="24"/>
          <w:szCs w:val="24"/>
          <w:highlight w:val="none"/>
        </w:rPr>
        <w:t>主要设备材料品牌/生产厂家推荐表</w:t>
      </w:r>
    </w:p>
    <w:tbl>
      <w:tblPr>
        <w:tblStyle w:val="39"/>
        <w:tblpPr w:vertAnchor="text"/>
        <w:tblW w:w="822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60"/>
        <w:gridCol w:w="3660"/>
        <w:gridCol w:w="3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exact"/>
        </w:trPr>
        <w:tc>
          <w:tcPr>
            <w:tcW w:w="960" w:type="dxa"/>
            <w:vAlign w:val="center"/>
          </w:tcPr>
          <w:p>
            <w:pPr>
              <w:widowControl/>
              <w:spacing w:line="360" w:lineRule="auto"/>
              <w:jc w:val="center"/>
              <w:textAlignment w:val="center"/>
              <w:rPr>
                <w:rFonts w:ascii="宋体" w:hAnsi="宋体" w:cs="宋体"/>
                <w:color w:val="auto"/>
                <w:sz w:val="24"/>
                <w:szCs w:val="24"/>
                <w:highlight w:val="none"/>
              </w:rPr>
            </w:pPr>
            <w:r>
              <w:rPr>
                <w:rFonts w:hint="eastAsia" w:ascii="宋体" w:hAnsi="宋体" w:cs="宋体"/>
                <w:b/>
                <w:color w:val="auto"/>
                <w:kern w:val="0"/>
                <w:sz w:val="24"/>
                <w:szCs w:val="24"/>
                <w:highlight w:val="none"/>
                <w:lang w:bidi="ar"/>
              </w:rPr>
              <w:t>序号</w:t>
            </w:r>
          </w:p>
        </w:tc>
        <w:tc>
          <w:tcPr>
            <w:tcW w:w="3660" w:type="dxa"/>
            <w:vAlign w:val="center"/>
          </w:tcPr>
          <w:p>
            <w:pPr>
              <w:widowControl/>
              <w:spacing w:line="360" w:lineRule="auto"/>
              <w:jc w:val="center"/>
              <w:textAlignment w:val="center"/>
              <w:rPr>
                <w:rFonts w:ascii="宋体" w:hAnsi="宋体" w:cs="宋体"/>
                <w:color w:val="auto"/>
                <w:sz w:val="24"/>
                <w:szCs w:val="24"/>
                <w:highlight w:val="none"/>
              </w:rPr>
            </w:pPr>
            <w:r>
              <w:rPr>
                <w:rFonts w:hint="eastAsia" w:ascii="宋体" w:hAnsi="宋体" w:cs="宋体"/>
                <w:b/>
                <w:color w:val="auto"/>
                <w:kern w:val="0"/>
                <w:sz w:val="24"/>
                <w:szCs w:val="24"/>
                <w:highlight w:val="none"/>
                <w:lang w:bidi="ar"/>
              </w:rPr>
              <w:t>材料名称</w:t>
            </w:r>
          </w:p>
        </w:tc>
        <w:tc>
          <w:tcPr>
            <w:tcW w:w="3600" w:type="dxa"/>
            <w:vAlign w:val="center"/>
          </w:tcPr>
          <w:p>
            <w:pPr>
              <w:widowControl/>
              <w:spacing w:line="360" w:lineRule="auto"/>
              <w:jc w:val="center"/>
              <w:textAlignment w:val="center"/>
              <w:rPr>
                <w:rFonts w:ascii="宋体" w:hAnsi="宋体" w:cs="宋体"/>
                <w:color w:val="auto"/>
                <w:sz w:val="24"/>
                <w:szCs w:val="24"/>
                <w:highlight w:val="none"/>
              </w:rPr>
            </w:pPr>
            <w:r>
              <w:rPr>
                <w:rFonts w:hint="eastAsia" w:ascii="宋体" w:hAnsi="宋体" w:cs="宋体"/>
                <w:b/>
                <w:color w:val="auto"/>
                <w:kern w:val="0"/>
                <w:sz w:val="24"/>
                <w:szCs w:val="24"/>
                <w:highlight w:val="none"/>
                <w:lang w:bidi="ar"/>
              </w:rPr>
              <w:t>厂家或品牌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0" w:hRule="exact"/>
        </w:trPr>
        <w:tc>
          <w:tcPr>
            <w:tcW w:w="960" w:type="dxa"/>
            <w:vAlign w:val="center"/>
          </w:tcPr>
          <w:p>
            <w:pPr>
              <w:widowControl/>
              <w:spacing w:line="360" w:lineRule="auto"/>
              <w:jc w:val="center"/>
              <w:textAlignment w:val="center"/>
              <w:rPr>
                <w:rFonts w:ascii="宋体" w:hAnsi="宋体" w:cs="宋体"/>
                <w:color w:val="auto"/>
                <w:sz w:val="24"/>
                <w:szCs w:val="24"/>
                <w:highlight w:val="none"/>
              </w:rPr>
            </w:pPr>
            <w:r>
              <w:rPr>
                <w:rFonts w:hint="eastAsia" w:ascii="宋体" w:hAnsi="宋体" w:cs="宋体"/>
                <w:b/>
                <w:color w:val="auto"/>
                <w:kern w:val="0"/>
                <w:sz w:val="24"/>
                <w:szCs w:val="24"/>
                <w:highlight w:val="none"/>
                <w:lang w:bidi="ar"/>
              </w:rPr>
              <w:t>一</w:t>
            </w:r>
          </w:p>
        </w:tc>
        <w:tc>
          <w:tcPr>
            <w:tcW w:w="3660" w:type="dxa"/>
            <w:vAlign w:val="center"/>
          </w:tcPr>
          <w:p>
            <w:pPr>
              <w:widowControl/>
              <w:spacing w:line="360" w:lineRule="auto"/>
              <w:jc w:val="center"/>
              <w:textAlignment w:val="center"/>
              <w:rPr>
                <w:rFonts w:ascii="宋体" w:hAnsi="宋体" w:cs="宋体"/>
                <w:color w:val="auto"/>
                <w:sz w:val="24"/>
                <w:szCs w:val="24"/>
                <w:highlight w:val="none"/>
              </w:rPr>
            </w:pPr>
            <w:r>
              <w:rPr>
                <w:rFonts w:hint="eastAsia" w:ascii="宋体" w:hAnsi="宋体" w:cs="宋体"/>
                <w:b/>
                <w:color w:val="auto"/>
                <w:kern w:val="0"/>
                <w:sz w:val="24"/>
                <w:szCs w:val="24"/>
                <w:highlight w:val="none"/>
                <w:lang w:bidi="ar"/>
              </w:rPr>
              <w:t>土建与装饰材料</w:t>
            </w:r>
          </w:p>
        </w:tc>
        <w:tc>
          <w:tcPr>
            <w:tcW w:w="3600" w:type="dxa"/>
            <w:vAlign w:val="center"/>
          </w:tcPr>
          <w:p>
            <w:pPr>
              <w:spacing w:line="360" w:lineRule="auto"/>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0" w:hRule="exact"/>
        </w:trPr>
        <w:tc>
          <w:tcPr>
            <w:tcW w:w="960" w:type="dxa"/>
            <w:vAlign w:val="center"/>
          </w:tcPr>
          <w:p>
            <w:pPr>
              <w:widowControl/>
              <w:spacing w:line="360" w:lineRule="auto"/>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1</w:t>
            </w:r>
          </w:p>
        </w:tc>
        <w:tc>
          <w:tcPr>
            <w:tcW w:w="3660" w:type="dxa"/>
            <w:vAlign w:val="center"/>
          </w:tcPr>
          <w:p>
            <w:pPr>
              <w:widowControl/>
              <w:spacing w:line="360" w:lineRule="auto"/>
              <w:jc w:val="lef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钢材</w:t>
            </w:r>
          </w:p>
        </w:tc>
        <w:tc>
          <w:tcPr>
            <w:tcW w:w="3600" w:type="dxa"/>
            <w:vAlign w:val="center"/>
          </w:tcPr>
          <w:p>
            <w:pPr>
              <w:widowControl/>
              <w:spacing w:line="360" w:lineRule="auto"/>
              <w:jc w:val="lef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广钢、韶钢、宝钢等同档次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0" w:hRule="exact"/>
        </w:trPr>
        <w:tc>
          <w:tcPr>
            <w:tcW w:w="960" w:type="dxa"/>
            <w:vAlign w:val="center"/>
          </w:tcPr>
          <w:p>
            <w:pPr>
              <w:widowControl/>
              <w:spacing w:line="360" w:lineRule="auto"/>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2</w:t>
            </w:r>
          </w:p>
        </w:tc>
        <w:tc>
          <w:tcPr>
            <w:tcW w:w="3660" w:type="dxa"/>
            <w:vAlign w:val="center"/>
          </w:tcPr>
          <w:p>
            <w:pPr>
              <w:widowControl/>
              <w:spacing w:line="360" w:lineRule="auto"/>
              <w:jc w:val="lef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地面瓷砖</w:t>
            </w:r>
          </w:p>
        </w:tc>
        <w:tc>
          <w:tcPr>
            <w:tcW w:w="3600" w:type="dxa"/>
            <w:vAlign w:val="center"/>
          </w:tcPr>
          <w:p>
            <w:pPr>
              <w:widowControl/>
              <w:spacing w:line="360" w:lineRule="auto"/>
              <w:jc w:val="lef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鹰牌、东鹏、马可波罗等同档次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0" w:hRule="exact"/>
        </w:trPr>
        <w:tc>
          <w:tcPr>
            <w:tcW w:w="960" w:type="dxa"/>
            <w:vAlign w:val="center"/>
          </w:tcPr>
          <w:p>
            <w:pPr>
              <w:widowControl/>
              <w:spacing w:line="360" w:lineRule="auto"/>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3</w:t>
            </w:r>
          </w:p>
        </w:tc>
        <w:tc>
          <w:tcPr>
            <w:tcW w:w="3660" w:type="dxa"/>
            <w:vAlign w:val="center"/>
          </w:tcPr>
          <w:p>
            <w:pPr>
              <w:widowControl/>
              <w:spacing w:line="360" w:lineRule="auto"/>
              <w:jc w:val="lef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墙面瓷砖</w:t>
            </w:r>
          </w:p>
        </w:tc>
        <w:tc>
          <w:tcPr>
            <w:tcW w:w="3600" w:type="dxa"/>
            <w:vAlign w:val="center"/>
          </w:tcPr>
          <w:p>
            <w:pPr>
              <w:widowControl/>
              <w:spacing w:line="360" w:lineRule="auto"/>
              <w:jc w:val="lef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白兔等同档次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0" w:hRule="exact"/>
        </w:trPr>
        <w:tc>
          <w:tcPr>
            <w:tcW w:w="960" w:type="dxa"/>
            <w:vAlign w:val="center"/>
          </w:tcPr>
          <w:p>
            <w:pPr>
              <w:widowControl/>
              <w:spacing w:line="360" w:lineRule="auto"/>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4</w:t>
            </w:r>
          </w:p>
        </w:tc>
        <w:tc>
          <w:tcPr>
            <w:tcW w:w="3660" w:type="dxa"/>
          </w:tcPr>
          <w:p>
            <w:pPr>
              <w:widowControl/>
              <w:spacing w:line="360" w:lineRule="auto"/>
              <w:jc w:val="left"/>
              <w:textAlignment w:val="top"/>
              <w:rPr>
                <w:rFonts w:ascii="宋体" w:hAnsi="宋体" w:cs="宋体"/>
                <w:color w:val="auto"/>
                <w:sz w:val="24"/>
                <w:szCs w:val="24"/>
                <w:highlight w:val="none"/>
              </w:rPr>
            </w:pPr>
            <w:r>
              <w:rPr>
                <w:rFonts w:hint="eastAsia" w:ascii="宋体" w:hAnsi="宋体" w:cs="宋体"/>
                <w:color w:val="auto"/>
                <w:kern w:val="0"/>
                <w:sz w:val="24"/>
                <w:szCs w:val="24"/>
                <w:highlight w:val="none"/>
                <w:lang w:bidi="ar"/>
              </w:rPr>
              <w:t>环氧自流平、金钢砂</w:t>
            </w:r>
          </w:p>
        </w:tc>
        <w:tc>
          <w:tcPr>
            <w:tcW w:w="3600" w:type="dxa"/>
          </w:tcPr>
          <w:p>
            <w:pPr>
              <w:widowControl/>
              <w:spacing w:line="360" w:lineRule="auto"/>
              <w:jc w:val="left"/>
              <w:textAlignment w:val="top"/>
              <w:rPr>
                <w:rFonts w:ascii="宋体" w:hAnsi="宋体" w:cs="宋体"/>
                <w:color w:val="auto"/>
                <w:sz w:val="24"/>
                <w:szCs w:val="24"/>
                <w:highlight w:val="none"/>
              </w:rPr>
            </w:pPr>
            <w:r>
              <w:rPr>
                <w:rFonts w:hint="eastAsia" w:ascii="宋体" w:hAnsi="宋体" w:cs="宋体"/>
                <w:color w:val="auto"/>
                <w:kern w:val="0"/>
                <w:sz w:val="24"/>
                <w:szCs w:val="24"/>
                <w:highlight w:val="none"/>
                <w:lang w:bidi="ar"/>
              </w:rPr>
              <w:t>秀珀等同档次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0" w:hRule="exact"/>
        </w:trPr>
        <w:tc>
          <w:tcPr>
            <w:tcW w:w="960" w:type="dxa"/>
            <w:vAlign w:val="center"/>
          </w:tcPr>
          <w:p>
            <w:pPr>
              <w:widowControl/>
              <w:spacing w:line="360" w:lineRule="auto"/>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5</w:t>
            </w:r>
          </w:p>
        </w:tc>
        <w:tc>
          <w:tcPr>
            <w:tcW w:w="3660" w:type="dxa"/>
            <w:vAlign w:val="center"/>
          </w:tcPr>
          <w:p>
            <w:pPr>
              <w:widowControl/>
              <w:spacing w:line="360" w:lineRule="auto"/>
              <w:jc w:val="lef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防水卷材</w:t>
            </w:r>
          </w:p>
        </w:tc>
        <w:tc>
          <w:tcPr>
            <w:tcW w:w="3600" w:type="dxa"/>
            <w:vAlign w:val="center"/>
          </w:tcPr>
          <w:p>
            <w:pPr>
              <w:widowControl/>
              <w:spacing w:line="360" w:lineRule="auto"/>
              <w:jc w:val="lef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深圳卓宝、科顺、秀珀等同档次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0" w:hRule="exact"/>
        </w:trPr>
        <w:tc>
          <w:tcPr>
            <w:tcW w:w="960" w:type="dxa"/>
            <w:vAlign w:val="center"/>
          </w:tcPr>
          <w:p>
            <w:pPr>
              <w:widowControl/>
              <w:spacing w:line="360" w:lineRule="auto"/>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6</w:t>
            </w:r>
          </w:p>
        </w:tc>
        <w:tc>
          <w:tcPr>
            <w:tcW w:w="3660" w:type="dxa"/>
            <w:vAlign w:val="center"/>
          </w:tcPr>
          <w:p>
            <w:pPr>
              <w:widowControl/>
              <w:spacing w:line="360" w:lineRule="auto"/>
              <w:jc w:val="lef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滑升门</w:t>
            </w:r>
          </w:p>
        </w:tc>
        <w:tc>
          <w:tcPr>
            <w:tcW w:w="3600" w:type="dxa"/>
            <w:vAlign w:val="center"/>
          </w:tcPr>
          <w:p>
            <w:pPr>
              <w:widowControl/>
              <w:spacing w:line="360" w:lineRule="auto"/>
              <w:jc w:val="lef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上海北建、阔福(亚萨合莱)等同档次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4" w:hRule="exact"/>
        </w:trPr>
        <w:tc>
          <w:tcPr>
            <w:tcW w:w="960" w:type="dxa"/>
            <w:vAlign w:val="center"/>
          </w:tcPr>
          <w:p>
            <w:pPr>
              <w:widowControl/>
              <w:spacing w:line="360" w:lineRule="auto"/>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7</w:t>
            </w:r>
          </w:p>
        </w:tc>
        <w:tc>
          <w:tcPr>
            <w:tcW w:w="3660" w:type="dxa"/>
            <w:vAlign w:val="center"/>
          </w:tcPr>
          <w:p>
            <w:pPr>
              <w:widowControl/>
              <w:spacing w:line="360" w:lineRule="auto"/>
              <w:jc w:val="lef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铝合金门窗</w:t>
            </w:r>
          </w:p>
        </w:tc>
        <w:tc>
          <w:tcPr>
            <w:tcW w:w="3600" w:type="dxa"/>
            <w:vAlign w:val="center"/>
          </w:tcPr>
          <w:p>
            <w:pPr>
              <w:widowControl/>
              <w:spacing w:line="360" w:lineRule="auto"/>
              <w:jc w:val="lef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广铝、亚铝、凤铝+南玻＋白云胶等同档次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0" w:hRule="exact"/>
        </w:trPr>
        <w:tc>
          <w:tcPr>
            <w:tcW w:w="960" w:type="dxa"/>
            <w:vAlign w:val="center"/>
          </w:tcPr>
          <w:p>
            <w:pPr>
              <w:widowControl/>
              <w:spacing w:line="360" w:lineRule="auto"/>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8</w:t>
            </w:r>
          </w:p>
        </w:tc>
        <w:tc>
          <w:tcPr>
            <w:tcW w:w="3660" w:type="dxa"/>
          </w:tcPr>
          <w:p>
            <w:pPr>
              <w:widowControl/>
              <w:spacing w:line="360" w:lineRule="auto"/>
              <w:jc w:val="left"/>
              <w:textAlignment w:val="top"/>
              <w:rPr>
                <w:rFonts w:ascii="宋体" w:hAnsi="宋体" w:cs="宋体"/>
                <w:color w:val="auto"/>
                <w:sz w:val="24"/>
                <w:szCs w:val="24"/>
                <w:highlight w:val="none"/>
              </w:rPr>
            </w:pPr>
            <w:r>
              <w:rPr>
                <w:rFonts w:hint="eastAsia" w:ascii="宋体" w:hAnsi="宋体" w:cs="宋体"/>
                <w:color w:val="auto"/>
                <w:kern w:val="0"/>
                <w:sz w:val="24"/>
                <w:szCs w:val="24"/>
                <w:highlight w:val="none"/>
                <w:lang w:bidi="ar"/>
              </w:rPr>
              <w:t>油漆</w:t>
            </w:r>
          </w:p>
        </w:tc>
        <w:tc>
          <w:tcPr>
            <w:tcW w:w="3600" w:type="dxa"/>
          </w:tcPr>
          <w:p>
            <w:pPr>
              <w:widowControl/>
              <w:spacing w:line="360" w:lineRule="auto"/>
              <w:jc w:val="left"/>
              <w:textAlignment w:val="top"/>
              <w:rPr>
                <w:rFonts w:ascii="宋体" w:hAnsi="宋体" w:cs="宋体"/>
                <w:color w:val="auto"/>
                <w:sz w:val="24"/>
                <w:szCs w:val="24"/>
                <w:highlight w:val="none"/>
              </w:rPr>
            </w:pPr>
            <w:r>
              <w:rPr>
                <w:rFonts w:hint="eastAsia" w:ascii="宋体" w:hAnsi="宋体" w:cs="宋体"/>
                <w:color w:val="auto"/>
                <w:kern w:val="0"/>
                <w:sz w:val="24"/>
                <w:szCs w:val="24"/>
                <w:highlight w:val="none"/>
                <w:lang w:bidi="ar"/>
              </w:rPr>
              <w:t>立邦、绅琪、多乐士等同档次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0" w:hRule="exact"/>
        </w:trPr>
        <w:tc>
          <w:tcPr>
            <w:tcW w:w="960" w:type="dxa"/>
            <w:vAlign w:val="center"/>
          </w:tcPr>
          <w:p>
            <w:pPr>
              <w:widowControl/>
              <w:spacing w:line="360" w:lineRule="auto"/>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9</w:t>
            </w:r>
          </w:p>
        </w:tc>
        <w:tc>
          <w:tcPr>
            <w:tcW w:w="3660" w:type="dxa"/>
          </w:tcPr>
          <w:p>
            <w:pPr>
              <w:widowControl/>
              <w:spacing w:line="360" w:lineRule="auto"/>
              <w:jc w:val="left"/>
              <w:textAlignment w:val="top"/>
              <w:rPr>
                <w:rFonts w:ascii="宋体" w:hAnsi="宋体" w:cs="宋体"/>
                <w:color w:val="auto"/>
                <w:sz w:val="24"/>
                <w:szCs w:val="24"/>
                <w:highlight w:val="none"/>
              </w:rPr>
            </w:pPr>
            <w:r>
              <w:rPr>
                <w:rFonts w:hint="eastAsia" w:ascii="宋体" w:hAnsi="宋体" w:cs="宋体"/>
                <w:color w:val="auto"/>
                <w:kern w:val="0"/>
                <w:sz w:val="24"/>
                <w:szCs w:val="24"/>
                <w:highlight w:val="none"/>
                <w:lang w:bidi="ar"/>
              </w:rPr>
              <w:t>开窗机（电动）</w:t>
            </w:r>
          </w:p>
        </w:tc>
        <w:tc>
          <w:tcPr>
            <w:tcW w:w="3600" w:type="dxa"/>
          </w:tcPr>
          <w:p>
            <w:pPr>
              <w:widowControl/>
              <w:spacing w:line="360" w:lineRule="auto"/>
              <w:jc w:val="left"/>
              <w:textAlignment w:val="top"/>
              <w:rPr>
                <w:rFonts w:ascii="宋体" w:hAnsi="宋体" w:cs="宋体"/>
                <w:color w:val="auto"/>
                <w:sz w:val="24"/>
                <w:szCs w:val="24"/>
                <w:highlight w:val="none"/>
              </w:rPr>
            </w:pPr>
            <w:r>
              <w:rPr>
                <w:rFonts w:hint="eastAsia" w:ascii="宋体" w:hAnsi="宋体" w:cs="宋体"/>
                <w:color w:val="auto"/>
                <w:kern w:val="0"/>
                <w:sz w:val="24"/>
                <w:szCs w:val="24"/>
                <w:highlight w:val="none"/>
                <w:lang w:bidi="ar"/>
              </w:rPr>
              <w:t>创明、杜亚、威导等同档次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0" w:hRule="exact"/>
        </w:trPr>
        <w:tc>
          <w:tcPr>
            <w:tcW w:w="960" w:type="dxa"/>
            <w:vAlign w:val="center"/>
          </w:tcPr>
          <w:p>
            <w:pPr>
              <w:widowControl/>
              <w:spacing w:line="360" w:lineRule="auto"/>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10</w:t>
            </w:r>
          </w:p>
        </w:tc>
        <w:tc>
          <w:tcPr>
            <w:tcW w:w="3660" w:type="dxa"/>
          </w:tcPr>
          <w:p>
            <w:pPr>
              <w:widowControl/>
              <w:spacing w:line="360" w:lineRule="auto"/>
              <w:jc w:val="left"/>
              <w:textAlignment w:val="top"/>
              <w:rPr>
                <w:rFonts w:ascii="宋体" w:hAnsi="宋体" w:cs="宋体"/>
                <w:color w:val="auto"/>
                <w:sz w:val="24"/>
                <w:szCs w:val="24"/>
                <w:highlight w:val="none"/>
              </w:rPr>
            </w:pPr>
            <w:r>
              <w:rPr>
                <w:rFonts w:hint="eastAsia" w:ascii="宋体" w:hAnsi="宋体" w:cs="宋体"/>
                <w:color w:val="auto"/>
                <w:kern w:val="0"/>
                <w:sz w:val="24"/>
                <w:szCs w:val="24"/>
                <w:highlight w:val="none"/>
                <w:lang w:bidi="ar"/>
              </w:rPr>
              <w:t>水泥</w:t>
            </w:r>
          </w:p>
        </w:tc>
        <w:tc>
          <w:tcPr>
            <w:tcW w:w="3600" w:type="dxa"/>
          </w:tcPr>
          <w:p>
            <w:pPr>
              <w:widowControl/>
              <w:spacing w:line="360" w:lineRule="auto"/>
              <w:jc w:val="left"/>
              <w:textAlignment w:val="top"/>
              <w:rPr>
                <w:rFonts w:ascii="宋体" w:hAnsi="宋体" w:cs="宋体"/>
                <w:color w:val="auto"/>
                <w:sz w:val="24"/>
                <w:szCs w:val="24"/>
                <w:highlight w:val="none"/>
              </w:rPr>
            </w:pPr>
            <w:r>
              <w:rPr>
                <w:rFonts w:hint="eastAsia" w:ascii="宋体" w:hAnsi="宋体" w:cs="宋体"/>
                <w:color w:val="auto"/>
                <w:kern w:val="0"/>
                <w:sz w:val="24"/>
                <w:szCs w:val="24"/>
                <w:highlight w:val="none"/>
                <w:lang w:bidi="ar"/>
              </w:rPr>
              <w:t>海螺、华润等同档次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0" w:hRule="exact"/>
        </w:trPr>
        <w:tc>
          <w:tcPr>
            <w:tcW w:w="960" w:type="dxa"/>
            <w:vAlign w:val="center"/>
          </w:tcPr>
          <w:p>
            <w:pPr>
              <w:widowControl/>
              <w:spacing w:line="360" w:lineRule="auto"/>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11</w:t>
            </w:r>
          </w:p>
        </w:tc>
        <w:tc>
          <w:tcPr>
            <w:tcW w:w="3660" w:type="dxa"/>
            <w:vAlign w:val="center"/>
          </w:tcPr>
          <w:p>
            <w:pPr>
              <w:widowControl/>
              <w:spacing w:line="360" w:lineRule="auto"/>
              <w:jc w:val="lef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钢质防火门</w:t>
            </w:r>
          </w:p>
        </w:tc>
        <w:tc>
          <w:tcPr>
            <w:tcW w:w="3600" w:type="dxa"/>
            <w:vAlign w:val="center"/>
          </w:tcPr>
          <w:p>
            <w:pPr>
              <w:widowControl/>
              <w:spacing w:line="360" w:lineRule="auto"/>
              <w:jc w:val="lef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蓝盾、南粤、宇宙等同档次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0" w:hRule="exact"/>
        </w:trPr>
        <w:tc>
          <w:tcPr>
            <w:tcW w:w="960" w:type="dxa"/>
            <w:vAlign w:val="center"/>
          </w:tcPr>
          <w:p>
            <w:pPr>
              <w:widowControl/>
              <w:spacing w:line="360" w:lineRule="auto"/>
              <w:jc w:val="center"/>
              <w:textAlignment w:val="center"/>
              <w:rPr>
                <w:rFonts w:ascii="宋体" w:hAnsi="宋体" w:cs="宋体"/>
                <w:color w:val="auto"/>
                <w:sz w:val="24"/>
                <w:szCs w:val="24"/>
                <w:highlight w:val="none"/>
              </w:rPr>
            </w:pPr>
            <w:r>
              <w:rPr>
                <w:rFonts w:hint="eastAsia" w:ascii="宋体" w:hAnsi="宋体" w:cs="宋体"/>
                <w:b/>
                <w:color w:val="auto"/>
                <w:kern w:val="0"/>
                <w:sz w:val="24"/>
                <w:szCs w:val="24"/>
                <w:highlight w:val="none"/>
                <w:lang w:bidi="ar"/>
              </w:rPr>
              <w:t>二</w:t>
            </w:r>
          </w:p>
        </w:tc>
        <w:tc>
          <w:tcPr>
            <w:tcW w:w="3660" w:type="dxa"/>
            <w:vAlign w:val="center"/>
          </w:tcPr>
          <w:p>
            <w:pPr>
              <w:widowControl/>
              <w:spacing w:line="360" w:lineRule="auto"/>
              <w:jc w:val="center"/>
              <w:textAlignment w:val="center"/>
              <w:rPr>
                <w:rFonts w:ascii="宋体" w:hAnsi="宋体" w:cs="宋体"/>
                <w:color w:val="auto"/>
                <w:sz w:val="24"/>
                <w:szCs w:val="24"/>
                <w:highlight w:val="none"/>
              </w:rPr>
            </w:pPr>
            <w:r>
              <w:rPr>
                <w:rFonts w:hint="eastAsia" w:ascii="宋体" w:hAnsi="宋体" w:cs="宋体"/>
                <w:b/>
                <w:color w:val="auto"/>
                <w:kern w:val="0"/>
                <w:sz w:val="24"/>
                <w:szCs w:val="24"/>
                <w:highlight w:val="none"/>
                <w:lang w:bidi="ar"/>
              </w:rPr>
              <w:t>安装设备</w:t>
            </w:r>
          </w:p>
        </w:tc>
        <w:tc>
          <w:tcPr>
            <w:tcW w:w="3600" w:type="dxa"/>
            <w:vAlign w:val="center"/>
          </w:tcPr>
          <w:p>
            <w:pPr>
              <w:spacing w:line="360" w:lineRule="auto"/>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0" w:hRule="exact"/>
        </w:trPr>
        <w:tc>
          <w:tcPr>
            <w:tcW w:w="960" w:type="dxa"/>
            <w:vAlign w:val="center"/>
          </w:tcPr>
          <w:p>
            <w:pPr>
              <w:widowControl/>
              <w:spacing w:line="360" w:lineRule="auto"/>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1</w:t>
            </w:r>
          </w:p>
        </w:tc>
        <w:tc>
          <w:tcPr>
            <w:tcW w:w="3660" w:type="dxa"/>
            <w:vAlign w:val="center"/>
          </w:tcPr>
          <w:p>
            <w:pPr>
              <w:widowControl/>
              <w:spacing w:line="360" w:lineRule="auto"/>
              <w:jc w:val="lef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高压配电柜开关元件</w:t>
            </w:r>
          </w:p>
        </w:tc>
        <w:tc>
          <w:tcPr>
            <w:tcW w:w="3600" w:type="dxa"/>
            <w:vAlign w:val="center"/>
          </w:tcPr>
          <w:p>
            <w:pPr>
              <w:widowControl/>
              <w:spacing w:line="360" w:lineRule="auto"/>
              <w:jc w:val="lef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ABB、施耐德、西门子等同档次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4" w:hRule="exact"/>
        </w:trPr>
        <w:tc>
          <w:tcPr>
            <w:tcW w:w="960" w:type="dxa"/>
            <w:vAlign w:val="center"/>
          </w:tcPr>
          <w:p>
            <w:pPr>
              <w:widowControl/>
              <w:spacing w:line="360" w:lineRule="auto"/>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2</w:t>
            </w:r>
          </w:p>
        </w:tc>
        <w:tc>
          <w:tcPr>
            <w:tcW w:w="3660" w:type="dxa"/>
            <w:vAlign w:val="center"/>
          </w:tcPr>
          <w:p>
            <w:pPr>
              <w:widowControl/>
              <w:spacing w:line="360" w:lineRule="auto"/>
              <w:jc w:val="lef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低压配电柜、配电箱开关元件</w:t>
            </w:r>
          </w:p>
        </w:tc>
        <w:tc>
          <w:tcPr>
            <w:tcW w:w="3600" w:type="dxa"/>
            <w:vAlign w:val="center"/>
          </w:tcPr>
          <w:p>
            <w:pPr>
              <w:widowControl/>
              <w:spacing w:line="360" w:lineRule="auto"/>
              <w:jc w:val="lef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ABB、施耐德、西门子等同档次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7" w:hRule="exact"/>
        </w:trPr>
        <w:tc>
          <w:tcPr>
            <w:tcW w:w="960" w:type="dxa"/>
            <w:vAlign w:val="center"/>
          </w:tcPr>
          <w:p>
            <w:pPr>
              <w:widowControl/>
              <w:spacing w:line="360" w:lineRule="auto"/>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3</w:t>
            </w:r>
          </w:p>
        </w:tc>
        <w:tc>
          <w:tcPr>
            <w:tcW w:w="3660" w:type="dxa"/>
            <w:vAlign w:val="center"/>
          </w:tcPr>
          <w:p>
            <w:pPr>
              <w:widowControl/>
              <w:spacing w:line="360" w:lineRule="auto"/>
              <w:jc w:val="lef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干式变压器</w:t>
            </w:r>
          </w:p>
        </w:tc>
        <w:tc>
          <w:tcPr>
            <w:tcW w:w="3600" w:type="dxa"/>
            <w:vAlign w:val="center"/>
          </w:tcPr>
          <w:p>
            <w:pPr>
              <w:widowControl/>
              <w:spacing w:line="360" w:lineRule="auto"/>
              <w:jc w:val="lef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海鸿等同档次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0" w:hRule="exact"/>
        </w:trPr>
        <w:tc>
          <w:tcPr>
            <w:tcW w:w="960" w:type="dxa"/>
            <w:vAlign w:val="center"/>
          </w:tcPr>
          <w:p>
            <w:pPr>
              <w:widowControl/>
              <w:spacing w:line="360" w:lineRule="auto"/>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4</w:t>
            </w:r>
          </w:p>
        </w:tc>
        <w:tc>
          <w:tcPr>
            <w:tcW w:w="3660" w:type="dxa"/>
            <w:vAlign w:val="center"/>
          </w:tcPr>
          <w:p>
            <w:pPr>
              <w:widowControl/>
              <w:spacing w:line="360" w:lineRule="auto"/>
              <w:jc w:val="lef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LED灯具</w:t>
            </w:r>
          </w:p>
        </w:tc>
        <w:tc>
          <w:tcPr>
            <w:tcW w:w="3600" w:type="dxa"/>
            <w:vAlign w:val="center"/>
          </w:tcPr>
          <w:p>
            <w:pPr>
              <w:widowControl/>
              <w:spacing w:line="360" w:lineRule="auto"/>
              <w:jc w:val="lef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雷士、西顿、TCL等同档次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0" w:hRule="exact"/>
        </w:trPr>
        <w:tc>
          <w:tcPr>
            <w:tcW w:w="960" w:type="dxa"/>
            <w:vAlign w:val="center"/>
          </w:tcPr>
          <w:p>
            <w:pPr>
              <w:widowControl/>
              <w:spacing w:line="360" w:lineRule="auto"/>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5</w:t>
            </w:r>
          </w:p>
        </w:tc>
        <w:tc>
          <w:tcPr>
            <w:tcW w:w="3660" w:type="dxa"/>
            <w:vAlign w:val="center"/>
          </w:tcPr>
          <w:p>
            <w:pPr>
              <w:widowControl/>
              <w:spacing w:line="360" w:lineRule="auto"/>
              <w:jc w:val="lef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插座、开关</w:t>
            </w:r>
          </w:p>
        </w:tc>
        <w:tc>
          <w:tcPr>
            <w:tcW w:w="3600" w:type="dxa"/>
            <w:vAlign w:val="center"/>
          </w:tcPr>
          <w:p>
            <w:pPr>
              <w:widowControl/>
              <w:spacing w:line="360" w:lineRule="auto"/>
              <w:jc w:val="lef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TCL、奇胜、施耐德等同档次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72" w:hRule="exact"/>
        </w:trPr>
        <w:tc>
          <w:tcPr>
            <w:tcW w:w="960" w:type="dxa"/>
            <w:vAlign w:val="center"/>
          </w:tcPr>
          <w:p>
            <w:pPr>
              <w:widowControl/>
              <w:spacing w:line="360" w:lineRule="auto"/>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6</w:t>
            </w:r>
          </w:p>
        </w:tc>
        <w:tc>
          <w:tcPr>
            <w:tcW w:w="3660" w:type="dxa"/>
            <w:vAlign w:val="center"/>
          </w:tcPr>
          <w:p>
            <w:pPr>
              <w:widowControl/>
              <w:spacing w:line="360" w:lineRule="auto"/>
              <w:jc w:val="lef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电气电缆、电线</w:t>
            </w:r>
          </w:p>
        </w:tc>
        <w:tc>
          <w:tcPr>
            <w:tcW w:w="3600" w:type="dxa"/>
            <w:vAlign w:val="center"/>
          </w:tcPr>
          <w:p>
            <w:pPr>
              <w:widowControl/>
              <w:spacing w:line="360" w:lineRule="auto"/>
              <w:jc w:val="lef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广州电缆厂、广东电缆厂、广州番禺电缆等同档次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0" w:hRule="exact"/>
        </w:trPr>
        <w:tc>
          <w:tcPr>
            <w:tcW w:w="960" w:type="dxa"/>
            <w:vAlign w:val="center"/>
          </w:tcPr>
          <w:p>
            <w:pPr>
              <w:widowControl/>
              <w:spacing w:line="360" w:lineRule="auto"/>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7</w:t>
            </w:r>
          </w:p>
        </w:tc>
        <w:tc>
          <w:tcPr>
            <w:tcW w:w="3660" w:type="dxa"/>
            <w:vAlign w:val="center"/>
          </w:tcPr>
          <w:p>
            <w:pPr>
              <w:widowControl/>
              <w:spacing w:line="360" w:lineRule="auto"/>
              <w:jc w:val="lef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网络线、弱电线缆</w:t>
            </w:r>
          </w:p>
        </w:tc>
        <w:tc>
          <w:tcPr>
            <w:tcW w:w="3600" w:type="dxa"/>
            <w:vAlign w:val="center"/>
          </w:tcPr>
          <w:p>
            <w:pPr>
              <w:widowControl/>
              <w:spacing w:line="360" w:lineRule="auto"/>
              <w:jc w:val="lef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TCL、天诚、安普等同档次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0" w:hRule="exact"/>
        </w:trPr>
        <w:tc>
          <w:tcPr>
            <w:tcW w:w="960" w:type="dxa"/>
            <w:vAlign w:val="center"/>
          </w:tcPr>
          <w:p>
            <w:pPr>
              <w:widowControl/>
              <w:spacing w:line="360" w:lineRule="auto"/>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8</w:t>
            </w:r>
          </w:p>
        </w:tc>
        <w:tc>
          <w:tcPr>
            <w:tcW w:w="3660" w:type="dxa"/>
            <w:vAlign w:val="center"/>
          </w:tcPr>
          <w:p>
            <w:pPr>
              <w:widowControl/>
              <w:spacing w:line="360" w:lineRule="auto"/>
              <w:jc w:val="lef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桥架、线槽、电气配管</w:t>
            </w:r>
          </w:p>
        </w:tc>
        <w:tc>
          <w:tcPr>
            <w:tcW w:w="3600" w:type="dxa"/>
            <w:vAlign w:val="center"/>
          </w:tcPr>
          <w:p>
            <w:pPr>
              <w:widowControl/>
              <w:spacing w:line="360" w:lineRule="auto"/>
              <w:jc w:val="lef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宏际、联塑、深联等同档次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0" w:hRule="exact"/>
        </w:trPr>
        <w:tc>
          <w:tcPr>
            <w:tcW w:w="960" w:type="dxa"/>
            <w:vAlign w:val="center"/>
          </w:tcPr>
          <w:p>
            <w:pPr>
              <w:widowControl/>
              <w:spacing w:line="360" w:lineRule="auto"/>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9</w:t>
            </w:r>
          </w:p>
        </w:tc>
        <w:tc>
          <w:tcPr>
            <w:tcW w:w="3660" w:type="dxa"/>
            <w:vAlign w:val="center"/>
          </w:tcPr>
          <w:p>
            <w:pPr>
              <w:widowControl/>
              <w:spacing w:line="360" w:lineRule="auto"/>
              <w:jc w:val="lef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钢管、钢塑复合管</w:t>
            </w:r>
          </w:p>
        </w:tc>
        <w:tc>
          <w:tcPr>
            <w:tcW w:w="3600" w:type="dxa"/>
            <w:vAlign w:val="center"/>
          </w:tcPr>
          <w:p>
            <w:pPr>
              <w:widowControl/>
              <w:spacing w:line="360" w:lineRule="auto"/>
              <w:jc w:val="lef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广钢、华捷、珠江等同档次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0" w:hRule="exact"/>
        </w:trPr>
        <w:tc>
          <w:tcPr>
            <w:tcW w:w="960" w:type="dxa"/>
            <w:vAlign w:val="center"/>
          </w:tcPr>
          <w:p>
            <w:pPr>
              <w:widowControl/>
              <w:spacing w:line="360" w:lineRule="auto"/>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10</w:t>
            </w:r>
          </w:p>
        </w:tc>
        <w:tc>
          <w:tcPr>
            <w:tcW w:w="3660" w:type="dxa"/>
            <w:vAlign w:val="center"/>
          </w:tcPr>
          <w:p>
            <w:pPr>
              <w:widowControl/>
              <w:spacing w:line="360" w:lineRule="auto"/>
              <w:jc w:val="lef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塑料给排水管</w:t>
            </w:r>
          </w:p>
        </w:tc>
        <w:tc>
          <w:tcPr>
            <w:tcW w:w="3600" w:type="dxa"/>
            <w:vAlign w:val="center"/>
          </w:tcPr>
          <w:p>
            <w:pPr>
              <w:widowControl/>
              <w:spacing w:line="360" w:lineRule="auto"/>
              <w:jc w:val="lef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联塑、日丰等同档次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0" w:hRule="exact"/>
        </w:trPr>
        <w:tc>
          <w:tcPr>
            <w:tcW w:w="960" w:type="dxa"/>
            <w:vAlign w:val="center"/>
          </w:tcPr>
          <w:p>
            <w:pPr>
              <w:widowControl/>
              <w:spacing w:line="360" w:lineRule="auto"/>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11</w:t>
            </w:r>
          </w:p>
        </w:tc>
        <w:tc>
          <w:tcPr>
            <w:tcW w:w="3660" w:type="dxa"/>
            <w:vAlign w:val="center"/>
          </w:tcPr>
          <w:p>
            <w:pPr>
              <w:widowControl/>
              <w:spacing w:line="360" w:lineRule="auto"/>
              <w:jc w:val="lef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虹吸雨水专用管</w:t>
            </w:r>
          </w:p>
        </w:tc>
        <w:tc>
          <w:tcPr>
            <w:tcW w:w="3600" w:type="dxa"/>
            <w:vAlign w:val="center"/>
          </w:tcPr>
          <w:p>
            <w:pPr>
              <w:widowControl/>
              <w:spacing w:line="360" w:lineRule="auto"/>
              <w:jc w:val="lef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汇通、圣腾等同档次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0" w:hRule="exact"/>
        </w:trPr>
        <w:tc>
          <w:tcPr>
            <w:tcW w:w="960" w:type="dxa"/>
            <w:vAlign w:val="center"/>
          </w:tcPr>
          <w:p>
            <w:pPr>
              <w:widowControl/>
              <w:spacing w:line="360" w:lineRule="auto"/>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12</w:t>
            </w:r>
          </w:p>
        </w:tc>
        <w:tc>
          <w:tcPr>
            <w:tcW w:w="3660" w:type="dxa"/>
            <w:vAlign w:val="center"/>
          </w:tcPr>
          <w:p>
            <w:pPr>
              <w:widowControl/>
              <w:spacing w:line="360" w:lineRule="auto"/>
              <w:jc w:val="lef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阀门、管件、法兰</w:t>
            </w:r>
          </w:p>
        </w:tc>
        <w:tc>
          <w:tcPr>
            <w:tcW w:w="3600" w:type="dxa"/>
            <w:vAlign w:val="center"/>
          </w:tcPr>
          <w:p>
            <w:pPr>
              <w:widowControl/>
              <w:spacing w:line="360" w:lineRule="auto"/>
              <w:jc w:val="lef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广州翔云、天津塘沽、越海等同档次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0" w:hRule="exact"/>
        </w:trPr>
        <w:tc>
          <w:tcPr>
            <w:tcW w:w="960" w:type="dxa"/>
            <w:vAlign w:val="center"/>
          </w:tcPr>
          <w:p>
            <w:pPr>
              <w:widowControl/>
              <w:spacing w:line="360" w:lineRule="auto"/>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14</w:t>
            </w:r>
          </w:p>
        </w:tc>
        <w:tc>
          <w:tcPr>
            <w:tcW w:w="3660" w:type="dxa"/>
            <w:vAlign w:val="center"/>
          </w:tcPr>
          <w:p>
            <w:pPr>
              <w:widowControl/>
              <w:spacing w:line="360" w:lineRule="auto"/>
              <w:jc w:val="lef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消防水泵、潜水泵</w:t>
            </w:r>
          </w:p>
        </w:tc>
        <w:tc>
          <w:tcPr>
            <w:tcW w:w="3600" w:type="dxa"/>
            <w:vAlign w:val="center"/>
          </w:tcPr>
          <w:p>
            <w:pPr>
              <w:widowControl/>
              <w:spacing w:line="360" w:lineRule="auto"/>
              <w:jc w:val="lef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广一、白云泵业、上海熊猫等同档次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0" w:hRule="exact"/>
        </w:trPr>
        <w:tc>
          <w:tcPr>
            <w:tcW w:w="960" w:type="dxa"/>
            <w:vAlign w:val="center"/>
          </w:tcPr>
          <w:p>
            <w:pPr>
              <w:widowControl/>
              <w:spacing w:line="360" w:lineRule="auto"/>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16</w:t>
            </w:r>
          </w:p>
        </w:tc>
        <w:tc>
          <w:tcPr>
            <w:tcW w:w="3660" w:type="dxa"/>
            <w:vAlign w:val="center"/>
          </w:tcPr>
          <w:p>
            <w:pPr>
              <w:widowControl/>
              <w:spacing w:line="360" w:lineRule="auto"/>
              <w:jc w:val="lef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卫生器具</w:t>
            </w:r>
          </w:p>
        </w:tc>
        <w:tc>
          <w:tcPr>
            <w:tcW w:w="3600" w:type="dxa"/>
            <w:vAlign w:val="center"/>
          </w:tcPr>
          <w:p>
            <w:pPr>
              <w:widowControl/>
              <w:spacing w:line="360" w:lineRule="auto"/>
              <w:jc w:val="lef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鹰卫浴、箭牌、东鹏等同档次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0" w:hRule="exact"/>
        </w:trPr>
        <w:tc>
          <w:tcPr>
            <w:tcW w:w="960" w:type="dxa"/>
            <w:vAlign w:val="center"/>
          </w:tcPr>
          <w:p>
            <w:pPr>
              <w:widowControl/>
              <w:spacing w:line="360" w:lineRule="auto"/>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17</w:t>
            </w:r>
          </w:p>
        </w:tc>
        <w:tc>
          <w:tcPr>
            <w:tcW w:w="3660" w:type="dxa"/>
            <w:vAlign w:val="center"/>
          </w:tcPr>
          <w:p>
            <w:pPr>
              <w:widowControl/>
              <w:spacing w:line="360" w:lineRule="auto"/>
              <w:jc w:val="lef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消防器材</w:t>
            </w:r>
          </w:p>
        </w:tc>
        <w:tc>
          <w:tcPr>
            <w:tcW w:w="3600" w:type="dxa"/>
            <w:vAlign w:val="center"/>
          </w:tcPr>
          <w:p>
            <w:pPr>
              <w:widowControl/>
              <w:spacing w:line="360" w:lineRule="auto"/>
              <w:jc w:val="lef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广东胜捷、川消、泰昌等同档次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0" w:hRule="exact"/>
        </w:trPr>
        <w:tc>
          <w:tcPr>
            <w:tcW w:w="960" w:type="dxa"/>
            <w:vAlign w:val="center"/>
          </w:tcPr>
          <w:p>
            <w:pPr>
              <w:widowControl/>
              <w:spacing w:line="360" w:lineRule="auto"/>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18</w:t>
            </w:r>
          </w:p>
        </w:tc>
        <w:tc>
          <w:tcPr>
            <w:tcW w:w="3660" w:type="dxa"/>
            <w:vAlign w:val="center"/>
          </w:tcPr>
          <w:p>
            <w:pPr>
              <w:widowControl/>
              <w:spacing w:line="360" w:lineRule="auto"/>
              <w:jc w:val="lef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通风风机</w:t>
            </w:r>
          </w:p>
        </w:tc>
        <w:tc>
          <w:tcPr>
            <w:tcW w:w="3600" w:type="dxa"/>
            <w:vAlign w:val="center"/>
          </w:tcPr>
          <w:p>
            <w:pPr>
              <w:widowControl/>
              <w:spacing w:line="360" w:lineRule="auto"/>
              <w:jc w:val="lef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康美风、上虞风机、科风等同档次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0" w:hRule="exact"/>
        </w:trPr>
        <w:tc>
          <w:tcPr>
            <w:tcW w:w="960" w:type="dxa"/>
            <w:vAlign w:val="center"/>
          </w:tcPr>
          <w:p>
            <w:pPr>
              <w:widowControl/>
              <w:spacing w:line="360" w:lineRule="auto"/>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19</w:t>
            </w:r>
          </w:p>
        </w:tc>
        <w:tc>
          <w:tcPr>
            <w:tcW w:w="3660" w:type="dxa"/>
            <w:vAlign w:val="center"/>
          </w:tcPr>
          <w:p>
            <w:pPr>
              <w:widowControl/>
              <w:spacing w:line="360" w:lineRule="auto"/>
              <w:jc w:val="lef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百叶、防火阀</w:t>
            </w:r>
          </w:p>
        </w:tc>
        <w:tc>
          <w:tcPr>
            <w:tcW w:w="3600" w:type="dxa"/>
            <w:vAlign w:val="center"/>
          </w:tcPr>
          <w:p>
            <w:pPr>
              <w:widowControl/>
              <w:spacing w:line="360" w:lineRule="auto"/>
              <w:jc w:val="lef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科创、耀安、上虞等同档次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0" w:hRule="exact"/>
        </w:trPr>
        <w:tc>
          <w:tcPr>
            <w:tcW w:w="960" w:type="dxa"/>
            <w:vAlign w:val="center"/>
          </w:tcPr>
          <w:p>
            <w:pPr>
              <w:widowControl/>
              <w:spacing w:line="360" w:lineRule="auto"/>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20</w:t>
            </w:r>
          </w:p>
        </w:tc>
        <w:tc>
          <w:tcPr>
            <w:tcW w:w="3660" w:type="dxa"/>
          </w:tcPr>
          <w:p>
            <w:pPr>
              <w:widowControl/>
              <w:spacing w:line="360" w:lineRule="auto"/>
              <w:jc w:val="left"/>
              <w:textAlignment w:val="top"/>
              <w:rPr>
                <w:rFonts w:ascii="宋体" w:hAnsi="宋体" w:cs="宋体"/>
                <w:color w:val="auto"/>
                <w:sz w:val="24"/>
                <w:szCs w:val="24"/>
                <w:highlight w:val="none"/>
              </w:rPr>
            </w:pPr>
            <w:r>
              <w:rPr>
                <w:rFonts w:hint="eastAsia" w:ascii="宋体" w:hAnsi="宋体" w:cs="宋体"/>
                <w:color w:val="auto"/>
                <w:kern w:val="0"/>
                <w:sz w:val="24"/>
                <w:szCs w:val="24"/>
                <w:highlight w:val="none"/>
                <w:lang w:bidi="ar"/>
              </w:rPr>
              <w:t>发电机</w:t>
            </w:r>
          </w:p>
        </w:tc>
        <w:tc>
          <w:tcPr>
            <w:tcW w:w="3600" w:type="dxa"/>
          </w:tcPr>
          <w:p>
            <w:pPr>
              <w:widowControl/>
              <w:spacing w:line="360" w:lineRule="auto"/>
              <w:jc w:val="left"/>
              <w:textAlignment w:val="top"/>
              <w:rPr>
                <w:rFonts w:ascii="宋体" w:hAnsi="宋体" w:cs="宋体"/>
                <w:color w:val="auto"/>
                <w:sz w:val="24"/>
                <w:szCs w:val="24"/>
                <w:highlight w:val="none"/>
              </w:rPr>
            </w:pPr>
            <w:r>
              <w:rPr>
                <w:rFonts w:hint="eastAsia" w:ascii="宋体" w:hAnsi="宋体" w:cs="宋体"/>
                <w:color w:val="auto"/>
                <w:kern w:val="0"/>
                <w:sz w:val="24"/>
                <w:szCs w:val="24"/>
                <w:highlight w:val="none"/>
                <w:lang w:bidi="ar"/>
              </w:rPr>
              <w:t>康明斯等同档次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0" w:hRule="exact"/>
        </w:trPr>
        <w:tc>
          <w:tcPr>
            <w:tcW w:w="960" w:type="dxa"/>
            <w:vAlign w:val="center"/>
          </w:tcPr>
          <w:p>
            <w:pPr>
              <w:widowControl/>
              <w:spacing w:line="360" w:lineRule="auto"/>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21</w:t>
            </w:r>
          </w:p>
        </w:tc>
        <w:tc>
          <w:tcPr>
            <w:tcW w:w="3660" w:type="dxa"/>
            <w:vAlign w:val="center"/>
          </w:tcPr>
          <w:p>
            <w:pPr>
              <w:widowControl/>
              <w:spacing w:line="360" w:lineRule="auto"/>
              <w:jc w:val="lef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货梯</w:t>
            </w:r>
          </w:p>
        </w:tc>
        <w:tc>
          <w:tcPr>
            <w:tcW w:w="3600" w:type="dxa"/>
            <w:vAlign w:val="center"/>
          </w:tcPr>
          <w:p>
            <w:pPr>
              <w:widowControl/>
              <w:spacing w:line="360" w:lineRule="auto"/>
              <w:jc w:val="lef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广日等同档次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0" w:hRule="exact"/>
        </w:trPr>
        <w:tc>
          <w:tcPr>
            <w:tcW w:w="8220" w:type="dxa"/>
            <w:gridSpan w:val="3"/>
            <w:vAlign w:val="center"/>
          </w:tcPr>
          <w:p>
            <w:pPr>
              <w:spacing w:line="360" w:lineRule="auto"/>
              <w:rPr>
                <w:rFonts w:ascii="宋体" w:hAnsi="宋体" w:cs="宋体"/>
                <w:color w:val="auto"/>
                <w:sz w:val="24"/>
                <w:szCs w:val="24"/>
                <w:highlight w:val="none"/>
              </w:rPr>
            </w:pPr>
            <w:r>
              <w:rPr>
                <w:rFonts w:hint="eastAsia" w:ascii="宋体" w:hAnsi="宋体" w:cs="宋体"/>
                <w:color w:val="auto"/>
                <w:kern w:val="0"/>
                <w:sz w:val="24"/>
                <w:szCs w:val="24"/>
                <w:highlight w:val="none"/>
                <w:lang w:bidi="ar"/>
              </w:rPr>
              <w:tab/>
            </w:r>
            <w:r>
              <w:rPr>
                <w:rFonts w:hint="eastAsia" w:ascii="宋体" w:hAnsi="宋体" w:cs="宋体"/>
                <w:color w:val="auto"/>
                <w:sz w:val="24"/>
                <w:szCs w:val="24"/>
                <w:highlight w:val="none"/>
              </w:rPr>
              <w:t>以上品牌为参考品牌，可采用同档次更优产品</w:t>
            </w:r>
          </w:p>
          <w:p>
            <w:pPr>
              <w:widowControl/>
              <w:tabs>
                <w:tab w:val="left" w:pos="715"/>
              </w:tabs>
              <w:spacing w:line="360" w:lineRule="auto"/>
              <w:jc w:val="left"/>
              <w:textAlignment w:val="center"/>
              <w:rPr>
                <w:rFonts w:ascii="宋体" w:hAnsi="宋体" w:cs="宋体"/>
                <w:color w:val="auto"/>
                <w:kern w:val="0"/>
                <w:sz w:val="24"/>
                <w:szCs w:val="24"/>
                <w:highlight w:val="none"/>
                <w:lang w:bidi="ar"/>
              </w:rPr>
            </w:pPr>
          </w:p>
        </w:tc>
      </w:tr>
    </w:tbl>
    <w:p>
      <w:pPr>
        <w:topLinePunct/>
        <w:adjustRightInd w:val="0"/>
        <w:snapToGrid w:val="0"/>
        <w:spacing w:line="360" w:lineRule="auto"/>
        <w:ind w:firstLine="496" w:firstLineChars="200"/>
        <w:rPr>
          <w:rFonts w:ascii="宋体" w:hAnsi="宋体" w:cs="宋体"/>
          <w:snapToGrid w:val="0"/>
          <w:color w:val="auto"/>
          <w:spacing w:val="4"/>
          <w:kern w:val="0"/>
          <w:sz w:val="24"/>
          <w:szCs w:val="24"/>
          <w:highlight w:val="none"/>
        </w:rPr>
      </w:pPr>
      <w:r>
        <w:rPr>
          <w:rFonts w:hint="eastAsia" w:ascii="宋体" w:hAnsi="宋体" w:cs="宋体"/>
          <w:snapToGrid w:val="0"/>
          <w:color w:val="auto"/>
          <w:spacing w:val="4"/>
          <w:kern w:val="0"/>
          <w:sz w:val="24"/>
          <w:szCs w:val="24"/>
          <w:highlight w:val="none"/>
        </w:rPr>
        <w:t>12、材料采购的其他要求，详见合同条款相关约定。</w:t>
      </w:r>
    </w:p>
    <w:p>
      <w:pPr>
        <w:topLinePunct/>
        <w:adjustRightInd w:val="0"/>
        <w:snapToGrid w:val="0"/>
        <w:spacing w:line="360" w:lineRule="auto"/>
        <w:ind w:firstLine="496" w:firstLineChars="200"/>
        <w:rPr>
          <w:rFonts w:ascii="宋体" w:hAnsi="宋体" w:cs="宋体"/>
          <w:snapToGrid w:val="0"/>
          <w:color w:val="auto"/>
          <w:spacing w:val="4"/>
          <w:kern w:val="0"/>
          <w:sz w:val="24"/>
          <w:szCs w:val="24"/>
          <w:highlight w:val="none"/>
        </w:rPr>
      </w:pPr>
      <w:r>
        <w:rPr>
          <w:rFonts w:hint="eastAsia" w:ascii="宋体" w:hAnsi="宋体" w:cs="宋体"/>
          <w:snapToGrid w:val="0"/>
          <w:color w:val="auto"/>
          <w:spacing w:val="4"/>
          <w:kern w:val="0"/>
          <w:sz w:val="24"/>
          <w:szCs w:val="24"/>
          <w:highlight w:val="none"/>
        </w:rPr>
        <w:t>13、承包人及时提供材料检测数量，配合完成第三方检测方案。</w:t>
      </w:r>
    </w:p>
    <w:p>
      <w:pPr>
        <w:topLinePunct/>
        <w:adjustRightInd w:val="0"/>
        <w:snapToGrid w:val="0"/>
        <w:spacing w:line="360" w:lineRule="auto"/>
        <w:ind w:firstLine="496" w:firstLineChars="200"/>
        <w:rPr>
          <w:rFonts w:ascii="宋体" w:hAnsi="宋体" w:cs="宋体"/>
          <w:snapToGrid w:val="0"/>
          <w:color w:val="auto"/>
          <w:spacing w:val="4"/>
          <w:kern w:val="0"/>
          <w:sz w:val="24"/>
          <w:szCs w:val="24"/>
          <w:highlight w:val="none"/>
        </w:rPr>
      </w:pPr>
      <w:r>
        <w:rPr>
          <w:rFonts w:hint="eastAsia" w:ascii="宋体" w:hAnsi="宋体" w:cs="宋体"/>
          <w:snapToGrid w:val="0"/>
          <w:color w:val="auto"/>
          <w:spacing w:val="4"/>
          <w:kern w:val="0"/>
          <w:sz w:val="24"/>
          <w:szCs w:val="24"/>
          <w:highlight w:val="none"/>
        </w:rPr>
        <w:t>14、对重要工程材料、构配件、设备，承包人安排专人驻场跟踪，督促加工制作进度、质量，参与工序验收和出厂调试。</w:t>
      </w:r>
    </w:p>
    <w:p>
      <w:pPr>
        <w:keepNext/>
        <w:keepLines/>
        <w:spacing w:before="156" w:beforeLines="50" w:line="360" w:lineRule="auto"/>
        <w:jc w:val="left"/>
        <w:rPr>
          <w:rFonts w:ascii="宋体" w:hAnsi="宋体" w:cs="宋体"/>
          <w:b/>
          <w:snapToGrid w:val="0"/>
          <w:color w:val="auto"/>
          <w:spacing w:val="4"/>
          <w:kern w:val="0"/>
          <w:sz w:val="24"/>
          <w:szCs w:val="24"/>
          <w:highlight w:val="none"/>
        </w:rPr>
      </w:pPr>
      <w:bookmarkStart w:id="69" w:name="_Toc14697683"/>
      <w:r>
        <w:rPr>
          <w:rFonts w:hint="eastAsia" w:ascii="宋体" w:hAnsi="宋体" w:cs="宋体"/>
          <w:b/>
          <w:snapToGrid w:val="0"/>
          <w:color w:val="auto"/>
          <w:spacing w:val="4"/>
          <w:kern w:val="0"/>
          <w:sz w:val="24"/>
          <w:szCs w:val="24"/>
          <w:highlight w:val="none"/>
        </w:rPr>
        <w:t>（九）人员配置要求</w:t>
      </w:r>
      <w:bookmarkEnd w:id="69"/>
    </w:p>
    <w:p>
      <w:pPr>
        <w:topLinePunct/>
        <w:adjustRightInd w:val="0"/>
        <w:snapToGrid w:val="0"/>
        <w:spacing w:line="360" w:lineRule="auto"/>
        <w:ind w:firstLine="496" w:firstLineChars="200"/>
        <w:rPr>
          <w:rFonts w:ascii="宋体" w:hAnsi="宋体" w:cs="宋体"/>
          <w:snapToGrid w:val="0"/>
          <w:color w:val="auto"/>
          <w:spacing w:val="4"/>
          <w:kern w:val="0"/>
          <w:sz w:val="24"/>
          <w:szCs w:val="24"/>
          <w:highlight w:val="none"/>
        </w:rPr>
      </w:pPr>
      <w:r>
        <w:rPr>
          <w:rFonts w:hint="eastAsia" w:ascii="宋体" w:hAnsi="宋体" w:cs="宋体"/>
          <w:snapToGrid w:val="0"/>
          <w:color w:val="auto"/>
          <w:spacing w:val="4"/>
          <w:kern w:val="0"/>
          <w:sz w:val="24"/>
          <w:szCs w:val="24"/>
          <w:highlight w:val="none"/>
        </w:rPr>
        <w:t>1、要求施工单位进场即成立项目管理部负责工程现场施工管理工作。同时，为了确保在多单位交叉施工期间各专业施工队伍合理配合，有条不紊地开展施工，要求施工单位专门成立专职的团队负责履行施工总承包配合服务工作。</w:t>
      </w:r>
    </w:p>
    <w:p>
      <w:pPr>
        <w:topLinePunct/>
        <w:adjustRightInd w:val="0"/>
        <w:snapToGrid w:val="0"/>
        <w:spacing w:line="360" w:lineRule="auto"/>
        <w:ind w:firstLine="496" w:firstLineChars="200"/>
        <w:rPr>
          <w:rFonts w:ascii="宋体" w:hAnsi="宋体" w:cs="宋体"/>
          <w:snapToGrid w:val="0"/>
          <w:color w:val="auto"/>
          <w:spacing w:val="4"/>
          <w:kern w:val="0"/>
          <w:sz w:val="24"/>
          <w:szCs w:val="24"/>
          <w:highlight w:val="none"/>
        </w:rPr>
      </w:pPr>
      <w:r>
        <w:rPr>
          <w:rFonts w:hint="eastAsia" w:ascii="宋体" w:hAnsi="宋体" w:cs="宋体"/>
          <w:snapToGrid w:val="0"/>
          <w:color w:val="auto"/>
          <w:spacing w:val="4"/>
          <w:kern w:val="0"/>
          <w:sz w:val="24"/>
          <w:szCs w:val="24"/>
          <w:highlight w:val="none"/>
        </w:rPr>
        <w:t>2、要求组织对施工单位派驻现场的项目经理（项目负责人）的业务水平和技术水平进行面试考核。</w:t>
      </w:r>
    </w:p>
    <w:p>
      <w:pPr>
        <w:topLinePunct/>
        <w:adjustRightInd w:val="0"/>
        <w:snapToGrid w:val="0"/>
        <w:spacing w:line="360" w:lineRule="auto"/>
        <w:ind w:firstLine="496" w:firstLineChars="200"/>
        <w:rPr>
          <w:rFonts w:ascii="宋体" w:hAnsi="宋体" w:cs="宋体"/>
          <w:snapToGrid w:val="0"/>
          <w:color w:val="auto"/>
          <w:spacing w:val="4"/>
          <w:kern w:val="0"/>
          <w:sz w:val="24"/>
          <w:szCs w:val="24"/>
          <w:highlight w:val="none"/>
        </w:rPr>
      </w:pPr>
      <w:r>
        <w:rPr>
          <w:rFonts w:hint="eastAsia" w:ascii="宋体" w:hAnsi="宋体" w:cs="宋体"/>
          <w:snapToGrid w:val="0"/>
          <w:color w:val="auto"/>
          <w:spacing w:val="4"/>
          <w:kern w:val="0"/>
          <w:sz w:val="24"/>
          <w:szCs w:val="24"/>
          <w:highlight w:val="none"/>
        </w:rPr>
        <w:t>3、施工进场后1周之内，根据合同要求及现场实际情况，报审项目组织架构及项目人员组织实施计划。项目管理架构如需调整，需书面报监理单位及建设单位审核。</w:t>
      </w:r>
    </w:p>
    <w:p>
      <w:pPr>
        <w:topLinePunct/>
        <w:adjustRightInd w:val="0"/>
        <w:spacing w:line="360" w:lineRule="auto"/>
        <w:ind w:firstLine="496" w:firstLineChars="200"/>
        <w:rPr>
          <w:rFonts w:ascii="宋体" w:hAnsi="宋体" w:cs="宋体"/>
          <w:color w:val="auto"/>
          <w:spacing w:val="4"/>
          <w:kern w:val="0"/>
          <w:sz w:val="24"/>
          <w:szCs w:val="24"/>
          <w:highlight w:val="none"/>
        </w:rPr>
      </w:pPr>
      <w:r>
        <w:rPr>
          <w:rFonts w:hint="eastAsia" w:ascii="宋体" w:hAnsi="宋体" w:cs="宋体"/>
          <w:color w:val="auto"/>
          <w:spacing w:val="4"/>
          <w:kern w:val="0"/>
          <w:sz w:val="24"/>
          <w:szCs w:val="24"/>
          <w:highlight w:val="none"/>
        </w:rPr>
        <w:t>4、项目管理人员必须满足项目的配备要求，但根据工程的实施情况，如发现现场实施目标滞后于合同要求时，发包人可提出承包人增加相应的管理人员。</w:t>
      </w:r>
    </w:p>
    <w:p>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5、承包人依法分包项目的分包负责人、材料设备供应商负责人应按监理人、发包人要求，参加工程例会。如无故缺席，应按合同约定承担违约责任。</w:t>
      </w:r>
    </w:p>
    <w:p>
      <w:pPr>
        <w:topLinePunct/>
        <w:adjustRightInd w:val="0"/>
        <w:spacing w:line="360" w:lineRule="auto"/>
        <w:ind w:firstLine="199" w:firstLineChars="80"/>
        <w:rPr>
          <w:rFonts w:ascii="宋体" w:hAnsi="宋体" w:cs="宋体"/>
          <w:b/>
          <w:snapToGrid w:val="0"/>
          <w:color w:val="auto"/>
          <w:spacing w:val="4"/>
          <w:sz w:val="24"/>
          <w:szCs w:val="24"/>
          <w:highlight w:val="none"/>
        </w:rPr>
      </w:pPr>
      <w:bookmarkStart w:id="70" w:name="_Toc14697684"/>
      <w:r>
        <w:rPr>
          <w:rFonts w:hint="eastAsia" w:ascii="宋体" w:hAnsi="宋体" w:cs="宋体"/>
          <w:b/>
          <w:snapToGrid w:val="0"/>
          <w:color w:val="auto"/>
          <w:spacing w:val="4"/>
          <w:kern w:val="0"/>
          <w:sz w:val="24"/>
          <w:szCs w:val="24"/>
          <w:highlight w:val="none"/>
        </w:rPr>
        <w:t>（十）</w:t>
      </w:r>
      <w:bookmarkEnd w:id="70"/>
      <w:r>
        <w:rPr>
          <w:rFonts w:hint="eastAsia" w:ascii="宋体" w:hAnsi="宋体" w:cs="宋体"/>
          <w:b/>
          <w:snapToGrid w:val="0"/>
          <w:color w:val="auto"/>
          <w:spacing w:val="4"/>
          <w:kern w:val="0"/>
          <w:sz w:val="24"/>
          <w:szCs w:val="24"/>
          <w:highlight w:val="none"/>
        </w:rPr>
        <w:t>主要机械设备配置及</w:t>
      </w:r>
      <w:bookmarkStart w:id="71" w:name="_Toc426030459"/>
      <w:bookmarkStart w:id="72" w:name="_Toc403566292"/>
      <w:bookmarkStart w:id="73" w:name="_Toc464131263"/>
      <w:r>
        <w:rPr>
          <w:rFonts w:hint="eastAsia" w:ascii="宋体" w:hAnsi="宋体" w:cs="宋体"/>
          <w:b/>
          <w:snapToGrid w:val="0"/>
          <w:color w:val="auto"/>
          <w:spacing w:val="4"/>
          <w:kern w:val="0"/>
          <w:sz w:val="24"/>
          <w:szCs w:val="24"/>
          <w:highlight w:val="none"/>
        </w:rPr>
        <w:t>管理要求</w:t>
      </w:r>
    </w:p>
    <w:bookmarkEnd w:id="71"/>
    <w:bookmarkEnd w:id="72"/>
    <w:bookmarkEnd w:id="73"/>
    <w:p>
      <w:pPr>
        <w:topLinePunct/>
        <w:adjustRightInd w:val="0"/>
        <w:spacing w:line="360" w:lineRule="auto"/>
        <w:ind w:firstLine="496" w:firstLineChars="200"/>
        <w:rPr>
          <w:rFonts w:ascii="宋体" w:hAnsi="宋体" w:cs="宋体"/>
          <w:snapToGrid w:val="0"/>
          <w:color w:val="auto"/>
          <w:spacing w:val="4"/>
          <w:sz w:val="24"/>
          <w:szCs w:val="24"/>
          <w:highlight w:val="none"/>
        </w:rPr>
      </w:pPr>
      <w:bookmarkStart w:id="74" w:name="_Hlk507788989"/>
      <w:r>
        <w:rPr>
          <w:rFonts w:hint="eastAsia" w:ascii="宋体" w:hAnsi="宋体" w:cs="宋体"/>
          <w:snapToGrid w:val="0"/>
          <w:color w:val="auto"/>
          <w:spacing w:val="4"/>
          <w:sz w:val="24"/>
          <w:szCs w:val="24"/>
          <w:highlight w:val="none"/>
        </w:rPr>
        <w:t>1、</w:t>
      </w:r>
      <w:bookmarkEnd w:id="74"/>
      <w:r>
        <w:rPr>
          <w:rFonts w:hint="eastAsia" w:ascii="宋体" w:hAnsi="宋体" w:cs="宋体"/>
          <w:snapToGrid w:val="0"/>
          <w:color w:val="auto"/>
          <w:spacing w:val="4"/>
          <w:sz w:val="24"/>
          <w:szCs w:val="24"/>
          <w:highlight w:val="none"/>
        </w:rPr>
        <w:t>投标人根据本项目工程的特点，结合本企业的实力和资源情况配备。</w:t>
      </w:r>
    </w:p>
    <w:p>
      <w:pPr>
        <w:topLinePunct/>
        <w:adjustRightInd w:val="0"/>
        <w:spacing w:line="360" w:lineRule="auto"/>
        <w:ind w:firstLine="496" w:firstLineChars="200"/>
        <w:rPr>
          <w:rFonts w:ascii="宋体" w:hAnsi="宋体" w:cs="宋体"/>
          <w:snapToGrid w:val="0"/>
          <w:color w:val="auto"/>
          <w:spacing w:val="4"/>
          <w:sz w:val="24"/>
          <w:szCs w:val="24"/>
          <w:highlight w:val="none"/>
        </w:rPr>
      </w:pPr>
      <w:r>
        <w:rPr>
          <w:rFonts w:hint="eastAsia" w:ascii="宋体" w:hAnsi="宋体" w:cs="宋体"/>
          <w:snapToGrid w:val="0"/>
          <w:color w:val="auto"/>
          <w:spacing w:val="4"/>
          <w:sz w:val="24"/>
          <w:szCs w:val="24"/>
          <w:highlight w:val="none"/>
        </w:rPr>
        <w:t>2、管理基本要求</w:t>
      </w:r>
    </w:p>
    <w:p>
      <w:pPr>
        <w:topLinePunct/>
        <w:adjustRightInd w:val="0"/>
        <w:spacing w:line="360" w:lineRule="auto"/>
        <w:ind w:firstLine="496" w:firstLineChars="200"/>
        <w:rPr>
          <w:rFonts w:ascii="宋体" w:hAnsi="宋体" w:cs="宋体"/>
          <w:snapToGrid w:val="0"/>
          <w:color w:val="auto"/>
          <w:spacing w:val="4"/>
          <w:sz w:val="24"/>
          <w:szCs w:val="24"/>
          <w:highlight w:val="none"/>
        </w:rPr>
      </w:pPr>
      <w:r>
        <w:rPr>
          <w:rFonts w:hint="eastAsia" w:ascii="宋体" w:hAnsi="宋体" w:cs="宋体"/>
          <w:snapToGrid w:val="0"/>
          <w:color w:val="auto"/>
          <w:spacing w:val="4"/>
          <w:sz w:val="24"/>
          <w:szCs w:val="24"/>
          <w:highlight w:val="none"/>
        </w:rPr>
        <w:t>（1）承包人进场后必须按合同约定时间提交机械设备进场计划，确保机械设备来源可靠，按期进场。</w:t>
      </w:r>
    </w:p>
    <w:p>
      <w:pPr>
        <w:topLinePunct/>
        <w:adjustRightInd w:val="0"/>
        <w:spacing w:line="360" w:lineRule="auto"/>
        <w:ind w:firstLine="496" w:firstLineChars="200"/>
        <w:rPr>
          <w:rFonts w:ascii="宋体" w:hAnsi="宋体" w:cs="宋体"/>
          <w:snapToGrid w:val="0"/>
          <w:color w:val="auto"/>
          <w:spacing w:val="4"/>
          <w:sz w:val="24"/>
          <w:szCs w:val="24"/>
          <w:highlight w:val="none"/>
        </w:rPr>
      </w:pPr>
      <w:r>
        <w:rPr>
          <w:rFonts w:hint="eastAsia" w:ascii="宋体" w:hAnsi="宋体" w:cs="宋体"/>
          <w:snapToGrid w:val="0"/>
          <w:color w:val="auto"/>
          <w:spacing w:val="4"/>
          <w:sz w:val="24"/>
          <w:szCs w:val="24"/>
          <w:highlight w:val="none"/>
        </w:rPr>
        <w:t>（2）承包人必须确保机械设备的性能良好，可正常使用。对于影响工程进度较大的主要机械设备，必须有一定备用量，确保在机械设备检修或维护期间，现场仍能正常施工，确保进度。</w:t>
      </w:r>
    </w:p>
    <w:p>
      <w:pPr>
        <w:topLinePunct/>
        <w:adjustRightInd w:val="0"/>
        <w:spacing w:line="360" w:lineRule="auto"/>
        <w:ind w:firstLine="496" w:firstLineChars="200"/>
        <w:rPr>
          <w:rFonts w:ascii="宋体" w:hAnsi="宋体" w:cs="宋体"/>
          <w:snapToGrid w:val="0"/>
          <w:color w:val="auto"/>
          <w:spacing w:val="4"/>
          <w:sz w:val="24"/>
          <w:szCs w:val="24"/>
          <w:highlight w:val="none"/>
        </w:rPr>
      </w:pPr>
      <w:r>
        <w:rPr>
          <w:rFonts w:hint="eastAsia" w:ascii="宋体" w:hAnsi="宋体" w:cs="宋体"/>
          <w:snapToGrid w:val="0"/>
          <w:color w:val="auto"/>
          <w:spacing w:val="4"/>
          <w:sz w:val="24"/>
          <w:szCs w:val="24"/>
          <w:highlight w:val="none"/>
        </w:rPr>
        <w:t>（3）为确保工程进度，承包人必须无条件增加机械设备的投入，除合同约定有赶工措施费外，发包人不另行增加相关费用。</w:t>
      </w:r>
    </w:p>
    <w:p>
      <w:pPr>
        <w:topLinePunct/>
        <w:adjustRightInd w:val="0"/>
        <w:spacing w:line="360" w:lineRule="auto"/>
        <w:ind w:firstLine="496" w:firstLineChars="200"/>
        <w:rPr>
          <w:rFonts w:ascii="宋体" w:hAnsi="宋体" w:cs="宋体"/>
          <w:snapToGrid w:val="0"/>
          <w:color w:val="auto"/>
          <w:spacing w:val="4"/>
          <w:sz w:val="24"/>
          <w:szCs w:val="24"/>
          <w:highlight w:val="none"/>
        </w:rPr>
      </w:pPr>
      <w:r>
        <w:rPr>
          <w:rFonts w:hint="eastAsia" w:ascii="宋体" w:hAnsi="宋体" w:cs="宋体"/>
          <w:snapToGrid w:val="0"/>
          <w:color w:val="auto"/>
          <w:spacing w:val="4"/>
          <w:sz w:val="24"/>
          <w:szCs w:val="24"/>
          <w:highlight w:val="none"/>
        </w:rPr>
        <w:t>（4）</w:t>
      </w:r>
      <w:r>
        <w:rPr>
          <w:rFonts w:hint="eastAsia" w:ascii="宋体" w:hAnsi="宋体" w:cs="宋体"/>
          <w:color w:val="auto"/>
          <w:sz w:val="24"/>
          <w:szCs w:val="24"/>
          <w:highlight w:val="none"/>
        </w:rPr>
        <w:t>为确保工程进度，承包人必须无条件增加机械设备的投入，除合同约定有赶工措施费外，发包人不另行增加相关费用。</w:t>
      </w:r>
    </w:p>
    <w:p>
      <w:pPr>
        <w:topLinePunct/>
        <w:adjustRightInd w:val="0"/>
        <w:spacing w:line="360" w:lineRule="auto"/>
        <w:ind w:firstLine="496" w:firstLineChars="200"/>
        <w:rPr>
          <w:rFonts w:ascii="宋体" w:hAnsi="宋体" w:cs="宋体"/>
          <w:snapToGrid w:val="0"/>
          <w:color w:val="auto"/>
          <w:spacing w:val="4"/>
          <w:sz w:val="24"/>
          <w:szCs w:val="24"/>
          <w:highlight w:val="none"/>
        </w:rPr>
      </w:pPr>
      <w:r>
        <w:rPr>
          <w:rFonts w:hint="eastAsia" w:ascii="宋体" w:hAnsi="宋体" w:cs="宋体"/>
          <w:snapToGrid w:val="0"/>
          <w:color w:val="auto"/>
          <w:spacing w:val="4"/>
          <w:sz w:val="24"/>
          <w:szCs w:val="24"/>
          <w:highlight w:val="none"/>
        </w:rPr>
        <w:t>（5）</w:t>
      </w:r>
      <w:r>
        <w:rPr>
          <w:rFonts w:hint="eastAsia" w:ascii="宋体" w:hAnsi="宋体" w:cs="宋体"/>
          <w:color w:val="auto"/>
          <w:sz w:val="24"/>
          <w:szCs w:val="24"/>
          <w:highlight w:val="none"/>
        </w:rPr>
        <w:t>根据市相关行政主管部门要求，工地扬尘及噪音控制必须配备相应的设备措施，承包人应根据具体施工组织方案确保投入。</w:t>
      </w:r>
    </w:p>
    <w:p>
      <w:pPr>
        <w:keepNext/>
        <w:keepLines/>
        <w:spacing w:line="360" w:lineRule="auto"/>
        <w:rPr>
          <w:rFonts w:ascii="宋体" w:hAnsi="宋体" w:cs="宋体"/>
          <w:b/>
          <w:snapToGrid w:val="0"/>
          <w:color w:val="auto"/>
          <w:spacing w:val="4"/>
          <w:kern w:val="0"/>
          <w:sz w:val="24"/>
          <w:szCs w:val="24"/>
          <w:highlight w:val="none"/>
        </w:rPr>
      </w:pPr>
      <w:bookmarkStart w:id="75" w:name="_Toc523742908"/>
      <w:bookmarkStart w:id="76" w:name="_Toc519689935"/>
      <w:r>
        <w:rPr>
          <w:rFonts w:hint="eastAsia" w:ascii="宋体" w:hAnsi="宋体" w:cs="宋体"/>
          <w:b/>
          <w:snapToGrid w:val="0"/>
          <w:color w:val="auto"/>
          <w:spacing w:val="4"/>
          <w:kern w:val="0"/>
          <w:sz w:val="24"/>
          <w:szCs w:val="24"/>
          <w:highlight w:val="none"/>
        </w:rPr>
        <w:t>（</w:t>
      </w:r>
      <w:bookmarkStart w:id="77" w:name="_Toc415757306"/>
      <w:r>
        <w:rPr>
          <w:rFonts w:hint="eastAsia" w:ascii="宋体" w:hAnsi="宋体" w:cs="宋体"/>
          <w:b/>
          <w:snapToGrid w:val="0"/>
          <w:color w:val="auto"/>
          <w:spacing w:val="4"/>
          <w:kern w:val="0"/>
          <w:sz w:val="24"/>
          <w:szCs w:val="24"/>
          <w:highlight w:val="none"/>
        </w:rPr>
        <w:t>十一）</w:t>
      </w:r>
      <w:bookmarkEnd w:id="75"/>
      <w:bookmarkEnd w:id="76"/>
      <w:bookmarkEnd w:id="77"/>
      <w:r>
        <w:rPr>
          <w:rFonts w:hint="eastAsia" w:ascii="宋体" w:hAnsi="宋体" w:cs="宋体"/>
          <w:b/>
          <w:snapToGrid w:val="0"/>
          <w:color w:val="auto"/>
          <w:spacing w:val="4"/>
          <w:kern w:val="0"/>
          <w:sz w:val="24"/>
          <w:szCs w:val="24"/>
          <w:highlight w:val="none"/>
        </w:rPr>
        <w:t>工程造价（结算）管理要求</w:t>
      </w:r>
    </w:p>
    <w:p>
      <w:pPr>
        <w:adjustRightInd w:val="0"/>
        <w:spacing w:line="360" w:lineRule="auto"/>
        <w:ind w:firstLine="496" w:firstLineChars="200"/>
        <w:rPr>
          <w:rFonts w:ascii="宋体" w:hAnsi="宋体" w:cs="宋体"/>
          <w:snapToGrid w:val="0"/>
          <w:color w:val="auto"/>
          <w:spacing w:val="4"/>
          <w:sz w:val="24"/>
          <w:szCs w:val="24"/>
          <w:highlight w:val="none"/>
        </w:rPr>
      </w:pPr>
      <w:r>
        <w:rPr>
          <w:rFonts w:hint="eastAsia" w:ascii="宋体" w:hAnsi="宋体" w:cs="宋体"/>
          <w:snapToGrid w:val="0"/>
          <w:color w:val="auto"/>
          <w:spacing w:val="4"/>
          <w:sz w:val="24"/>
          <w:szCs w:val="24"/>
          <w:highlight w:val="none"/>
        </w:rPr>
        <w:t>承包人应按发包人要求派出足够的、有能力的造价人员负责结算工作。若派出的造价人员不足或不能胜任结算工作，承包人应按发包人的要求及时更换，直至满足发包人要求为止。</w:t>
      </w:r>
    </w:p>
    <w:p>
      <w:pPr>
        <w:keepNext/>
        <w:keepLines/>
        <w:spacing w:line="360" w:lineRule="auto"/>
        <w:rPr>
          <w:rFonts w:ascii="宋体" w:hAnsi="宋体" w:cs="宋体"/>
          <w:b/>
          <w:snapToGrid w:val="0"/>
          <w:color w:val="auto"/>
          <w:spacing w:val="4"/>
          <w:kern w:val="0"/>
          <w:sz w:val="24"/>
          <w:szCs w:val="24"/>
          <w:highlight w:val="none"/>
        </w:rPr>
      </w:pPr>
      <w:r>
        <w:rPr>
          <w:rFonts w:hint="eastAsia" w:ascii="宋体" w:hAnsi="宋体" w:cs="宋体"/>
          <w:b/>
          <w:snapToGrid w:val="0"/>
          <w:color w:val="auto"/>
          <w:spacing w:val="4"/>
          <w:kern w:val="0"/>
          <w:sz w:val="24"/>
          <w:szCs w:val="24"/>
          <w:highlight w:val="none"/>
        </w:rPr>
        <w:t>（十二）其它要求及相关提示</w:t>
      </w:r>
    </w:p>
    <w:p>
      <w:pPr>
        <w:topLinePunct/>
        <w:adjustRightInd w:val="0"/>
        <w:snapToGrid w:val="0"/>
        <w:spacing w:line="360" w:lineRule="auto"/>
        <w:ind w:firstLine="496" w:firstLineChars="200"/>
        <w:rPr>
          <w:rFonts w:ascii="宋体" w:hAnsi="宋体" w:cs="宋体"/>
          <w:color w:val="auto"/>
          <w:spacing w:val="4"/>
          <w:kern w:val="0"/>
          <w:sz w:val="24"/>
          <w:szCs w:val="24"/>
          <w:highlight w:val="none"/>
        </w:rPr>
      </w:pPr>
      <w:r>
        <w:rPr>
          <w:rFonts w:hint="eastAsia" w:ascii="宋体" w:hAnsi="宋体" w:cs="宋体"/>
          <w:color w:val="auto"/>
          <w:spacing w:val="4"/>
          <w:kern w:val="0"/>
          <w:sz w:val="24"/>
          <w:szCs w:val="24"/>
          <w:highlight w:val="none"/>
        </w:rPr>
        <w:t>（一）施工期间承包人需确保设计、监理等单位办公生活区的正常办公及生活需求。</w:t>
      </w:r>
    </w:p>
    <w:p>
      <w:pPr>
        <w:topLinePunct/>
        <w:adjustRightInd w:val="0"/>
        <w:snapToGrid w:val="0"/>
        <w:spacing w:line="360" w:lineRule="auto"/>
        <w:ind w:firstLine="496" w:firstLineChars="200"/>
        <w:rPr>
          <w:rFonts w:ascii="宋体" w:hAnsi="宋体" w:cs="宋体"/>
          <w:color w:val="auto"/>
          <w:spacing w:val="4"/>
          <w:kern w:val="0"/>
          <w:sz w:val="24"/>
          <w:szCs w:val="24"/>
          <w:highlight w:val="none"/>
        </w:rPr>
      </w:pPr>
      <w:r>
        <w:rPr>
          <w:rFonts w:hint="eastAsia" w:ascii="宋体" w:hAnsi="宋体" w:cs="宋体"/>
          <w:color w:val="auto"/>
          <w:spacing w:val="4"/>
          <w:kern w:val="0"/>
          <w:sz w:val="24"/>
          <w:szCs w:val="24"/>
          <w:highlight w:val="none"/>
        </w:rPr>
        <w:t>（二）本工程完工后至房建施工单位进场前，本工程承包人应委派专人负责施工场地内的安保、监测、抽水、排水及日常维护等相关工作，相关的费用投标时综合考虑，不再另行计量、支付。</w:t>
      </w:r>
    </w:p>
    <w:p>
      <w:pPr>
        <w:topLinePunct/>
        <w:adjustRightInd w:val="0"/>
        <w:snapToGrid w:val="0"/>
        <w:spacing w:line="360" w:lineRule="auto"/>
        <w:ind w:firstLine="496" w:firstLineChars="200"/>
        <w:rPr>
          <w:rFonts w:ascii="宋体" w:hAnsi="宋体" w:cs="宋体"/>
          <w:color w:val="auto"/>
          <w:spacing w:val="4"/>
          <w:kern w:val="0"/>
          <w:sz w:val="24"/>
          <w:szCs w:val="24"/>
          <w:highlight w:val="none"/>
        </w:rPr>
      </w:pPr>
      <w:r>
        <w:rPr>
          <w:rFonts w:hint="eastAsia" w:ascii="宋体" w:hAnsi="宋体" w:cs="宋体"/>
          <w:color w:val="auto"/>
          <w:spacing w:val="4"/>
          <w:kern w:val="0"/>
          <w:sz w:val="24"/>
          <w:szCs w:val="24"/>
          <w:highlight w:val="none"/>
        </w:rPr>
        <w:t>（三）施工现场临设布置及配合服务主要内容</w:t>
      </w:r>
    </w:p>
    <w:p>
      <w:pPr>
        <w:topLinePunct/>
        <w:adjustRightInd w:val="0"/>
        <w:snapToGrid w:val="0"/>
        <w:spacing w:line="360" w:lineRule="auto"/>
        <w:ind w:firstLine="496" w:firstLineChars="200"/>
        <w:rPr>
          <w:rFonts w:ascii="宋体" w:hAnsi="宋体" w:cs="宋体"/>
          <w:color w:val="auto"/>
          <w:spacing w:val="4"/>
          <w:kern w:val="0"/>
          <w:sz w:val="24"/>
          <w:szCs w:val="24"/>
          <w:highlight w:val="none"/>
        </w:rPr>
      </w:pPr>
      <w:r>
        <w:rPr>
          <w:rFonts w:hint="eastAsia" w:ascii="宋体" w:hAnsi="宋体" w:cs="宋体"/>
          <w:color w:val="auto"/>
          <w:spacing w:val="4"/>
          <w:kern w:val="0"/>
          <w:sz w:val="24"/>
          <w:szCs w:val="24"/>
          <w:highlight w:val="none"/>
        </w:rPr>
        <w:t>1、临建搭设：承包人根据发包人的相关要求进行临设的布置，具体安排由监理单位管理、协调。承包人应在工程实施期间为发包人（含监理人）驻现场办公提供办公用房及相应配套设施的改造（配套设施应满足项目的实际需要）。实施前，承包人应编制施工方案报发包人审核，发包人审核同意后方可实施。</w:t>
      </w:r>
    </w:p>
    <w:p>
      <w:pPr>
        <w:topLinePunct/>
        <w:adjustRightInd w:val="0"/>
        <w:snapToGrid w:val="0"/>
        <w:spacing w:line="360" w:lineRule="auto"/>
        <w:ind w:firstLine="496" w:firstLineChars="200"/>
        <w:rPr>
          <w:rFonts w:ascii="宋体" w:hAnsi="宋体" w:cs="宋体"/>
          <w:color w:val="auto"/>
          <w:spacing w:val="4"/>
          <w:kern w:val="0"/>
          <w:sz w:val="24"/>
          <w:szCs w:val="24"/>
          <w:highlight w:val="none"/>
        </w:rPr>
      </w:pPr>
      <w:r>
        <w:rPr>
          <w:rFonts w:hint="eastAsia" w:ascii="宋体" w:hAnsi="宋体" w:cs="宋体"/>
          <w:color w:val="auto"/>
          <w:spacing w:val="4"/>
          <w:kern w:val="0"/>
          <w:sz w:val="24"/>
          <w:szCs w:val="24"/>
          <w:highlight w:val="none"/>
        </w:rPr>
        <w:t>2、承包人负责办理工程施工开工及验收所涉及报批报建、报装、报监、报验等各项手续的办理。包括但不限于施工许可、质量监督、安全监督、临时施工给排水、施工废弃物排放、特种设备安装告知和准用登记等许可手续施工许可证（或临时施工许可证）、占用（挖掘、移动、改建）城市市政设施的许可审批（包括新开或改建出入道路路口）、交通疏解及安全论证、余泥排放证、排污手续、给排水接驳、排水许可证、排污口规范化等，并承担办理上述手续的相关费用。</w:t>
      </w:r>
    </w:p>
    <w:p>
      <w:pPr>
        <w:topLinePunct/>
        <w:adjustRightInd w:val="0"/>
        <w:snapToGrid w:val="0"/>
        <w:spacing w:line="360" w:lineRule="auto"/>
        <w:ind w:firstLine="496" w:firstLineChars="200"/>
        <w:rPr>
          <w:rFonts w:ascii="宋体" w:hAnsi="宋体" w:cs="宋体"/>
          <w:color w:val="auto"/>
          <w:spacing w:val="4"/>
          <w:kern w:val="0"/>
          <w:sz w:val="24"/>
          <w:szCs w:val="24"/>
          <w:highlight w:val="none"/>
        </w:rPr>
      </w:pPr>
      <w:r>
        <w:rPr>
          <w:rFonts w:hint="eastAsia" w:ascii="宋体" w:hAnsi="宋体" w:cs="宋体"/>
          <w:color w:val="auto"/>
          <w:spacing w:val="4"/>
          <w:kern w:val="0"/>
          <w:sz w:val="24"/>
          <w:szCs w:val="24"/>
          <w:highlight w:val="none"/>
        </w:rPr>
        <w:t>3、材料堆场设置：承包人根据工程设计总平面布置图进行材料堆场的布置，具体安排由监理单位管理、协调。</w:t>
      </w:r>
    </w:p>
    <w:p>
      <w:pPr>
        <w:topLinePunct/>
        <w:adjustRightInd w:val="0"/>
        <w:snapToGrid w:val="0"/>
        <w:spacing w:line="360" w:lineRule="auto"/>
        <w:ind w:firstLine="496" w:firstLineChars="200"/>
        <w:rPr>
          <w:rFonts w:ascii="宋体" w:hAnsi="宋体" w:cs="宋体"/>
          <w:color w:val="auto"/>
          <w:spacing w:val="4"/>
          <w:kern w:val="0"/>
          <w:sz w:val="24"/>
          <w:szCs w:val="24"/>
          <w:highlight w:val="none"/>
        </w:rPr>
      </w:pPr>
      <w:r>
        <w:rPr>
          <w:rFonts w:hint="eastAsia" w:ascii="宋体" w:hAnsi="宋体" w:cs="宋体"/>
          <w:color w:val="auto"/>
          <w:spacing w:val="4"/>
          <w:kern w:val="0"/>
          <w:sz w:val="24"/>
          <w:szCs w:val="24"/>
          <w:highlight w:val="none"/>
        </w:rPr>
        <w:t>4、承包人负责现场安全保卫（包括且不限于办公区、生活区、现场门禁、视频监控等）、社区周边关系（包括且不限于环保、环卫、城管、街道、安监、公安、交警等部门）协调等现场综合管理；</w:t>
      </w:r>
    </w:p>
    <w:p>
      <w:pPr>
        <w:topLinePunct/>
        <w:adjustRightInd w:val="0"/>
        <w:snapToGrid w:val="0"/>
        <w:spacing w:line="360" w:lineRule="auto"/>
        <w:ind w:firstLine="496" w:firstLineChars="200"/>
        <w:rPr>
          <w:rFonts w:ascii="宋体" w:hAnsi="宋体" w:cs="宋体"/>
          <w:color w:val="auto"/>
          <w:spacing w:val="4"/>
          <w:kern w:val="0"/>
          <w:sz w:val="24"/>
          <w:szCs w:val="24"/>
          <w:highlight w:val="none"/>
        </w:rPr>
      </w:pPr>
      <w:r>
        <w:rPr>
          <w:rFonts w:hint="eastAsia" w:ascii="宋体" w:hAnsi="宋体" w:cs="宋体"/>
          <w:color w:val="auto"/>
          <w:spacing w:val="4"/>
          <w:kern w:val="0"/>
          <w:sz w:val="24"/>
          <w:szCs w:val="24"/>
          <w:highlight w:val="none"/>
        </w:rPr>
        <w:t>5、承包人负责现场公共临时设施（包括且不限于应急发电机、施工临时消防设施、施工临时排水等）、公共安全防护和文明施工设施的管理及维护。</w:t>
      </w:r>
    </w:p>
    <w:p>
      <w:pPr>
        <w:spacing w:line="360" w:lineRule="auto"/>
        <w:rPr>
          <w:rFonts w:ascii="宋体" w:hAnsi="宋体" w:cs="宋体"/>
          <w:color w:val="auto"/>
          <w:sz w:val="24"/>
          <w:szCs w:val="24"/>
          <w:highlight w:val="none"/>
        </w:rPr>
      </w:pPr>
    </w:p>
    <w:p>
      <w:pPr>
        <w:spacing w:line="360" w:lineRule="auto"/>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三、施工组织设计要点</w:t>
      </w:r>
    </w:p>
    <w:p>
      <w:pPr>
        <w:topLinePunct/>
        <w:adjustRightInd w:val="0"/>
        <w:snapToGrid w:val="0"/>
        <w:spacing w:line="360" w:lineRule="auto"/>
        <w:ind w:firstLine="496" w:firstLineChars="200"/>
        <w:rPr>
          <w:rFonts w:ascii="宋体" w:hAnsi="宋体" w:cs="宋体"/>
          <w:color w:val="auto"/>
          <w:spacing w:val="4"/>
          <w:sz w:val="24"/>
          <w:szCs w:val="24"/>
          <w:highlight w:val="none"/>
        </w:rPr>
      </w:pPr>
      <w:r>
        <w:rPr>
          <w:rFonts w:hint="eastAsia" w:ascii="宋体" w:hAnsi="宋体" w:cs="宋体"/>
          <w:color w:val="auto"/>
          <w:spacing w:val="4"/>
          <w:sz w:val="24"/>
          <w:szCs w:val="24"/>
          <w:highlight w:val="none"/>
        </w:rPr>
        <w:t>由承包人有针对性的描述，各部分文字直接简炼，不得出现大量宣传性及无实质性意义或直接引用范本照搬照套的文字。</w:t>
      </w:r>
    </w:p>
    <w:p>
      <w:pPr>
        <w:topLinePunct/>
        <w:adjustRightInd w:val="0"/>
        <w:snapToGrid w:val="0"/>
        <w:spacing w:line="360" w:lineRule="auto"/>
        <w:ind w:firstLine="496" w:firstLineChars="200"/>
        <w:rPr>
          <w:rFonts w:ascii="宋体" w:hAnsi="宋体" w:cs="宋体"/>
          <w:color w:val="auto"/>
          <w:spacing w:val="4"/>
          <w:sz w:val="24"/>
          <w:szCs w:val="24"/>
          <w:highlight w:val="none"/>
        </w:rPr>
      </w:pPr>
      <w:r>
        <w:rPr>
          <w:rFonts w:hint="eastAsia" w:ascii="宋体" w:hAnsi="宋体" w:cs="宋体"/>
          <w:color w:val="auto"/>
          <w:spacing w:val="4"/>
          <w:sz w:val="24"/>
          <w:szCs w:val="24"/>
          <w:highlight w:val="none"/>
        </w:rPr>
        <w:t>施工组织设计包括但不限于以下方面内容：</w:t>
      </w:r>
    </w:p>
    <w:p>
      <w:pPr>
        <w:topLinePunct/>
        <w:adjustRightInd w:val="0"/>
        <w:snapToGrid w:val="0"/>
        <w:spacing w:line="360" w:lineRule="auto"/>
        <w:ind w:firstLine="496" w:firstLineChars="200"/>
        <w:rPr>
          <w:rFonts w:ascii="宋体" w:hAnsi="宋体" w:cs="宋体"/>
          <w:snapToGrid w:val="0"/>
          <w:color w:val="auto"/>
          <w:spacing w:val="4"/>
          <w:sz w:val="24"/>
          <w:szCs w:val="24"/>
          <w:highlight w:val="none"/>
        </w:rPr>
      </w:pPr>
      <w:r>
        <w:rPr>
          <w:rFonts w:hint="eastAsia" w:ascii="宋体" w:hAnsi="宋体" w:cs="宋体"/>
          <w:snapToGrid w:val="0"/>
          <w:color w:val="auto"/>
          <w:spacing w:val="4"/>
          <w:sz w:val="24"/>
          <w:szCs w:val="24"/>
          <w:highlight w:val="none"/>
        </w:rPr>
        <w:t>（一）工程概况</w:t>
      </w:r>
    </w:p>
    <w:p>
      <w:pPr>
        <w:topLinePunct/>
        <w:adjustRightInd w:val="0"/>
        <w:snapToGrid w:val="0"/>
        <w:spacing w:line="360" w:lineRule="auto"/>
        <w:ind w:firstLine="496" w:firstLineChars="200"/>
        <w:rPr>
          <w:rFonts w:ascii="宋体" w:hAnsi="宋体" w:cs="宋体"/>
          <w:snapToGrid w:val="0"/>
          <w:color w:val="auto"/>
          <w:spacing w:val="4"/>
          <w:sz w:val="24"/>
          <w:szCs w:val="24"/>
          <w:highlight w:val="none"/>
        </w:rPr>
      </w:pPr>
      <w:r>
        <w:rPr>
          <w:rFonts w:hint="eastAsia" w:ascii="宋体" w:hAnsi="宋体" w:cs="宋体"/>
          <w:snapToGrid w:val="0"/>
          <w:color w:val="auto"/>
          <w:spacing w:val="4"/>
          <w:sz w:val="24"/>
          <w:szCs w:val="24"/>
          <w:highlight w:val="none"/>
        </w:rPr>
        <w:t>（二）项目实施条件分析</w:t>
      </w:r>
    </w:p>
    <w:p>
      <w:pPr>
        <w:topLinePunct/>
        <w:adjustRightInd w:val="0"/>
        <w:snapToGrid w:val="0"/>
        <w:spacing w:line="360" w:lineRule="auto"/>
        <w:ind w:firstLine="496" w:firstLineChars="200"/>
        <w:rPr>
          <w:rFonts w:ascii="宋体" w:hAnsi="宋体" w:cs="宋体"/>
          <w:snapToGrid w:val="0"/>
          <w:color w:val="auto"/>
          <w:spacing w:val="4"/>
          <w:sz w:val="24"/>
          <w:szCs w:val="24"/>
          <w:highlight w:val="none"/>
        </w:rPr>
      </w:pPr>
      <w:r>
        <w:rPr>
          <w:rFonts w:hint="eastAsia" w:ascii="宋体" w:hAnsi="宋体" w:cs="宋体"/>
          <w:snapToGrid w:val="0"/>
          <w:color w:val="auto"/>
          <w:spacing w:val="4"/>
          <w:sz w:val="24"/>
          <w:szCs w:val="24"/>
          <w:highlight w:val="none"/>
        </w:rPr>
        <w:t>（三）项目管理目标</w:t>
      </w:r>
    </w:p>
    <w:p>
      <w:pPr>
        <w:topLinePunct/>
        <w:adjustRightInd w:val="0"/>
        <w:snapToGrid w:val="0"/>
        <w:spacing w:line="360" w:lineRule="auto"/>
        <w:ind w:firstLine="496" w:firstLineChars="200"/>
        <w:rPr>
          <w:rFonts w:ascii="宋体" w:hAnsi="宋体" w:cs="宋体"/>
          <w:snapToGrid w:val="0"/>
          <w:color w:val="auto"/>
          <w:spacing w:val="4"/>
          <w:sz w:val="24"/>
          <w:szCs w:val="24"/>
          <w:highlight w:val="none"/>
        </w:rPr>
      </w:pPr>
      <w:r>
        <w:rPr>
          <w:rFonts w:hint="eastAsia" w:ascii="宋体" w:hAnsi="宋体" w:cs="宋体"/>
          <w:snapToGrid w:val="0"/>
          <w:color w:val="auto"/>
          <w:spacing w:val="4"/>
          <w:sz w:val="24"/>
          <w:szCs w:val="24"/>
          <w:highlight w:val="none"/>
        </w:rPr>
        <w:t>（四）项目组织结构</w:t>
      </w:r>
    </w:p>
    <w:p>
      <w:pPr>
        <w:topLinePunct/>
        <w:adjustRightInd w:val="0"/>
        <w:snapToGrid w:val="0"/>
        <w:spacing w:line="360" w:lineRule="auto"/>
        <w:ind w:firstLine="496" w:firstLineChars="200"/>
        <w:rPr>
          <w:rFonts w:ascii="宋体" w:hAnsi="宋体" w:cs="宋体"/>
          <w:snapToGrid w:val="0"/>
          <w:color w:val="auto"/>
          <w:spacing w:val="4"/>
          <w:sz w:val="24"/>
          <w:szCs w:val="24"/>
          <w:highlight w:val="none"/>
        </w:rPr>
      </w:pPr>
      <w:r>
        <w:rPr>
          <w:rFonts w:hint="eastAsia" w:ascii="宋体" w:hAnsi="宋体" w:cs="宋体"/>
          <w:snapToGrid w:val="0"/>
          <w:color w:val="auto"/>
          <w:spacing w:val="4"/>
          <w:sz w:val="24"/>
          <w:szCs w:val="24"/>
          <w:highlight w:val="none"/>
        </w:rPr>
        <w:t>（五）现场管理和施工总平面图</w:t>
      </w:r>
    </w:p>
    <w:p>
      <w:pPr>
        <w:topLinePunct/>
        <w:adjustRightInd w:val="0"/>
        <w:snapToGrid w:val="0"/>
        <w:spacing w:line="360" w:lineRule="auto"/>
        <w:ind w:firstLine="496" w:firstLineChars="200"/>
        <w:rPr>
          <w:rFonts w:ascii="宋体" w:hAnsi="宋体" w:cs="宋体"/>
          <w:snapToGrid w:val="0"/>
          <w:color w:val="auto"/>
          <w:spacing w:val="4"/>
          <w:sz w:val="24"/>
          <w:szCs w:val="24"/>
          <w:highlight w:val="none"/>
        </w:rPr>
      </w:pPr>
      <w:r>
        <w:rPr>
          <w:rFonts w:hint="eastAsia" w:ascii="宋体" w:hAnsi="宋体" w:cs="宋体"/>
          <w:snapToGrid w:val="0"/>
          <w:color w:val="auto"/>
          <w:spacing w:val="4"/>
          <w:sz w:val="24"/>
          <w:szCs w:val="24"/>
          <w:highlight w:val="none"/>
        </w:rPr>
        <w:t>（六）施工部署和施工准备工作</w:t>
      </w:r>
    </w:p>
    <w:p>
      <w:pPr>
        <w:topLinePunct/>
        <w:adjustRightInd w:val="0"/>
        <w:snapToGrid w:val="0"/>
        <w:spacing w:line="360" w:lineRule="auto"/>
        <w:ind w:firstLine="496" w:firstLineChars="200"/>
        <w:rPr>
          <w:rFonts w:ascii="宋体" w:hAnsi="宋体" w:cs="宋体"/>
          <w:snapToGrid w:val="0"/>
          <w:color w:val="auto"/>
          <w:spacing w:val="4"/>
          <w:sz w:val="24"/>
          <w:szCs w:val="24"/>
          <w:highlight w:val="none"/>
        </w:rPr>
      </w:pPr>
      <w:r>
        <w:rPr>
          <w:rFonts w:hint="eastAsia" w:ascii="宋体" w:hAnsi="宋体" w:cs="宋体"/>
          <w:snapToGrid w:val="0"/>
          <w:color w:val="auto"/>
          <w:spacing w:val="4"/>
          <w:sz w:val="24"/>
          <w:szCs w:val="24"/>
          <w:highlight w:val="none"/>
        </w:rPr>
        <w:t>1、项目管理总体安排；</w:t>
      </w:r>
    </w:p>
    <w:p>
      <w:pPr>
        <w:topLinePunct/>
        <w:adjustRightInd w:val="0"/>
        <w:snapToGrid w:val="0"/>
        <w:spacing w:line="360" w:lineRule="auto"/>
        <w:ind w:firstLine="496" w:firstLineChars="200"/>
        <w:rPr>
          <w:rFonts w:ascii="宋体" w:hAnsi="宋体" w:cs="宋体"/>
          <w:snapToGrid w:val="0"/>
          <w:color w:val="auto"/>
          <w:spacing w:val="4"/>
          <w:sz w:val="24"/>
          <w:szCs w:val="24"/>
          <w:highlight w:val="none"/>
        </w:rPr>
      </w:pPr>
      <w:r>
        <w:rPr>
          <w:rFonts w:hint="eastAsia" w:ascii="宋体" w:hAnsi="宋体" w:cs="宋体"/>
          <w:snapToGrid w:val="0"/>
          <w:color w:val="auto"/>
          <w:spacing w:val="4"/>
          <w:sz w:val="24"/>
          <w:szCs w:val="24"/>
          <w:highlight w:val="none"/>
        </w:rPr>
        <w:t>2、施工和管理人员的准备和拟投入的最高人数和平均人数；</w:t>
      </w:r>
    </w:p>
    <w:p>
      <w:pPr>
        <w:topLinePunct/>
        <w:adjustRightInd w:val="0"/>
        <w:snapToGrid w:val="0"/>
        <w:spacing w:line="360" w:lineRule="auto"/>
        <w:ind w:firstLine="496" w:firstLineChars="200"/>
        <w:rPr>
          <w:rFonts w:ascii="宋体" w:hAnsi="宋体" w:cs="宋体"/>
          <w:snapToGrid w:val="0"/>
          <w:color w:val="auto"/>
          <w:spacing w:val="4"/>
          <w:sz w:val="24"/>
          <w:szCs w:val="24"/>
          <w:highlight w:val="none"/>
        </w:rPr>
      </w:pPr>
      <w:r>
        <w:rPr>
          <w:rFonts w:hint="eastAsia" w:ascii="宋体" w:hAnsi="宋体" w:cs="宋体"/>
          <w:snapToGrid w:val="0"/>
          <w:color w:val="auto"/>
          <w:spacing w:val="4"/>
          <w:sz w:val="24"/>
          <w:szCs w:val="24"/>
          <w:highlight w:val="none"/>
        </w:rPr>
        <w:t>3、施工现场准备和施工程序；</w:t>
      </w:r>
    </w:p>
    <w:p>
      <w:pPr>
        <w:topLinePunct/>
        <w:adjustRightInd w:val="0"/>
        <w:snapToGrid w:val="0"/>
        <w:spacing w:line="360" w:lineRule="auto"/>
        <w:ind w:firstLine="496" w:firstLineChars="200"/>
        <w:rPr>
          <w:rFonts w:ascii="宋体" w:hAnsi="宋体" w:cs="宋体"/>
          <w:snapToGrid w:val="0"/>
          <w:color w:val="auto"/>
          <w:spacing w:val="4"/>
          <w:sz w:val="24"/>
          <w:szCs w:val="24"/>
          <w:highlight w:val="none"/>
        </w:rPr>
      </w:pPr>
      <w:r>
        <w:rPr>
          <w:rFonts w:hint="eastAsia" w:ascii="宋体" w:hAnsi="宋体" w:cs="宋体"/>
          <w:snapToGrid w:val="0"/>
          <w:color w:val="auto"/>
          <w:spacing w:val="4"/>
          <w:sz w:val="24"/>
          <w:szCs w:val="24"/>
          <w:highlight w:val="none"/>
        </w:rPr>
        <w:t>4、施工准备工作组织和时间安排。</w:t>
      </w:r>
    </w:p>
    <w:p>
      <w:pPr>
        <w:topLinePunct/>
        <w:adjustRightInd w:val="0"/>
        <w:snapToGrid w:val="0"/>
        <w:spacing w:line="360" w:lineRule="auto"/>
        <w:ind w:firstLine="496" w:firstLineChars="200"/>
        <w:rPr>
          <w:rFonts w:ascii="宋体" w:hAnsi="宋体" w:cs="宋体"/>
          <w:snapToGrid w:val="0"/>
          <w:color w:val="auto"/>
          <w:spacing w:val="4"/>
          <w:sz w:val="24"/>
          <w:szCs w:val="24"/>
          <w:highlight w:val="none"/>
        </w:rPr>
      </w:pPr>
      <w:r>
        <w:rPr>
          <w:rFonts w:hint="eastAsia" w:ascii="宋体" w:hAnsi="宋体" w:cs="宋体"/>
          <w:snapToGrid w:val="0"/>
          <w:color w:val="auto"/>
          <w:spacing w:val="4"/>
          <w:sz w:val="24"/>
          <w:szCs w:val="24"/>
          <w:highlight w:val="none"/>
        </w:rPr>
        <w:t>（七）专项施工方案</w:t>
      </w:r>
    </w:p>
    <w:p>
      <w:pPr>
        <w:topLinePunct/>
        <w:adjustRightInd w:val="0"/>
        <w:snapToGrid w:val="0"/>
        <w:spacing w:line="360" w:lineRule="auto"/>
        <w:ind w:firstLine="496" w:firstLineChars="200"/>
        <w:rPr>
          <w:rFonts w:ascii="宋体" w:hAnsi="宋体" w:cs="宋体"/>
          <w:snapToGrid w:val="0"/>
          <w:color w:val="auto"/>
          <w:spacing w:val="4"/>
          <w:sz w:val="24"/>
          <w:szCs w:val="24"/>
          <w:highlight w:val="none"/>
        </w:rPr>
      </w:pPr>
      <w:r>
        <w:rPr>
          <w:rFonts w:hint="eastAsia" w:ascii="宋体" w:hAnsi="宋体" w:cs="宋体"/>
          <w:snapToGrid w:val="0"/>
          <w:color w:val="auto"/>
          <w:spacing w:val="4"/>
          <w:sz w:val="24"/>
          <w:szCs w:val="24"/>
          <w:highlight w:val="none"/>
        </w:rPr>
        <w:t>（八）施工技术组织措施计划</w:t>
      </w:r>
    </w:p>
    <w:p>
      <w:pPr>
        <w:topLinePunct/>
        <w:adjustRightInd w:val="0"/>
        <w:snapToGrid w:val="0"/>
        <w:spacing w:line="360" w:lineRule="auto"/>
        <w:ind w:firstLine="496" w:firstLineChars="200"/>
        <w:rPr>
          <w:rFonts w:ascii="宋体" w:hAnsi="宋体" w:cs="宋体"/>
          <w:snapToGrid w:val="0"/>
          <w:color w:val="auto"/>
          <w:spacing w:val="4"/>
          <w:sz w:val="24"/>
          <w:szCs w:val="24"/>
          <w:highlight w:val="none"/>
        </w:rPr>
      </w:pPr>
      <w:r>
        <w:rPr>
          <w:rFonts w:hint="eastAsia" w:ascii="宋体" w:hAnsi="宋体" w:cs="宋体"/>
          <w:snapToGrid w:val="0"/>
          <w:color w:val="auto"/>
          <w:spacing w:val="4"/>
          <w:sz w:val="24"/>
          <w:szCs w:val="24"/>
          <w:highlight w:val="none"/>
        </w:rPr>
        <w:t>1、施工总进度计划和单项工程施工进度计划。</w:t>
      </w:r>
    </w:p>
    <w:p>
      <w:pPr>
        <w:topLinePunct/>
        <w:adjustRightInd w:val="0"/>
        <w:snapToGrid w:val="0"/>
        <w:spacing w:line="360" w:lineRule="auto"/>
        <w:ind w:firstLine="496" w:firstLineChars="200"/>
        <w:rPr>
          <w:rFonts w:ascii="宋体" w:hAnsi="宋体" w:cs="宋体"/>
          <w:snapToGrid w:val="0"/>
          <w:color w:val="auto"/>
          <w:spacing w:val="4"/>
          <w:sz w:val="24"/>
          <w:szCs w:val="24"/>
          <w:highlight w:val="none"/>
        </w:rPr>
      </w:pPr>
      <w:r>
        <w:rPr>
          <w:rFonts w:hint="eastAsia" w:ascii="宋体" w:hAnsi="宋体" w:cs="宋体"/>
          <w:snapToGrid w:val="0"/>
          <w:color w:val="auto"/>
          <w:spacing w:val="4"/>
          <w:sz w:val="24"/>
          <w:szCs w:val="24"/>
          <w:highlight w:val="none"/>
        </w:rPr>
        <w:t>2、保证进度的措施；</w:t>
      </w:r>
    </w:p>
    <w:p>
      <w:pPr>
        <w:topLinePunct/>
        <w:adjustRightInd w:val="0"/>
        <w:snapToGrid w:val="0"/>
        <w:spacing w:line="360" w:lineRule="auto"/>
        <w:ind w:firstLine="496" w:firstLineChars="200"/>
        <w:rPr>
          <w:rFonts w:ascii="宋体" w:hAnsi="宋体" w:cs="宋体"/>
          <w:snapToGrid w:val="0"/>
          <w:color w:val="auto"/>
          <w:spacing w:val="4"/>
          <w:sz w:val="24"/>
          <w:szCs w:val="24"/>
          <w:highlight w:val="none"/>
        </w:rPr>
      </w:pPr>
      <w:r>
        <w:rPr>
          <w:rFonts w:hint="eastAsia" w:ascii="宋体" w:hAnsi="宋体" w:cs="宋体"/>
          <w:snapToGrid w:val="0"/>
          <w:color w:val="auto"/>
          <w:spacing w:val="4"/>
          <w:sz w:val="24"/>
          <w:szCs w:val="24"/>
          <w:highlight w:val="none"/>
        </w:rPr>
        <w:t>3、保证质量的措施；</w:t>
      </w:r>
    </w:p>
    <w:p>
      <w:pPr>
        <w:topLinePunct/>
        <w:adjustRightInd w:val="0"/>
        <w:snapToGrid w:val="0"/>
        <w:spacing w:line="360" w:lineRule="auto"/>
        <w:ind w:firstLine="496" w:firstLineChars="200"/>
        <w:rPr>
          <w:rFonts w:ascii="宋体" w:hAnsi="宋体" w:cs="宋体"/>
          <w:snapToGrid w:val="0"/>
          <w:color w:val="auto"/>
          <w:spacing w:val="4"/>
          <w:sz w:val="24"/>
          <w:szCs w:val="24"/>
          <w:highlight w:val="none"/>
        </w:rPr>
      </w:pPr>
      <w:r>
        <w:rPr>
          <w:rFonts w:hint="eastAsia" w:ascii="宋体" w:hAnsi="宋体" w:cs="宋体"/>
          <w:snapToGrid w:val="0"/>
          <w:color w:val="auto"/>
          <w:spacing w:val="4"/>
          <w:sz w:val="24"/>
          <w:szCs w:val="24"/>
          <w:highlight w:val="none"/>
        </w:rPr>
        <w:t>4、安全文明施工保证措施</w:t>
      </w:r>
    </w:p>
    <w:p>
      <w:pPr>
        <w:topLinePunct/>
        <w:adjustRightInd w:val="0"/>
        <w:snapToGrid w:val="0"/>
        <w:spacing w:line="360" w:lineRule="auto"/>
        <w:ind w:firstLine="496" w:firstLineChars="200"/>
        <w:rPr>
          <w:rFonts w:ascii="宋体" w:hAnsi="宋体" w:cs="宋体"/>
          <w:snapToGrid w:val="0"/>
          <w:color w:val="auto"/>
          <w:spacing w:val="4"/>
          <w:sz w:val="24"/>
          <w:szCs w:val="24"/>
          <w:highlight w:val="none"/>
        </w:rPr>
      </w:pPr>
      <w:r>
        <w:rPr>
          <w:rFonts w:hint="eastAsia" w:ascii="宋体" w:hAnsi="宋体" w:cs="宋体"/>
          <w:snapToGrid w:val="0"/>
          <w:color w:val="auto"/>
          <w:spacing w:val="4"/>
          <w:sz w:val="24"/>
          <w:szCs w:val="24"/>
          <w:highlight w:val="none"/>
        </w:rPr>
        <w:t>5、保证环境的措施；</w:t>
      </w:r>
    </w:p>
    <w:p>
      <w:pPr>
        <w:topLinePunct/>
        <w:adjustRightInd w:val="0"/>
        <w:snapToGrid w:val="0"/>
        <w:spacing w:line="360" w:lineRule="auto"/>
        <w:ind w:firstLine="496" w:firstLineChars="200"/>
        <w:rPr>
          <w:rFonts w:ascii="宋体" w:hAnsi="宋体" w:cs="宋体"/>
          <w:snapToGrid w:val="0"/>
          <w:color w:val="auto"/>
          <w:spacing w:val="4"/>
          <w:sz w:val="24"/>
          <w:szCs w:val="24"/>
          <w:highlight w:val="none"/>
        </w:rPr>
      </w:pPr>
      <w:r>
        <w:rPr>
          <w:rFonts w:hint="eastAsia" w:ascii="宋体" w:hAnsi="宋体" w:cs="宋体"/>
          <w:snapToGrid w:val="0"/>
          <w:color w:val="auto"/>
          <w:spacing w:val="4"/>
          <w:sz w:val="24"/>
          <w:szCs w:val="24"/>
          <w:highlight w:val="none"/>
        </w:rPr>
        <w:t>6、成品保护措施。</w:t>
      </w:r>
    </w:p>
    <w:p>
      <w:pPr>
        <w:topLinePunct/>
        <w:adjustRightInd w:val="0"/>
        <w:snapToGrid w:val="0"/>
        <w:spacing w:line="360" w:lineRule="auto"/>
        <w:ind w:firstLine="496" w:firstLineChars="200"/>
        <w:rPr>
          <w:rFonts w:ascii="宋体" w:hAnsi="宋体" w:cs="宋体"/>
          <w:snapToGrid w:val="0"/>
          <w:color w:val="auto"/>
          <w:spacing w:val="4"/>
          <w:sz w:val="24"/>
          <w:szCs w:val="24"/>
          <w:highlight w:val="none"/>
        </w:rPr>
      </w:pPr>
      <w:r>
        <w:rPr>
          <w:rFonts w:hint="eastAsia" w:ascii="宋体" w:hAnsi="宋体" w:cs="宋体"/>
          <w:snapToGrid w:val="0"/>
          <w:color w:val="auto"/>
          <w:spacing w:val="4"/>
          <w:sz w:val="24"/>
          <w:szCs w:val="24"/>
          <w:highlight w:val="none"/>
        </w:rPr>
        <w:t>以上各项措施应包括技术措施、组织措施、经济措施及合同措施。</w:t>
      </w:r>
    </w:p>
    <w:p>
      <w:pPr>
        <w:topLinePunct/>
        <w:adjustRightInd w:val="0"/>
        <w:snapToGrid w:val="0"/>
        <w:spacing w:line="360" w:lineRule="auto"/>
        <w:ind w:firstLine="496" w:firstLineChars="200"/>
        <w:rPr>
          <w:rFonts w:ascii="宋体" w:hAnsi="宋体" w:cs="宋体"/>
          <w:snapToGrid w:val="0"/>
          <w:color w:val="auto"/>
          <w:spacing w:val="4"/>
          <w:sz w:val="24"/>
          <w:szCs w:val="24"/>
          <w:highlight w:val="none"/>
        </w:rPr>
      </w:pPr>
      <w:r>
        <w:rPr>
          <w:rFonts w:hint="eastAsia" w:ascii="宋体" w:hAnsi="宋体" w:cs="宋体"/>
          <w:snapToGrid w:val="0"/>
          <w:color w:val="auto"/>
          <w:spacing w:val="4"/>
          <w:sz w:val="24"/>
          <w:szCs w:val="24"/>
          <w:highlight w:val="none"/>
        </w:rPr>
        <w:t>（九）资源供应保障计划；</w:t>
      </w:r>
    </w:p>
    <w:p>
      <w:pPr>
        <w:topLinePunct/>
        <w:adjustRightInd w:val="0"/>
        <w:snapToGrid w:val="0"/>
        <w:spacing w:line="360" w:lineRule="auto"/>
        <w:ind w:firstLine="496" w:firstLineChars="200"/>
        <w:rPr>
          <w:rFonts w:ascii="宋体" w:hAnsi="宋体" w:cs="宋体"/>
          <w:snapToGrid w:val="0"/>
          <w:color w:val="auto"/>
          <w:spacing w:val="4"/>
          <w:sz w:val="24"/>
          <w:szCs w:val="24"/>
          <w:highlight w:val="none"/>
        </w:rPr>
      </w:pPr>
      <w:r>
        <w:rPr>
          <w:rFonts w:hint="eastAsia" w:ascii="宋体" w:hAnsi="宋体" w:cs="宋体"/>
          <w:snapToGrid w:val="0"/>
          <w:color w:val="auto"/>
          <w:spacing w:val="4"/>
          <w:sz w:val="24"/>
          <w:szCs w:val="24"/>
          <w:highlight w:val="none"/>
        </w:rPr>
        <w:t>1、劳动力需求计划；</w:t>
      </w:r>
    </w:p>
    <w:p>
      <w:pPr>
        <w:topLinePunct/>
        <w:adjustRightInd w:val="0"/>
        <w:snapToGrid w:val="0"/>
        <w:spacing w:line="360" w:lineRule="auto"/>
        <w:ind w:firstLine="496" w:firstLineChars="200"/>
        <w:rPr>
          <w:rFonts w:ascii="宋体" w:hAnsi="宋体" w:cs="宋体"/>
          <w:snapToGrid w:val="0"/>
          <w:color w:val="auto"/>
          <w:spacing w:val="4"/>
          <w:sz w:val="24"/>
          <w:szCs w:val="24"/>
          <w:highlight w:val="none"/>
        </w:rPr>
      </w:pPr>
      <w:r>
        <w:rPr>
          <w:rFonts w:hint="eastAsia" w:ascii="宋体" w:hAnsi="宋体" w:cs="宋体"/>
          <w:snapToGrid w:val="0"/>
          <w:color w:val="auto"/>
          <w:spacing w:val="4"/>
          <w:sz w:val="24"/>
          <w:szCs w:val="24"/>
          <w:highlight w:val="none"/>
        </w:rPr>
        <w:t>2、主要材料和周转材料需求计划；</w:t>
      </w:r>
    </w:p>
    <w:p>
      <w:pPr>
        <w:topLinePunct/>
        <w:adjustRightInd w:val="0"/>
        <w:snapToGrid w:val="0"/>
        <w:spacing w:line="360" w:lineRule="auto"/>
        <w:ind w:firstLine="496" w:firstLineChars="200"/>
        <w:rPr>
          <w:rFonts w:ascii="宋体" w:hAnsi="宋体" w:cs="宋体"/>
          <w:snapToGrid w:val="0"/>
          <w:color w:val="auto"/>
          <w:spacing w:val="4"/>
          <w:sz w:val="24"/>
          <w:szCs w:val="24"/>
          <w:highlight w:val="none"/>
        </w:rPr>
      </w:pPr>
      <w:r>
        <w:rPr>
          <w:rFonts w:hint="eastAsia" w:ascii="宋体" w:hAnsi="宋体" w:cs="宋体"/>
          <w:snapToGrid w:val="0"/>
          <w:color w:val="auto"/>
          <w:spacing w:val="4"/>
          <w:sz w:val="24"/>
          <w:szCs w:val="24"/>
          <w:highlight w:val="none"/>
        </w:rPr>
        <w:t>3、主要机械设备及大型工具、器具需求计划；</w:t>
      </w:r>
    </w:p>
    <w:p>
      <w:pPr>
        <w:topLinePunct/>
        <w:adjustRightInd w:val="0"/>
        <w:snapToGrid w:val="0"/>
        <w:spacing w:line="360" w:lineRule="auto"/>
        <w:ind w:firstLine="496" w:firstLineChars="200"/>
        <w:rPr>
          <w:rFonts w:ascii="宋体" w:hAnsi="宋体" w:cs="宋体"/>
          <w:snapToGrid w:val="0"/>
          <w:color w:val="auto"/>
          <w:spacing w:val="4"/>
          <w:sz w:val="24"/>
          <w:szCs w:val="24"/>
          <w:highlight w:val="none"/>
        </w:rPr>
      </w:pPr>
      <w:r>
        <w:rPr>
          <w:rFonts w:hint="eastAsia" w:ascii="宋体" w:hAnsi="宋体" w:cs="宋体"/>
          <w:snapToGrid w:val="0"/>
          <w:color w:val="auto"/>
          <w:spacing w:val="4"/>
          <w:sz w:val="24"/>
          <w:szCs w:val="24"/>
          <w:highlight w:val="none"/>
        </w:rPr>
        <w:t>4、资金使用计划；</w:t>
      </w:r>
    </w:p>
    <w:p>
      <w:pPr>
        <w:topLinePunct/>
        <w:adjustRightInd w:val="0"/>
        <w:snapToGrid w:val="0"/>
        <w:spacing w:line="360" w:lineRule="auto"/>
        <w:ind w:firstLine="496" w:firstLineChars="200"/>
        <w:rPr>
          <w:rFonts w:ascii="宋体" w:hAnsi="宋体" w:cs="宋体"/>
          <w:snapToGrid w:val="0"/>
          <w:color w:val="auto"/>
          <w:spacing w:val="4"/>
          <w:sz w:val="24"/>
          <w:szCs w:val="24"/>
          <w:highlight w:val="none"/>
        </w:rPr>
      </w:pPr>
      <w:r>
        <w:rPr>
          <w:rFonts w:hint="eastAsia" w:ascii="宋体" w:hAnsi="宋体" w:cs="宋体"/>
          <w:snapToGrid w:val="0"/>
          <w:color w:val="auto"/>
          <w:spacing w:val="4"/>
          <w:sz w:val="24"/>
          <w:szCs w:val="24"/>
          <w:highlight w:val="none"/>
        </w:rPr>
        <w:t>5、材料设备供应保障措施。</w:t>
      </w:r>
    </w:p>
    <w:p>
      <w:pPr>
        <w:topLinePunct/>
        <w:adjustRightInd w:val="0"/>
        <w:snapToGrid w:val="0"/>
        <w:spacing w:line="360" w:lineRule="auto"/>
        <w:ind w:firstLine="496" w:firstLineChars="200"/>
        <w:rPr>
          <w:rFonts w:ascii="宋体" w:hAnsi="宋体" w:cs="宋体"/>
          <w:snapToGrid w:val="0"/>
          <w:color w:val="auto"/>
          <w:spacing w:val="4"/>
          <w:sz w:val="24"/>
          <w:szCs w:val="24"/>
          <w:highlight w:val="none"/>
        </w:rPr>
      </w:pPr>
      <w:r>
        <w:rPr>
          <w:rFonts w:hint="eastAsia" w:ascii="宋体" w:hAnsi="宋体" w:cs="宋体"/>
          <w:snapToGrid w:val="0"/>
          <w:color w:val="auto"/>
          <w:spacing w:val="4"/>
          <w:sz w:val="24"/>
          <w:szCs w:val="24"/>
          <w:highlight w:val="none"/>
        </w:rPr>
        <w:t>（十）应急预案</w:t>
      </w:r>
    </w:p>
    <w:p>
      <w:pPr>
        <w:topLinePunct/>
        <w:adjustRightInd w:val="0"/>
        <w:snapToGrid w:val="0"/>
        <w:spacing w:line="360" w:lineRule="auto"/>
        <w:ind w:firstLine="496" w:firstLineChars="200"/>
        <w:rPr>
          <w:rFonts w:ascii="宋体" w:hAnsi="宋体" w:cs="宋体"/>
          <w:snapToGrid w:val="0"/>
          <w:color w:val="auto"/>
          <w:spacing w:val="4"/>
          <w:sz w:val="24"/>
          <w:szCs w:val="24"/>
          <w:highlight w:val="none"/>
        </w:rPr>
      </w:pPr>
      <w:r>
        <w:rPr>
          <w:rFonts w:hint="eastAsia" w:ascii="宋体" w:hAnsi="宋体" w:cs="宋体"/>
          <w:snapToGrid w:val="0"/>
          <w:color w:val="auto"/>
          <w:spacing w:val="4"/>
          <w:sz w:val="24"/>
          <w:szCs w:val="24"/>
          <w:highlight w:val="none"/>
        </w:rPr>
        <w:t>结合项目特点，分析辨识危险源（包括安全风险、因不可抗力影响进度的风险等），预测可能出现的险情及紧急情况，并有针对性的提出相应的应急预案，该应急预案应明确应急领导小组成员名单及分工，应急抢险材料、物资、机械设备（包括备品、备件等）的准备和保证措施等。</w:t>
      </w:r>
    </w:p>
    <w:p>
      <w:pPr>
        <w:topLinePunct/>
        <w:adjustRightInd w:val="0"/>
        <w:snapToGrid w:val="0"/>
        <w:spacing w:line="360" w:lineRule="auto"/>
        <w:ind w:firstLine="496" w:firstLineChars="200"/>
        <w:rPr>
          <w:rFonts w:ascii="宋体" w:hAnsi="宋体" w:cs="宋体"/>
          <w:snapToGrid w:val="0"/>
          <w:color w:val="auto"/>
          <w:spacing w:val="4"/>
          <w:sz w:val="24"/>
          <w:szCs w:val="24"/>
          <w:highlight w:val="none"/>
        </w:rPr>
      </w:pPr>
      <w:r>
        <w:rPr>
          <w:rFonts w:hint="eastAsia" w:ascii="宋体" w:hAnsi="宋体" w:cs="宋体"/>
          <w:snapToGrid w:val="0"/>
          <w:color w:val="auto"/>
          <w:spacing w:val="4"/>
          <w:sz w:val="24"/>
          <w:szCs w:val="24"/>
          <w:highlight w:val="none"/>
        </w:rPr>
        <w:t>（十一）信息管理</w:t>
      </w:r>
    </w:p>
    <w:p>
      <w:pPr>
        <w:topLinePunct/>
        <w:adjustRightInd w:val="0"/>
        <w:snapToGrid w:val="0"/>
        <w:spacing w:line="360" w:lineRule="auto"/>
        <w:ind w:firstLine="496" w:firstLineChars="200"/>
        <w:rPr>
          <w:rFonts w:ascii="宋体" w:hAnsi="宋体" w:cs="宋体"/>
          <w:snapToGrid w:val="0"/>
          <w:color w:val="auto"/>
          <w:spacing w:val="4"/>
          <w:sz w:val="24"/>
          <w:szCs w:val="24"/>
          <w:highlight w:val="none"/>
        </w:rPr>
      </w:pPr>
      <w:r>
        <w:rPr>
          <w:rFonts w:hint="eastAsia" w:ascii="宋体" w:hAnsi="宋体" w:cs="宋体"/>
          <w:snapToGrid w:val="0"/>
          <w:color w:val="auto"/>
          <w:spacing w:val="4"/>
          <w:sz w:val="24"/>
          <w:szCs w:val="24"/>
          <w:highlight w:val="none"/>
        </w:rPr>
        <w:t>1、与项目组织相适应的信息流通系统；</w:t>
      </w:r>
    </w:p>
    <w:p>
      <w:pPr>
        <w:topLinePunct/>
        <w:adjustRightInd w:val="0"/>
        <w:snapToGrid w:val="0"/>
        <w:spacing w:line="360" w:lineRule="auto"/>
        <w:ind w:firstLine="496" w:firstLineChars="200"/>
        <w:rPr>
          <w:rFonts w:ascii="宋体" w:hAnsi="宋体" w:cs="宋体"/>
          <w:snapToGrid w:val="0"/>
          <w:color w:val="auto"/>
          <w:spacing w:val="4"/>
          <w:sz w:val="24"/>
          <w:szCs w:val="24"/>
          <w:highlight w:val="none"/>
        </w:rPr>
      </w:pPr>
      <w:r>
        <w:rPr>
          <w:rFonts w:hint="eastAsia" w:ascii="宋体" w:hAnsi="宋体" w:cs="宋体"/>
          <w:snapToGrid w:val="0"/>
          <w:color w:val="auto"/>
          <w:spacing w:val="4"/>
          <w:sz w:val="24"/>
          <w:szCs w:val="24"/>
          <w:highlight w:val="none"/>
        </w:rPr>
        <w:t>2、与招标人的项目信息管理处理系统软硬件相配套的资源配置；</w:t>
      </w:r>
    </w:p>
    <w:p>
      <w:pPr>
        <w:topLinePunct/>
        <w:adjustRightInd w:val="0"/>
        <w:snapToGrid w:val="0"/>
        <w:spacing w:line="360" w:lineRule="auto"/>
        <w:ind w:firstLine="496" w:firstLineChars="200"/>
        <w:rPr>
          <w:rFonts w:ascii="宋体" w:hAnsi="宋体" w:cs="宋体"/>
          <w:snapToGrid w:val="0"/>
          <w:color w:val="auto"/>
          <w:spacing w:val="4"/>
          <w:sz w:val="24"/>
          <w:szCs w:val="24"/>
          <w:highlight w:val="none"/>
        </w:rPr>
      </w:pPr>
      <w:r>
        <w:rPr>
          <w:rFonts w:hint="eastAsia" w:ascii="宋体" w:hAnsi="宋体" w:cs="宋体"/>
          <w:snapToGrid w:val="0"/>
          <w:color w:val="auto"/>
          <w:spacing w:val="4"/>
          <w:sz w:val="24"/>
          <w:szCs w:val="24"/>
          <w:highlight w:val="none"/>
        </w:rPr>
        <w:t>3、信息管理实施规划。</w:t>
      </w:r>
    </w:p>
    <w:p>
      <w:pPr>
        <w:topLinePunct/>
        <w:adjustRightInd w:val="0"/>
        <w:snapToGrid w:val="0"/>
        <w:spacing w:line="360" w:lineRule="auto"/>
        <w:ind w:firstLine="496" w:firstLineChars="200"/>
        <w:rPr>
          <w:rFonts w:ascii="宋体" w:hAnsi="宋体" w:cs="宋体"/>
          <w:snapToGrid w:val="0"/>
          <w:color w:val="auto"/>
          <w:spacing w:val="4"/>
          <w:sz w:val="24"/>
          <w:szCs w:val="24"/>
          <w:highlight w:val="none"/>
        </w:rPr>
      </w:pPr>
      <w:r>
        <w:rPr>
          <w:rFonts w:hint="eastAsia" w:ascii="宋体" w:hAnsi="宋体" w:cs="宋体"/>
          <w:snapToGrid w:val="0"/>
          <w:color w:val="auto"/>
          <w:spacing w:val="4"/>
          <w:sz w:val="24"/>
          <w:szCs w:val="24"/>
          <w:highlight w:val="none"/>
        </w:rPr>
        <w:t>（十二）竣工验收组织方案、竣工资料整理移交及竣工备案工作方案、竣工结算组织方案。</w:t>
      </w:r>
    </w:p>
    <w:p>
      <w:pPr>
        <w:topLinePunct/>
        <w:adjustRightInd w:val="0"/>
        <w:snapToGrid w:val="0"/>
        <w:spacing w:line="360" w:lineRule="auto"/>
        <w:ind w:firstLine="496" w:firstLineChars="200"/>
        <w:rPr>
          <w:rFonts w:ascii="宋体" w:hAnsi="宋体" w:cs="宋体"/>
          <w:snapToGrid w:val="0"/>
          <w:color w:val="auto"/>
          <w:spacing w:val="4"/>
          <w:sz w:val="24"/>
          <w:szCs w:val="24"/>
          <w:highlight w:val="none"/>
        </w:rPr>
      </w:pPr>
      <w:r>
        <w:rPr>
          <w:rFonts w:hint="eastAsia" w:ascii="宋体" w:hAnsi="宋体" w:cs="宋体"/>
          <w:snapToGrid w:val="0"/>
          <w:color w:val="auto"/>
          <w:spacing w:val="4"/>
          <w:sz w:val="24"/>
          <w:szCs w:val="24"/>
          <w:highlight w:val="none"/>
        </w:rPr>
        <w:t>（十三）分包管理方案</w:t>
      </w:r>
    </w:p>
    <w:p>
      <w:pPr>
        <w:topLinePunct/>
        <w:adjustRightInd w:val="0"/>
        <w:snapToGrid w:val="0"/>
        <w:spacing w:line="360" w:lineRule="auto"/>
        <w:ind w:firstLine="496" w:firstLineChars="200"/>
        <w:rPr>
          <w:rFonts w:ascii="宋体" w:hAnsi="宋体" w:cs="宋体"/>
          <w:snapToGrid w:val="0"/>
          <w:color w:val="auto"/>
          <w:spacing w:val="4"/>
          <w:sz w:val="24"/>
          <w:szCs w:val="24"/>
          <w:highlight w:val="none"/>
        </w:rPr>
      </w:pPr>
      <w:r>
        <w:rPr>
          <w:rFonts w:hint="eastAsia" w:ascii="宋体" w:hAnsi="宋体" w:cs="宋体"/>
          <w:snapToGrid w:val="0"/>
          <w:color w:val="auto"/>
          <w:spacing w:val="4"/>
          <w:sz w:val="24"/>
          <w:szCs w:val="24"/>
          <w:highlight w:val="none"/>
        </w:rPr>
        <w:t>包括分包方案（分包资质、业绩、人员、本地化服务能力）、分包管理（质量管理、进度管理、安全文明施工管理、材料设备管理、工程档案管理等）</w:t>
      </w:r>
    </w:p>
    <w:p>
      <w:pPr>
        <w:spacing w:line="360" w:lineRule="auto"/>
        <w:rPr>
          <w:rFonts w:ascii="宋体" w:hAnsi="宋体" w:cs="宋体"/>
          <w:color w:val="auto"/>
          <w:sz w:val="24"/>
          <w:szCs w:val="24"/>
          <w:highlight w:val="none"/>
        </w:rPr>
      </w:pPr>
      <w:r>
        <w:rPr>
          <w:rFonts w:hint="eastAsia" w:ascii="宋体" w:hAnsi="宋体" w:cs="宋体"/>
          <w:snapToGrid w:val="0"/>
          <w:color w:val="auto"/>
          <w:spacing w:val="4"/>
          <w:sz w:val="24"/>
          <w:szCs w:val="24"/>
          <w:highlight w:val="none"/>
        </w:rPr>
        <w:t>（十四）其他。</w:t>
      </w:r>
    </w:p>
    <w:p>
      <w:pPr>
        <w:spacing w:line="360" w:lineRule="auto"/>
        <w:ind w:firstLine="480" w:firstLineChars="200"/>
        <w:rPr>
          <w:rFonts w:ascii="宋体" w:hAnsi="宋体" w:cs="宋体"/>
          <w:color w:val="auto"/>
          <w:sz w:val="24"/>
          <w:szCs w:val="24"/>
          <w:highlight w:val="none"/>
        </w:rPr>
      </w:pPr>
    </w:p>
    <w:p>
      <w:pPr>
        <w:spacing w:line="360" w:lineRule="auto"/>
        <w:ind w:firstLine="480" w:firstLineChars="200"/>
        <w:rPr>
          <w:rFonts w:ascii="宋体" w:hAnsi="宋体" w:cs="宋体"/>
          <w:color w:val="auto"/>
          <w:sz w:val="24"/>
          <w:szCs w:val="24"/>
          <w:highlight w:val="none"/>
        </w:rPr>
      </w:pPr>
    </w:p>
    <w:p>
      <w:pPr>
        <w:pStyle w:val="132"/>
        <w:widowControl/>
        <w:ind w:firstLineChars="0"/>
        <w:jc w:val="left"/>
        <w:rPr>
          <w:rFonts w:ascii="宋体" w:hAnsi="宋体" w:cs="宋体"/>
          <w:color w:val="auto"/>
          <w:highlight w:val="none"/>
        </w:rPr>
      </w:pPr>
    </w:p>
    <w:p>
      <w:pPr>
        <w:pStyle w:val="132"/>
        <w:widowControl/>
        <w:ind w:firstLineChars="0"/>
        <w:jc w:val="left"/>
        <w:rPr>
          <w:rFonts w:ascii="宋体" w:hAnsi="宋体" w:cs="宋体"/>
          <w:color w:val="auto"/>
          <w:highlight w:val="none"/>
        </w:rPr>
      </w:pPr>
    </w:p>
    <w:p>
      <w:pPr>
        <w:pStyle w:val="132"/>
        <w:widowControl/>
        <w:tabs>
          <w:tab w:val="left" w:pos="6105"/>
        </w:tabs>
        <w:ind w:firstLineChars="0"/>
        <w:jc w:val="left"/>
        <w:rPr>
          <w:rFonts w:ascii="宋体" w:hAnsi="宋体" w:cs="宋体"/>
          <w:color w:val="auto"/>
          <w:highlight w:val="none"/>
        </w:rPr>
      </w:pPr>
      <w:r>
        <w:rPr>
          <w:rFonts w:hint="eastAsia" w:ascii="宋体" w:hAnsi="宋体" w:cs="宋体"/>
          <w:color w:val="auto"/>
          <w:highlight w:val="none"/>
        </w:rPr>
        <w:tab/>
      </w:r>
    </w:p>
    <w:p>
      <w:pPr>
        <w:pStyle w:val="3"/>
        <w:jc w:val="center"/>
        <w:rPr>
          <w:rFonts w:ascii="宋体" w:hAnsi="宋体" w:cs="宋体"/>
          <w:color w:val="auto"/>
          <w:highlight w:val="none"/>
        </w:rPr>
      </w:pPr>
      <w:r>
        <w:rPr>
          <w:rFonts w:hint="eastAsia" w:ascii="宋体" w:hAnsi="宋体" w:cs="宋体"/>
          <w:color w:val="auto"/>
          <w:highlight w:val="none"/>
        </w:rPr>
        <w:br w:type="page"/>
      </w:r>
      <w:bookmarkEnd w:id="44"/>
      <w:bookmarkEnd w:id="45"/>
      <w:bookmarkEnd w:id="46"/>
      <w:bookmarkEnd w:id="47"/>
      <w:bookmarkEnd w:id="48"/>
      <w:bookmarkStart w:id="78" w:name="_Toc17006"/>
      <w:r>
        <w:rPr>
          <w:rFonts w:hint="eastAsia" w:ascii="宋体" w:hAnsi="宋体" w:cs="宋体"/>
          <w:color w:val="auto"/>
          <w:sz w:val="32"/>
          <w:szCs w:val="32"/>
          <w:highlight w:val="none"/>
        </w:rPr>
        <w:t>第六章  图纸及勘察资料</w:t>
      </w:r>
      <w:bookmarkEnd w:id="78"/>
    </w:p>
    <w:p>
      <w:pPr>
        <w:jc w:val="center"/>
        <w:rPr>
          <w:rFonts w:ascii="宋体" w:hAnsi="宋体" w:cs="宋体"/>
          <w:b/>
          <w:color w:val="auto"/>
          <w:sz w:val="28"/>
          <w:szCs w:val="28"/>
          <w:highlight w:val="none"/>
        </w:rPr>
      </w:pPr>
      <w:r>
        <w:rPr>
          <w:rFonts w:hint="eastAsia" w:ascii="宋体" w:hAnsi="宋体" w:cs="宋体"/>
          <w:color w:val="auto"/>
          <w:sz w:val="28"/>
          <w:szCs w:val="28"/>
          <w:highlight w:val="none"/>
        </w:rPr>
        <w:t>另册。</w:t>
      </w:r>
    </w:p>
    <w:p>
      <w:pPr>
        <w:pStyle w:val="3"/>
        <w:jc w:val="center"/>
        <w:rPr>
          <w:rFonts w:ascii="宋体" w:hAnsi="宋体" w:cs="宋体"/>
          <w:color w:val="auto"/>
          <w:highlight w:val="none"/>
        </w:rPr>
      </w:pPr>
      <w:r>
        <w:rPr>
          <w:rFonts w:hint="eastAsia" w:ascii="宋体" w:hAnsi="宋体" w:cs="宋体"/>
          <w:color w:val="auto"/>
          <w:sz w:val="24"/>
          <w:szCs w:val="24"/>
          <w:highlight w:val="none"/>
        </w:rPr>
        <w:br w:type="page"/>
      </w:r>
      <w:bookmarkStart w:id="79" w:name="_Toc2247"/>
      <w:r>
        <w:rPr>
          <w:rFonts w:hint="eastAsia" w:ascii="宋体" w:hAnsi="宋体" w:cs="宋体"/>
          <w:color w:val="auto"/>
          <w:sz w:val="32"/>
          <w:szCs w:val="32"/>
          <w:highlight w:val="none"/>
        </w:rPr>
        <w:t>第七章  工程量清单</w:t>
      </w:r>
      <w:bookmarkEnd w:id="79"/>
    </w:p>
    <w:p>
      <w:pPr>
        <w:jc w:val="center"/>
        <w:rPr>
          <w:rFonts w:ascii="宋体" w:hAnsi="宋体" w:cs="宋体"/>
          <w:b/>
          <w:color w:val="auto"/>
          <w:sz w:val="28"/>
          <w:szCs w:val="28"/>
          <w:highlight w:val="none"/>
        </w:rPr>
      </w:pPr>
      <w:r>
        <w:rPr>
          <w:rFonts w:hint="eastAsia" w:ascii="宋体" w:hAnsi="宋体" w:cs="宋体"/>
          <w:color w:val="auto"/>
          <w:sz w:val="28"/>
          <w:szCs w:val="28"/>
          <w:highlight w:val="none"/>
        </w:rPr>
        <w:t>另册。</w:t>
      </w:r>
    </w:p>
    <w:p>
      <w:pPr>
        <w:rPr>
          <w:rFonts w:ascii="宋体" w:hAnsi="宋体" w:cs="宋体"/>
          <w:color w:val="auto"/>
          <w:sz w:val="24"/>
          <w:highlight w:val="none"/>
        </w:rPr>
      </w:pPr>
      <w:r>
        <w:rPr>
          <w:rFonts w:hint="eastAsia" w:ascii="宋体" w:hAnsi="宋体" w:cs="宋体"/>
          <w:color w:val="auto"/>
          <w:sz w:val="24"/>
          <w:highlight w:val="none"/>
        </w:rPr>
        <w:br w:type="page"/>
      </w:r>
    </w:p>
    <w:p>
      <w:pPr>
        <w:pStyle w:val="5"/>
        <w:spacing w:after="0" w:line="360" w:lineRule="auto"/>
        <w:ind w:left="-2" w:leftChars="-1" w:firstLine="960" w:firstLineChars="400"/>
        <w:rPr>
          <w:rFonts w:ascii="宋体" w:hAnsi="宋体" w:cs="宋体"/>
          <w:color w:val="auto"/>
          <w:sz w:val="24"/>
          <w:highlight w:val="none"/>
        </w:rPr>
      </w:pPr>
    </w:p>
    <w:p>
      <w:pPr>
        <w:pStyle w:val="3"/>
        <w:jc w:val="center"/>
        <w:rPr>
          <w:rFonts w:ascii="宋体" w:hAnsi="宋体" w:cs="宋体"/>
          <w:color w:val="auto"/>
          <w:sz w:val="32"/>
          <w:szCs w:val="32"/>
          <w:highlight w:val="none"/>
        </w:rPr>
      </w:pPr>
      <w:bookmarkStart w:id="80" w:name="_Toc10163"/>
      <w:r>
        <w:rPr>
          <w:rFonts w:hint="eastAsia" w:ascii="宋体" w:hAnsi="宋体" w:cs="宋体"/>
          <w:color w:val="auto"/>
          <w:sz w:val="32"/>
          <w:szCs w:val="32"/>
          <w:highlight w:val="none"/>
        </w:rPr>
        <w:t>第八章  最高投标限价</w:t>
      </w:r>
      <w:bookmarkEnd w:id="80"/>
    </w:p>
    <w:p>
      <w:pPr>
        <w:jc w:val="center"/>
        <w:rPr>
          <w:rFonts w:ascii="宋体" w:hAnsi="宋体" w:cs="宋体"/>
          <w:b/>
          <w:color w:val="auto"/>
          <w:sz w:val="28"/>
          <w:szCs w:val="28"/>
          <w:highlight w:val="none"/>
        </w:rPr>
      </w:pPr>
      <w:r>
        <w:rPr>
          <w:rFonts w:hint="eastAsia" w:ascii="宋体" w:hAnsi="宋体" w:cs="宋体"/>
          <w:color w:val="auto"/>
          <w:sz w:val="28"/>
          <w:szCs w:val="28"/>
          <w:highlight w:val="none"/>
        </w:rPr>
        <w:t>另册。</w:t>
      </w:r>
    </w:p>
    <w:p>
      <w:pPr>
        <w:rPr>
          <w:rFonts w:ascii="宋体" w:hAnsi="宋体" w:cs="宋体"/>
          <w:color w:val="auto"/>
          <w:highlight w:val="none"/>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PMingLiU">
    <w:altName w:val="PMingLiU-ExtB"/>
    <w:panose1 w:val="02020500000000000000"/>
    <w:charset w:val="88"/>
    <w:family w:val="roman"/>
    <w:pitch w:val="default"/>
    <w:sig w:usb0="00000000" w:usb1="00000000" w:usb2="00000016" w:usb3="00000000" w:csb0="00100001" w:csb1="00000000"/>
  </w:font>
  <w:font w:name="Calisto MT">
    <w:panose1 w:val="02040603050505030304"/>
    <w:charset w:val="00"/>
    <w:family w:val="roman"/>
    <w:pitch w:val="default"/>
    <w:sig w:usb0="00000003" w:usb1="00000000" w:usb2="00000000" w:usb3="00000000" w:csb0="20000001" w:csb1="00000000"/>
  </w:font>
  <w:font w:name="方正书宋简体">
    <w:altName w:val="宋体"/>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392"/>
      <w:jc w:val="right"/>
      <w:rPr>
        <w:rStyle w:val="44"/>
      </w:rPr>
    </w:pPr>
    <w:r>
      <w:fldChar w:fldCharType="begin"/>
    </w:r>
    <w:r>
      <w:rPr>
        <w:rStyle w:val="44"/>
      </w:rPr>
      <w:instrText xml:space="preserve">PAGE  </w:instrText>
    </w:r>
    <w:r>
      <w:fldChar w:fldCharType="separate"/>
    </w:r>
    <w:r>
      <w:rPr>
        <w:rStyle w:val="44"/>
      </w:rPr>
      <w:t>50</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392"/>
      <w:rPr>
        <w:rStyle w:val="44"/>
      </w:rPr>
    </w:pPr>
    <w:r>
      <w:fldChar w:fldCharType="begin"/>
    </w:r>
    <w:r>
      <w:rPr>
        <w:rStyle w:val="44"/>
      </w:rPr>
      <w:instrText xml:space="preserve">PAGE  </w:instrText>
    </w:r>
    <w:r>
      <w:fldChar w:fldCharType="separate"/>
    </w:r>
    <w:r>
      <w:rPr>
        <w:rStyle w:val="44"/>
        <w:rFonts w:hint="eastAsia"/>
      </w:rPr>
      <w:t>一</w:t>
    </w:r>
    <w:r>
      <w:rPr>
        <w:rStyle w:val="44"/>
      </w:rPr>
      <w:t>–2</w:t>
    </w:r>
    <w:r>
      <w:fldChar w:fldCharType="end"/>
    </w:r>
  </w:p>
  <w:p>
    <w:pPr>
      <w:pStyle w:val="27"/>
      <w:ind w:firstLine="392"/>
    </w:pPr>
    <w: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392"/>
    </w:pPr>
    <w:r>
      <w:fldChar w:fldCharType="begin"/>
    </w:r>
    <w:r>
      <w:rPr>
        <w:rStyle w:val="44"/>
      </w:rPr>
      <w:instrText xml:space="preserve"> PAGE </w:instrText>
    </w:r>
    <w:r>
      <w:fldChar w:fldCharType="separate"/>
    </w:r>
    <w:r>
      <w:rPr>
        <w:rStyle w:val="44"/>
      </w:rPr>
      <w:t>48</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outside" w:y="1"/>
      <w:jc w:val="center"/>
      <w:rPr>
        <w:rStyle w:val="44"/>
      </w:rPr>
    </w:pPr>
    <w:r>
      <w:fldChar w:fldCharType="begin"/>
    </w:r>
    <w:r>
      <w:rPr>
        <w:rStyle w:val="44"/>
      </w:rPr>
      <w:instrText xml:space="preserve">PAGE  </w:instrText>
    </w:r>
    <w:r>
      <w:fldChar w:fldCharType="separate"/>
    </w:r>
    <w:r>
      <w:rPr>
        <w:rStyle w:val="44"/>
      </w:rPr>
      <w:t>69</w:t>
    </w:r>
    <w:r>
      <w:fldChar w:fldCharType="end"/>
    </w:r>
  </w:p>
  <w:p>
    <w:pPr>
      <w:pStyle w:val="27"/>
      <w:framePr w:wrap="around" w:vAnchor="text" w:hAnchor="margin" w:xAlign="outside" w:y="1"/>
      <w:ind w:left="-4410" w:leftChars="-2100" w:right="-4439" w:rightChars="-2114"/>
      <w:rPr>
        <w:rStyle w:val="44"/>
      </w:rPr>
    </w:pPr>
  </w:p>
  <w:p>
    <w:pPr>
      <w:pStyle w:val="27"/>
      <w:ind w:right="360" w:firstLine="36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fldChar w:fldCharType="begin"/>
    </w:r>
    <w:r>
      <w:rPr>
        <w:rStyle w:val="44"/>
      </w:rPr>
      <w:instrText xml:space="preserve"> PAGE </w:instrText>
    </w:r>
    <w:r>
      <w:fldChar w:fldCharType="separate"/>
    </w:r>
    <w:r>
      <w:rPr>
        <w:rStyle w:val="44"/>
      </w:rPr>
      <w:t>51</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ind w:firstLine="39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ind w:firstLine="392"/>
    </w:pPr>
    <w:r>
      <w:rPr>
        <w:rFonts w:hint="eastAsia"/>
      </w:rPr>
      <w:t>横枝岗路道路排水改造工程招标文件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0"/>
      </w:pBd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0"/>
      </w:pBdr>
      <w:jc w:val="right"/>
      <w:rPr>
        <w:i/>
        <w:i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F0DE5A"/>
    <w:multiLevelType w:val="singleLevel"/>
    <w:tmpl w:val="83F0DE5A"/>
    <w:lvl w:ilvl="0" w:tentative="0">
      <w:start w:val="1"/>
      <w:numFmt w:val="decimal"/>
      <w:suff w:val="nothing"/>
      <w:lvlText w:val="（%1）"/>
      <w:lvlJc w:val="left"/>
    </w:lvl>
  </w:abstractNum>
  <w:abstractNum w:abstractNumId="1">
    <w:nsid w:val="E9D2CB9F"/>
    <w:multiLevelType w:val="singleLevel"/>
    <w:tmpl w:val="E9D2CB9F"/>
    <w:lvl w:ilvl="0" w:tentative="0">
      <w:start w:val="2"/>
      <w:numFmt w:val="decimal"/>
      <w:suff w:val="nothing"/>
      <w:lvlText w:val="（%1）"/>
      <w:lvlJc w:val="left"/>
    </w:lvl>
  </w:abstractNum>
  <w:abstractNum w:abstractNumId="2">
    <w:nsid w:val="00000004"/>
    <w:multiLevelType w:val="multilevel"/>
    <w:tmpl w:val="0000000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0000010"/>
    <w:multiLevelType w:val="multilevel"/>
    <w:tmpl w:val="00000010"/>
    <w:lvl w:ilvl="0" w:tentative="0">
      <w:start w:val="1"/>
      <w:numFmt w:val="decimal"/>
      <w:lvlText w:val="（%1）"/>
      <w:lvlJc w:val="left"/>
      <w:pPr>
        <w:ind w:left="1080" w:hanging="720"/>
      </w:pPr>
      <w:rPr>
        <w:rFonts w:hint="default"/>
        <w:color w:val="000000"/>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4">
    <w:nsid w:val="259905B5"/>
    <w:multiLevelType w:val="multilevel"/>
    <w:tmpl w:val="259905B5"/>
    <w:lvl w:ilvl="0" w:tentative="0">
      <w:start w:val="1"/>
      <w:numFmt w:val="chineseCountingThousand"/>
      <w:pStyle w:val="114"/>
      <w:suff w:val="space"/>
      <w:lvlText w:val="第%1章"/>
      <w:lvlJc w:val="left"/>
      <w:pPr>
        <w:ind w:left="567" w:hanging="279"/>
      </w:pPr>
      <w:rPr>
        <w:rFonts w:hint="eastAsia" w:ascii="宋体" w:eastAsia="宋体" w:cs="Times New Roman"/>
        <w:b/>
        <w:i w:val="0"/>
        <w:spacing w:val="0"/>
        <w:position w:val="0"/>
        <w:sz w:val="44"/>
      </w:rPr>
    </w:lvl>
    <w:lvl w:ilvl="1" w:tentative="0">
      <w:start w:val="1"/>
      <w:numFmt w:val="decimal"/>
      <w:suff w:val="space"/>
      <w:lvlText w:val="%2."/>
      <w:lvlJc w:val="left"/>
      <w:pPr>
        <w:ind w:left="454" w:hanging="454"/>
      </w:pPr>
      <w:rPr>
        <w:rFonts w:hint="eastAsia" w:ascii="宋体" w:eastAsia="宋体" w:cs="Times New Roman"/>
        <w:b/>
        <w:i w:val="0"/>
        <w:sz w:val="32"/>
      </w:rPr>
    </w:lvl>
    <w:lvl w:ilvl="2" w:tentative="0">
      <w:start w:val="1"/>
      <w:numFmt w:val="decimal"/>
      <w:suff w:val="space"/>
      <w:lvlText w:val="%2.%3"/>
      <w:lvlJc w:val="left"/>
      <w:pPr>
        <w:ind w:left="454" w:hanging="454"/>
      </w:pPr>
      <w:rPr>
        <w:rFonts w:hint="eastAsia" w:ascii="宋体" w:eastAsia="宋体" w:cs="Times New Roman"/>
        <w:b/>
        <w:i w:val="0"/>
        <w:sz w:val="28"/>
      </w:rPr>
    </w:lvl>
    <w:lvl w:ilvl="3" w:tentative="0">
      <w:start w:val="1"/>
      <w:numFmt w:val="decimal"/>
      <w:pStyle w:val="10"/>
      <w:suff w:val="space"/>
      <w:lvlText w:val="%2.%3.%4"/>
      <w:lvlJc w:val="left"/>
      <w:pPr>
        <w:ind w:left="284" w:hanging="284"/>
      </w:pPr>
      <w:rPr>
        <w:rFonts w:hint="eastAsia" w:ascii="宋体" w:eastAsia="宋体" w:cs="Times New Roman"/>
        <w:b/>
        <w:i w:val="0"/>
        <w:sz w:val="28"/>
      </w:rPr>
    </w:lvl>
    <w:lvl w:ilvl="4" w:tentative="0">
      <w:start w:val="1"/>
      <w:numFmt w:val="decimal"/>
      <w:pStyle w:val="11"/>
      <w:isLgl/>
      <w:suff w:val="space"/>
      <w:lvlText w:val="%2.%3.%4.%5"/>
      <w:lvlJc w:val="left"/>
      <w:pPr>
        <w:ind w:left="284" w:hanging="284"/>
      </w:pPr>
      <w:rPr>
        <w:rFonts w:hint="eastAsia" w:ascii="宋体" w:eastAsia="宋体" w:cs="Times New Roman"/>
        <w:b/>
        <w:i w:val="0"/>
        <w:strike w:val="0"/>
        <w:dstrike w:val="0"/>
        <w:sz w:val="28"/>
      </w:rPr>
    </w:lvl>
    <w:lvl w:ilvl="5" w:tentative="0">
      <w:start w:val="1"/>
      <w:numFmt w:val="decimal"/>
      <w:lvlRestart w:val="0"/>
      <w:suff w:val="space"/>
      <w:lvlText w:val="1.1.1.1.1.%6%5"/>
      <w:lvlJc w:val="left"/>
      <w:rPr>
        <w:rFonts w:hint="eastAsia" w:ascii="宋体" w:eastAsia="宋体" w:cs="Times New Roman"/>
        <w:b/>
        <w:i w:val="0"/>
        <w:sz w:val="28"/>
      </w:rPr>
    </w:lvl>
    <w:lvl w:ilvl="6" w:tentative="0">
      <w:start w:val="1"/>
      <w:numFmt w:val="none"/>
      <w:pStyle w:val="13"/>
      <w:suff w:val="nothing"/>
      <w:lvlText w:val=""/>
      <w:lvlJc w:val="left"/>
      <w:rPr>
        <w:rFonts w:hint="eastAsia" w:cs="Times New Roman"/>
      </w:rPr>
    </w:lvl>
    <w:lvl w:ilvl="7" w:tentative="0">
      <w:start w:val="1"/>
      <w:numFmt w:val="none"/>
      <w:pStyle w:val="14"/>
      <w:suff w:val="nothing"/>
      <w:lvlText w:val=""/>
      <w:lvlJc w:val="left"/>
      <w:rPr>
        <w:rFonts w:hint="eastAsia" w:cs="Times New Roman"/>
      </w:rPr>
    </w:lvl>
    <w:lvl w:ilvl="8" w:tentative="0">
      <w:start w:val="1"/>
      <w:numFmt w:val="none"/>
      <w:pStyle w:val="15"/>
      <w:suff w:val="nothing"/>
      <w:lvlText w:val=""/>
      <w:lvlJc w:val="left"/>
      <w:rPr>
        <w:rFonts w:hint="eastAsia" w:cs="Times New Roman"/>
      </w:rPr>
    </w:lvl>
  </w:abstractNum>
  <w:abstractNum w:abstractNumId="5">
    <w:nsid w:val="5DBF4C3C"/>
    <w:multiLevelType w:val="singleLevel"/>
    <w:tmpl w:val="5DBF4C3C"/>
    <w:lvl w:ilvl="0" w:tentative="0">
      <w:start w:val="1"/>
      <w:numFmt w:val="chineseCounting"/>
      <w:suff w:val="space"/>
      <w:lvlText w:val="%1、"/>
      <w:lvlJc w:val="left"/>
      <w:pPr>
        <w:ind w:left="210"/>
      </w:pPr>
      <w:rPr>
        <w:rFonts w:hint="eastAsia"/>
      </w:rPr>
    </w:lvl>
  </w:abstractNum>
  <w:abstractNum w:abstractNumId="6">
    <w:nsid w:val="74FB0463"/>
    <w:multiLevelType w:val="multilevel"/>
    <w:tmpl w:val="74FB0463"/>
    <w:lvl w:ilvl="0" w:tentative="0">
      <w:start w:val="1"/>
      <w:numFmt w:val="decimal"/>
      <w:suff w:val="nothing"/>
      <w:lvlText w:val="第%1篇"/>
      <w:lvlJc w:val="left"/>
      <w:rPr>
        <w:rFonts w:hint="eastAsia" w:cs="Times New Roman"/>
        <w:spacing w:val="60"/>
      </w:rPr>
    </w:lvl>
    <w:lvl w:ilvl="1" w:tentative="0">
      <w:start w:val="1"/>
      <w:numFmt w:val="none"/>
      <w:suff w:val="nothing"/>
      <w:lvlText w:val=""/>
      <w:lvlJc w:val="left"/>
      <w:rPr>
        <w:rFonts w:hint="eastAsia" w:cs="Times New Roman"/>
      </w:rPr>
    </w:lvl>
    <w:lvl w:ilvl="2" w:tentative="0">
      <w:start w:val="1"/>
      <w:numFmt w:val="none"/>
      <w:suff w:val="nothing"/>
      <w:lvlText w:val=""/>
      <w:lvlJc w:val="left"/>
      <w:rPr>
        <w:rFonts w:hint="eastAsia" w:cs="Times New Roman"/>
      </w:rPr>
    </w:lvl>
    <w:lvl w:ilvl="3" w:tentative="0">
      <w:start w:val="1"/>
      <w:numFmt w:val="none"/>
      <w:suff w:val="nothing"/>
      <w:lvlText w:val=""/>
      <w:lvlJc w:val="left"/>
      <w:rPr>
        <w:rFonts w:hint="eastAsia" w:cs="Times New Roman"/>
      </w:rPr>
    </w:lvl>
    <w:lvl w:ilvl="4" w:tentative="0">
      <w:start w:val="1"/>
      <w:numFmt w:val="none"/>
      <w:suff w:val="nothing"/>
      <w:lvlText w:val=""/>
      <w:lvlJc w:val="center"/>
      <w:pPr>
        <w:ind w:firstLine="288"/>
      </w:pPr>
      <w:rPr>
        <w:rFonts w:hint="eastAsia" w:cs="Times New Roman"/>
      </w:rPr>
    </w:lvl>
    <w:lvl w:ilvl="5" w:tentative="0">
      <w:start w:val="1"/>
      <w:numFmt w:val="none"/>
      <w:pStyle w:val="12"/>
      <w:suff w:val="nothing"/>
      <w:lvlText w:val=""/>
      <w:lvlJc w:val="left"/>
      <w:rPr>
        <w:rFonts w:hint="eastAsia" w:cs="Times New Roman"/>
      </w:rPr>
    </w:lvl>
    <w:lvl w:ilvl="6" w:tentative="0">
      <w:start w:val="1"/>
      <w:numFmt w:val="none"/>
      <w:suff w:val="nothing"/>
      <w:lvlText w:val=""/>
      <w:lvlJc w:val="left"/>
      <w:rPr>
        <w:rFonts w:hint="eastAsia" w:cs="Times New Roman"/>
      </w:rPr>
    </w:lvl>
    <w:lvl w:ilvl="7" w:tentative="0">
      <w:start w:val="1"/>
      <w:numFmt w:val="none"/>
      <w:suff w:val="nothing"/>
      <w:lvlText w:val=""/>
      <w:lvlJc w:val="left"/>
      <w:rPr>
        <w:rFonts w:hint="eastAsia" w:cs="Times New Roman"/>
      </w:rPr>
    </w:lvl>
    <w:lvl w:ilvl="8" w:tentative="0">
      <w:start w:val="1"/>
      <w:numFmt w:val="none"/>
      <w:suff w:val="nothing"/>
      <w:lvlText w:val=""/>
      <w:lvlJc w:val="left"/>
      <w:rPr>
        <w:rFonts w:hint="eastAsia" w:cs="Times New Roman"/>
      </w:rPr>
    </w:lvl>
  </w:abstractNum>
  <w:num w:numId="1">
    <w:abstractNumId w:val="4"/>
  </w:num>
  <w:num w:numId="2">
    <w:abstractNumId w:val="6"/>
  </w:num>
  <w:num w:numId="3">
    <w:abstractNumId w:val="1"/>
  </w:num>
  <w:num w:numId="4">
    <w:abstractNumId w:val="5"/>
  </w:num>
  <w:num w:numId="5">
    <w:abstractNumId w:val="0"/>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endnotePr>
    <w:numFmt w:val="decimal"/>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wZDdhYmVjZTVmYjE1NWI1NWJiMWVjNjNhNDZiOTAifQ=="/>
  </w:docVars>
  <w:rsids>
    <w:rsidRoot w:val="00172A27"/>
    <w:rsid w:val="00005D13"/>
    <w:rsid w:val="0001289E"/>
    <w:rsid w:val="00015EC9"/>
    <w:rsid w:val="00020941"/>
    <w:rsid w:val="00026495"/>
    <w:rsid w:val="00030D9C"/>
    <w:rsid w:val="00041F74"/>
    <w:rsid w:val="000759EE"/>
    <w:rsid w:val="00076695"/>
    <w:rsid w:val="00085996"/>
    <w:rsid w:val="00094870"/>
    <w:rsid w:val="000A7196"/>
    <w:rsid w:val="000B7EB3"/>
    <w:rsid w:val="000C024B"/>
    <w:rsid w:val="000C5828"/>
    <w:rsid w:val="000D4EA9"/>
    <w:rsid w:val="000E2149"/>
    <w:rsid w:val="00100D96"/>
    <w:rsid w:val="00107946"/>
    <w:rsid w:val="00113A64"/>
    <w:rsid w:val="00117AE4"/>
    <w:rsid w:val="00135762"/>
    <w:rsid w:val="00135891"/>
    <w:rsid w:val="00153E1B"/>
    <w:rsid w:val="00172A27"/>
    <w:rsid w:val="00184CD6"/>
    <w:rsid w:val="00192113"/>
    <w:rsid w:val="001A3A7C"/>
    <w:rsid w:val="001B1978"/>
    <w:rsid w:val="001C1F9B"/>
    <w:rsid w:val="001C5C3C"/>
    <w:rsid w:val="001D2863"/>
    <w:rsid w:val="001E4DCF"/>
    <w:rsid w:val="002025B5"/>
    <w:rsid w:val="00224B37"/>
    <w:rsid w:val="002411B9"/>
    <w:rsid w:val="00261BD4"/>
    <w:rsid w:val="00274290"/>
    <w:rsid w:val="002961F1"/>
    <w:rsid w:val="002A65EC"/>
    <w:rsid w:val="002E5C2F"/>
    <w:rsid w:val="002E5ECA"/>
    <w:rsid w:val="00315A54"/>
    <w:rsid w:val="00324B89"/>
    <w:rsid w:val="0032745C"/>
    <w:rsid w:val="0033362B"/>
    <w:rsid w:val="00341969"/>
    <w:rsid w:val="0034431F"/>
    <w:rsid w:val="0038792B"/>
    <w:rsid w:val="003907F7"/>
    <w:rsid w:val="00393E76"/>
    <w:rsid w:val="003951C5"/>
    <w:rsid w:val="003C1C8E"/>
    <w:rsid w:val="003E0A8F"/>
    <w:rsid w:val="004306DE"/>
    <w:rsid w:val="00434B33"/>
    <w:rsid w:val="00462D80"/>
    <w:rsid w:val="00492BCF"/>
    <w:rsid w:val="004A2237"/>
    <w:rsid w:val="004A7C38"/>
    <w:rsid w:val="004B1BD5"/>
    <w:rsid w:val="004E1274"/>
    <w:rsid w:val="004E3FE5"/>
    <w:rsid w:val="00523CF8"/>
    <w:rsid w:val="00534947"/>
    <w:rsid w:val="0055109D"/>
    <w:rsid w:val="00591DB5"/>
    <w:rsid w:val="0059302E"/>
    <w:rsid w:val="005A0693"/>
    <w:rsid w:val="005B579D"/>
    <w:rsid w:val="005C489A"/>
    <w:rsid w:val="005D2EE2"/>
    <w:rsid w:val="00604E15"/>
    <w:rsid w:val="00605397"/>
    <w:rsid w:val="0063155F"/>
    <w:rsid w:val="006335E3"/>
    <w:rsid w:val="0063385C"/>
    <w:rsid w:val="006508AB"/>
    <w:rsid w:val="00675E5C"/>
    <w:rsid w:val="006B6B0D"/>
    <w:rsid w:val="00700508"/>
    <w:rsid w:val="00704AB7"/>
    <w:rsid w:val="00713FB4"/>
    <w:rsid w:val="007262C3"/>
    <w:rsid w:val="00735360"/>
    <w:rsid w:val="007443D5"/>
    <w:rsid w:val="007632B6"/>
    <w:rsid w:val="007646C8"/>
    <w:rsid w:val="00775409"/>
    <w:rsid w:val="007756C4"/>
    <w:rsid w:val="007807D9"/>
    <w:rsid w:val="007B0B3C"/>
    <w:rsid w:val="007B41BE"/>
    <w:rsid w:val="007D6A53"/>
    <w:rsid w:val="0080488F"/>
    <w:rsid w:val="00805998"/>
    <w:rsid w:val="00824E3E"/>
    <w:rsid w:val="00831E6E"/>
    <w:rsid w:val="00834F89"/>
    <w:rsid w:val="008457C9"/>
    <w:rsid w:val="0085034F"/>
    <w:rsid w:val="008635D8"/>
    <w:rsid w:val="008836D8"/>
    <w:rsid w:val="008A67E2"/>
    <w:rsid w:val="008D39D0"/>
    <w:rsid w:val="008F4AB4"/>
    <w:rsid w:val="00900FF4"/>
    <w:rsid w:val="00905BAA"/>
    <w:rsid w:val="0090600B"/>
    <w:rsid w:val="009234FB"/>
    <w:rsid w:val="00944D5C"/>
    <w:rsid w:val="00957A32"/>
    <w:rsid w:val="009871C3"/>
    <w:rsid w:val="009B2D84"/>
    <w:rsid w:val="009C2C75"/>
    <w:rsid w:val="009C56C0"/>
    <w:rsid w:val="009D2D51"/>
    <w:rsid w:val="009D66E1"/>
    <w:rsid w:val="00A16E0F"/>
    <w:rsid w:val="00A73120"/>
    <w:rsid w:val="00A86462"/>
    <w:rsid w:val="00AB6AAA"/>
    <w:rsid w:val="00AC2B3B"/>
    <w:rsid w:val="00AC37D5"/>
    <w:rsid w:val="00AE160C"/>
    <w:rsid w:val="00AE1AC3"/>
    <w:rsid w:val="00AE1D40"/>
    <w:rsid w:val="00AE3BAB"/>
    <w:rsid w:val="00AF2557"/>
    <w:rsid w:val="00B01DB6"/>
    <w:rsid w:val="00B144AC"/>
    <w:rsid w:val="00B210BE"/>
    <w:rsid w:val="00B236C9"/>
    <w:rsid w:val="00B23E5D"/>
    <w:rsid w:val="00B37967"/>
    <w:rsid w:val="00B429B2"/>
    <w:rsid w:val="00B73135"/>
    <w:rsid w:val="00B7711F"/>
    <w:rsid w:val="00B85EB6"/>
    <w:rsid w:val="00B86FDC"/>
    <w:rsid w:val="00BA1FE0"/>
    <w:rsid w:val="00BC2B4D"/>
    <w:rsid w:val="00BC6A43"/>
    <w:rsid w:val="00C27837"/>
    <w:rsid w:val="00C408D3"/>
    <w:rsid w:val="00C44F2E"/>
    <w:rsid w:val="00C53C2F"/>
    <w:rsid w:val="00C62A97"/>
    <w:rsid w:val="00C8237C"/>
    <w:rsid w:val="00C95251"/>
    <w:rsid w:val="00C96388"/>
    <w:rsid w:val="00CA3057"/>
    <w:rsid w:val="00CA48AA"/>
    <w:rsid w:val="00CA6851"/>
    <w:rsid w:val="00D50F19"/>
    <w:rsid w:val="00D7074B"/>
    <w:rsid w:val="00D72F7B"/>
    <w:rsid w:val="00D9177E"/>
    <w:rsid w:val="00DB774A"/>
    <w:rsid w:val="00DE0E55"/>
    <w:rsid w:val="00E14F29"/>
    <w:rsid w:val="00E15E33"/>
    <w:rsid w:val="00E36CB2"/>
    <w:rsid w:val="00E56493"/>
    <w:rsid w:val="00E64487"/>
    <w:rsid w:val="00E6639E"/>
    <w:rsid w:val="00E94D22"/>
    <w:rsid w:val="00EB0F85"/>
    <w:rsid w:val="00EF2B3A"/>
    <w:rsid w:val="00EF2C5A"/>
    <w:rsid w:val="00F053A1"/>
    <w:rsid w:val="00F136F3"/>
    <w:rsid w:val="00F16648"/>
    <w:rsid w:val="00F16847"/>
    <w:rsid w:val="00F22375"/>
    <w:rsid w:val="00F24BE4"/>
    <w:rsid w:val="00F50B3D"/>
    <w:rsid w:val="00F73E07"/>
    <w:rsid w:val="00F82701"/>
    <w:rsid w:val="00F840D3"/>
    <w:rsid w:val="00F871EC"/>
    <w:rsid w:val="00F967BD"/>
    <w:rsid w:val="00F9704C"/>
    <w:rsid w:val="00FA77DD"/>
    <w:rsid w:val="00FD2749"/>
    <w:rsid w:val="00FD3F21"/>
    <w:rsid w:val="00FD60F6"/>
    <w:rsid w:val="00FE2126"/>
    <w:rsid w:val="00FF2A13"/>
    <w:rsid w:val="00FF4B98"/>
    <w:rsid w:val="010074D2"/>
    <w:rsid w:val="010F3B4F"/>
    <w:rsid w:val="013A16E3"/>
    <w:rsid w:val="016E1B67"/>
    <w:rsid w:val="01904305"/>
    <w:rsid w:val="019127B6"/>
    <w:rsid w:val="019A0A09"/>
    <w:rsid w:val="01A0487B"/>
    <w:rsid w:val="01AC056F"/>
    <w:rsid w:val="01BF523B"/>
    <w:rsid w:val="01C268D3"/>
    <w:rsid w:val="01CB67AC"/>
    <w:rsid w:val="01EA1FC0"/>
    <w:rsid w:val="01EF572E"/>
    <w:rsid w:val="02130FD6"/>
    <w:rsid w:val="02220C44"/>
    <w:rsid w:val="022E6257"/>
    <w:rsid w:val="023E3B2A"/>
    <w:rsid w:val="024209B9"/>
    <w:rsid w:val="024E62CB"/>
    <w:rsid w:val="02536E58"/>
    <w:rsid w:val="026A065D"/>
    <w:rsid w:val="02701A1B"/>
    <w:rsid w:val="02717394"/>
    <w:rsid w:val="02735C7D"/>
    <w:rsid w:val="02AE5769"/>
    <w:rsid w:val="02B212CA"/>
    <w:rsid w:val="02C7348C"/>
    <w:rsid w:val="02CE72B4"/>
    <w:rsid w:val="02D15574"/>
    <w:rsid w:val="02D23086"/>
    <w:rsid w:val="02D40EFC"/>
    <w:rsid w:val="02DC5CB3"/>
    <w:rsid w:val="02E10537"/>
    <w:rsid w:val="02E75FB9"/>
    <w:rsid w:val="02EB5511"/>
    <w:rsid w:val="02F230FA"/>
    <w:rsid w:val="02F95075"/>
    <w:rsid w:val="031A2FE6"/>
    <w:rsid w:val="03274EAB"/>
    <w:rsid w:val="032F672A"/>
    <w:rsid w:val="032F7263"/>
    <w:rsid w:val="033D4F2C"/>
    <w:rsid w:val="033F3C93"/>
    <w:rsid w:val="035903FF"/>
    <w:rsid w:val="0361440A"/>
    <w:rsid w:val="03670C13"/>
    <w:rsid w:val="03685798"/>
    <w:rsid w:val="038044A7"/>
    <w:rsid w:val="03816883"/>
    <w:rsid w:val="038679A8"/>
    <w:rsid w:val="03867F85"/>
    <w:rsid w:val="03A260C2"/>
    <w:rsid w:val="03AA7B5F"/>
    <w:rsid w:val="03BC20CC"/>
    <w:rsid w:val="03C541E5"/>
    <w:rsid w:val="03DD6494"/>
    <w:rsid w:val="03E10905"/>
    <w:rsid w:val="03E14C64"/>
    <w:rsid w:val="03E4503E"/>
    <w:rsid w:val="0413601A"/>
    <w:rsid w:val="041969DB"/>
    <w:rsid w:val="0424086D"/>
    <w:rsid w:val="042518DB"/>
    <w:rsid w:val="042F62B6"/>
    <w:rsid w:val="04405D9B"/>
    <w:rsid w:val="044503BF"/>
    <w:rsid w:val="045A77D7"/>
    <w:rsid w:val="045E1129"/>
    <w:rsid w:val="04690F65"/>
    <w:rsid w:val="046A686F"/>
    <w:rsid w:val="046E5030"/>
    <w:rsid w:val="047153A5"/>
    <w:rsid w:val="0479465A"/>
    <w:rsid w:val="04A21E6A"/>
    <w:rsid w:val="04AB5A2A"/>
    <w:rsid w:val="04B0389B"/>
    <w:rsid w:val="04B7004B"/>
    <w:rsid w:val="04C35ED3"/>
    <w:rsid w:val="04CA2892"/>
    <w:rsid w:val="04E377CC"/>
    <w:rsid w:val="04F419D9"/>
    <w:rsid w:val="05021E26"/>
    <w:rsid w:val="050545C8"/>
    <w:rsid w:val="050D4170"/>
    <w:rsid w:val="051C4A8C"/>
    <w:rsid w:val="0549284E"/>
    <w:rsid w:val="0563090D"/>
    <w:rsid w:val="056C1967"/>
    <w:rsid w:val="056F3B9B"/>
    <w:rsid w:val="057667D6"/>
    <w:rsid w:val="058A162D"/>
    <w:rsid w:val="058B7615"/>
    <w:rsid w:val="05965BC8"/>
    <w:rsid w:val="059A40DB"/>
    <w:rsid w:val="059D30B6"/>
    <w:rsid w:val="05A86320"/>
    <w:rsid w:val="05AF15F9"/>
    <w:rsid w:val="05B64EE1"/>
    <w:rsid w:val="05C86BBC"/>
    <w:rsid w:val="05FC76AB"/>
    <w:rsid w:val="05FF3094"/>
    <w:rsid w:val="060D2627"/>
    <w:rsid w:val="06181408"/>
    <w:rsid w:val="061A5DE6"/>
    <w:rsid w:val="0627667A"/>
    <w:rsid w:val="062C0CFF"/>
    <w:rsid w:val="062E2B49"/>
    <w:rsid w:val="06326C4C"/>
    <w:rsid w:val="063473E1"/>
    <w:rsid w:val="06471FDD"/>
    <w:rsid w:val="06492E89"/>
    <w:rsid w:val="06557E95"/>
    <w:rsid w:val="065F2C53"/>
    <w:rsid w:val="06681E71"/>
    <w:rsid w:val="06732DD2"/>
    <w:rsid w:val="0675368A"/>
    <w:rsid w:val="06753B14"/>
    <w:rsid w:val="06840B3B"/>
    <w:rsid w:val="06955753"/>
    <w:rsid w:val="06996AFE"/>
    <w:rsid w:val="06A738C8"/>
    <w:rsid w:val="06BE36DD"/>
    <w:rsid w:val="06C00178"/>
    <w:rsid w:val="070018B2"/>
    <w:rsid w:val="07076189"/>
    <w:rsid w:val="0710675B"/>
    <w:rsid w:val="071365F6"/>
    <w:rsid w:val="07372051"/>
    <w:rsid w:val="073B727B"/>
    <w:rsid w:val="073E518E"/>
    <w:rsid w:val="07405C23"/>
    <w:rsid w:val="07414C7E"/>
    <w:rsid w:val="074C4D53"/>
    <w:rsid w:val="07510ABE"/>
    <w:rsid w:val="0755780B"/>
    <w:rsid w:val="07577FFE"/>
    <w:rsid w:val="077C0B51"/>
    <w:rsid w:val="078826EE"/>
    <w:rsid w:val="078F65C3"/>
    <w:rsid w:val="079B28D1"/>
    <w:rsid w:val="07A5520D"/>
    <w:rsid w:val="07AA753B"/>
    <w:rsid w:val="07B165BA"/>
    <w:rsid w:val="07B34F1F"/>
    <w:rsid w:val="07B611C8"/>
    <w:rsid w:val="07DB3EBD"/>
    <w:rsid w:val="07E56D86"/>
    <w:rsid w:val="07EA70C4"/>
    <w:rsid w:val="07F30CD9"/>
    <w:rsid w:val="07F47A44"/>
    <w:rsid w:val="07F647A3"/>
    <w:rsid w:val="07F81966"/>
    <w:rsid w:val="081418AD"/>
    <w:rsid w:val="08415EBD"/>
    <w:rsid w:val="08475DBA"/>
    <w:rsid w:val="084C2F3A"/>
    <w:rsid w:val="084D5140"/>
    <w:rsid w:val="08591B53"/>
    <w:rsid w:val="087F4C1E"/>
    <w:rsid w:val="08A00CAC"/>
    <w:rsid w:val="08A11AA0"/>
    <w:rsid w:val="08C32DBB"/>
    <w:rsid w:val="08F9013A"/>
    <w:rsid w:val="0908581E"/>
    <w:rsid w:val="090C3022"/>
    <w:rsid w:val="091F0FEF"/>
    <w:rsid w:val="09293C1C"/>
    <w:rsid w:val="093C7BDC"/>
    <w:rsid w:val="094422F5"/>
    <w:rsid w:val="09501632"/>
    <w:rsid w:val="09541F4B"/>
    <w:rsid w:val="0955056D"/>
    <w:rsid w:val="09670FF5"/>
    <w:rsid w:val="09671F09"/>
    <w:rsid w:val="09821A8A"/>
    <w:rsid w:val="09957574"/>
    <w:rsid w:val="099C0CDE"/>
    <w:rsid w:val="09A01AC7"/>
    <w:rsid w:val="09A07E44"/>
    <w:rsid w:val="09A3752A"/>
    <w:rsid w:val="09A729C9"/>
    <w:rsid w:val="09A80656"/>
    <w:rsid w:val="09AE133E"/>
    <w:rsid w:val="09BB6D63"/>
    <w:rsid w:val="09BF766A"/>
    <w:rsid w:val="09C12A91"/>
    <w:rsid w:val="09D41E3F"/>
    <w:rsid w:val="09D7525B"/>
    <w:rsid w:val="09E33DCA"/>
    <w:rsid w:val="09FA113C"/>
    <w:rsid w:val="09FB0CDF"/>
    <w:rsid w:val="09FB1114"/>
    <w:rsid w:val="09FD67E9"/>
    <w:rsid w:val="0A0041E2"/>
    <w:rsid w:val="0A0424B8"/>
    <w:rsid w:val="0A0B5121"/>
    <w:rsid w:val="0A11655F"/>
    <w:rsid w:val="0A167A7F"/>
    <w:rsid w:val="0A1E7A99"/>
    <w:rsid w:val="0A1E7C70"/>
    <w:rsid w:val="0A342878"/>
    <w:rsid w:val="0A344626"/>
    <w:rsid w:val="0A3F6C18"/>
    <w:rsid w:val="0A4B7BB6"/>
    <w:rsid w:val="0A626216"/>
    <w:rsid w:val="0A6D0F03"/>
    <w:rsid w:val="0A726EFC"/>
    <w:rsid w:val="0A733F58"/>
    <w:rsid w:val="0A765E32"/>
    <w:rsid w:val="0A7A4F9A"/>
    <w:rsid w:val="0A7D421F"/>
    <w:rsid w:val="0A813A44"/>
    <w:rsid w:val="0A870BFA"/>
    <w:rsid w:val="0A924985"/>
    <w:rsid w:val="0AA2673C"/>
    <w:rsid w:val="0ACC2AB1"/>
    <w:rsid w:val="0ADE529F"/>
    <w:rsid w:val="0AE150CC"/>
    <w:rsid w:val="0AE80E7C"/>
    <w:rsid w:val="0AEB7418"/>
    <w:rsid w:val="0B05532B"/>
    <w:rsid w:val="0B093D05"/>
    <w:rsid w:val="0B0E2A78"/>
    <w:rsid w:val="0B0F0330"/>
    <w:rsid w:val="0B111AA5"/>
    <w:rsid w:val="0B1B51A9"/>
    <w:rsid w:val="0B1D330C"/>
    <w:rsid w:val="0B25207A"/>
    <w:rsid w:val="0B2E6C33"/>
    <w:rsid w:val="0B442158"/>
    <w:rsid w:val="0B4C6E5E"/>
    <w:rsid w:val="0B4D1E43"/>
    <w:rsid w:val="0B4E5BBB"/>
    <w:rsid w:val="0B4F1B41"/>
    <w:rsid w:val="0B535FAE"/>
    <w:rsid w:val="0B552AA6"/>
    <w:rsid w:val="0B5F56D3"/>
    <w:rsid w:val="0B837CD0"/>
    <w:rsid w:val="0B884C29"/>
    <w:rsid w:val="0BA03C2D"/>
    <w:rsid w:val="0BAE21B6"/>
    <w:rsid w:val="0BAE588C"/>
    <w:rsid w:val="0BB41559"/>
    <w:rsid w:val="0BBF724F"/>
    <w:rsid w:val="0BC375B5"/>
    <w:rsid w:val="0BC63955"/>
    <w:rsid w:val="0BD36B95"/>
    <w:rsid w:val="0BDC2B05"/>
    <w:rsid w:val="0BED7AC3"/>
    <w:rsid w:val="0BF16634"/>
    <w:rsid w:val="0C0270B0"/>
    <w:rsid w:val="0C0D3381"/>
    <w:rsid w:val="0C0D7A99"/>
    <w:rsid w:val="0C1F0599"/>
    <w:rsid w:val="0C264442"/>
    <w:rsid w:val="0C316A63"/>
    <w:rsid w:val="0C3D5A96"/>
    <w:rsid w:val="0C4444D5"/>
    <w:rsid w:val="0C465FA0"/>
    <w:rsid w:val="0C474574"/>
    <w:rsid w:val="0C5065DE"/>
    <w:rsid w:val="0C511C1F"/>
    <w:rsid w:val="0C5E47D1"/>
    <w:rsid w:val="0C61547A"/>
    <w:rsid w:val="0C626150"/>
    <w:rsid w:val="0C6671C3"/>
    <w:rsid w:val="0C6B374D"/>
    <w:rsid w:val="0C6F7B97"/>
    <w:rsid w:val="0C776777"/>
    <w:rsid w:val="0C782EF0"/>
    <w:rsid w:val="0C7A3FBD"/>
    <w:rsid w:val="0C85528E"/>
    <w:rsid w:val="0C874EE1"/>
    <w:rsid w:val="0C9470B7"/>
    <w:rsid w:val="0C9B08B8"/>
    <w:rsid w:val="0C9C6F10"/>
    <w:rsid w:val="0CA27F6D"/>
    <w:rsid w:val="0CE031F7"/>
    <w:rsid w:val="0CE42333"/>
    <w:rsid w:val="0CF031B7"/>
    <w:rsid w:val="0D011D3C"/>
    <w:rsid w:val="0D0C53E6"/>
    <w:rsid w:val="0D116EA1"/>
    <w:rsid w:val="0D16240A"/>
    <w:rsid w:val="0D36491F"/>
    <w:rsid w:val="0D3F561A"/>
    <w:rsid w:val="0D4848A0"/>
    <w:rsid w:val="0D5D3682"/>
    <w:rsid w:val="0D6D057B"/>
    <w:rsid w:val="0D713AAF"/>
    <w:rsid w:val="0D7A67F4"/>
    <w:rsid w:val="0D7C53D8"/>
    <w:rsid w:val="0D827467"/>
    <w:rsid w:val="0D840F6C"/>
    <w:rsid w:val="0D896853"/>
    <w:rsid w:val="0D8E386E"/>
    <w:rsid w:val="0D957AD2"/>
    <w:rsid w:val="0D9A756D"/>
    <w:rsid w:val="0DA45757"/>
    <w:rsid w:val="0DB708B7"/>
    <w:rsid w:val="0DB83A46"/>
    <w:rsid w:val="0DC12675"/>
    <w:rsid w:val="0DC254D2"/>
    <w:rsid w:val="0DCB3E19"/>
    <w:rsid w:val="0DCF1DAD"/>
    <w:rsid w:val="0DE14AC5"/>
    <w:rsid w:val="0DF6090C"/>
    <w:rsid w:val="0DFC39FC"/>
    <w:rsid w:val="0DFE5BC4"/>
    <w:rsid w:val="0E06335B"/>
    <w:rsid w:val="0E1339E0"/>
    <w:rsid w:val="0E1A722C"/>
    <w:rsid w:val="0E4678D6"/>
    <w:rsid w:val="0E511C4A"/>
    <w:rsid w:val="0E590AFF"/>
    <w:rsid w:val="0E76520D"/>
    <w:rsid w:val="0E7B0A75"/>
    <w:rsid w:val="0E855986"/>
    <w:rsid w:val="0E8801FF"/>
    <w:rsid w:val="0E927A52"/>
    <w:rsid w:val="0EAC08BC"/>
    <w:rsid w:val="0EB62A25"/>
    <w:rsid w:val="0EC00B7E"/>
    <w:rsid w:val="0ECB4A99"/>
    <w:rsid w:val="0ECC35D9"/>
    <w:rsid w:val="0ED16285"/>
    <w:rsid w:val="0ED458F2"/>
    <w:rsid w:val="0ED4693B"/>
    <w:rsid w:val="0ED62150"/>
    <w:rsid w:val="0EE37204"/>
    <w:rsid w:val="0EE4486D"/>
    <w:rsid w:val="0EF058FB"/>
    <w:rsid w:val="0EF2523B"/>
    <w:rsid w:val="0EF60AB7"/>
    <w:rsid w:val="0EFA7B59"/>
    <w:rsid w:val="0EFD76DC"/>
    <w:rsid w:val="0F0563A0"/>
    <w:rsid w:val="0F185413"/>
    <w:rsid w:val="0F1D38DB"/>
    <w:rsid w:val="0F2B5050"/>
    <w:rsid w:val="0F384BB8"/>
    <w:rsid w:val="0F3B5EF1"/>
    <w:rsid w:val="0F3E3322"/>
    <w:rsid w:val="0F456BFE"/>
    <w:rsid w:val="0F4946D0"/>
    <w:rsid w:val="0F4C2740"/>
    <w:rsid w:val="0F563291"/>
    <w:rsid w:val="0F5B24A1"/>
    <w:rsid w:val="0F635A4C"/>
    <w:rsid w:val="0F6931C8"/>
    <w:rsid w:val="0F977B31"/>
    <w:rsid w:val="0FA51DD8"/>
    <w:rsid w:val="0FA533AF"/>
    <w:rsid w:val="0FB676E2"/>
    <w:rsid w:val="0FC14BAE"/>
    <w:rsid w:val="0FD17044"/>
    <w:rsid w:val="0FD75899"/>
    <w:rsid w:val="0FFA1E6E"/>
    <w:rsid w:val="1005368D"/>
    <w:rsid w:val="10084FF9"/>
    <w:rsid w:val="10164E3D"/>
    <w:rsid w:val="10235934"/>
    <w:rsid w:val="10286AF6"/>
    <w:rsid w:val="102A1F5D"/>
    <w:rsid w:val="104100E8"/>
    <w:rsid w:val="10464C43"/>
    <w:rsid w:val="10547DD8"/>
    <w:rsid w:val="105744E8"/>
    <w:rsid w:val="106B4B1A"/>
    <w:rsid w:val="107734BE"/>
    <w:rsid w:val="107E2A9F"/>
    <w:rsid w:val="10833C11"/>
    <w:rsid w:val="108A4FA0"/>
    <w:rsid w:val="10955B2F"/>
    <w:rsid w:val="10B70033"/>
    <w:rsid w:val="10BE7AAC"/>
    <w:rsid w:val="10C9787B"/>
    <w:rsid w:val="10D77991"/>
    <w:rsid w:val="10EC4218"/>
    <w:rsid w:val="10ED3781"/>
    <w:rsid w:val="10F93ED3"/>
    <w:rsid w:val="11036B00"/>
    <w:rsid w:val="110A00C6"/>
    <w:rsid w:val="11203B56"/>
    <w:rsid w:val="112C1969"/>
    <w:rsid w:val="1142587A"/>
    <w:rsid w:val="114C007F"/>
    <w:rsid w:val="114D329F"/>
    <w:rsid w:val="11921749"/>
    <w:rsid w:val="11965869"/>
    <w:rsid w:val="11992AC1"/>
    <w:rsid w:val="119F6630"/>
    <w:rsid w:val="11AB38BE"/>
    <w:rsid w:val="11AB78C4"/>
    <w:rsid w:val="11B61270"/>
    <w:rsid w:val="11C65384"/>
    <w:rsid w:val="11D95C36"/>
    <w:rsid w:val="11DA047F"/>
    <w:rsid w:val="11F0184F"/>
    <w:rsid w:val="12094350"/>
    <w:rsid w:val="12134C2A"/>
    <w:rsid w:val="12183CC4"/>
    <w:rsid w:val="121F5BBC"/>
    <w:rsid w:val="122338FE"/>
    <w:rsid w:val="12303925"/>
    <w:rsid w:val="12386C7D"/>
    <w:rsid w:val="12501C41"/>
    <w:rsid w:val="125957A1"/>
    <w:rsid w:val="12644A7C"/>
    <w:rsid w:val="12705F50"/>
    <w:rsid w:val="12797A0B"/>
    <w:rsid w:val="127C75DE"/>
    <w:rsid w:val="12901631"/>
    <w:rsid w:val="129F1D9B"/>
    <w:rsid w:val="12A2347A"/>
    <w:rsid w:val="12A65A60"/>
    <w:rsid w:val="12A80D3A"/>
    <w:rsid w:val="12B46304"/>
    <w:rsid w:val="12B51E98"/>
    <w:rsid w:val="12C603DA"/>
    <w:rsid w:val="12C85ACD"/>
    <w:rsid w:val="12CB0F05"/>
    <w:rsid w:val="12DF4148"/>
    <w:rsid w:val="12DF5787"/>
    <w:rsid w:val="12F26E2C"/>
    <w:rsid w:val="13001549"/>
    <w:rsid w:val="130C4392"/>
    <w:rsid w:val="13135720"/>
    <w:rsid w:val="1332640D"/>
    <w:rsid w:val="133501ED"/>
    <w:rsid w:val="133767A4"/>
    <w:rsid w:val="133B07BF"/>
    <w:rsid w:val="13427E55"/>
    <w:rsid w:val="134379B3"/>
    <w:rsid w:val="13766BE3"/>
    <w:rsid w:val="137B4F51"/>
    <w:rsid w:val="138228A6"/>
    <w:rsid w:val="138A7508"/>
    <w:rsid w:val="13985C26"/>
    <w:rsid w:val="139D4FEA"/>
    <w:rsid w:val="13A14FBF"/>
    <w:rsid w:val="13A96016"/>
    <w:rsid w:val="13AC57F8"/>
    <w:rsid w:val="13AF2762"/>
    <w:rsid w:val="13B14F39"/>
    <w:rsid w:val="13B97EE4"/>
    <w:rsid w:val="13DF2DA3"/>
    <w:rsid w:val="13E470BD"/>
    <w:rsid w:val="13E84D18"/>
    <w:rsid w:val="13F310AE"/>
    <w:rsid w:val="13FD357C"/>
    <w:rsid w:val="1403099A"/>
    <w:rsid w:val="14033C6A"/>
    <w:rsid w:val="14072DAB"/>
    <w:rsid w:val="14195FFB"/>
    <w:rsid w:val="142376D5"/>
    <w:rsid w:val="144E0982"/>
    <w:rsid w:val="1463784D"/>
    <w:rsid w:val="146F2E2A"/>
    <w:rsid w:val="148443FC"/>
    <w:rsid w:val="14894222"/>
    <w:rsid w:val="148B6803"/>
    <w:rsid w:val="14956609"/>
    <w:rsid w:val="14BB6070"/>
    <w:rsid w:val="14C8253B"/>
    <w:rsid w:val="14D26F15"/>
    <w:rsid w:val="14E0580D"/>
    <w:rsid w:val="14ED4913"/>
    <w:rsid w:val="15107A3E"/>
    <w:rsid w:val="151326FF"/>
    <w:rsid w:val="15191A6E"/>
    <w:rsid w:val="1520289B"/>
    <w:rsid w:val="15372817"/>
    <w:rsid w:val="15507658"/>
    <w:rsid w:val="15574A5F"/>
    <w:rsid w:val="155B7B8E"/>
    <w:rsid w:val="15771381"/>
    <w:rsid w:val="1582731D"/>
    <w:rsid w:val="15880362"/>
    <w:rsid w:val="158A3C94"/>
    <w:rsid w:val="15AE7982"/>
    <w:rsid w:val="15BA6327"/>
    <w:rsid w:val="15C64414"/>
    <w:rsid w:val="15CA2E6E"/>
    <w:rsid w:val="15CF16A7"/>
    <w:rsid w:val="15DB1323"/>
    <w:rsid w:val="15E06E6A"/>
    <w:rsid w:val="15E149F4"/>
    <w:rsid w:val="15EC3FC3"/>
    <w:rsid w:val="15FC72EA"/>
    <w:rsid w:val="160838A2"/>
    <w:rsid w:val="16111CBF"/>
    <w:rsid w:val="161C4039"/>
    <w:rsid w:val="1620060F"/>
    <w:rsid w:val="16270A78"/>
    <w:rsid w:val="16531299"/>
    <w:rsid w:val="165C5741"/>
    <w:rsid w:val="165E218F"/>
    <w:rsid w:val="16610AB7"/>
    <w:rsid w:val="168263A6"/>
    <w:rsid w:val="16877CA9"/>
    <w:rsid w:val="16912848"/>
    <w:rsid w:val="1699418F"/>
    <w:rsid w:val="169E79F7"/>
    <w:rsid w:val="169F4260"/>
    <w:rsid w:val="16A0450C"/>
    <w:rsid w:val="16B6220D"/>
    <w:rsid w:val="16BA2B3B"/>
    <w:rsid w:val="16BF4870"/>
    <w:rsid w:val="16C3745D"/>
    <w:rsid w:val="16CF2FE2"/>
    <w:rsid w:val="16CF678A"/>
    <w:rsid w:val="16D375ED"/>
    <w:rsid w:val="16DB3E22"/>
    <w:rsid w:val="16DC407B"/>
    <w:rsid w:val="16E01C07"/>
    <w:rsid w:val="16EC2F91"/>
    <w:rsid w:val="16F615E1"/>
    <w:rsid w:val="16F921CD"/>
    <w:rsid w:val="17196F8C"/>
    <w:rsid w:val="173358D0"/>
    <w:rsid w:val="17365E81"/>
    <w:rsid w:val="173C434C"/>
    <w:rsid w:val="173E7A8F"/>
    <w:rsid w:val="174B6B68"/>
    <w:rsid w:val="175C0B85"/>
    <w:rsid w:val="175E2CE2"/>
    <w:rsid w:val="17602AE3"/>
    <w:rsid w:val="1761070A"/>
    <w:rsid w:val="176D4945"/>
    <w:rsid w:val="17721D0F"/>
    <w:rsid w:val="1776627E"/>
    <w:rsid w:val="177702D8"/>
    <w:rsid w:val="178A2E03"/>
    <w:rsid w:val="178C372E"/>
    <w:rsid w:val="17A0413C"/>
    <w:rsid w:val="17A771A4"/>
    <w:rsid w:val="17AE3C6A"/>
    <w:rsid w:val="17B36DE7"/>
    <w:rsid w:val="17B40B54"/>
    <w:rsid w:val="17BE19D3"/>
    <w:rsid w:val="17C756E4"/>
    <w:rsid w:val="17D45786"/>
    <w:rsid w:val="17DB0714"/>
    <w:rsid w:val="17E51656"/>
    <w:rsid w:val="17FC17DF"/>
    <w:rsid w:val="17FE566D"/>
    <w:rsid w:val="181D5D28"/>
    <w:rsid w:val="1820029D"/>
    <w:rsid w:val="182069E9"/>
    <w:rsid w:val="18234574"/>
    <w:rsid w:val="182F3296"/>
    <w:rsid w:val="18351C95"/>
    <w:rsid w:val="18354E66"/>
    <w:rsid w:val="18381785"/>
    <w:rsid w:val="18381E73"/>
    <w:rsid w:val="18386ED8"/>
    <w:rsid w:val="183F2B14"/>
    <w:rsid w:val="184E7FCE"/>
    <w:rsid w:val="1864257A"/>
    <w:rsid w:val="18655B7C"/>
    <w:rsid w:val="18656DB1"/>
    <w:rsid w:val="18BE4634"/>
    <w:rsid w:val="18BE55E5"/>
    <w:rsid w:val="18CD4E78"/>
    <w:rsid w:val="18DF06AB"/>
    <w:rsid w:val="19065A91"/>
    <w:rsid w:val="19120228"/>
    <w:rsid w:val="192F2B88"/>
    <w:rsid w:val="19477ABA"/>
    <w:rsid w:val="194859F8"/>
    <w:rsid w:val="194F204E"/>
    <w:rsid w:val="19532596"/>
    <w:rsid w:val="19560BD8"/>
    <w:rsid w:val="195E521C"/>
    <w:rsid w:val="195F2D42"/>
    <w:rsid w:val="19654926"/>
    <w:rsid w:val="196C5488"/>
    <w:rsid w:val="196C7118"/>
    <w:rsid w:val="1970491C"/>
    <w:rsid w:val="19856C4C"/>
    <w:rsid w:val="198D3D53"/>
    <w:rsid w:val="19A14F2D"/>
    <w:rsid w:val="19BB61C6"/>
    <w:rsid w:val="19CC0666"/>
    <w:rsid w:val="19DF21D8"/>
    <w:rsid w:val="19ED659F"/>
    <w:rsid w:val="19F636A6"/>
    <w:rsid w:val="19F952E2"/>
    <w:rsid w:val="1A1678A4"/>
    <w:rsid w:val="1A203EF2"/>
    <w:rsid w:val="1A257008"/>
    <w:rsid w:val="1A292DD4"/>
    <w:rsid w:val="1A2B456B"/>
    <w:rsid w:val="1A537115"/>
    <w:rsid w:val="1A612A1C"/>
    <w:rsid w:val="1A75281D"/>
    <w:rsid w:val="1A846CB9"/>
    <w:rsid w:val="1A883F8C"/>
    <w:rsid w:val="1A8E7D82"/>
    <w:rsid w:val="1A947DBD"/>
    <w:rsid w:val="1A9C7BAA"/>
    <w:rsid w:val="1AA80E44"/>
    <w:rsid w:val="1AB428BA"/>
    <w:rsid w:val="1AB937DF"/>
    <w:rsid w:val="1AC40B3F"/>
    <w:rsid w:val="1ACA4736"/>
    <w:rsid w:val="1ACE6812"/>
    <w:rsid w:val="1AE6528E"/>
    <w:rsid w:val="1AF56462"/>
    <w:rsid w:val="1AF87270"/>
    <w:rsid w:val="1AFD5D26"/>
    <w:rsid w:val="1B05203B"/>
    <w:rsid w:val="1B284797"/>
    <w:rsid w:val="1B3161C8"/>
    <w:rsid w:val="1B4D6483"/>
    <w:rsid w:val="1B6A2598"/>
    <w:rsid w:val="1B7F2725"/>
    <w:rsid w:val="1B8342A5"/>
    <w:rsid w:val="1B835F0C"/>
    <w:rsid w:val="1B836D49"/>
    <w:rsid w:val="1B8C12F5"/>
    <w:rsid w:val="1B972169"/>
    <w:rsid w:val="1BBD091F"/>
    <w:rsid w:val="1BC33C07"/>
    <w:rsid w:val="1BDF1618"/>
    <w:rsid w:val="1BE2796C"/>
    <w:rsid w:val="1BE51A7E"/>
    <w:rsid w:val="1BF22477"/>
    <w:rsid w:val="1BF65BBD"/>
    <w:rsid w:val="1BFA092C"/>
    <w:rsid w:val="1BFA0C5D"/>
    <w:rsid w:val="1BFB1448"/>
    <w:rsid w:val="1C0A2D4E"/>
    <w:rsid w:val="1C2B3706"/>
    <w:rsid w:val="1C357D1B"/>
    <w:rsid w:val="1C3E79C8"/>
    <w:rsid w:val="1C47643B"/>
    <w:rsid w:val="1C4D0737"/>
    <w:rsid w:val="1C4E1577"/>
    <w:rsid w:val="1C4F3541"/>
    <w:rsid w:val="1C5555C3"/>
    <w:rsid w:val="1C6D7908"/>
    <w:rsid w:val="1C7142BF"/>
    <w:rsid w:val="1C721804"/>
    <w:rsid w:val="1C7B60E4"/>
    <w:rsid w:val="1C8F233F"/>
    <w:rsid w:val="1C953DEA"/>
    <w:rsid w:val="1CB3003D"/>
    <w:rsid w:val="1CB54BB4"/>
    <w:rsid w:val="1CCB0B3D"/>
    <w:rsid w:val="1CCB0E1A"/>
    <w:rsid w:val="1CD82543"/>
    <w:rsid w:val="1CE558F5"/>
    <w:rsid w:val="1CE95744"/>
    <w:rsid w:val="1CEE2F53"/>
    <w:rsid w:val="1CF00880"/>
    <w:rsid w:val="1CFE580E"/>
    <w:rsid w:val="1D034873"/>
    <w:rsid w:val="1D050FAB"/>
    <w:rsid w:val="1D067072"/>
    <w:rsid w:val="1D0B56BA"/>
    <w:rsid w:val="1D1931C2"/>
    <w:rsid w:val="1D1A5933"/>
    <w:rsid w:val="1D277E8F"/>
    <w:rsid w:val="1D2E76EA"/>
    <w:rsid w:val="1D2F75FB"/>
    <w:rsid w:val="1D4C45D1"/>
    <w:rsid w:val="1D4F5270"/>
    <w:rsid w:val="1D697473"/>
    <w:rsid w:val="1D9E32D9"/>
    <w:rsid w:val="1DAC0B1D"/>
    <w:rsid w:val="1DAC0C4B"/>
    <w:rsid w:val="1DCF61E0"/>
    <w:rsid w:val="1DD41F50"/>
    <w:rsid w:val="1DEA449D"/>
    <w:rsid w:val="1DF45212"/>
    <w:rsid w:val="1DF919B7"/>
    <w:rsid w:val="1E031A4F"/>
    <w:rsid w:val="1E0518D3"/>
    <w:rsid w:val="1E0839A8"/>
    <w:rsid w:val="1E1660C5"/>
    <w:rsid w:val="1E3033EF"/>
    <w:rsid w:val="1E32375F"/>
    <w:rsid w:val="1E326739"/>
    <w:rsid w:val="1E4924FE"/>
    <w:rsid w:val="1E4C2987"/>
    <w:rsid w:val="1E5B03BF"/>
    <w:rsid w:val="1E611FF0"/>
    <w:rsid w:val="1E7419C1"/>
    <w:rsid w:val="1E82375A"/>
    <w:rsid w:val="1EAA7D2F"/>
    <w:rsid w:val="1EB4768C"/>
    <w:rsid w:val="1EB756DE"/>
    <w:rsid w:val="1EDD1368"/>
    <w:rsid w:val="1EEC01C4"/>
    <w:rsid w:val="1F004F75"/>
    <w:rsid w:val="1F02489B"/>
    <w:rsid w:val="1F046865"/>
    <w:rsid w:val="1F215C8B"/>
    <w:rsid w:val="1F301408"/>
    <w:rsid w:val="1F3702EE"/>
    <w:rsid w:val="1F3B2567"/>
    <w:rsid w:val="1F404366"/>
    <w:rsid w:val="1F4271E7"/>
    <w:rsid w:val="1F474F76"/>
    <w:rsid w:val="1F49661C"/>
    <w:rsid w:val="1F9429D6"/>
    <w:rsid w:val="1FA6791C"/>
    <w:rsid w:val="1FA80624"/>
    <w:rsid w:val="1FB14BE7"/>
    <w:rsid w:val="1FCE33A5"/>
    <w:rsid w:val="1FCF0C21"/>
    <w:rsid w:val="1FD076F3"/>
    <w:rsid w:val="1FD20711"/>
    <w:rsid w:val="1FD77AD6"/>
    <w:rsid w:val="1FDE70B6"/>
    <w:rsid w:val="1FEA66CE"/>
    <w:rsid w:val="1FEB4313"/>
    <w:rsid w:val="1FEE5A47"/>
    <w:rsid w:val="1FF40909"/>
    <w:rsid w:val="2007660D"/>
    <w:rsid w:val="200C3197"/>
    <w:rsid w:val="200E4011"/>
    <w:rsid w:val="201523AC"/>
    <w:rsid w:val="20166252"/>
    <w:rsid w:val="201B2E55"/>
    <w:rsid w:val="201C57D3"/>
    <w:rsid w:val="20384A18"/>
    <w:rsid w:val="204B4BB2"/>
    <w:rsid w:val="205100F2"/>
    <w:rsid w:val="205B0B85"/>
    <w:rsid w:val="20744B90"/>
    <w:rsid w:val="20857532"/>
    <w:rsid w:val="20872A54"/>
    <w:rsid w:val="208E0C7B"/>
    <w:rsid w:val="209303AC"/>
    <w:rsid w:val="209D2ACD"/>
    <w:rsid w:val="20B40849"/>
    <w:rsid w:val="20BB5253"/>
    <w:rsid w:val="20CE2C87"/>
    <w:rsid w:val="20CF4A6E"/>
    <w:rsid w:val="20E53B86"/>
    <w:rsid w:val="20ED01BD"/>
    <w:rsid w:val="20F122CF"/>
    <w:rsid w:val="20FA6951"/>
    <w:rsid w:val="21036593"/>
    <w:rsid w:val="211865F8"/>
    <w:rsid w:val="212C60E2"/>
    <w:rsid w:val="212E3AEF"/>
    <w:rsid w:val="213C49BF"/>
    <w:rsid w:val="214E003C"/>
    <w:rsid w:val="217105E2"/>
    <w:rsid w:val="217F6677"/>
    <w:rsid w:val="218A22AE"/>
    <w:rsid w:val="21A260CC"/>
    <w:rsid w:val="21A97250"/>
    <w:rsid w:val="21B856E5"/>
    <w:rsid w:val="21C26972"/>
    <w:rsid w:val="21C747A7"/>
    <w:rsid w:val="21D75751"/>
    <w:rsid w:val="21DB2C70"/>
    <w:rsid w:val="21E962A7"/>
    <w:rsid w:val="21EA5582"/>
    <w:rsid w:val="21FF7E06"/>
    <w:rsid w:val="2209790D"/>
    <w:rsid w:val="2210107D"/>
    <w:rsid w:val="221C5C74"/>
    <w:rsid w:val="222E45A7"/>
    <w:rsid w:val="223034CD"/>
    <w:rsid w:val="22306E3A"/>
    <w:rsid w:val="2258337D"/>
    <w:rsid w:val="226159F3"/>
    <w:rsid w:val="22681F0D"/>
    <w:rsid w:val="226F2EA9"/>
    <w:rsid w:val="22714F68"/>
    <w:rsid w:val="227B0F9B"/>
    <w:rsid w:val="227E692E"/>
    <w:rsid w:val="228A7D35"/>
    <w:rsid w:val="22B478FE"/>
    <w:rsid w:val="22BB60FF"/>
    <w:rsid w:val="22BE1816"/>
    <w:rsid w:val="22D33394"/>
    <w:rsid w:val="22D66196"/>
    <w:rsid w:val="22DE47AF"/>
    <w:rsid w:val="22EB547A"/>
    <w:rsid w:val="22F10EAE"/>
    <w:rsid w:val="22F8335B"/>
    <w:rsid w:val="230074E7"/>
    <w:rsid w:val="23055EEC"/>
    <w:rsid w:val="23076316"/>
    <w:rsid w:val="23091E70"/>
    <w:rsid w:val="230F25DD"/>
    <w:rsid w:val="23103A2A"/>
    <w:rsid w:val="231144E4"/>
    <w:rsid w:val="2320398D"/>
    <w:rsid w:val="232804AB"/>
    <w:rsid w:val="23294CBD"/>
    <w:rsid w:val="232C4727"/>
    <w:rsid w:val="2342410B"/>
    <w:rsid w:val="234C6F3D"/>
    <w:rsid w:val="23606162"/>
    <w:rsid w:val="23654070"/>
    <w:rsid w:val="23654586"/>
    <w:rsid w:val="237C4C1C"/>
    <w:rsid w:val="23817044"/>
    <w:rsid w:val="238275E5"/>
    <w:rsid w:val="238647DA"/>
    <w:rsid w:val="23B0187E"/>
    <w:rsid w:val="23B732D3"/>
    <w:rsid w:val="23B97B95"/>
    <w:rsid w:val="23BD23FC"/>
    <w:rsid w:val="23BD4BAD"/>
    <w:rsid w:val="23CA24BD"/>
    <w:rsid w:val="23D2181F"/>
    <w:rsid w:val="23EB7FF4"/>
    <w:rsid w:val="24027F80"/>
    <w:rsid w:val="24061C63"/>
    <w:rsid w:val="2419690F"/>
    <w:rsid w:val="241C2D00"/>
    <w:rsid w:val="2422030A"/>
    <w:rsid w:val="242749C2"/>
    <w:rsid w:val="24415FF3"/>
    <w:rsid w:val="244B1945"/>
    <w:rsid w:val="245B6F27"/>
    <w:rsid w:val="245C4332"/>
    <w:rsid w:val="247F4DE3"/>
    <w:rsid w:val="2481649F"/>
    <w:rsid w:val="2487655B"/>
    <w:rsid w:val="24A42887"/>
    <w:rsid w:val="24C6093E"/>
    <w:rsid w:val="24C85C3F"/>
    <w:rsid w:val="24DA1DD2"/>
    <w:rsid w:val="24DE078D"/>
    <w:rsid w:val="24E0065E"/>
    <w:rsid w:val="24FA0E8C"/>
    <w:rsid w:val="25022907"/>
    <w:rsid w:val="2523607B"/>
    <w:rsid w:val="25246D8F"/>
    <w:rsid w:val="252C6CAA"/>
    <w:rsid w:val="252D0109"/>
    <w:rsid w:val="253A554B"/>
    <w:rsid w:val="25506360"/>
    <w:rsid w:val="25563DDE"/>
    <w:rsid w:val="25565941"/>
    <w:rsid w:val="25711304"/>
    <w:rsid w:val="257638ED"/>
    <w:rsid w:val="257B5644"/>
    <w:rsid w:val="25873D4C"/>
    <w:rsid w:val="25AB4DE7"/>
    <w:rsid w:val="25CD5C03"/>
    <w:rsid w:val="25D732A6"/>
    <w:rsid w:val="25E1751A"/>
    <w:rsid w:val="25E51036"/>
    <w:rsid w:val="260B5D15"/>
    <w:rsid w:val="260F2A3B"/>
    <w:rsid w:val="26153106"/>
    <w:rsid w:val="261B099F"/>
    <w:rsid w:val="26217DF1"/>
    <w:rsid w:val="265479E5"/>
    <w:rsid w:val="26594E46"/>
    <w:rsid w:val="265A2354"/>
    <w:rsid w:val="265D7353"/>
    <w:rsid w:val="26791D03"/>
    <w:rsid w:val="267C2264"/>
    <w:rsid w:val="268E2890"/>
    <w:rsid w:val="26B57584"/>
    <w:rsid w:val="26B65607"/>
    <w:rsid w:val="26B714A3"/>
    <w:rsid w:val="26B878C6"/>
    <w:rsid w:val="26BB60A2"/>
    <w:rsid w:val="26CB02AF"/>
    <w:rsid w:val="26D477AB"/>
    <w:rsid w:val="26DA4C5A"/>
    <w:rsid w:val="26DC3B65"/>
    <w:rsid w:val="26E760D0"/>
    <w:rsid w:val="26EE7226"/>
    <w:rsid w:val="26EF15AD"/>
    <w:rsid w:val="26F62F37"/>
    <w:rsid w:val="26F96B36"/>
    <w:rsid w:val="271055D7"/>
    <w:rsid w:val="271B39F9"/>
    <w:rsid w:val="2722563E"/>
    <w:rsid w:val="272F6ACE"/>
    <w:rsid w:val="275859A0"/>
    <w:rsid w:val="275D1456"/>
    <w:rsid w:val="2760453C"/>
    <w:rsid w:val="27677EE8"/>
    <w:rsid w:val="276B300F"/>
    <w:rsid w:val="277327DA"/>
    <w:rsid w:val="277B4DBB"/>
    <w:rsid w:val="277D265E"/>
    <w:rsid w:val="278542BB"/>
    <w:rsid w:val="27870033"/>
    <w:rsid w:val="278A3680"/>
    <w:rsid w:val="279354DD"/>
    <w:rsid w:val="279D2657"/>
    <w:rsid w:val="27A86180"/>
    <w:rsid w:val="27B76119"/>
    <w:rsid w:val="27BA11FB"/>
    <w:rsid w:val="27C03587"/>
    <w:rsid w:val="27C6290A"/>
    <w:rsid w:val="27CF665E"/>
    <w:rsid w:val="27D96A21"/>
    <w:rsid w:val="27DD7361"/>
    <w:rsid w:val="27E267D5"/>
    <w:rsid w:val="27E67C02"/>
    <w:rsid w:val="27F0321E"/>
    <w:rsid w:val="27F27E01"/>
    <w:rsid w:val="27FC27CF"/>
    <w:rsid w:val="27FC4C3E"/>
    <w:rsid w:val="28033E7D"/>
    <w:rsid w:val="28053D2F"/>
    <w:rsid w:val="280B47C0"/>
    <w:rsid w:val="280C63A8"/>
    <w:rsid w:val="280D0956"/>
    <w:rsid w:val="280E2B80"/>
    <w:rsid w:val="281A15F3"/>
    <w:rsid w:val="281D61F8"/>
    <w:rsid w:val="28243D9D"/>
    <w:rsid w:val="282E29D2"/>
    <w:rsid w:val="28302775"/>
    <w:rsid w:val="283074A0"/>
    <w:rsid w:val="283F4D75"/>
    <w:rsid w:val="284A533C"/>
    <w:rsid w:val="284F1421"/>
    <w:rsid w:val="285717B4"/>
    <w:rsid w:val="28575C58"/>
    <w:rsid w:val="28577A06"/>
    <w:rsid w:val="28697739"/>
    <w:rsid w:val="286B525F"/>
    <w:rsid w:val="287A27B0"/>
    <w:rsid w:val="2880161A"/>
    <w:rsid w:val="28846321"/>
    <w:rsid w:val="28865461"/>
    <w:rsid w:val="288E196F"/>
    <w:rsid w:val="28920A3E"/>
    <w:rsid w:val="289A0FFA"/>
    <w:rsid w:val="289B5394"/>
    <w:rsid w:val="28A928BB"/>
    <w:rsid w:val="28AA2E6A"/>
    <w:rsid w:val="28B210AB"/>
    <w:rsid w:val="28CB615E"/>
    <w:rsid w:val="28DA4193"/>
    <w:rsid w:val="28F00BAC"/>
    <w:rsid w:val="28F45255"/>
    <w:rsid w:val="28F72F97"/>
    <w:rsid w:val="28FF2AE6"/>
    <w:rsid w:val="290045B0"/>
    <w:rsid w:val="291F052E"/>
    <w:rsid w:val="292A511A"/>
    <w:rsid w:val="292F479B"/>
    <w:rsid w:val="294E4F1F"/>
    <w:rsid w:val="29564DCA"/>
    <w:rsid w:val="297317D3"/>
    <w:rsid w:val="297E7214"/>
    <w:rsid w:val="29814577"/>
    <w:rsid w:val="298370C8"/>
    <w:rsid w:val="29856872"/>
    <w:rsid w:val="298621D9"/>
    <w:rsid w:val="29874822"/>
    <w:rsid w:val="298D57C7"/>
    <w:rsid w:val="299A2DD8"/>
    <w:rsid w:val="29AE1C97"/>
    <w:rsid w:val="29B1315D"/>
    <w:rsid w:val="29B83E8B"/>
    <w:rsid w:val="29BD1846"/>
    <w:rsid w:val="29CF181E"/>
    <w:rsid w:val="29EA3ABC"/>
    <w:rsid w:val="29EF1312"/>
    <w:rsid w:val="29F04FCA"/>
    <w:rsid w:val="29F5733B"/>
    <w:rsid w:val="29FA0633"/>
    <w:rsid w:val="29FE7B47"/>
    <w:rsid w:val="2A0840E6"/>
    <w:rsid w:val="2A142CA0"/>
    <w:rsid w:val="2A200AAF"/>
    <w:rsid w:val="2A297180"/>
    <w:rsid w:val="2A2E160B"/>
    <w:rsid w:val="2A3049B2"/>
    <w:rsid w:val="2A355B25"/>
    <w:rsid w:val="2A392F30"/>
    <w:rsid w:val="2A40080A"/>
    <w:rsid w:val="2A4018B0"/>
    <w:rsid w:val="2A456BC6"/>
    <w:rsid w:val="2A4917F3"/>
    <w:rsid w:val="2A4D6D7B"/>
    <w:rsid w:val="2A5E6A18"/>
    <w:rsid w:val="2A87171A"/>
    <w:rsid w:val="2A893A72"/>
    <w:rsid w:val="2A8964D8"/>
    <w:rsid w:val="2A8A6E1E"/>
    <w:rsid w:val="2A94496D"/>
    <w:rsid w:val="2A9C737E"/>
    <w:rsid w:val="2AA607D0"/>
    <w:rsid w:val="2AAE45D1"/>
    <w:rsid w:val="2AC73582"/>
    <w:rsid w:val="2AD509DD"/>
    <w:rsid w:val="2ADA69F3"/>
    <w:rsid w:val="2ADD1B45"/>
    <w:rsid w:val="2ADF03DE"/>
    <w:rsid w:val="2AE13EFE"/>
    <w:rsid w:val="2AFD4458"/>
    <w:rsid w:val="2B1E0CAF"/>
    <w:rsid w:val="2B2700E3"/>
    <w:rsid w:val="2B33701E"/>
    <w:rsid w:val="2B3F46DF"/>
    <w:rsid w:val="2B411C10"/>
    <w:rsid w:val="2B686F10"/>
    <w:rsid w:val="2B6D3C2D"/>
    <w:rsid w:val="2B794137"/>
    <w:rsid w:val="2B8054C5"/>
    <w:rsid w:val="2B881574"/>
    <w:rsid w:val="2B961E48"/>
    <w:rsid w:val="2BAE2033"/>
    <w:rsid w:val="2BB10E19"/>
    <w:rsid w:val="2BBA0D78"/>
    <w:rsid w:val="2BBD3EBE"/>
    <w:rsid w:val="2BBD4403"/>
    <w:rsid w:val="2BC52FD9"/>
    <w:rsid w:val="2BC80E7E"/>
    <w:rsid w:val="2BD001FB"/>
    <w:rsid w:val="2BD41EAC"/>
    <w:rsid w:val="2BE377ED"/>
    <w:rsid w:val="2BE42BAA"/>
    <w:rsid w:val="2BE72C37"/>
    <w:rsid w:val="2BF01D9B"/>
    <w:rsid w:val="2BF37A45"/>
    <w:rsid w:val="2C125B1F"/>
    <w:rsid w:val="2C1637CE"/>
    <w:rsid w:val="2C1F0378"/>
    <w:rsid w:val="2C7A7731"/>
    <w:rsid w:val="2C956603"/>
    <w:rsid w:val="2CA27357"/>
    <w:rsid w:val="2CA83832"/>
    <w:rsid w:val="2CAA441E"/>
    <w:rsid w:val="2CAC0C68"/>
    <w:rsid w:val="2CBE38FD"/>
    <w:rsid w:val="2CCA4A56"/>
    <w:rsid w:val="2CCB5B45"/>
    <w:rsid w:val="2CDC010A"/>
    <w:rsid w:val="2CE5374C"/>
    <w:rsid w:val="2CF77681"/>
    <w:rsid w:val="2CFD3981"/>
    <w:rsid w:val="2D1C431A"/>
    <w:rsid w:val="2D1C4D7A"/>
    <w:rsid w:val="2D2C51EC"/>
    <w:rsid w:val="2D4935AC"/>
    <w:rsid w:val="2D493DCD"/>
    <w:rsid w:val="2D670CE2"/>
    <w:rsid w:val="2D697326"/>
    <w:rsid w:val="2D6C09B2"/>
    <w:rsid w:val="2D7566D8"/>
    <w:rsid w:val="2D8017AD"/>
    <w:rsid w:val="2DBB0FB2"/>
    <w:rsid w:val="2DCE7BCA"/>
    <w:rsid w:val="2DF3628F"/>
    <w:rsid w:val="2DFF6B75"/>
    <w:rsid w:val="2E2F6D2F"/>
    <w:rsid w:val="2E330430"/>
    <w:rsid w:val="2E446745"/>
    <w:rsid w:val="2E5454F9"/>
    <w:rsid w:val="2E575727"/>
    <w:rsid w:val="2E5B2891"/>
    <w:rsid w:val="2E627104"/>
    <w:rsid w:val="2E632C3A"/>
    <w:rsid w:val="2E76495E"/>
    <w:rsid w:val="2E813A38"/>
    <w:rsid w:val="2E840E29"/>
    <w:rsid w:val="2E9164D7"/>
    <w:rsid w:val="2E947BD2"/>
    <w:rsid w:val="2E9C6B58"/>
    <w:rsid w:val="2EA17C2D"/>
    <w:rsid w:val="2EBE4744"/>
    <w:rsid w:val="2EC851B9"/>
    <w:rsid w:val="2ED25570"/>
    <w:rsid w:val="2EDF143F"/>
    <w:rsid w:val="2EE639D5"/>
    <w:rsid w:val="2EE97C78"/>
    <w:rsid w:val="2EED6B95"/>
    <w:rsid w:val="2EEF5074"/>
    <w:rsid w:val="2EFA3040"/>
    <w:rsid w:val="2F000DF7"/>
    <w:rsid w:val="2F005D90"/>
    <w:rsid w:val="2F11041D"/>
    <w:rsid w:val="2F1A79DF"/>
    <w:rsid w:val="2F282AF7"/>
    <w:rsid w:val="2F2A7EBA"/>
    <w:rsid w:val="2F2C087C"/>
    <w:rsid w:val="2F2D7712"/>
    <w:rsid w:val="2F2E761D"/>
    <w:rsid w:val="2F3A3BDD"/>
    <w:rsid w:val="2F4607D4"/>
    <w:rsid w:val="2F585448"/>
    <w:rsid w:val="2F886361"/>
    <w:rsid w:val="2F8A6913"/>
    <w:rsid w:val="2F92185E"/>
    <w:rsid w:val="2FA26195"/>
    <w:rsid w:val="2FB142D6"/>
    <w:rsid w:val="2FCA7304"/>
    <w:rsid w:val="2FD22068"/>
    <w:rsid w:val="2FD50BA6"/>
    <w:rsid w:val="2FE065FC"/>
    <w:rsid w:val="2FE7751E"/>
    <w:rsid w:val="2FE97D6D"/>
    <w:rsid w:val="2FEA5603"/>
    <w:rsid w:val="2FF67E7C"/>
    <w:rsid w:val="2FFA53A6"/>
    <w:rsid w:val="2FFC0C14"/>
    <w:rsid w:val="30111B75"/>
    <w:rsid w:val="301E7C66"/>
    <w:rsid w:val="303838E5"/>
    <w:rsid w:val="303E3D77"/>
    <w:rsid w:val="305051F8"/>
    <w:rsid w:val="30641298"/>
    <w:rsid w:val="3065794D"/>
    <w:rsid w:val="30667749"/>
    <w:rsid w:val="307E2994"/>
    <w:rsid w:val="30867736"/>
    <w:rsid w:val="308D2386"/>
    <w:rsid w:val="30A1347E"/>
    <w:rsid w:val="30A530BB"/>
    <w:rsid w:val="30AD3885"/>
    <w:rsid w:val="30BC6725"/>
    <w:rsid w:val="30E33659"/>
    <w:rsid w:val="30FA7A74"/>
    <w:rsid w:val="310D7F1E"/>
    <w:rsid w:val="310E43BD"/>
    <w:rsid w:val="31236CCA"/>
    <w:rsid w:val="31280191"/>
    <w:rsid w:val="312A74A0"/>
    <w:rsid w:val="312D4941"/>
    <w:rsid w:val="3141717F"/>
    <w:rsid w:val="314E45CF"/>
    <w:rsid w:val="315A5C79"/>
    <w:rsid w:val="315B6A09"/>
    <w:rsid w:val="315B7C22"/>
    <w:rsid w:val="316F1F3B"/>
    <w:rsid w:val="31AE3E57"/>
    <w:rsid w:val="31BE2C9D"/>
    <w:rsid w:val="31BF526D"/>
    <w:rsid w:val="31C17736"/>
    <w:rsid w:val="31C34AB9"/>
    <w:rsid w:val="31CB0F43"/>
    <w:rsid w:val="31D976DD"/>
    <w:rsid w:val="31E3055C"/>
    <w:rsid w:val="31E83DC4"/>
    <w:rsid w:val="31F6471F"/>
    <w:rsid w:val="32011947"/>
    <w:rsid w:val="321327E8"/>
    <w:rsid w:val="323668DE"/>
    <w:rsid w:val="323731E2"/>
    <w:rsid w:val="323963CE"/>
    <w:rsid w:val="324B1034"/>
    <w:rsid w:val="324E1191"/>
    <w:rsid w:val="324E7B8F"/>
    <w:rsid w:val="325E5DAA"/>
    <w:rsid w:val="32600B35"/>
    <w:rsid w:val="326E63CC"/>
    <w:rsid w:val="327E1A1D"/>
    <w:rsid w:val="32874F81"/>
    <w:rsid w:val="32892CC9"/>
    <w:rsid w:val="328F7F00"/>
    <w:rsid w:val="329506D0"/>
    <w:rsid w:val="329830F5"/>
    <w:rsid w:val="32F629B0"/>
    <w:rsid w:val="33060B25"/>
    <w:rsid w:val="33093B71"/>
    <w:rsid w:val="33116F58"/>
    <w:rsid w:val="332E3A59"/>
    <w:rsid w:val="333D1567"/>
    <w:rsid w:val="334528CA"/>
    <w:rsid w:val="335A33AB"/>
    <w:rsid w:val="3364747B"/>
    <w:rsid w:val="33680D19"/>
    <w:rsid w:val="33730036"/>
    <w:rsid w:val="33843679"/>
    <w:rsid w:val="33B43F5E"/>
    <w:rsid w:val="33B95385"/>
    <w:rsid w:val="33C04270"/>
    <w:rsid w:val="33C63CA9"/>
    <w:rsid w:val="33C93D5B"/>
    <w:rsid w:val="33CA2D93"/>
    <w:rsid w:val="33CC539B"/>
    <w:rsid w:val="33D60378"/>
    <w:rsid w:val="33DF4D54"/>
    <w:rsid w:val="33E660E2"/>
    <w:rsid w:val="33E70D43"/>
    <w:rsid w:val="34055EEA"/>
    <w:rsid w:val="340C5B48"/>
    <w:rsid w:val="341509B2"/>
    <w:rsid w:val="341E42FC"/>
    <w:rsid w:val="34326364"/>
    <w:rsid w:val="344076B3"/>
    <w:rsid w:val="3444151B"/>
    <w:rsid w:val="344E25CC"/>
    <w:rsid w:val="34690523"/>
    <w:rsid w:val="346A0AC1"/>
    <w:rsid w:val="347171DF"/>
    <w:rsid w:val="347D4D87"/>
    <w:rsid w:val="348B4F98"/>
    <w:rsid w:val="349519D6"/>
    <w:rsid w:val="34AF776F"/>
    <w:rsid w:val="34B81243"/>
    <w:rsid w:val="34BA1A48"/>
    <w:rsid w:val="34BF1622"/>
    <w:rsid w:val="34C96C44"/>
    <w:rsid w:val="34E33FD9"/>
    <w:rsid w:val="34E46AC5"/>
    <w:rsid w:val="34EF0FE3"/>
    <w:rsid w:val="34EF2EF3"/>
    <w:rsid w:val="34F43741"/>
    <w:rsid w:val="34F62354"/>
    <w:rsid w:val="350C4EE6"/>
    <w:rsid w:val="350E6E5D"/>
    <w:rsid w:val="35152BAF"/>
    <w:rsid w:val="3515527C"/>
    <w:rsid w:val="351917AF"/>
    <w:rsid w:val="352813DC"/>
    <w:rsid w:val="35352E7D"/>
    <w:rsid w:val="354558B8"/>
    <w:rsid w:val="35605664"/>
    <w:rsid w:val="35646059"/>
    <w:rsid w:val="3566664D"/>
    <w:rsid w:val="35683AF9"/>
    <w:rsid w:val="356B4BBD"/>
    <w:rsid w:val="35782713"/>
    <w:rsid w:val="35816D2B"/>
    <w:rsid w:val="358C7174"/>
    <w:rsid w:val="35956011"/>
    <w:rsid w:val="35B2056F"/>
    <w:rsid w:val="35B47C93"/>
    <w:rsid w:val="35BE2E72"/>
    <w:rsid w:val="35CA6AEE"/>
    <w:rsid w:val="35D96B49"/>
    <w:rsid w:val="35FD0483"/>
    <w:rsid w:val="360B7296"/>
    <w:rsid w:val="361A00DF"/>
    <w:rsid w:val="36296547"/>
    <w:rsid w:val="363B44C3"/>
    <w:rsid w:val="363D3F98"/>
    <w:rsid w:val="364C3AAE"/>
    <w:rsid w:val="36592A97"/>
    <w:rsid w:val="36602BB6"/>
    <w:rsid w:val="36740AF6"/>
    <w:rsid w:val="367B5207"/>
    <w:rsid w:val="368B6F70"/>
    <w:rsid w:val="369622A4"/>
    <w:rsid w:val="369F5E70"/>
    <w:rsid w:val="36AD058E"/>
    <w:rsid w:val="36C16AAB"/>
    <w:rsid w:val="36C20D84"/>
    <w:rsid w:val="36E50144"/>
    <w:rsid w:val="36EA7C97"/>
    <w:rsid w:val="36F21067"/>
    <w:rsid w:val="36F75FD1"/>
    <w:rsid w:val="37084D57"/>
    <w:rsid w:val="373553B6"/>
    <w:rsid w:val="374B2E2B"/>
    <w:rsid w:val="37545091"/>
    <w:rsid w:val="37546640"/>
    <w:rsid w:val="37582F5A"/>
    <w:rsid w:val="375C22EB"/>
    <w:rsid w:val="375D2B5F"/>
    <w:rsid w:val="376419E9"/>
    <w:rsid w:val="37654B44"/>
    <w:rsid w:val="377A1D27"/>
    <w:rsid w:val="377F2AD5"/>
    <w:rsid w:val="378C0D4E"/>
    <w:rsid w:val="37A02766"/>
    <w:rsid w:val="37BD53AB"/>
    <w:rsid w:val="37C56718"/>
    <w:rsid w:val="37C74E88"/>
    <w:rsid w:val="37DD15AA"/>
    <w:rsid w:val="3803716D"/>
    <w:rsid w:val="38043092"/>
    <w:rsid w:val="38187167"/>
    <w:rsid w:val="383428CB"/>
    <w:rsid w:val="3841140F"/>
    <w:rsid w:val="38424834"/>
    <w:rsid w:val="38442B07"/>
    <w:rsid w:val="38487597"/>
    <w:rsid w:val="384D5E3D"/>
    <w:rsid w:val="386251AF"/>
    <w:rsid w:val="38670D12"/>
    <w:rsid w:val="38703F00"/>
    <w:rsid w:val="387543A5"/>
    <w:rsid w:val="388A06B0"/>
    <w:rsid w:val="388A4FF3"/>
    <w:rsid w:val="38934A8A"/>
    <w:rsid w:val="389B048C"/>
    <w:rsid w:val="38A333D2"/>
    <w:rsid w:val="38A51829"/>
    <w:rsid w:val="38B85C64"/>
    <w:rsid w:val="38C46EC4"/>
    <w:rsid w:val="38E26AF6"/>
    <w:rsid w:val="38E516DC"/>
    <w:rsid w:val="38E928FC"/>
    <w:rsid w:val="39160AB4"/>
    <w:rsid w:val="3918737E"/>
    <w:rsid w:val="391975A4"/>
    <w:rsid w:val="391F645A"/>
    <w:rsid w:val="394916F9"/>
    <w:rsid w:val="394A5D81"/>
    <w:rsid w:val="39584D00"/>
    <w:rsid w:val="396F26D5"/>
    <w:rsid w:val="3977132C"/>
    <w:rsid w:val="398C5A2B"/>
    <w:rsid w:val="398F4611"/>
    <w:rsid w:val="398F7031"/>
    <w:rsid w:val="39A36673"/>
    <w:rsid w:val="39A5327C"/>
    <w:rsid w:val="39A80DAB"/>
    <w:rsid w:val="39CE1AF2"/>
    <w:rsid w:val="39DE64A1"/>
    <w:rsid w:val="39EC4850"/>
    <w:rsid w:val="39EF53C1"/>
    <w:rsid w:val="3A0379ED"/>
    <w:rsid w:val="3A0948D8"/>
    <w:rsid w:val="3A472A48"/>
    <w:rsid w:val="3A4B2663"/>
    <w:rsid w:val="3A4C07C2"/>
    <w:rsid w:val="3A662AC7"/>
    <w:rsid w:val="3A6815EC"/>
    <w:rsid w:val="3A706E73"/>
    <w:rsid w:val="3A7837D1"/>
    <w:rsid w:val="3A7E78DA"/>
    <w:rsid w:val="3AAC6550"/>
    <w:rsid w:val="3ABC30CE"/>
    <w:rsid w:val="3ACA050B"/>
    <w:rsid w:val="3AD924FC"/>
    <w:rsid w:val="3ADB2718"/>
    <w:rsid w:val="3ADB44C6"/>
    <w:rsid w:val="3AF33AC3"/>
    <w:rsid w:val="3B137C65"/>
    <w:rsid w:val="3B311A87"/>
    <w:rsid w:val="3B312338"/>
    <w:rsid w:val="3B3E6A81"/>
    <w:rsid w:val="3B4F0A10"/>
    <w:rsid w:val="3B541B43"/>
    <w:rsid w:val="3B59446D"/>
    <w:rsid w:val="3B624DAA"/>
    <w:rsid w:val="3B630348"/>
    <w:rsid w:val="3B6F744F"/>
    <w:rsid w:val="3B822B94"/>
    <w:rsid w:val="3B84690C"/>
    <w:rsid w:val="3B8546B9"/>
    <w:rsid w:val="3BB61594"/>
    <w:rsid w:val="3BBA7170"/>
    <w:rsid w:val="3BCB1537"/>
    <w:rsid w:val="3BDD7357"/>
    <w:rsid w:val="3BDF201C"/>
    <w:rsid w:val="3BF13876"/>
    <w:rsid w:val="3BF27D19"/>
    <w:rsid w:val="3BF375EE"/>
    <w:rsid w:val="3BFA0BC7"/>
    <w:rsid w:val="3BFF3566"/>
    <w:rsid w:val="3C035E1E"/>
    <w:rsid w:val="3C1063F2"/>
    <w:rsid w:val="3C1F2FC0"/>
    <w:rsid w:val="3C2E0626"/>
    <w:rsid w:val="3C2E582E"/>
    <w:rsid w:val="3C3245BA"/>
    <w:rsid w:val="3C3251D9"/>
    <w:rsid w:val="3C3814A4"/>
    <w:rsid w:val="3C463F15"/>
    <w:rsid w:val="3C5851D9"/>
    <w:rsid w:val="3C5A6BC7"/>
    <w:rsid w:val="3C633A43"/>
    <w:rsid w:val="3C694EE5"/>
    <w:rsid w:val="3C7262C5"/>
    <w:rsid w:val="3C756255"/>
    <w:rsid w:val="3C940BFA"/>
    <w:rsid w:val="3CA9599D"/>
    <w:rsid w:val="3CAA23A2"/>
    <w:rsid w:val="3CC571DC"/>
    <w:rsid w:val="3CCF699C"/>
    <w:rsid w:val="3CD13DD3"/>
    <w:rsid w:val="3CD459EE"/>
    <w:rsid w:val="3CDA3AC5"/>
    <w:rsid w:val="3CE50A0D"/>
    <w:rsid w:val="3CF71663"/>
    <w:rsid w:val="3CFD6D40"/>
    <w:rsid w:val="3CFE7149"/>
    <w:rsid w:val="3CFE7B29"/>
    <w:rsid w:val="3D0E279C"/>
    <w:rsid w:val="3D112D10"/>
    <w:rsid w:val="3D1D157C"/>
    <w:rsid w:val="3D264521"/>
    <w:rsid w:val="3D4466EE"/>
    <w:rsid w:val="3D464997"/>
    <w:rsid w:val="3D552F65"/>
    <w:rsid w:val="3D5A55A1"/>
    <w:rsid w:val="3D6E1622"/>
    <w:rsid w:val="3D6E19E5"/>
    <w:rsid w:val="3D7D1E84"/>
    <w:rsid w:val="3D95620E"/>
    <w:rsid w:val="3D9F722B"/>
    <w:rsid w:val="3DA32353"/>
    <w:rsid w:val="3DC079A3"/>
    <w:rsid w:val="3DC808F4"/>
    <w:rsid w:val="3DCE20C0"/>
    <w:rsid w:val="3DD07BE6"/>
    <w:rsid w:val="3DD671C7"/>
    <w:rsid w:val="3DFC548F"/>
    <w:rsid w:val="3DFD452B"/>
    <w:rsid w:val="3E061F76"/>
    <w:rsid w:val="3E0748C6"/>
    <w:rsid w:val="3E077AB4"/>
    <w:rsid w:val="3E086EC7"/>
    <w:rsid w:val="3E0B0C9A"/>
    <w:rsid w:val="3E117CBE"/>
    <w:rsid w:val="3E12103A"/>
    <w:rsid w:val="3E17048A"/>
    <w:rsid w:val="3E1C788F"/>
    <w:rsid w:val="3E233019"/>
    <w:rsid w:val="3E3772B0"/>
    <w:rsid w:val="3E3F4D6C"/>
    <w:rsid w:val="3E4601CC"/>
    <w:rsid w:val="3E6E11AD"/>
    <w:rsid w:val="3E7C0513"/>
    <w:rsid w:val="3E860BED"/>
    <w:rsid w:val="3E8610BE"/>
    <w:rsid w:val="3E8A718F"/>
    <w:rsid w:val="3EAE4245"/>
    <w:rsid w:val="3EAE4852"/>
    <w:rsid w:val="3EBD1E6E"/>
    <w:rsid w:val="3EBE37CE"/>
    <w:rsid w:val="3EC129FF"/>
    <w:rsid w:val="3EC95DEC"/>
    <w:rsid w:val="3EE22562"/>
    <w:rsid w:val="3EE4121D"/>
    <w:rsid w:val="3EE5462F"/>
    <w:rsid w:val="3EE97955"/>
    <w:rsid w:val="3F0A35CC"/>
    <w:rsid w:val="3F175EC4"/>
    <w:rsid w:val="3F1E7C2D"/>
    <w:rsid w:val="3F354C0B"/>
    <w:rsid w:val="3F37496B"/>
    <w:rsid w:val="3F3B1A2C"/>
    <w:rsid w:val="3F473ED8"/>
    <w:rsid w:val="3F4E1332"/>
    <w:rsid w:val="3F5443B1"/>
    <w:rsid w:val="3F620D12"/>
    <w:rsid w:val="3F635074"/>
    <w:rsid w:val="3F7B5566"/>
    <w:rsid w:val="3FB57928"/>
    <w:rsid w:val="3FBB27B3"/>
    <w:rsid w:val="3FBF5CBA"/>
    <w:rsid w:val="3FD20DF3"/>
    <w:rsid w:val="3FE6109F"/>
    <w:rsid w:val="3FEE6A4A"/>
    <w:rsid w:val="3FF036D6"/>
    <w:rsid w:val="3FFE6D98"/>
    <w:rsid w:val="40092D50"/>
    <w:rsid w:val="40187BE4"/>
    <w:rsid w:val="401D0C2C"/>
    <w:rsid w:val="402406BD"/>
    <w:rsid w:val="402606A6"/>
    <w:rsid w:val="402803C3"/>
    <w:rsid w:val="403D08A6"/>
    <w:rsid w:val="403D1A8C"/>
    <w:rsid w:val="40434C72"/>
    <w:rsid w:val="40461D7D"/>
    <w:rsid w:val="4048682E"/>
    <w:rsid w:val="404C35CE"/>
    <w:rsid w:val="40503261"/>
    <w:rsid w:val="405D2A3A"/>
    <w:rsid w:val="40624D42"/>
    <w:rsid w:val="407105CD"/>
    <w:rsid w:val="407C0E8D"/>
    <w:rsid w:val="407C4056"/>
    <w:rsid w:val="408A6D7E"/>
    <w:rsid w:val="40906F4C"/>
    <w:rsid w:val="409327E5"/>
    <w:rsid w:val="40994C08"/>
    <w:rsid w:val="40A738A5"/>
    <w:rsid w:val="40A84DF8"/>
    <w:rsid w:val="40AD7779"/>
    <w:rsid w:val="40B324F2"/>
    <w:rsid w:val="40B437EF"/>
    <w:rsid w:val="40C316C3"/>
    <w:rsid w:val="40C86825"/>
    <w:rsid w:val="40DB24F9"/>
    <w:rsid w:val="40ED0414"/>
    <w:rsid w:val="40F2629B"/>
    <w:rsid w:val="40F474CF"/>
    <w:rsid w:val="40F55BB6"/>
    <w:rsid w:val="40FA32AE"/>
    <w:rsid w:val="41263501"/>
    <w:rsid w:val="412B15D8"/>
    <w:rsid w:val="412C41DD"/>
    <w:rsid w:val="412E3AA0"/>
    <w:rsid w:val="41326E0A"/>
    <w:rsid w:val="4133259E"/>
    <w:rsid w:val="41405083"/>
    <w:rsid w:val="414E67F4"/>
    <w:rsid w:val="415F3F37"/>
    <w:rsid w:val="415F460A"/>
    <w:rsid w:val="416D1BF0"/>
    <w:rsid w:val="41A47B32"/>
    <w:rsid w:val="41B92EC6"/>
    <w:rsid w:val="41BC1D5B"/>
    <w:rsid w:val="41C41EE0"/>
    <w:rsid w:val="41CF772C"/>
    <w:rsid w:val="41E53E7C"/>
    <w:rsid w:val="41EB06B1"/>
    <w:rsid w:val="41FA3A2A"/>
    <w:rsid w:val="42004812"/>
    <w:rsid w:val="42147A3A"/>
    <w:rsid w:val="42176738"/>
    <w:rsid w:val="421D797E"/>
    <w:rsid w:val="423D67D1"/>
    <w:rsid w:val="424B1C04"/>
    <w:rsid w:val="426B6130"/>
    <w:rsid w:val="427B20EB"/>
    <w:rsid w:val="42AD063B"/>
    <w:rsid w:val="42C171F3"/>
    <w:rsid w:val="42D266C7"/>
    <w:rsid w:val="42D651C1"/>
    <w:rsid w:val="42D913E9"/>
    <w:rsid w:val="42E40DD1"/>
    <w:rsid w:val="42EC34F6"/>
    <w:rsid w:val="430201D2"/>
    <w:rsid w:val="43072DA7"/>
    <w:rsid w:val="4309198C"/>
    <w:rsid w:val="43135319"/>
    <w:rsid w:val="432C2A32"/>
    <w:rsid w:val="432D1C04"/>
    <w:rsid w:val="433619DB"/>
    <w:rsid w:val="434E5F92"/>
    <w:rsid w:val="43575365"/>
    <w:rsid w:val="43577E34"/>
    <w:rsid w:val="435A40A3"/>
    <w:rsid w:val="435E6358"/>
    <w:rsid w:val="435E7642"/>
    <w:rsid w:val="43680537"/>
    <w:rsid w:val="43700157"/>
    <w:rsid w:val="439F701C"/>
    <w:rsid w:val="43A5262D"/>
    <w:rsid w:val="43C07C63"/>
    <w:rsid w:val="43C55D14"/>
    <w:rsid w:val="43DE6B3B"/>
    <w:rsid w:val="43F206CA"/>
    <w:rsid w:val="43FE4F8A"/>
    <w:rsid w:val="44166BF1"/>
    <w:rsid w:val="4458645A"/>
    <w:rsid w:val="44717D3E"/>
    <w:rsid w:val="44872FC9"/>
    <w:rsid w:val="44925C64"/>
    <w:rsid w:val="44947D38"/>
    <w:rsid w:val="449556E6"/>
    <w:rsid w:val="44A0537A"/>
    <w:rsid w:val="44A5762A"/>
    <w:rsid w:val="44C37AAB"/>
    <w:rsid w:val="44D632A8"/>
    <w:rsid w:val="44DF70AD"/>
    <w:rsid w:val="44E94EF1"/>
    <w:rsid w:val="44EA41B5"/>
    <w:rsid w:val="44F62472"/>
    <w:rsid w:val="44FD22D5"/>
    <w:rsid w:val="45112FEA"/>
    <w:rsid w:val="4517469A"/>
    <w:rsid w:val="452B2344"/>
    <w:rsid w:val="453221C1"/>
    <w:rsid w:val="453B3D19"/>
    <w:rsid w:val="453C2005"/>
    <w:rsid w:val="4555107C"/>
    <w:rsid w:val="456600C8"/>
    <w:rsid w:val="456B4699"/>
    <w:rsid w:val="456C1FA4"/>
    <w:rsid w:val="456C2D26"/>
    <w:rsid w:val="45734934"/>
    <w:rsid w:val="457A7A7F"/>
    <w:rsid w:val="457B3AC6"/>
    <w:rsid w:val="45983295"/>
    <w:rsid w:val="459A065A"/>
    <w:rsid w:val="459A6248"/>
    <w:rsid w:val="459C19DC"/>
    <w:rsid w:val="459E1DF2"/>
    <w:rsid w:val="45C26CA2"/>
    <w:rsid w:val="45D14951"/>
    <w:rsid w:val="45D71D2E"/>
    <w:rsid w:val="45DA5C7B"/>
    <w:rsid w:val="45E7300C"/>
    <w:rsid w:val="45F25354"/>
    <w:rsid w:val="45F37CC1"/>
    <w:rsid w:val="46030EB3"/>
    <w:rsid w:val="460958D0"/>
    <w:rsid w:val="460F7455"/>
    <w:rsid w:val="46130A89"/>
    <w:rsid w:val="46144E9B"/>
    <w:rsid w:val="46317253"/>
    <w:rsid w:val="464F5100"/>
    <w:rsid w:val="46537317"/>
    <w:rsid w:val="465E47C3"/>
    <w:rsid w:val="46616988"/>
    <w:rsid w:val="46761090"/>
    <w:rsid w:val="467E09EF"/>
    <w:rsid w:val="46813DBF"/>
    <w:rsid w:val="4693575D"/>
    <w:rsid w:val="46AE2A8F"/>
    <w:rsid w:val="46AE583F"/>
    <w:rsid w:val="46AE6E07"/>
    <w:rsid w:val="46B40F2B"/>
    <w:rsid w:val="46DD60EE"/>
    <w:rsid w:val="46DE2D82"/>
    <w:rsid w:val="46DE55E8"/>
    <w:rsid w:val="46F36309"/>
    <w:rsid w:val="46FD6C53"/>
    <w:rsid w:val="470C1F25"/>
    <w:rsid w:val="470C4B51"/>
    <w:rsid w:val="47263250"/>
    <w:rsid w:val="472A62F3"/>
    <w:rsid w:val="472C5E04"/>
    <w:rsid w:val="473236C0"/>
    <w:rsid w:val="47332F94"/>
    <w:rsid w:val="473339CD"/>
    <w:rsid w:val="47376734"/>
    <w:rsid w:val="473E145B"/>
    <w:rsid w:val="473E70DF"/>
    <w:rsid w:val="47417B21"/>
    <w:rsid w:val="47443E3C"/>
    <w:rsid w:val="475112EB"/>
    <w:rsid w:val="4760696F"/>
    <w:rsid w:val="47617B01"/>
    <w:rsid w:val="477325D6"/>
    <w:rsid w:val="477C3A73"/>
    <w:rsid w:val="47831BFE"/>
    <w:rsid w:val="479809B8"/>
    <w:rsid w:val="47AA7C5C"/>
    <w:rsid w:val="47B16BE0"/>
    <w:rsid w:val="47D26C51"/>
    <w:rsid w:val="47D47E08"/>
    <w:rsid w:val="47DE71F1"/>
    <w:rsid w:val="47FB7648"/>
    <w:rsid w:val="480027FF"/>
    <w:rsid w:val="480C4220"/>
    <w:rsid w:val="48221986"/>
    <w:rsid w:val="48294272"/>
    <w:rsid w:val="482C0A84"/>
    <w:rsid w:val="48357B3B"/>
    <w:rsid w:val="4839101C"/>
    <w:rsid w:val="484C7DB3"/>
    <w:rsid w:val="485D4C28"/>
    <w:rsid w:val="486329A7"/>
    <w:rsid w:val="487065F8"/>
    <w:rsid w:val="487D480D"/>
    <w:rsid w:val="48822B58"/>
    <w:rsid w:val="48862167"/>
    <w:rsid w:val="48964AD8"/>
    <w:rsid w:val="48AB093C"/>
    <w:rsid w:val="48AB3752"/>
    <w:rsid w:val="48BC5937"/>
    <w:rsid w:val="48D82045"/>
    <w:rsid w:val="48DC3718"/>
    <w:rsid w:val="48F40954"/>
    <w:rsid w:val="4924528A"/>
    <w:rsid w:val="49301E81"/>
    <w:rsid w:val="49423962"/>
    <w:rsid w:val="494D2A33"/>
    <w:rsid w:val="495B6457"/>
    <w:rsid w:val="4972249A"/>
    <w:rsid w:val="49781549"/>
    <w:rsid w:val="49782801"/>
    <w:rsid w:val="49785D34"/>
    <w:rsid w:val="49790338"/>
    <w:rsid w:val="49923258"/>
    <w:rsid w:val="499D721E"/>
    <w:rsid w:val="49A577F9"/>
    <w:rsid w:val="49AF5DB5"/>
    <w:rsid w:val="49D0144B"/>
    <w:rsid w:val="49F50870"/>
    <w:rsid w:val="49FE735A"/>
    <w:rsid w:val="4A26019D"/>
    <w:rsid w:val="4A314103"/>
    <w:rsid w:val="4A3431F4"/>
    <w:rsid w:val="4A383046"/>
    <w:rsid w:val="4A452AB4"/>
    <w:rsid w:val="4A471C26"/>
    <w:rsid w:val="4A483D5D"/>
    <w:rsid w:val="4A4D76CB"/>
    <w:rsid w:val="4A4F4589"/>
    <w:rsid w:val="4A5971B6"/>
    <w:rsid w:val="4A5B1180"/>
    <w:rsid w:val="4A5C75B9"/>
    <w:rsid w:val="4A5F5501"/>
    <w:rsid w:val="4A6313CC"/>
    <w:rsid w:val="4A702F34"/>
    <w:rsid w:val="4A73708A"/>
    <w:rsid w:val="4A82749F"/>
    <w:rsid w:val="4A9F411E"/>
    <w:rsid w:val="4AB32D6A"/>
    <w:rsid w:val="4AC152FB"/>
    <w:rsid w:val="4AC57702"/>
    <w:rsid w:val="4ADA25F1"/>
    <w:rsid w:val="4ADB406F"/>
    <w:rsid w:val="4AE03433"/>
    <w:rsid w:val="4AE178D7"/>
    <w:rsid w:val="4AE21620"/>
    <w:rsid w:val="4AEE4B87"/>
    <w:rsid w:val="4AFD336F"/>
    <w:rsid w:val="4B0B0E05"/>
    <w:rsid w:val="4B3764A7"/>
    <w:rsid w:val="4B424154"/>
    <w:rsid w:val="4B486E71"/>
    <w:rsid w:val="4B4D6D1A"/>
    <w:rsid w:val="4B610736"/>
    <w:rsid w:val="4B64401B"/>
    <w:rsid w:val="4B6C4CC7"/>
    <w:rsid w:val="4B70749F"/>
    <w:rsid w:val="4B733540"/>
    <w:rsid w:val="4B9666BC"/>
    <w:rsid w:val="4BBE441A"/>
    <w:rsid w:val="4BC52D55"/>
    <w:rsid w:val="4BC76479"/>
    <w:rsid w:val="4BCC2290"/>
    <w:rsid w:val="4BD272AD"/>
    <w:rsid w:val="4BD411EA"/>
    <w:rsid w:val="4BD4754C"/>
    <w:rsid w:val="4BDF471B"/>
    <w:rsid w:val="4BF050E7"/>
    <w:rsid w:val="4C00634E"/>
    <w:rsid w:val="4C231829"/>
    <w:rsid w:val="4C3F1EF8"/>
    <w:rsid w:val="4C4F6AC2"/>
    <w:rsid w:val="4C524663"/>
    <w:rsid w:val="4C551CE7"/>
    <w:rsid w:val="4C5C6B91"/>
    <w:rsid w:val="4C5D61E1"/>
    <w:rsid w:val="4C6641E5"/>
    <w:rsid w:val="4CA510E8"/>
    <w:rsid w:val="4CAC05A1"/>
    <w:rsid w:val="4CB37ECC"/>
    <w:rsid w:val="4CBE77A4"/>
    <w:rsid w:val="4CC3431D"/>
    <w:rsid w:val="4CC50B32"/>
    <w:rsid w:val="4CC865E3"/>
    <w:rsid w:val="4CE0771A"/>
    <w:rsid w:val="4CE32639"/>
    <w:rsid w:val="4CE959B3"/>
    <w:rsid w:val="4CEB7145"/>
    <w:rsid w:val="4D16233D"/>
    <w:rsid w:val="4D241CFD"/>
    <w:rsid w:val="4D2F2B78"/>
    <w:rsid w:val="4D5D40C1"/>
    <w:rsid w:val="4D746F26"/>
    <w:rsid w:val="4D87299B"/>
    <w:rsid w:val="4D8A45B0"/>
    <w:rsid w:val="4D91586D"/>
    <w:rsid w:val="4DAB0F88"/>
    <w:rsid w:val="4DB206FC"/>
    <w:rsid w:val="4DB51C9F"/>
    <w:rsid w:val="4DB575FA"/>
    <w:rsid w:val="4DBF0B7C"/>
    <w:rsid w:val="4DC63176"/>
    <w:rsid w:val="4DCB57F5"/>
    <w:rsid w:val="4DD418AA"/>
    <w:rsid w:val="4DDE676B"/>
    <w:rsid w:val="4E01490D"/>
    <w:rsid w:val="4E114094"/>
    <w:rsid w:val="4E132D5B"/>
    <w:rsid w:val="4E1522AB"/>
    <w:rsid w:val="4E22092A"/>
    <w:rsid w:val="4E37300F"/>
    <w:rsid w:val="4E3E1A52"/>
    <w:rsid w:val="4E415771"/>
    <w:rsid w:val="4E447CC9"/>
    <w:rsid w:val="4E546612"/>
    <w:rsid w:val="4E605328"/>
    <w:rsid w:val="4E743B3C"/>
    <w:rsid w:val="4E807468"/>
    <w:rsid w:val="4E896D30"/>
    <w:rsid w:val="4E987B37"/>
    <w:rsid w:val="4E9B47DC"/>
    <w:rsid w:val="4EA51DC2"/>
    <w:rsid w:val="4EB01625"/>
    <w:rsid w:val="4EB106F2"/>
    <w:rsid w:val="4EB66A33"/>
    <w:rsid w:val="4EBB5DBE"/>
    <w:rsid w:val="4EBD5F65"/>
    <w:rsid w:val="4EBE7F2F"/>
    <w:rsid w:val="4EC26A4D"/>
    <w:rsid w:val="4ED81994"/>
    <w:rsid w:val="4ED84B4D"/>
    <w:rsid w:val="4EE1241C"/>
    <w:rsid w:val="4EE47996"/>
    <w:rsid w:val="4EF37BD9"/>
    <w:rsid w:val="4EF77FB8"/>
    <w:rsid w:val="4EF92D15"/>
    <w:rsid w:val="4F163447"/>
    <w:rsid w:val="4F1638C7"/>
    <w:rsid w:val="4F1A7008"/>
    <w:rsid w:val="4F1D02BB"/>
    <w:rsid w:val="4F2401A6"/>
    <w:rsid w:val="4F2414FE"/>
    <w:rsid w:val="4F364EA4"/>
    <w:rsid w:val="4F386D08"/>
    <w:rsid w:val="4F414506"/>
    <w:rsid w:val="4F423AC5"/>
    <w:rsid w:val="4F45280C"/>
    <w:rsid w:val="4F457AD3"/>
    <w:rsid w:val="4F604B42"/>
    <w:rsid w:val="4F66013C"/>
    <w:rsid w:val="4F704107"/>
    <w:rsid w:val="4F7A7484"/>
    <w:rsid w:val="4F7D74A2"/>
    <w:rsid w:val="4F857B9F"/>
    <w:rsid w:val="4F8B6983"/>
    <w:rsid w:val="4F987D83"/>
    <w:rsid w:val="4F9F6305"/>
    <w:rsid w:val="4FAD1767"/>
    <w:rsid w:val="4FB52022"/>
    <w:rsid w:val="4FD75ECD"/>
    <w:rsid w:val="4FE25B78"/>
    <w:rsid w:val="4FE85DF4"/>
    <w:rsid w:val="4FFE6835"/>
    <w:rsid w:val="500E7BE8"/>
    <w:rsid w:val="500F5168"/>
    <w:rsid w:val="500F5DAE"/>
    <w:rsid w:val="501645C5"/>
    <w:rsid w:val="501D2002"/>
    <w:rsid w:val="50255035"/>
    <w:rsid w:val="50267B3A"/>
    <w:rsid w:val="504132E3"/>
    <w:rsid w:val="504D24F4"/>
    <w:rsid w:val="505D122C"/>
    <w:rsid w:val="505D1564"/>
    <w:rsid w:val="50783A55"/>
    <w:rsid w:val="507C384E"/>
    <w:rsid w:val="508036EE"/>
    <w:rsid w:val="5085748E"/>
    <w:rsid w:val="509D1F88"/>
    <w:rsid w:val="509E4866"/>
    <w:rsid w:val="50A02775"/>
    <w:rsid w:val="50A37762"/>
    <w:rsid w:val="50A5492D"/>
    <w:rsid w:val="50DB3FDE"/>
    <w:rsid w:val="50DF2B57"/>
    <w:rsid w:val="50E278DA"/>
    <w:rsid w:val="50E32EF9"/>
    <w:rsid w:val="50EE64BD"/>
    <w:rsid w:val="51023A7C"/>
    <w:rsid w:val="51147D91"/>
    <w:rsid w:val="51174EDA"/>
    <w:rsid w:val="514736E5"/>
    <w:rsid w:val="51506A75"/>
    <w:rsid w:val="51561BDF"/>
    <w:rsid w:val="51583A45"/>
    <w:rsid w:val="516A0A8F"/>
    <w:rsid w:val="516E3E1A"/>
    <w:rsid w:val="51774495"/>
    <w:rsid w:val="5178037B"/>
    <w:rsid w:val="51842A7D"/>
    <w:rsid w:val="51982F91"/>
    <w:rsid w:val="519A35C6"/>
    <w:rsid w:val="519F2583"/>
    <w:rsid w:val="51AB557F"/>
    <w:rsid w:val="51AD6556"/>
    <w:rsid w:val="51B069E3"/>
    <w:rsid w:val="51BB3CB5"/>
    <w:rsid w:val="51BF6981"/>
    <w:rsid w:val="51DF3001"/>
    <w:rsid w:val="51E04E8D"/>
    <w:rsid w:val="51F37983"/>
    <w:rsid w:val="51FA3D00"/>
    <w:rsid w:val="51FA74D0"/>
    <w:rsid w:val="51FB4517"/>
    <w:rsid w:val="51FB4635"/>
    <w:rsid w:val="52026AE1"/>
    <w:rsid w:val="521F09DD"/>
    <w:rsid w:val="5222752C"/>
    <w:rsid w:val="52255AF3"/>
    <w:rsid w:val="523E13E6"/>
    <w:rsid w:val="524005E4"/>
    <w:rsid w:val="525106DF"/>
    <w:rsid w:val="5253532C"/>
    <w:rsid w:val="52663CB5"/>
    <w:rsid w:val="526E7576"/>
    <w:rsid w:val="527375D2"/>
    <w:rsid w:val="527B54B3"/>
    <w:rsid w:val="5289751A"/>
    <w:rsid w:val="52A62656"/>
    <w:rsid w:val="52AD1D52"/>
    <w:rsid w:val="52AF02BB"/>
    <w:rsid w:val="52B70F1D"/>
    <w:rsid w:val="52C85AB9"/>
    <w:rsid w:val="52CF270B"/>
    <w:rsid w:val="52D746D7"/>
    <w:rsid w:val="52E22D49"/>
    <w:rsid w:val="52E55A8A"/>
    <w:rsid w:val="52EA6127"/>
    <w:rsid w:val="52EB0BC7"/>
    <w:rsid w:val="52F263F9"/>
    <w:rsid w:val="530134AB"/>
    <w:rsid w:val="530734F8"/>
    <w:rsid w:val="531505DE"/>
    <w:rsid w:val="531B06DD"/>
    <w:rsid w:val="532260D6"/>
    <w:rsid w:val="53265CEC"/>
    <w:rsid w:val="53381174"/>
    <w:rsid w:val="53395A8D"/>
    <w:rsid w:val="53430A03"/>
    <w:rsid w:val="53453181"/>
    <w:rsid w:val="534D3630"/>
    <w:rsid w:val="535832A7"/>
    <w:rsid w:val="53684556"/>
    <w:rsid w:val="5374208A"/>
    <w:rsid w:val="537961D3"/>
    <w:rsid w:val="538434F5"/>
    <w:rsid w:val="538578BA"/>
    <w:rsid w:val="539E2038"/>
    <w:rsid w:val="53AC04B8"/>
    <w:rsid w:val="53AD6020"/>
    <w:rsid w:val="53B4545D"/>
    <w:rsid w:val="53C2612C"/>
    <w:rsid w:val="53DD074C"/>
    <w:rsid w:val="53DF697E"/>
    <w:rsid w:val="53EF085D"/>
    <w:rsid w:val="53F03A50"/>
    <w:rsid w:val="53FB074F"/>
    <w:rsid w:val="540422CF"/>
    <w:rsid w:val="542812E0"/>
    <w:rsid w:val="54442C85"/>
    <w:rsid w:val="54475DCC"/>
    <w:rsid w:val="544A38FA"/>
    <w:rsid w:val="54616281"/>
    <w:rsid w:val="546450D5"/>
    <w:rsid w:val="5479673C"/>
    <w:rsid w:val="547F6C75"/>
    <w:rsid w:val="548212A3"/>
    <w:rsid w:val="54871388"/>
    <w:rsid w:val="548A728F"/>
    <w:rsid w:val="54905ECA"/>
    <w:rsid w:val="549D6AC8"/>
    <w:rsid w:val="54A212AE"/>
    <w:rsid w:val="54AC532F"/>
    <w:rsid w:val="54B25F3F"/>
    <w:rsid w:val="54B4790E"/>
    <w:rsid w:val="54BD2D90"/>
    <w:rsid w:val="54D15BCB"/>
    <w:rsid w:val="54EA350A"/>
    <w:rsid w:val="54FC1AEC"/>
    <w:rsid w:val="550A5C7C"/>
    <w:rsid w:val="55585D19"/>
    <w:rsid w:val="556A2277"/>
    <w:rsid w:val="556E4059"/>
    <w:rsid w:val="556E7FB9"/>
    <w:rsid w:val="557E0E4D"/>
    <w:rsid w:val="55984425"/>
    <w:rsid w:val="55A21A11"/>
    <w:rsid w:val="55AF14AC"/>
    <w:rsid w:val="55B96E21"/>
    <w:rsid w:val="55C91189"/>
    <w:rsid w:val="55CE7DB6"/>
    <w:rsid w:val="55E1458A"/>
    <w:rsid w:val="55EA6E84"/>
    <w:rsid w:val="55EB6977"/>
    <w:rsid w:val="5607784E"/>
    <w:rsid w:val="560B6A22"/>
    <w:rsid w:val="562B7D0F"/>
    <w:rsid w:val="563166DC"/>
    <w:rsid w:val="56376A87"/>
    <w:rsid w:val="564877A5"/>
    <w:rsid w:val="565A22EB"/>
    <w:rsid w:val="56603E65"/>
    <w:rsid w:val="56694C24"/>
    <w:rsid w:val="5695539B"/>
    <w:rsid w:val="5695773D"/>
    <w:rsid w:val="569577C7"/>
    <w:rsid w:val="56B32A88"/>
    <w:rsid w:val="56BE6D1E"/>
    <w:rsid w:val="56C101B4"/>
    <w:rsid w:val="56C279DB"/>
    <w:rsid w:val="56D63A7A"/>
    <w:rsid w:val="56D97728"/>
    <w:rsid w:val="56DA1345"/>
    <w:rsid w:val="56DD6858"/>
    <w:rsid w:val="56EE44F1"/>
    <w:rsid w:val="5715028F"/>
    <w:rsid w:val="5717185B"/>
    <w:rsid w:val="571747DE"/>
    <w:rsid w:val="57471110"/>
    <w:rsid w:val="57516383"/>
    <w:rsid w:val="57611C79"/>
    <w:rsid w:val="57631674"/>
    <w:rsid w:val="57851700"/>
    <w:rsid w:val="57937A03"/>
    <w:rsid w:val="579E26AC"/>
    <w:rsid w:val="57B10631"/>
    <w:rsid w:val="57B37B43"/>
    <w:rsid w:val="57C45AC7"/>
    <w:rsid w:val="57C9597B"/>
    <w:rsid w:val="57CC0FC7"/>
    <w:rsid w:val="57CCC813"/>
    <w:rsid w:val="57D56212"/>
    <w:rsid w:val="57D72812"/>
    <w:rsid w:val="57D75AB6"/>
    <w:rsid w:val="57E5652D"/>
    <w:rsid w:val="57EF5E0E"/>
    <w:rsid w:val="58054C91"/>
    <w:rsid w:val="580674C9"/>
    <w:rsid w:val="580E372B"/>
    <w:rsid w:val="58101591"/>
    <w:rsid w:val="58120A77"/>
    <w:rsid w:val="58156BCB"/>
    <w:rsid w:val="58235DE1"/>
    <w:rsid w:val="58294898"/>
    <w:rsid w:val="58385787"/>
    <w:rsid w:val="584450AA"/>
    <w:rsid w:val="584C2341"/>
    <w:rsid w:val="5850268F"/>
    <w:rsid w:val="585431F4"/>
    <w:rsid w:val="585C14A4"/>
    <w:rsid w:val="586F66CF"/>
    <w:rsid w:val="58785DD8"/>
    <w:rsid w:val="5881483E"/>
    <w:rsid w:val="588A205B"/>
    <w:rsid w:val="588E44CE"/>
    <w:rsid w:val="588F7B43"/>
    <w:rsid w:val="58906498"/>
    <w:rsid w:val="58B06B3A"/>
    <w:rsid w:val="58B312C4"/>
    <w:rsid w:val="58B7756C"/>
    <w:rsid w:val="58BB21DC"/>
    <w:rsid w:val="58BB441C"/>
    <w:rsid w:val="58D3217E"/>
    <w:rsid w:val="58DD051D"/>
    <w:rsid w:val="58FF5879"/>
    <w:rsid w:val="59041CE1"/>
    <w:rsid w:val="591B012B"/>
    <w:rsid w:val="59204EF1"/>
    <w:rsid w:val="59271F35"/>
    <w:rsid w:val="5930746B"/>
    <w:rsid w:val="59310CA2"/>
    <w:rsid w:val="59431CD3"/>
    <w:rsid w:val="59520087"/>
    <w:rsid w:val="59590F80"/>
    <w:rsid w:val="59623730"/>
    <w:rsid w:val="59690793"/>
    <w:rsid w:val="596F4300"/>
    <w:rsid w:val="59745DBA"/>
    <w:rsid w:val="5978454B"/>
    <w:rsid w:val="597C47A4"/>
    <w:rsid w:val="59875AED"/>
    <w:rsid w:val="598D7D01"/>
    <w:rsid w:val="598F5362"/>
    <w:rsid w:val="59981AA8"/>
    <w:rsid w:val="5998614C"/>
    <w:rsid w:val="59A64B33"/>
    <w:rsid w:val="59BC3BE1"/>
    <w:rsid w:val="59C363FA"/>
    <w:rsid w:val="59C7491A"/>
    <w:rsid w:val="59D21773"/>
    <w:rsid w:val="59DA5F12"/>
    <w:rsid w:val="5A055A2B"/>
    <w:rsid w:val="5A0A4028"/>
    <w:rsid w:val="5A0D7986"/>
    <w:rsid w:val="5A1D1CD0"/>
    <w:rsid w:val="5A1E1882"/>
    <w:rsid w:val="5A276988"/>
    <w:rsid w:val="5A34016C"/>
    <w:rsid w:val="5A562228"/>
    <w:rsid w:val="5A5E37A2"/>
    <w:rsid w:val="5A5F25C6"/>
    <w:rsid w:val="5A641A16"/>
    <w:rsid w:val="5A6870DC"/>
    <w:rsid w:val="5A6A6AB2"/>
    <w:rsid w:val="5A6E44D0"/>
    <w:rsid w:val="5A7B66B2"/>
    <w:rsid w:val="5A9640B1"/>
    <w:rsid w:val="5AAB580B"/>
    <w:rsid w:val="5ABA1A75"/>
    <w:rsid w:val="5AC834F5"/>
    <w:rsid w:val="5AD21B15"/>
    <w:rsid w:val="5AEB1673"/>
    <w:rsid w:val="5AEF2EDA"/>
    <w:rsid w:val="5B0633C0"/>
    <w:rsid w:val="5B1E5FDD"/>
    <w:rsid w:val="5B24231E"/>
    <w:rsid w:val="5B266C40"/>
    <w:rsid w:val="5B28699E"/>
    <w:rsid w:val="5B2A2BD4"/>
    <w:rsid w:val="5B306F7E"/>
    <w:rsid w:val="5B53608C"/>
    <w:rsid w:val="5B5F0ACD"/>
    <w:rsid w:val="5B6023D9"/>
    <w:rsid w:val="5B765350"/>
    <w:rsid w:val="5B767BC7"/>
    <w:rsid w:val="5B774521"/>
    <w:rsid w:val="5B777ABF"/>
    <w:rsid w:val="5B7D019F"/>
    <w:rsid w:val="5B87717D"/>
    <w:rsid w:val="5B9751CE"/>
    <w:rsid w:val="5BA131E7"/>
    <w:rsid w:val="5BA272A6"/>
    <w:rsid w:val="5BB32F70"/>
    <w:rsid w:val="5BB54A4D"/>
    <w:rsid w:val="5BC16969"/>
    <w:rsid w:val="5BCC3C8B"/>
    <w:rsid w:val="5BD41BC2"/>
    <w:rsid w:val="5BE51DB4"/>
    <w:rsid w:val="5C17602F"/>
    <w:rsid w:val="5C1C4D52"/>
    <w:rsid w:val="5C20315A"/>
    <w:rsid w:val="5C287746"/>
    <w:rsid w:val="5C340A13"/>
    <w:rsid w:val="5C346CE4"/>
    <w:rsid w:val="5C361105"/>
    <w:rsid w:val="5C3C3455"/>
    <w:rsid w:val="5C4F0418"/>
    <w:rsid w:val="5C566ED1"/>
    <w:rsid w:val="5C6B7D11"/>
    <w:rsid w:val="5C6C23B9"/>
    <w:rsid w:val="5C6F5488"/>
    <w:rsid w:val="5C7210A2"/>
    <w:rsid w:val="5C791CC0"/>
    <w:rsid w:val="5C7F7B49"/>
    <w:rsid w:val="5C97462C"/>
    <w:rsid w:val="5C9F59FB"/>
    <w:rsid w:val="5CAC3166"/>
    <w:rsid w:val="5CAD05E2"/>
    <w:rsid w:val="5CB51004"/>
    <w:rsid w:val="5CE77B5D"/>
    <w:rsid w:val="5CE95669"/>
    <w:rsid w:val="5CF96232"/>
    <w:rsid w:val="5D00723B"/>
    <w:rsid w:val="5D0E27BC"/>
    <w:rsid w:val="5D174F7F"/>
    <w:rsid w:val="5D193DB1"/>
    <w:rsid w:val="5D213B63"/>
    <w:rsid w:val="5D364460"/>
    <w:rsid w:val="5D4C6DCF"/>
    <w:rsid w:val="5D5A0BF3"/>
    <w:rsid w:val="5D5C103F"/>
    <w:rsid w:val="5D5E7DF4"/>
    <w:rsid w:val="5D5F6D1D"/>
    <w:rsid w:val="5D6D1FFC"/>
    <w:rsid w:val="5D7A7774"/>
    <w:rsid w:val="5D7B09A3"/>
    <w:rsid w:val="5D7E7C70"/>
    <w:rsid w:val="5D9D345A"/>
    <w:rsid w:val="5DA6313C"/>
    <w:rsid w:val="5DAC1C09"/>
    <w:rsid w:val="5DB91FED"/>
    <w:rsid w:val="5DC15672"/>
    <w:rsid w:val="5DCD7847"/>
    <w:rsid w:val="5DD15589"/>
    <w:rsid w:val="5DD605D7"/>
    <w:rsid w:val="5DDC2224"/>
    <w:rsid w:val="5DDE377B"/>
    <w:rsid w:val="5DE033EA"/>
    <w:rsid w:val="5E11388E"/>
    <w:rsid w:val="5E230C3A"/>
    <w:rsid w:val="5E394EDC"/>
    <w:rsid w:val="5E3C5819"/>
    <w:rsid w:val="5E432DFD"/>
    <w:rsid w:val="5E4B68D2"/>
    <w:rsid w:val="5E573807"/>
    <w:rsid w:val="5E585F52"/>
    <w:rsid w:val="5E5D0BCB"/>
    <w:rsid w:val="5E650084"/>
    <w:rsid w:val="5E6A32E8"/>
    <w:rsid w:val="5E6E1B0A"/>
    <w:rsid w:val="5E830965"/>
    <w:rsid w:val="5E994F7A"/>
    <w:rsid w:val="5E997625"/>
    <w:rsid w:val="5EB804F7"/>
    <w:rsid w:val="5EBA601D"/>
    <w:rsid w:val="5EBD5AB9"/>
    <w:rsid w:val="5ED82764"/>
    <w:rsid w:val="5EDE34EF"/>
    <w:rsid w:val="5EE65303"/>
    <w:rsid w:val="5EEB1B57"/>
    <w:rsid w:val="5EEB1B82"/>
    <w:rsid w:val="5EEB5931"/>
    <w:rsid w:val="5F045798"/>
    <w:rsid w:val="5F055986"/>
    <w:rsid w:val="5F0D0843"/>
    <w:rsid w:val="5F186916"/>
    <w:rsid w:val="5F1D7B8D"/>
    <w:rsid w:val="5F2070F3"/>
    <w:rsid w:val="5F2521B5"/>
    <w:rsid w:val="5F293990"/>
    <w:rsid w:val="5F2B0CC9"/>
    <w:rsid w:val="5F2D50D0"/>
    <w:rsid w:val="5F2E1DC0"/>
    <w:rsid w:val="5F3B1F6C"/>
    <w:rsid w:val="5F3F6ACE"/>
    <w:rsid w:val="5F4165AB"/>
    <w:rsid w:val="5F423E29"/>
    <w:rsid w:val="5F443B39"/>
    <w:rsid w:val="5F4B43E8"/>
    <w:rsid w:val="5F4B5D21"/>
    <w:rsid w:val="5F4E2C09"/>
    <w:rsid w:val="5F620DA7"/>
    <w:rsid w:val="5F626165"/>
    <w:rsid w:val="5F731101"/>
    <w:rsid w:val="5F781A34"/>
    <w:rsid w:val="5F9C55AE"/>
    <w:rsid w:val="5FA019E5"/>
    <w:rsid w:val="5FA21886"/>
    <w:rsid w:val="5FC14BC7"/>
    <w:rsid w:val="5FD15AD2"/>
    <w:rsid w:val="5FE175D9"/>
    <w:rsid w:val="5FE63288"/>
    <w:rsid w:val="5FED48F2"/>
    <w:rsid w:val="5FF576C4"/>
    <w:rsid w:val="600A4D82"/>
    <w:rsid w:val="600D5A0F"/>
    <w:rsid w:val="60100168"/>
    <w:rsid w:val="6014175D"/>
    <w:rsid w:val="60174473"/>
    <w:rsid w:val="6018338A"/>
    <w:rsid w:val="601E438A"/>
    <w:rsid w:val="602023AF"/>
    <w:rsid w:val="6058076B"/>
    <w:rsid w:val="60691C79"/>
    <w:rsid w:val="606A2308"/>
    <w:rsid w:val="608D0B89"/>
    <w:rsid w:val="608D13B8"/>
    <w:rsid w:val="608E53E0"/>
    <w:rsid w:val="608F6DCF"/>
    <w:rsid w:val="60AC5E39"/>
    <w:rsid w:val="60AF6EEF"/>
    <w:rsid w:val="60B151FE"/>
    <w:rsid w:val="60C05441"/>
    <w:rsid w:val="60D30D2A"/>
    <w:rsid w:val="60E94998"/>
    <w:rsid w:val="60F50EA4"/>
    <w:rsid w:val="60FC046A"/>
    <w:rsid w:val="61195DA0"/>
    <w:rsid w:val="6133663B"/>
    <w:rsid w:val="613F695D"/>
    <w:rsid w:val="614B7A50"/>
    <w:rsid w:val="61603826"/>
    <w:rsid w:val="61647C13"/>
    <w:rsid w:val="61773B2D"/>
    <w:rsid w:val="617D4F8C"/>
    <w:rsid w:val="61871227"/>
    <w:rsid w:val="61890DAD"/>
    <w:rsid w:val="619C1A0A"/>
    <w:rsid w:val="619D39D4"/>
    <w:rsid w:val="619F599E"/>
    <w:rsid w:val="61A478CD"/>
    <w:rsid w:val="61A741F8"/>
    <w:rsid w:val="61B93A0D"/>
    <w:rsid w:val="61BA70C3"/>
    <w:rsid w:val="61BC7C78"/>
    <w:rsid w:val="61C37CAC"/>
    <w:rsid w:val="61EE2831"/>
    <w:rsid w:val="62052E9D"/>
    <w:rsid w:val="62233ED9"/>
    <w:rsid w:val="622B2A75"/>
    <w:rsid w:val="6235433D"/>
    <w:rsid w:val="623D1F44"/>
    <w:rsid w:val="624668BE"/>
    <w:rsid w:val="624A2316"/>
    <w:rsid w:val="625B49E0"/>
    <w:rsid w:val="625D62A0"/>
    <w:rsid w:val="62631D21"/>
    <w:rsid w:val="62652744"/>
    <w:rsid w:val="626C3AD2"/>
    <w:rsid w:val="628801E0"/>
    <w:rsid w:val="628D7295"/>
    <w:rsid w:val="629F593D"/>
    <w:rsid w:val="62AE40EB"/>
    <w:rsid w:val="62B92A90"/>
    <w:rsid w:val="62BD64F1"/>
    <w:rsid w:val="62C2089F"/>
    <w:rsid w:val="62C20B6E"/>
    <w:rsid w:val="62CE4A93"/>
    <w:rsid w:val="62D35C9A"/>
    <w:rsid w:val="62D54765"/>
    <w:rsid w:val="62DB7664"/>
    <w:rsid w:val="62E01DCA"/>
    <w:rsid w:val="62EF54E3"/>
    <w:rsid w:val="62FE221F"/>
    <w:rsid w:val="62FE5D89"/>
    <w:rsid w:val="630614D1"/>
    <w:rsid w:val="63072B74"/>
    <w:rsid w:val="630B0CC8"/>
    <w:rsid w:val="63117015"/>
    <w:rsid w:val="631E47F0"/>
    <w:rsid w:val="63211AF7"/>
    <w:rsid w:val="632A18EE"/>
    <w:rsid w:val="632A4CAE"/>
    <w:rsid w:val="632E6FDA"/>
    <w:rsid w:val="6337115D"/>
    <w:rsid w:val="634426C1"/>
    <w:rsid w:val="6350134F"/>
    <w:rsid w:val="636B1FDC"/>
    <w:rsid w:val="636B3D8A"/>
    <w:rsid w:val="637D5D70"/>
    <w:rsid w:val="637D73A5"/>
    <w:rsid w:val="639338AB"/>
    <w:rsid w:val="63AB062A"/>
    <w:rsid w:val="63AD43A2"/>
    <w:rsid w:val="63B967CD"/>
    <w:rsid w:val="63C11207"/>
    <w:rsid w:val="63C90472"/>
    <w:rsid w:val="63CA2316"/>
    <w:rsid w:val="63DA0F0F"/>
    <w:rsid w:val="63E04D05"/>
    <w:rsid w:val="63E34461"/>
    <w:rsid w:val="63EA5747"/>
    <w:rsid w:val="63EB5108"/>
    <w:rsid w:val="63F21953"/>
    <w:rsid w:val="6408782B"/>
    <w:rsid w:val="64101881"/>
    <w:rsid w:val="64104931"/>
    <w:rsid w:val="64153CF6"/>
    <w:rsid w:val="64274A84"/>
    <w:rsid w:val="642A0B53"/>
    <w:rsid w:val="642F169A"/>
    <w:rsid w:val="644E725E"/>
    <w:rsid w:val="6466124F"/>
    <w:rsid w:val="64754794"/>
    <w:rsid w:val="64B46124"/>
    <w:rsid w:val="64C7058E"/>
    <w:rsid w:val="64CA2BC8"/>
    <w:rsid w:val="64DC65F2"/>
    <w:rsid w:val="64E52B38"/>
    <w:rsid w:val="64F41B5D"/>
    <w:rsid w:val="64F75E2E"/>
    <w:rsid w:val="64FD6C0C"/>
    <w:rsid w:val="65062B47"/>
    <w:rsid w:val="651545C9"/>
    <w:rsid w:val="651F7051"/>
    <w:rsid w:val="652530BF"/>
    <w:rsid w:val="652801D5"/>
    <w:rsid w:val="652E1513"/>
    <w:rsid w:val="653F0A94"/>
    <w:rsid w:val="65422B5E"/>
    <w:rsid w:val="655363FF"/>
    <w:rsid w:val="65543B68"/>
    <w:rsid w:val="65550F6C"/>
    <w:rsid w:val="655722C3"/>
    <w:rsid w:val="655C6433"/>
    <w:rsid w:val="65644578"/>
    <w:rsid w:val="656A1E1F"/>
    <w:rsid w:val="656B71A0"/>
    <w:rsid w:val="656E1285"/>
    <w:rsid w:val="65987AD6"/>
    <w:rsid w:val="659D2C6E"/>
    <w:rsid w:val="659E70CA"/>
    <w:rsid w:val="659F59C1"/>
    <w:rsid w:val="65A76AC1"/>
    <w:rsid w:val="65A90596"/>
    <w:rsid w:val="65B76EC6"/>
    <w:rsid w:val="65BC7CB7"/>
    <w:rsid w:val="65C7766D"/>
    <w:rsid w:val="65D02CDA"/>
    <w:rsid w:val="65D37CEE"/>
    <w:rsid w:val="65F51DC0"/>
    <w:rsid w:val="65F62BA4"/>
    <w:rsid w:val="65F954A8"/>
    <w:rsid w:val="6619273A"/>
    <w:rsid w:val="66251F2D"/>
    <w:rsid w:val="662F5994"/>
    <w:rsid w:val="66356DF9"/>
    <w:rsid w:val="664F74F8"/>
    <w:rsid w:val="6652789F"/>
    <w:rsid w:val="66554A2F"/>
    <w:rsid w:val="665E48F2"/>
    <w:rsid w:val="66664CDC"/>
    <w:rsid w:val="667860ED"/>
    <w:rsid w:val="66837B42"/>
    <w:rsid w:val="66952ECC"/>
    <w:rsid w:val="669F7F7B"/>
    <w:rsid w:val="66A80E51"/>
    <w:rsid w:val="66A95CED"/>
    <w:rsid w:val="66AF21DF"/>
    <w:rsid w:val="66BA2932"/>
    <w:rsid w:val="66BD56F6"/>
    <w:rsid w:val="66C043ED"/>
    <w:rsid w:val="66C537B1"/>
    <w:rsid w:val="66D32372"/>
    <w:rsid w:val="66E85379"/>
    <w:rsid w:val="66F330C8"/>
    <w:rsid w:val="66F56645"/>
    <w:rsid w:val="66F771A7"/>
    <w:rsid w:val="670558E8"/>
    <w:rsid w:val="6712085D"/>
    <w:rsid w:val="67135588"/>
    <w:rsid w:val="67152BDF"/>
    <w:rsid w:val="675A65EF"/>
    <w:rsid w:val="67632E35"/>
    <w:rsid w:val="67654A77"/>
    <w:rsid w:val="676915DC"/>
    <w:rsid w:val="676E12FC"/>
    <w:rsid w:val="67765505"/>
    <w:rsid w:val="67771202"/>
    <w:rsid w:val="67805055"/>
    <w:rsid w:val="67A208E9"/>
    <w:rsid w:val="67A81461"/>
    <w:rsid w:val="67B2364E"/>
    <w:rsid w:val="67BE37C3"/>
    <w:rsid w:val="67C71028"/>
    <w:rsid w:val="67C76DB5"/>
    <w:rsid w:val="67E6546D"/>
    <w:rsid w:val="67FC1454"/>
    <w:rsid w:val="68060525"/>
    <w:rsid w:val="6839048A"/>
    <w:rsid w:val="68587782"/>
    <w:rsid w:val="685F7C35"/>
    <w:rsid w:val="686061C9"/>
    <w:rsid w:val="68610E40"/>
    <w:rsid w:val="686F4BD0"/>
    <w:rsid w:val="687C02C3"/>
    <w:rsid w:val="687E4606"/>
    <w:rsid w:val="68903EBC"/>
    <w:rsid w:val="68975C9D"/>
    <w:rsid w:val="6898088E"/>
    <w:rsid w:val="68A82E84"/>
    <w:rsid w:val="68CC3A98"/>
    <w:rsid w:val="68F14D31"/>
    <w:rsid w:val="691B2DFC"/>
    <w:rsid w:val="692045F1"/>
    <w:rsid w:val="693379B4"/>
    <w:rsid w:val="693510F0"/>
    <w:rsid w:val="69673B44"/>
    <w:rsid w:val="6978078B"/>
    <w:rsid w:val="69847791"/>
    <w:rsid w:val="69853E38"/>
    <w:rsid w:val="699975C7"/>
    <w:rsid w:val="69A973BA"/>
    <w:rsid w:val="69DD6E88"/>
    <w:rsid w:val="69E312EA"/>
    <w:rsid w:val="69EA5D98"/>
    <w:rsid w:val="69FB617B"/>
    <w:rsid w:val="6A002D52"/>
    <w:rsid w:val="6A022F6E"/>
    <w:rsid w:val="6A063470"/>
    <w:rsid w:val="6A073376"/>
    <w:rsid w:val="6A0A7BC5"/>
    <w:rsid w:val="6A0C209B"/>
    <w:rsid w:val="6A104E32"/>
    <w:rsid w:val="6A464C09"/>
    <w:rsid w:val="6A55309E"/>
    <w:rsid w:val="6A70612A"/>
    <w:rsid w:val="6A853969"/>
    <w:rsid w:val="6A8A71EB"/>
    <w:rsid w:val="6A8F3879"/>
    <w:rsid w:val="6AB26B47"/>
    <w:rsid w:val="6AB67253"/>
    <w:rsid w:val="6AB83FD0"/>
    <w:rsid w:val="6ABA0365"/>
    <w:rsid w:val="6AC61A0E"/>
    <w:rsid w:val="6ACB3D20"/>
    <w:rsid w:val="6AD74766"/>
    <w:rsid w:val="6AE13829"/>
    <w:rsid w:val="6AF74155"/>
    <w:rsid w:val="6AF969DC"/>
    <w:rsid w:val="6AFD2A27"/>
    <w:rsid w:val="6B1C7940"/>
    <w:rsid w:val="6B2556D4"/>
    <w:rsid w:val="6B2770E7"/>
    <w:rsid w:val="6B40766A"/>
    <w:rsid w:val="6B413622"/>
    <w:rsid w:val="6B4C5B1C"/>
    <w:rsid w:val="6B506CC2"/>
    <w:rsid w:val="6B5920BF"/>
    <w:rsid w:val="6B614BD7"/>
    <w:rsid w:val="6B673089"/>
    <w:rsid w:val="6B6A0DCB"/>
    <w:rsid w:val="6B6C4B43"/>
    <w:rsid w:val="6BAA6F1F"/>
    <w:rsid w:val="6BD244BA"/>
    <w:rsid w:val="6BD92C38"/>
    <w:rsid w:val="6BDB50B3"/>
    <w:rsid w:val="6BDE3C7A"/>
    <w:rsid w:val="6BE5371F"/>
    <w:rsid w:val="6BEA3B62"/>
    <w:rsid w:val="6BEE5EB9"/>
    <w:rsid w:val="6BF07522"/>
    <w:rsid w:val="6BF2344D"/>
    <w:rsid w:val="6BF4517A"/>
    <w:rsid w:val="6BF45B5C"/>
    <w:rsid w:val="6C241ABC"/>
    <w:rsid w:val="6C245957"/>
    <w:rsid w:val="6C2B2308"/>
    <w:rsid w:val="6C380772"/>
    <w:rsid w:val="6C601E17"/>
    <w:rsid w:val="6C6634D7"/>
    <w:rsid w:val="6C691082"/>
    <w:rsid w:val="6C7A6DEC"/>
    <w:rsid w:val="6CA51767"/>
    <w:rsid w:val="6CA87DFD"/>
    <w:rsid w:val="6CAD496E"/>
    <w:rsid w:val="6CB015C4"/>
    <w:rsid w:val="6CB613C7"/>
    <w:rsid w:val="6CC13353"/>
    <w:rsid w:val="6CC97AEC"/>
    <w:rsid w:val="6CD058E0"/>
    <w:rsid w:val="6CDE381E"/>
    <w:rsid w:val="6D1C7EA3"/>
    <w:rsid w:val="6D2D3320"/>
    <w:rsid w:val="6D312E7C"/>
    <w:rsid w:val="6D34343E"/>
    <w:rsid w:val="6D3C58FF"/>
    <w:rsid w:val="6D4572EE"/>
    <w:rsid w:val="6D571AC3"/>
    <w:rsid w:val="6D5F7612"/>
    <w:rsid w:val="6D6A3304"/>
    <w:rsid w:val="6D6C50AC"/>
    <w:rsid w:val="6D745F31"/>
    <w:rsid w:val="6D7A02C0"/>
    <w:rsid w:val="6D7C00C5"/>
    <w:rsid w:val="6D910991"/>
    <w:rsid w:val="6D965483"/>
    <w:rsid w:val="6DA649C0"/>
    <w:rsid w:val="6DA81E1C"/>
    <w:rsid w:val="6DAA1F98"/>
    <w:rsid w:val="6DAE5B0D"/>
    <w:rsid w:val="6DC42A14"/>
    <w:rsid w:val="6DCD5952"/>
    <w:rsid w:val="6DCF3167"/>
    <w:rsid w:val="6DD33161"/>
    <w:rsid w:val="6DEA1D4F"/>
    <w:rsid w:val="6DF049BD"/>
    <w:rsid w:val="6DF54F14"/>
    <w:rsid w:val="6DFC6948"/>
    <w:rsid w:val="6DFD31A9"/>
    <w:rsid w:val="6DFE57FA"/>
    <w:rsid w:val="6E000232"/>
    <w:rsid w:val="6E0E5A3E"/>
    <w:rsid w:val="6E1A4649"/>
    <w:rsid w:val="6E22562B"/>
    <w:rsid w:val="6E497753"/>
    <w:rsid w:val="6E5B2C4D"/>
    <w:rsid w:val="6E83011F"/>
    <w:rsid w:val="6E867227"/>
    <w:rsid w:val="6E883820"/>
    <w:rsid w:val="6E8E3022"/>
    <w:rsid w:val="6E925478"/>
    <w:rsid w:val="6E970129"/>
    <w:rsid w:val="6E9A0087"/>
    <w:rsid w:val="6EA30452"/>
    <w:rsid w:val="6EA36D56"/>
    <w:rsid w:val="6EA54A62"/>
    <w:rsid w:val="6EA72D69"/>
    <w:rsid w:val="6EA97255"/>
    <w:rsid w:val="6ED749C9"/>
    <w:rsid w:val="6EF07839"/>
    <w:rsid w:val="6EF21B94"/>
    <w:rsid w:val="6EFA2466"/>
    <w:rsid w:val="6EFA68C0"/>
    <w:rsid w:val="6F0003FC"/>
    <w:rsid w:val="6F0212A5"/>
    <w:rsid w:val="6F0B5294"/>
    <w:rsid w:val="6F2179F2"/>
    <w:rsid w:val="6F3A0F29"/>
    <w:rsid w:val="6F5C119C"/>
    <w:rsid w:val="6F675D4D"/>
    <w:rsid w:val="6F6A1399"/>
    <w:rsid w:val="6F715FF8"/>
    <w:rsid w:val="6F862598"/>
    <w:rsid w:val="6F8B14B1"/>
    <w:rsid w:val="6F96218E"/>
    <w:rsid w:val="6FE74798"/>
    <w:rsid w:val="6FEB6780"/>
    <w:rsid w:val="6FF8536C"/>
    <w:rsid w:val="70061E86"/>
    <w:rsid w:val="70096235"/>
    <w:rsid w:val="70180DF5"/>
    <w:rsid w:val="701C5D76"/>
    <w:rsid w:val="70294093"/>
    <w:rsid w:val="70337DDE"/>
    <w:rsid w:val="704C7922"/>
    <w:rsid w:val="70581235"/>
    <w:rsid w:val="70592560"/>
    <w:rsid w:val="707F2C23"/>
    <w:rsid w:val="7090557F"/>
    <w:rsid w:val="70A72A68"/>
    <w:rsid w:val="70CE5DB1"/>
    <w:rsid w:val="70D273FB"/>
    <w:rsid w:val="70D73CD3"/>
    <w:rsid w:val="70DD4EF6"/>
    <w:rsid w:val="70F300F3"/>
    <w:rsid w:val="70FA76A6"/>
    <w:rsid w:val="70FC0F37"/>
    <w:rsid w:val="71074A37"/>
    <w:rsid w:val="71296141"/>
    <w:rsid w:val="713A515F"/>
    <w:rsid w:val="71417C96"/>
    <w:rsid w:val="714A6BE2"/>
    <w:rsid w:val="714D10B3"/>
    <w:rsid w:val="71574C81"/>
    <w:rsid w:val="715D54F9"/>
    <w:rsid w:val="718104E0"/>
    <w:rsid w:val="71900E5F"/>
    <w:rsid w:val="71B132B0"/>
    <w:rsid w:val="71C32C8F"/>
    <w:rsid w:val="71E84951"/>
    <w:rsid w:val="71EA742E"/>
    <w:rsid w:val="7203181E"/>
    <w:rsid w:val="72094DC3"/>
    <w:rsid w:val="720B11B4"/>
    <w:rsid w:val="720E0B7E"/>
    <w:rsid w:val="72217DC9"/>
    <w:rsid w:val="723F5E90"/>
    <w:rsid w:val="72477438"/>
    <w:rsid w:val="725513B4"/>
    <w:rsid w:val="72794D1E"/>
    <w:rsid w:val="72816906"/>
    <w:rsid w:val="7281762C"/>
    <w:rsid w:val="728E4760"/>
    <w:rsid w:val="729F2B95"/>
    <w:rsid w:val="72B0169B"/>
    <w:rsid w:val="72BC193D"/>
    <w:rsid w:val="72FF5170"/>
    <w:rsid w:val="73005324"/>
    <w:rsid w:val="73051C17"/>
    <w:rsid w:val="73131D48"/>
    <w:rsid w:val="731D58B6"/>
    <w:rsid w:val="732122C1"/>
    <w:rsid w:val="732710B7"/>
    <w:rsid w:val="73400B1E"/>
    <w:rsid w:val="734A576D"/>
    <w:rsid w:val="73526450"/>
    <w:rsid w:val="73583A9B"/>
    <w:rsid w:val="736507F6"/>
    <w:rsid w:val="736A1C02"/>
    <w:rsid w:val="736B336C"/>
    <w:rsid w:val="73830465"/>
    <w:rsid w:val="73937D65"/>
    <w:rsid w:val="73B03CDC"/>
    <w:rsid w:val="73B33441"/>
    <w:rsid w:val="73BD5B78"/>
    <w:rsid w:val="73C5155C"/>
    <w:rsid w:val="73DA58C0"/>
    <w:rsid w:val="7400407A"/>
    <w:rsid w:val="740E69C5"/>
    <w:rsid w:val="74145D78"/>
    <w:rsid w:val="742A7349"/>
    <w:rsid w:val="742E43F3"/>
    <w:rsid w:val="742E450A"/>
    <w:rsid w:val="743F4223"/>
    <w:rsid w:val="74430027"/>
    <w:rsid w:val="74495668"/>
    <w:rsid w:val="745B39A7"/>
    <w:rsid w:val="747B2FCD"/>
    <w:rsid w:val="747E0A1E"/>
    <w:rsid w:val="74836A59"/>
    <w:rsid w:val="74984CA1"/>
    <w:rsid w:val="749C1F79"/>
    <w:rsid w:val="74AD4638"/>
    <w:rsid w:val="74B202D3"/>
    <w:rsid w:val="74C64118"/>
    <w:rsid w:val="74CA6401"/>
    <w:rsid w:val="74CF3EDA"/>
    <w:rsid w:val="74EC15DC"/>
    <w:rsid w:val="74F3598D"/>
    <w:rsid w:val="74FA31C0"/>
    <w:rsid w:val="74FD2B4F"/>
    <w:rsid w:val="74FF278E"/>
    <w:rsid w:val="75011717"/>
    <w:rsid w:val="7501454E"/>
    <w:rsid w:val="75071439"/>
    <w:rsid w:val="750A2CD7"/>
    <w:rsid w:val="75165475"/>
    <w:rsid w:val="7530273D"/>
    <w:rsid w:val="7538283F"/>
    <w:rsid w:val="7544326B"/>
    <w:rsid w:val="755E1F6B"/>
    <w:rsid w:val="756F35A7"/>
    <w:rsid w:val="75890153"/>
    <w:rsid w:val="75995C03"/>
    <w:rsid w:val="759F0B0D"/>
    <w:rsid w:val="75AD2F41"/>
    <w:rsid w:val="75AE4026"/>
    <w:rsid w:val="75AE759C"/>
    <w:rsid w:val="75B10E52"/>
    <w:rsid w:val="75B4344A"/>
    <w:rsid w:val="75D30258"/>
    <w:rsid w:val="75E15A0E"/>
    <w:rsid w:val="75EF359B"/>
    <w:rsid w:val="75F204AF"/>
    <w:rsid w:val="762471E0"/>
    <w:rsid w:val="76277FE4"/>
    <w:rsid w:val="763A22AF"/>
    <w:rsid w:val="763A3C55"/>
    <w:rsid w:val="764861AD"/>
    <w:rsid w:val="76617731"/>
    <w:rsid w:val="766F3032"/>
    <w:rsid w:val="76713781"/>
    <w:rsid w:val="768F6550"/>
    <w:rsid w:val="76903790"/>
    <w:rsid w:val="76920F63"/>
    <w:rsid w:val="76962A74"/>
    <w:rsid w:val="76B80C3C"/>
    <w:rsid w:val="76BF7232"/>
    <w:rsid w:val="76C8276D"/>
    <w:rsid w:val="76D06AEC"/>
    <w:rsid w:val="76D3680D"/>
    <w:rsid w:val="76D62CDB"/>
    <w:rsid w:val="76E37F31"/>
    <w:rsid w:val="76F732A3"/>
    <w:rsid w:val="77040325"/>
    <w:rsid w:val="77057BFA"/>
    <w:rsid w:val="77074B74"/>
    <w:rsid w:val="770C71DA"/>
    <w:rsid w:val="7713711B"/>
    <w:rsid w:val="77143B81"/>
    <w:rsid w:val="7718556C"/>
    <w:rsid w:val="77294EED"/>
    <w:rsid w:val="77336515"/>
    <w:rsid w:val="77350554"/>
    <w:rsid w:val="774B5FAF"/>
    <w:rsid w:val="77514D2B"/>
    <w:rsid w:val="77606A22"/>
    <w:rsid w:val="77692AB8"/>
    <w:rsid w:val="77794E56"/>
    <w:rsid w:val="77826B10"/>
    <w:rsid w:val="77927ED6"/>
    <w:rsid w:val="7794180B"/>
    <w:rsid w:val="7798281C"/>
    <w:rsid w:val="779D7E32"/>
    <w:rsid w:val="77A11A44"/>
    <w:rsid w:val="77AB254F"/>
    <w:rsid w:val="77BD2282"/>
    <w:rsid w:val="77CF3E8E"/>
    <w:rsid w:val="77D13651"/>
    <w:rsid w:val="77F12535"/>
    <w:rsid w:val="78091106"/>
    <w:rsid w:val="7814082D"/>
    <w:rsid w:val="7814578F"/>
    <w:rsid w:val="781931D0"/>
    <w:rsid w:val="782072C9"/>
    <w:rsid w:val="78212BE0"/>
    <w:rsid w:val="78227F45"/>
    <w:rsid w:val="783634EE"/>
    <w:rsid w:val="78395F16"/>
    <w:rsid w:val="783E0B9A"/>
    <w:rsid w:val="784347C4"/>
    <w:rsid w:val="784F4B65"/>
    <w:rsid w:val="785874D9"/>
    <w:rsid w:val="785E3A65"/>
    <w:rsid w:val="786801A4"/>
    <w:rsid w:val="786B4BDB"/>
    <w:rsid w:val="787107A9"/>
    <w:rsid w:val="78775FB3"/>
    <w:rsid w:val="78793A4C"/>
    <w:rsid w:val="787B0E50"/>
    <w:rsid w:val="787F4B16"/>
    <w:rsid w:val="789456D9"/>
    <w:rsid w:val="789A7176"/>
    <w:rsid w:val="78A2728C"/>
    <w:rsid w:val="78B55AAC"/>
    <w:rsid w:val="78B92662"/>
    <w:rsid w:val="78BA50F7"/>
    <w:rsid w:val="78C07EE4"/>
    <w:rsid w:val="78C07FFB"/>
    <w:rsid w:val="78CA3236"/>
    <w:rsid w:val="78CE133A"/>
    <w:rsid w:val="78D10C16"/>
    <w:rsid w:val="78D23783"/>
    <w:rsid w:val="78E679D2"/>
    <w:rsid w:val="78FA4811"/>
    <w:rsid w:val="79072250"/>
    <w:rsid w:val="791606B5"/>
    <w:rsid w:val="791B6DA4"/>
    <w:rsid w:val="79262551"/>
    <w:rsid w:val="794473A8"/>
    <w:rsid w:val="796230E1"/>
    <w:rsid w:val="796F0610"/>
    <w:rsid w:val="79713581"/>
    <w:rsid w:val="797515BF"/>
    <w:rsid w:val="797879A1"/>
    <w:rsid w:val="797C1E1F"/>
    <w:rsid w:val="797D6E8C"/>
    <w:rsid w:val="79814074"/>
    <w:rsid w:val="79964E85"/>
    <w:rsid w:val="79A77B0C"/>
    <w:rsid w:val="79BA41BB"/>
    <w:rsid w:val="79C61520"/>
    <w:rsid w:val="79CD0EA3"/>
    <w:rsid w:val="79E35DAD"/>
    <w:rsid w:val="79E766E9"/>
    <w:rsid w:val="79ED32F3"/>
    <w:rsid w:val="79F32CC4"/>
    <w:rsid w:val="7A150154"/>
    <w:rsid w:val="7A157E3F"/>
    <w:rsid w:val="7A1F0FD2"/>
    <w:rsid w:val="7A245B8D"/>
    <w:rsid w:val="7A2F3EAB"/>
    <w:rsid w:val="7A2F7467"/>
    <w:rsid w:val="7A3864DC"/>
    <w:rsid w:val="7A3A62E4"/>
    <w:rsid w:val="7A431165"/>
    <w:rsid w:val="7A4D0D36"/>
    <w:rsid w:val="7A5102F4"/>
    <w:rsid w:val="7A5D1E51"/>
    <w:rsid w:val="7A5F7DD8"/>
    <w:rsid w:val="7A624D9C"/>
    <w:rsid w:val="7A68681F"/>
    <w:rsid w:val="7A7C5D56"/>
    <w:rsid w:val="7A85139A"/>
    <w:rsid w:val="7A8B6668"/>
    <w:rsid w:val="7A9B68AB"/>
    <w:rsid w:val="7A9C08D9"/>
    <w:rsid w:val="7AB160CE"/>
    <w:rsid w:val="7AB847F0"/>
    <w:rsid w:val="7AC35E02"/>
    <w:rsid w:val="7AD41DBD"/>
    <w:rsid w:val="7AEC091C"/>
    <w:rsid w:val="7AF517DC"/>
    <w:rsid w:val="7AFB4923"/>
    <w:rsid w:val="7AFE3BAC"/>
    <w:rsid w:val="7B0A49A4"/>
    <w:rsid w:val="7B160627"/>
    <w:rsid w:val="7B160B6B"/>
    <w:rsid w:val="7B166879"/>
    <w:rsid w:val="7B176193"/>
    <w:rsid w:val="7B1D1BF5"/>
    <w:rsid w:val="7B301C64"/>
    <w:rsid w:val="7B3753B1"/>
    <w:rsid w:val="7B3E4ED8"/>
    <w:rsid w:val="7B450F0D"/>
    <w:rsid w:val="7B4B2817"/>
    <w:rsid w:val="7B536393"/>
    <w:rsid w:val="7B5F19EA"/>
    <w:rsid w:val="7B783090"/>
    <w:rsid w:val="7B925739"/>
    <w:rsid w:val="7B9D5B7F"/>
    <w:rsid w:val="7B9E709A"/>
    <w:rsid w:val="7B9E743A"/>
    <w:rsid w:val="7BA670DF"/>
    <w:rsid w:val="7BA96FD5"/>
    <w:rsid w:val="7BB22650"/>
    <w:rsid w:val="7BC23C48"/>
    <w:rsid w:val="7BC776AC"/>
    <w:rsid w:val="7BE6072C"/>
    <w:rsid w:val="7BFD622B"/>
    <w:rsid w:val="7BFF3F5C"/>
    <w:rsid w:val="7C2659A6"/>
    <w:rsid w:val="7C2B0D5B"/>
    <w:rsid w:val="7C305719"/>
    <w:rsid w:val="7C354771"/>
    <w:rsid w:val="7C370855"/>
    <w:rsid w:val="7C520630"/>
    <w:rsid w:val="7C5928DA"/>
    <w:rsid w:val="7C6724CF"/>
    <w:rsid w:val="7C6F372C"/>
    <w:rsid w:val="7C7B55CC"/>
    <w:rsid w:val="7C7F2370"/>
    <w:rsid w:val="7C9130A5"/>
    <w:rsid w:val="7CC05128"/>
    <w:rsid w:val="7CC11A85"/>
    <w:rsid w:val="7CD25CF0"/>
    <w:rsid w:val="7CDD764F"/>
    <w:rsid w:val="7CF46746"/>
    <w:rsid w:val="7CFE75C5"/>
    <w:rsid w:val="7D0D7808"/>
    <w:rsid w:val="7D27115C"/>
    <w:rsid w:val="7D2A5DDD"/>
    <w:rsid w:val="7D33726F"/>
    <w:rsid w:val="7D34167D"/>
    <w:rsid w:val="7D364FB1"/>
    <w:rsid w:val="7D367A56"/>
    <w:rsid w:val="7D5F62B6"/>
    <w:rsid w:val="7D67065E"/>
    <w:rsid w:val="7D670C6D"/>
    <w:rsid w:val="7D6E474B"/>
    <w:rsid w:val="7D6E5788"/>
    <w:rsid w:val="7D796C4C"/>
    <w:rsid w:val="7D8754DE"/>
    <w:rsid w:val="7D8C4232"/>
    <w:rsid w:val="7D957F29"/>
    <w:rsid w:val="7D9677FD"/>
    <w:rsid w:val="7DA4016C"/>
    <w:rsid w:val="7DB36601"/>
    <w:rsid w:val="7DC0487A"/>
    <w:rsid w:val="7DC47C46"/>
    <w:rsid w:val="7DD44BD7"/>
    <w:rsid w:val="7DD57899"/>
    <w:rsid w:val="7DED3183"/>
    <w:rsid w:val="7DF34205"/>
    <w:rsid w:val="7DFA4230"/>
    <w:rsid w:val="7E177AE7"/>
    <w:rsid w:val="7E4A75E6"/>
    <w:rsid w:val="7E5020A2"/>
    <w:rsid w:val="7E6E2528"/>
    <w:rsid w:val="7E7B57EE"/>
    <w:rsid w:val="7E8B31DD"/>
    <w:rsid w:val="7EB84979"/>
    <w:rsid w:val="7EC62364"/>
    <w:rsid w:val="7ED27D86"/>
    <w:rsid w:val="7EEA3D63"/>
    <w:rsid w:val="7EEB29F2"/>
    <w:rsid w:val="7EEB5927"/>
    <w:rsid w:val="7EEC2028"/>
    <w:rsid w:val="7EEF5417"/>
    <w:rsid w:val="7F0C4312"/>
    <w:rsid w:val="7F1267A3"/>
    <w:rsid w:val="7F221CF3"/>
    <w:rsid w:val="7F406314"/>
    <w:rsid w:val="7F48121F"/>
    <w:rsid w:val="7F51183B"/>
    <w:rsid w:val="7F531C21"/>
    <w:rsid w:val="7F6835F2"/>
    <w:rsid w:val="7F791C2A"/>
    <w:rsid w:val="7F7D6EC7"/>
    <w:rsid w:val="7F8A0440"/>
    <w:rsid w:val="7F8D64E8"/>
    <w:rsid w:val="7F9933A0"/>
    <w:rsid w:val="7F9E0BEB"/>
    <w:rsid w:val="7FAC170B"/>
    <w:rsid w:val="7FC05006"/>
    <w:rsid w:val="7FC45788"/>
    <w:rsid w:val="7FCA0A9E"/>
    <w:rsid w:val="7FCE3445"/>
    <w:rsid w:val="7FF150A6"/>
    <w:rsid w:val="7FF649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iPriority="99"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4"/>
    <w:next w:val="5"/>
    <w:link w:val="51"/>
    <w:qFormat/>
    <w:uiPriority w:val="0"/>
    <w:pPr>
      <w:keepNext/>
      <w:keepLines/>
      <w:spacing w:after="120" w:line="360" w:lineRule="auto"/>
      <w:jc w:val="left"/>
      <w:outlineLvl w:val="0"/>
    </w:pPr>
    <w:rPr>
      <w:kern w:val="44"/>
      <w:sz w:val="28"/>
      <w:szCs w:val="28"/>
    </w:rPr>
  </w:style>
  <w:style w:type="paragraph" w:styleId="7">
    <w:name w:val="heading 2"/>
    <w:basedOn w:val="1"/>
    <w:next w:val="8"/>
    <w:link w:val="54"/>
    <w:qFormat/>
    <w:uiPriority w:val="0"/>
    <w:pPr>
      <w:keepNext/>
      <w:keepLines/>
      <w:spacing w:before="120" w:after="120" w:line="415" w:lineRule="auto"/>
      <w:ind w:left="454"/>
      <w:jc w:val="center"/>
      <w:outlineLvl w:val="1"/>
    </w:pPr>
    <w:rPr>
      <w:rFonts w:ascii="Arial" w:hAnsi="Arial"/>
      <w:b/>
      <w:color w:val="000000"/>
      <w:kern w:val="0"/>
      <w:sz w:val="24"/>
      <w:szCs w:val="24"/>
    </w:rPr>
  </w:style>
  <w:style w:type="paragraph" w:styleId="9">
    <w:name w:val="heading 3"/>
    <w:basedOn w:val="1"/>
    <w:next w:val="1"/>
    <w:link w:val="56"/>
    <w:qFormat/>
    <w:uiPriority w:val="0"/>
    <w:pPr>
      <w:widowControl/>
      <w:spacing w:before="100" w:beforeAutospacing="1" w:after="100" w:afterAutospacing="1"/>
      <w:jc w:val="left"/>
      <w:outlineLvl w:val="2"/>
    </w:pPr>
    <w:rPr>
      <w:rFonts w:ascii="宋体" w:hAnsi="宋体"/>
      <w:kern w:val="0"/>
      <w:sz w:val="27"/>
      <w:szCs w:val="27"/>
    </w:rPr>
  </w:style>
  <w:style w:type="paragraph" w:styleId="10">
    <w:name w:val="heading 4"/>
    <w:basedOn w:val="1"/>
    <w:next w:val="1"/>
    <w:link w:val="57"/>
    <w:qFormat/>
    <w:uiPriority w:val="0"/>
    <w:pPr>
      <w:keepNext/>
      <w:keepLines/>
      <w:numPr>
        <w:ilvl w:val="3"/>
        <w:numId w:val="1"/>
      </w:numPr>
      <w:spacing w:beforeLines="50" w:afterLines="50" w:line="360" w:lineRule="auto"/>
      <w:outlineLvl w:val="3"/>
    </w:pPr>
    <w:rPr>
      <w:rFonts w:ascii="Arial" w:hAnsi="Arial"/>
      <w:color w:val="000000"/>
      <w:kern w:val="0"/>
      <w:sz w:val="20"/>
      <w:szCs w:val="21"/>
    </w:rPr>
  </w:style>
  <w:style w:type="paragraph" w:styleId="11">
    <w:name w:val="heading 5"/>
    <w:basedOn w:val="10"/>
    <w:next w:val="8"/>
    <w:link w:val="58"/>
    <w:qFormat/>
    <w:uiPriority w:val="0"/>
    <w:pPr>
      <w:numPr>
        <w:ilvl w:val="4"/>
      </w:numPr>
      <w:spacing w:line="240" w:lineRule="exact"/>
      <w:outlineLvl w:val="4"/>
    </w:pPr>
  </w:style>
  <w:style w:type="paragraph" w:styleId="12">
    <w:name w:val="heading 6"/>
    <w:basedOn w:val="1"/>
    <w:next w:val="1"/>
    <w:link w:val="59"/>
    <w:qFormat/>
    <w:uiPriority w:val="0"/>
    <w:pPr>
      <w:keepNext/>
      <w:keepLines/>
      <w:numPr>
        <w:ilvl w:val="5"/>
        <w:numId w:val="2"/>
      </w:numPr>
      <w:spacing w:before="240" w:after="64" w:line="320" w:lineRule="auto"/>
      <w:outlineLvl w:val="5"/>
    </w:pPr>
    <w:rPr>
      <w:rFonts w:ascii="Arial" w:hAnsi="Arial" w:eastAsia="黑体"/>
      <w:b/>
      <w:bCs/>
      <w:kern w:val="0"/>
      <w:sz w:val="24"/>
      <w:szCs w:val="24"/>
    </w:rPr>
  </w:style>
  <w:style w:type="paragraph" w:styleId="13">
    <w:name w:val="heading 7"/>
    <w:basedOn w:val="1"/>
    <w:next w:val="8"/>
    <w:link w:val="60"/>
    <w:qFormat/>
    <w:uiPriority w:val="0"/>
    <w:pPr>
      <w:keepNext/>
      <w:keepLines/>
      <w:numPr>
        <w:ilvl w:val="6"/>
        <w:numId w:val="1"/>
      </w:numPr>
      <w:spacing w:before="240" w:after="64" w:line="320" w:lineRule="auto"/>
      <w:outlineLvl w:val="6"/>
    </w:pPr>
    <w:rPr>
      <w:b/>
      <w:kern w:val="0"/>
      <w:sz w:val="24"/>
      <w:szCs w:val="20"/>
    </w:rPr>
  </w:style>
  <w:style w:type="paragraph" w:styleId="14">
    <w:name w:val="heading 8"/>
    <w:basedOn w:val="1"/>
    <w:next w:val="8"/>
    <w:link w:val="61"/>
    <w:qFormat/>
    <w:uiPriority w:val="0"/>
    <w:pPr>
      <w:keepNext/>
      <w:keepLines/>
      <w:numPr>
        <w:ilvl w:val="7"/>
        <w:numId w:val="1"/>
      </w:numPr>
      <w:spacing w:before="240" w:after="64" w:line="320" w:lineRule="auto"/>
      <w:outlineLvl w:val="7"/>
    </w:pPr>
    <w:rPr>
      <w:rFonts w:ascii="Arial" w:hAnsi="Arial" w:eastAsia="黑体"/>
      <w:kern w:val="0"/>
      <w:sz w:val="24"/>
      <w:szCs w:val="20"/>
    </w:rPr>
  </w:style>
  <w:style w:type="paragraph" w:styleId="15">
    <w:name w:val="heading 9"/>
    <w:basedOn w:val="1"/>
    <w:next w:val="8"/>
    <w:link w:val="62"/>
    <w:qFormat/>
    <w:uiPriority w:val="0"/>
    <w:pPr>
      <w:keepNext/>
      <w:keepLines/>
      <w:numPr>
        <w:ilvl w:val="8"/>
        <w:numId w:val="1"/>
      </w:numPr>
      <w:spacing w:before="240" w:after="64" w:line="320" w:lineRule="auto"/>
      <w:outlineLvl w:val="8"/>
    </w:pPr>
    <w:rPr>
      <w:rFonts w:ascii="Arial" w:hAnsi="Arial" w:eastAsia="黑体"/>
      <w:kern w:val="0"/>
      <w:sz w:val="20"/>
      <w:szCs w:val="20"/>
    </w:rPr>
  </w:style>
  <w:style w:type="character" w:default="1" w:styleId="41">
    <w:name w:val="Default Paragraph Font"/>
    <w:semiHidden/>
    <w:unhideWhenUsed/>
    <w:qFormat/>
    <w:uiPriority w:val="1"/>
  </w:style>
  <w:style w:type="table" w:default="1" w:styleId="39">
    <w:name w:val="Normal Table"/>
    <w:semiHidden/>
    <w:unhideWhenUsed/>
    <w:qFormat/>
    <w:uiPriority w:val="99"/>
    <w:tblPr>
      <w:tblCellMar>
        <w:top w:w="0" w:type="dxa"/>
        <w:left w:w="108" w:type="dxa"/>
        <w:bottom w:w="0" w:type="dxa"/>
        <w:right w:w="108" w:type="dxa"/>
      </w:tblCellMar>
    </w:tblPr>
  </w:style>
  <w:style w:type="paragraph" w:customStyle="1" w:styleId="2">
    <w:name w:val="PlainText"/>
    <w:basedOn w:val="1"/>
    <w:qFormat/>
    <w:uiPriority w:val="0"/>
    <w:rPr>
      <w:rFonts w:ascii="宋体" w:hAnsi="Courier New"/>
      <w:kern w:val="0"/>
      <w:sz w:val="20"/>
      <w:szCs w:val="20"/>
    </w:rPr>
  </w:style>
  <w:style w:type="paragraph" w:styleId="4">
    <w:name w:val="Title"/>
    <w:basedOn w:val="1"/>
    <w:link w:val="50"/>
    <w:qFormat/>
    <w:uiPriority w:val="0"/>
    <w:pPr>
      <w:spacing w:before="120" w:after="60"/>
      <w:jc w:val="center"/>
    </w:pPr>
    <w:rPr>
      <w:rFonts w:ascii="Arial" w:hAnsi="Arial"/>
      <w:b/>
      <w:kern w:val="0"/>
      <w:sz w:val="44"/>
      <w:szCs w:val="20"/>
    </w:rPr>
  </w:style>
  <w:style w:type="paragraph" w:styleId="5">
    <w:name w:val="Body Text First Indent"/>
    <w:basedOn w:val="6"/>
    <w:link w:val="53"/>
    <w:qFormat/>
    <w:uiPriority w:val="0"/>
    <w:pPr>
      <w:ind w:firstLine="420"/>
    </w:pPr>
  </w:style>
  <w:style w:type="paragraph" w:styleId="6">
    <w:name w:val="Body Text"/>
    <w:basedOn w:val="1"/>
    <w:link w:val="52"/>
    <w:qFormat/>
    <w:uiPriority w:val="0"/>
    <w:pPr>
      <w:spacing w:after="120"/>
    </w:pPr>
    <w:rPr>
      <w:kern w:val="0"/>
      <w:sz w:val="20"/>
      <w:szCs w:val="20"/>
    </w:rPr>
  </w:style>
  <w:style w:type="paragraph" w:styleId="8">
    <w:name w:val="Normal Indent"/>
    <w:basedOn w:val="1"/>
    <w:next w:val="1"/>
    <w:link w:val="55"/>
    <w:qFormat/>
    <w:uiPriority w:val="0"/>
    <w:pPr>
      <w:ind w:firstLine="420"/>
    </w:pPr>
    <w:rPr>
      <w:szCs w:val="20"/>
    </w:rPr>
  </w:style>
  <w:style w:type="paragraph" w:styleId="16">
    <w:name w:val="Document Map"/>
    <w:basedOn w:val="1"/>
    <w:link w:val="63"/>
    <w:qFormat/>
    <w:uiPriority w:val="0"/>
    <w:pPr>
      <w:shd w:val="clear" w:color="auto" w:fill="000080"/>
    </w:pPr>
    <w:rPr>
      <w:kern w:val="0"/>
      <w:sz w:val="20"/>
      <w:szCs w:val="20"/>
    </w:rPr>
  </w:style>
  <w:style w:type="paragraph" w:styleId="17">
    <w:name w:val="annotation text"/>
    <w:basedOn w:val="1"/>
    <w:link w:val="64"/>
    <w:qFormat/>
    <w:uiPriority w:val="0"/>
    <w:pPr>
      <w:spacing w:line="360" w:lineRule="auto"/>
      <w:ind w:firstLine="523" w:firstLineChars="218"/>
      <w:jc w:val="left"/>
    </w:pPr>
    <w:rPr>
      <w:rFonts w:ascii="宋体" w:hAnsi="宋体"/>
      <w:kern w:val="0"/>
      <w:sz w:val="24"/>
      <w:szCs w:val="24"/>
    </w:rPr>
  </w:style>
  <w:style w:type="paragraph" w:styleId="18">
    <w:name w:val="Body Text 3"/>
    <w:basedOn w:val="1"/>
    <w:link w:val="65"/>
    <w:unhideWhenUsed/>
    <w:qFormat/>
    <w:uiPriority w:val="99"/>
    <w:pPr>
      <w:spacing w:after="120"/>
    </w:pPr>
    <w:rPr>
      <w:rFonts w:ascii="Calibri" w:hAnsi="Calibri"/>
      <w:sz w:val="16"/>
      <w:szCs w:val="16"/>
    </w:rPr>
  </w:style>
  <w:style w:type="paragraph" w:styleId="19">
    <w:name w:val="Body Text Indent"/>
    <w:basedOn w:val="1"/>
    <w:next w:val="20"/>
    <w:link w:val="66"/>
    <w:qFormat/>
    <w:uiPriority w:val="0"/>
    <w:pPr>
      <w:ind w:firstLine="570"/>
    </w:pPr>
    <w:rPr>
      <w:kern w:val="0"/>
      <w:sz w:val="28"/>
      <w:szCs w:val="20"/>
    </w:rPr>
  </w:style>
  <w:style w:type="paragraph" w:styleId="20">
    <w:name w:val="envelope return"/>
    <w:basedOn w:val="1"/>
    <w:qFormat/>
    <w:uiPriority w:val="0"/>
    <w:pPr>
      <w:snapToGrid w:val="0"/>
    </w:pPr>
    <w:rPr>
      <w:rFonts w:ascii="Arial" w:hAnsi="Arial"/>
      <w:szCs w:val="24"/>
    </w:rPr>
  </w:style>
  <w:style w:type="paragraph" w:styleId="21">
    <w:name w:val="toc 3"/>
    <w:basedOn w:val="1"/>
    <w:next w:val="1"/>
    <w:qFormat/>
    <w:uiPriority w:val="39"/>
    <w:pPr>
      <w:snapToGrid w:val="0"/>
      <w:spacing w:line="360" w:lineRule="auto"/>
      <w:ind w:left="400" w:leftChars="400"/>
      <w:jc w:val="left"/>
    </w:pPr>
    <w:rPr>
      <w:sz w:val="24"/>
      <w:szCs w:val="20"/>
    </w:rPr>
  </w:style>
  <w:style w:type="paragraph" w:styleId="22">
    <w:name w:val="Plain Text"/>
    <w:basedOn w:val="1"/>
    <w:next w:val="1"/>
    <w:link w:val="49"/>
    <w:qFormat/>
    <w:uiPriority w:val="0"/>
    <w:rPr>
      <w:rFonts w:ascii="宋体" w:hAnsi="Courier New"/>
      <w:kern w:val="0"/>
      <w:sz w:val="20"/>
      <w:szCs w:val="20"/>
    </w:rPr>
  </w:style>
  <w:style w:type="paragraph" w:styleId="23">
    <w:name w:val="Date"/>
    <w:basedOn w:val="1"/>
    <w:next w:val="1"/>
    <w:link w:val="67"/>
    <w:qFormat/>
    <w:uiPriority w:val="0"/>
    <w:rPr>
      <w:kern w:val="0"/>
      <w:sz w:val="20"/>
      <w:szCs w:val="20"/>
    </w:rPr>
  </w:style>
  <w:style w:type="paragraph" w:styleId="24">
    <w:name w:val="Body Text Indent 2"/>
    <w:basedOn w:val="1"/>
    <w:link w:val="68"/>
    <w:qFormat/>
    <w:uiPriority w:val="0"/>
    <w:pPr>
      <w:spacing w:line="400" w:lineRule="exact"/>
      <w:ind w:left="425"/>
    </w:pPr>
    <w:rPr>
      <w:color w:val="000000"/>
      <w:kern w:val="0"/>
      <w:sz w:val="24"/>
      <w:szCs w:val="20"/>
    </w:rPr>
  </w:style>
  <w:style w:type="paragraph" w:styleId="25">
    <w:name w:val="endnote text"/>
    <w:basedOn w:val="1"/>
    <w:link w:val="69"/>
    <w:qFormat/>
    <w:uiPriority w:val="0"/>
    <w:pPr>
      <w:snapToGrid w:val="0"/>
      <w:jc w:val="left"/>
    </w:pPr>
    <w:rPr>
      <w:kern w:val="0"/>
      <w:sz w:val="20"/>
      <w:szCs w:val="20"/>
    </w:rPr>
  </w:style>
  <w:style w:type="paragraph" w:styleId="26">
    <w:name w:val="Balloon Text"/>
    <w:basedOn w:val="1"/>
    <w:link w:val="70"/>
    <w:qFormat/>
    <w:uiPriority w:val="0"/>
    <w:rPr>
      <w:kern w:val="0"/>
      <w:sz w:val="18"/>
      <w:szCs w:val="18"/>
    </w:rPr>
  </w:style>
  <w:style w:type="paragraph" w:styleId="27">
    <w:name w:val="footer"/>
    <w:basedOn w:val="1"/>
    <w:link w:val="71"/>
    <w:unhideWhenUsed/>
    <w:qFormat/>
    <w:uiPriority w:val="0"/>
    <w:pPr>
      <w:tabs>
        <w:tab w:val="center" w:pos="4153"/>
        <w:tab w:val="right" w:pos="8306"/>
      </w:tabs>
      <w:snapToGrid w:val="0"/>
      <w:jc w:val="left"/>
    </w:pPr>
    <w:rPr>
      <w:rFonts w:ascii="Calibri" w:hAnsi="Calibri"/>
      <w:kern w:val="0"/>
      <w:sz w:val="18"/>
      <w:szCs w:val="18"/>
    </w:rPr>
  </w:style>
  <w:style w:type="paragraph" w:styleId="28">
    <w:name w:val="header"/>
    <w:basedOn w:val="1"/>
    <w:link w:val="72"/>
    <w:unhideWhenUsed/>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29">
    <w:name w:val="toc 1"/>
    <w:basedOn w:val="1"/>
    <w:next w:val="1"/>
    <w:qFormat/>
    <w:uiPriority w:val="39"/>
    <w:pPr>
      <w:tabs>
        <w:tab w:val="right" w:leader="dot" w:pos="9060"/>
      </w:tabs>
      <w:adjustRightInd w:val="0"/>
      <w:snapToGrid w:val="0"/>
      <w:spacing w:line="360" w:lineRule="auto"/>
      <w:jc w:val="left"/>
      <w:textAlignment w:val="baseline"/>
    </w:pPr>
    <w:rPr>
      <w:rFonts w:ascii="宋体" w:hAnsi="宋体"/>
      <w:caps/>
      <w:kern w:val="0"/>
      <w:sz w:val="24"/>
      <w:szCs w:val="32"/>
    </w:rPr>
  </w:style>
  <w:style w:type="paragraph" w:styleId="30">
    <w:name w:val="footnote text"/>
    <w:basedOn w:val="1"/>
    <w:link w:val="73"/>
    <w:qFormat/>
    <w:uiPriority w:val="0"/>
    <w:pPr>
      <w:snapToGrid w:val="0"/>
      <w:spacing w:line="360" w:lineRule="auto"/>
      <w:ind w:firstLine="523" w:firstLineChars="218"/>
      <w:jc w:val="left"/>
    </w:pPr>
    <w:rPr>
      <w:rFonts w:ascii="宋体" w:hAnsi="宋体"/>
      <w:kern w:val="0"/>
      <w:sz w:val="18"/>
      <w:szCs w:val="18"/>
    </w:rPr>
  </w:style>
  <w:style w:type="paragraph" w:styleId="31">
    <w:name w:val="Body Text Indent 3"/>
    <w:basedOn w:val="1"/>
    <w:link w:val="74"/>
    <w:qFormat/>
    <w:uiPriority w:val="0"/>
    <w:pPr>
      <w:tabs>
        <w:tab w:val="left" w:pos="0"/>
      </w:tabs>
      <w:spacing w:line="400" w:lineRule="exact"/>
      <w:ind w:left="563" w:leftChars="228" w:hanging="84" w:hangingChars="35"/>
    </w:pPr>
    <w:rPr>
      <w:color w:val="000000"/>
      <w:kern w:val="0"/>
      <w:sz w:val="24"/>
      <w:szCs w:val="20"/>
    </w:rPr>
  </w:style>
  <w:style w:type="paragraph" w:styleId="32">
    <w:name w:val="toc 2"/>
    <w:basedOn w:val="1"/>
    <w:next w:val="1"/>
    <w:qFormat/>
    <w:uiPriority w:val="39"/>
    <w:pPr>
      <w:tabs>
        <w:tab w:val="right" w:leader="dot" w:pos="9060"/>
      </w:tabs>
      <w:snapToGrid w:val="0"/>
      <w:spacing w:line="360" w:lineRule="auto"/>
      <w:ind w:left="420" w:leftChars="200"/>
      <w:jc w:val="left"/>
    </w:pPr>
    <w:rPr>
      <w:sz w:val="24"/>
      <w:szCs w:val="24"/>
    </w:rPr>
  </w:style>
  <w:style w:type="paragraph" w:styleId="33">
    <w:name w:val="Body Text 2"/>
    <w:basedOn w:val="1"/>
    <w:link w:val="75"/>
    <w:qFormat/>
    <w:uiPriority w:val="0"/>
    <w:rPr>
      <w:rFonts w:ascii="宋体" w:hAnsi="宋体"/>
      <w:kern w:val="0"/>
      <w:sz w:val="20"/>
      <w:szCs w:val="24"/>
      <w:u w:val="single"/>
    </w:rPr>
  </w:style>
  <w:style w:type="paragraph" w:styleId="34">
    <w:name w:val="HTML Preformatted"/>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eastAsia="宋体" w:cs="宋体"/>
      <w:sz w:val="24"/>
      <w:szCs w:val="24"/>
      <w:lang w:val="en-US" w:eastAsia="zh-CN" w:bidi="ar-SA"/>
    </w:rPr>
  </w:style>
  <w:style w:type="paragraph" w:styleId="35">
    <w:name w:val="Normal (Web)"/>
    <w:basedOn w:val="1"/>
    <w:qFormat/>
    <w:uiPriority w:val="0"/>
    <w:rPr>
      <w:sz w:val="24"/>
    </w:rPr>
  </w:style>
  <w:style w:type="paragraph" w:styleId="36">
    <w:name w:val="index 1"/>
    <w:basedOn w:val="1"/>
    <w:next w:val="1"/>
    <w:qFormat/>
    <w:uiPriority w:val="0"/>
    <w:rPr>
      <w:rFonts w:eastAsia="仿宋_GB2312"/>
      <w:sz w:val="28"/>
      <w:szCs w:val="20"/>
    </w:rPr>
  </w:style>
  <w:style w:type="paragraph" w:styleId="37">
    <w:name w:val="annotation subject"/>
    <w:basedOn w:val="17"/>
    <w:next w:val="17"/>
    <w:link w:val="76"/>
    <w:qFormat/>
    <w:uiPriority w:val="0"/>
    <w:rPr>
      <w:b/>
      <w:bCs/>
    </w:rPr>
  </w:style>
  <w:style w:type="paragraph" w:styleId="38">
    <w:name w:val="Body Text First Indent 2"/>
    <w:basedOn w:val="19"/>
    <w:qFormat/>
    <w:uiPriority w:val="0"/>
    <w:pPr>
      <w:spacing w:after="120"/>
      <w:ind w:left="200" w:leftChars="200" w:firstLine="200" w:firstLineChars="200"/>
    </w:pPr>
    <w:rPr>
      <w:rFonts w:ascii="Calibri" w:hAnsi="Calibri"/>
      <w:color w:val="0D0D0D"/>
      <w:sz w:val="21"/>
      <w:szCs w:val="24"/>
      <w:lang w:eastAsia="en-US"/>
    </w:rPr>
  </w:style>
  <w:style w:type="table" w:styleId="40">
    <w:name w:val="Table Grid"/>
    <w:basedOn w:val="3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2">
    <w:name w:val="Strong"/>
    <w:qFormat/>
    <w:uiPriority w:val="0"/>
    <w:rPr>
      <w:b/>
    </w:rPr>
  </w:style>
  <w:style w:type="character" w:styleId="43">
    <w:name w:val="endnote reference"/>
    <w:qFormat/>
    <w:uiPriority w:val="0"/>
    <w:rPr>
      <w:vertAlign w:val="superscript"/>
    </w:rPr>
  </w:style>
  <w:style w:type="character" w:styleId="44">
    <w:name w:val="page number"/>
    <w:qFormat/>
    <w:uiPriority w:val="0"/>
    <w:rPr>
      <w:rFonts w:cs="Times New Roman"/>
    </w:rPr>
  </w:style>
  <w:style w:type="character" w:styleId="45">
    <w:name w:val="FollowedHyperlink"/>
    <w:unhideWhenUsed/>
    <w:qFormat/>
    <w:uiPriority w:val="99"/>
    <w:rPr>
      <w:color w:val="954F72"/>
      <w:u w:val="single"/>
    </w:rPr>
  </w:style>
  <w:style w:type="character" w:styleId="46">
    <w:name w:val="Hyperlink"/>
    <w:qFormat/>
    <w:uiPriority w:val="99"/>
    <w:rPr>
      <w:color w:val="0000FF"/>
      <w:u w:val="single"/>
    </w:rPr>
  </w:style>
  <w:style w:type="character" w:styleId="47">
    <w:name w:val="annotation reference"/>
    <w:qFormat/>
    <w:uiPriority w:val="0"/>
    <w:rPr>
      <w:sz w:val="21"/>
      <w:szCs w:val="21"/>
    </w:rPr>
  </w:style>
  <w:style w:type="character" w:styleId="48">
    <w:name w:val="footnote reference"/>
    <w:qFormat/>
    <w:uiPriority w:val="0"/>
    <w:rPr>
      <w:vertAlign w:val="superscript"/>
    </w:rPr>
  </w:style>
  <w:style w:type="character" w:customStyle="1" w:styleId="49">
    <w:name w:val="纯文本 Char"/>
    <w:link w:val="22"/>
    <w:qFormat/>
    <w:uiPriority w:val="0"/>
    <w:rPr>
      <w:rFonts w:ascii="宋体" w:hAnsi="Courier New" w:eastAsia="宋体" w:cs="Times New Roman"/>
      <w:szCs w:val="20"/>
    </w:rPr>
  </w:style>
  <w:style w:type="character" w:customStyle="1" w:styleId="50">
    <w:name w:val="标题 Char"/>
    <w:link w:val="4"/>
    <w:qFormat/>
    <w:uiPriority w:val="0"/>
    <w:rPr>
      <w:rFonts w:ascii="Arial" w:hAnsi="Arial" w:eastAsia="宋体" w:cs="Times New Roman"/>
      <w:b/>
      <w:sz w:val="44"/>
      <w:szCs w:val="20"/>
    </w:rPr>
  </w:style>
  <w:style w:type="character" w:customStyle="1" w:styleId="51">
    <w:name w:val="标题 1 Char"/>
    <w:link w:val="3"/>
    <w:qFormat/>
    <w:uiPriority w:val="0"/>
    <w:rPr>
      <w:rFonts w:ascii="Arial" w:hAnsi="Arial" w:eastAsia="宋体" w:cs="Times New Roman"/>
      <w:b/>
      <w:kern w:val="44"/>
      <w:sz w:val="28"/>
      <w:szCs w:val="28"/>
    </w:rPr>
  </w:style>
  <w:style w:type="character" w:customStyle="1" w:styleId="52">
    <w:name w:val="正文文本 Char"/>
    <w:link w:val="6"/>
    <w:qFormat/>
    <w:uiPriority w:val="0"/>
    <w:rPr>
      <w:rFonts w:ascii="Times New Roman" w:hAnsi="Times New Roman" w:eastAsia="宋体" w:cs="Times New Roman"/>
      <w:szCs w:val="20"/>
    </w:rPr>
  </w:style>
  <w:style w:type="character" w:customStyle="1" w:styleId="53">
    <w:name w:val="正文首行缩进 Char"/>
    <w:link w:val="5"/>
    <w:qFormat/>
    <w:uiPriority w:val="0"/>
  </w:style>
  <w:style w:type="character" w:customStyle="1" w:styleId="54">
    <w:name w:val="标题 2 Char"/>
    <w:link w:val="7"/>
    <w:qFormat/>
    <w:uiPriority w:val="0"/>
    <w:rPr>
      <w:rFonts w:ascii="Arial" w:hAnsi="Arial" w:eastAsia="宋体" w:cs="Times New Roman"/>
      <w:b/>
      <w:color w:val="000000"/>
      <w:sz w:val="24"/>
      <w:szCs w:val="24"/>
    </w:rPr>
  </w:style>
  <w:style w:type="character" w:customStyle="1" w:styleId="55">
    <w:name w:val="正文缩进 Char"/>
    <w:link w:val="8"/>
    <w:qFormat/>
    <w:uiPriority w:val="0"/>
    <w:rPr>
      <w:rFonts w:ascii="Times New Roman" w:hAnsi="Times New Roman" w:eastAsia="宋体"/>
      <w:kern w:val="2"/>
      <w:sz w:val="21"/>
    </w:rPr>
  </w:style>
  <w:style w:type="character" w:customStyle="1" w:styleId="56">
    <w:name w:val="标题 3 Char"/>
    <w:link w:val="9"/>
    <w:qFormat/>
    <w:uiPriority w:val="0"/>
    <w:rPr>
      <w:rFonts w:ascii="宋体" w:hAnsi="宋体" w:eastAsia="宋体" w:cs="宋体"/>
      <w:kern w:val="0"/>
      <w:sz w:val="27"/>
      <w:szCs w:val="27"/>
    </w:rPr>
  </w:style>
  <w:style w:type="character" w:customStyle="1" w:styleId="57">
    <w:name w:val="标题 4 Char"/>
    <w:link w:val="10"/>
    <w:qFormat/>
    <w:uiPriority w:val="0"/>
    <w:rPr>
      <w:rFonts w:ascii="Arial" w:hAnsi="Arial" w:eastAsia="宋体" w:cs="Times New Roman"/>
      <w:color w:val="000000"/>
      <w:szCs w:val="21"/>
    </w:rPr>
  </w:style>
  <w:style w:type="character" w:customStyle="1" w:styleId="58">
    <w:name w:val="标题 5 Char"/>
    <w:link w:val="11"/>
    <w:qFormat/>
    <w:uiPriority w:val="0"/>
    <w:rPr>
      <w:rFonts w:ascii="Arial" w:hAnsi="Arial" w:eastAsia="宋体" w:cs="Times New Roman"/>
      <w:color w:val="000000"/>
      <w:szCs w:val="21"/>
    </w:rPr>
  </w:style>
  <w:style w:type="character" w:customStyle="1" w:styleId="59">
    <w:name w:val="标题 6 Char"/>
    <w:link w:val="12"/>
    <w:qFormat/>
    <w:uiPriority w:val="0"/>
    <w:rPr>
      <w:rFonts w:ascii="Arial" w:hAnsi="Arial" w:eastAsia="黑体" w:cs="Times New Roman"/>
      <w:b/>
      <w:bCs/>
      <w:sz w:val="24"/>
      <w:szCs w:val="24"/>
    </w:rPr>
  </w:style>
  <w:style w:type="character" w:customStyle="1" w:styleId="60">
    <w:name w:val="标题 7 Char"/>
    <w:link w:val="13"/>
    <w:qFormat/>
    <w:uiPriority w:val="0"/>
    <w:rPr>
      <w:rFonts w:ascii="Times New Roman" w:hAnsi="Times New Roman" w:eastAsia="宋体" w:cs="Times New Roman"/>
      <w:b/>
      <w:sz w:val="24"/>
      <w:szCs w:val="20"/>
    </w:rPr>
  </w:style>
  <w:style w:type="character" w:customStyle="1" w:styleId="61">
    <w:name w:val="标题 8 Char"/>
    <w:link w:val="14"/>
    <w:qFormat/>
    <w:uiPriority w:val="0"/>
    <w:rPr>
      <w:rFonts w:ascii="Arial" w:hAnsi="Arial" w:eastAsia="黑体" w:cs="Times New Roman"/>
      <w:sz w:val="24"/>
      <w:szCs w:val="20"/>
    </w:rPr>
  </w:style>
  <w:style w:type="character" w:customStyle="1" w:styleId="62">
    <w:name w:val="标题 9 Char"/>
    <w:link w:val="15"/>
    <w:qFormat/>
    <w:uiPriority w:val="0"/>
    <w:rPr>
      <w:rFonts w:ascii="Arial" w:hAnsi="Arial" w:eastAsia="黑体" w:cs="Times New Roman"/>
      <w:szCs w:val="20"/>
    </w:rPr>
  </w:style>
  <w:style w:type="character" w:customStyle="1" w:styleId="63">
    <w:name w:val="文档结构图 Char"/>
    <w:link w:val="16"/>
    <w:qFormat/>
    <w:uiPriority w:val="0"/>
    <w:rPr>
      <w:rFonts w:ascii="Times New Roman" w:hAnsi="Times New Roman" w:eastAsia="宋体" w:cs="Times New Roman"/>
      <w:szCs w:val="20"/>
      <w:shd w:val="clear" w:color="auto" w:fill="000080"/>
    </w:rPr>
  </w:style>
  <w:style w:type="character" w:customStyle="1" w:styleId="64">
    <w:name w:val="批注文字 Char"/>
    <w:link w:val="17"/>
    <w:qFormat/>
    <w:uiPriority w:val="0"/>
    <w:rPr>
      <w:rFonts w:ascii="宋体" w:hAnsi="宋体" w:eastAsia="宋体" w:cs="Times New Roman"/>
      <w:sz w:val="24"/>
      <w:szCs w:val="24"/>
    </w:rPr>
  </w:style>
  <w:style w:type="character" w:customStyle="1" w:styleId="65">
    <w:name w:val="正文文本 3 Char"/>
    <w:link w:val="18"/>
    <w:semiHidden/>
    <w:qFormat/>
    <w:uiPriority w:val="99"/>
    <w:rPr>
      <w:rFonts w:ascii="Calibri" w:hAnsi="Calibri" w:eastAsia="宋体"/>
      <w:kern w:val="2"/>
      <w:sz w:val="16"/>
      <w:szCs w:val="16"/>
    </w:rPr>
  </w:style>
  <w:style w:type="character" w:customStyle="1" w:styleId="66">
    <w:name w:val="正文文本缩进 Char"/>
    <w:link w:val="19"/>
    <w:qFormat/>
    <w:uiPriority w:val="0"/>
    <w:rPr>
      <w:rFonts w:ascii="Times New Roman" w:hAnsi="Times New Roman" w:eastAsia="宋体" w:cs="Times New Roman"/>
      <w:sz w:val="28"/>
      <w:szCs w:val="20"/>
    </w:rPr>
  </w:style>
  <w:style w:type="character" w:customStyle="1" w:styleId="67">
    <w:name w:val="日期 Char"/>
    <w:link w:val="23"/>
    <w:qFormat/>
    <w:uiPriority w:val="0"/>
    <w:rPr>
      <w:rFonts w:ascii="Times New Roman" w:hAnsi="Times New Roman" w:eastAsia="宋体" w:cs="Times New Roman"/>
      <w:szCs w:val="20"/>
    </w:rPr>
  </w:style>
  <w:style w:type="character" w:customStyle="1" w:styleId="68">
    <w:name w:val="正文文本缩进 2 Char"/>
    <w:link w:val="24"/>
    <w:qFormat/>
    <w:uiPriority w:val="0"/>
    <w:rPr>
      <w:rFonts w:ascii="Times New Roman" w:hAnsi="Times New Roman" w:eastAsia="宋体" w:cs="Times New Roman"/>
      <w:color w:val="000000"/>
      <w:sz w:val="24"/>
      <w:szCs w:val="20"/>
    </w:rPr>
  </w:style>
  <w:style w:type="character" w:customStyle="1" w:styleId="69">
    <w:name w:val="尾注文本 Char"/>
    <w:link w:val="25"/>
    <w:qFormat/>
    <w:uiPriority w:val="0"/>
    <w:rPr>
      <w:rFonts w:ascii="Times New Roman" w:hAnsi="Times New Roman" w:eastAsia="宋体" w:cs="Times New Roman"/>
      <w:szCs w:val="20"/>
    </w:rPr>
  </w:style>
  <w:style w:type="character" w:customStyle="1" w:styleId="70">
    <w:name w:val="批注框文本 Char"/>
    <w:link w:val="26"/>
    <w:qFormat/>
    <w:uiPriority w:val="0"/>
    <w:rPr>
      <w:rFonts w:ascii="Times New Roman" w:hAnsi="Times New Roman" w:eastAsia="宋体" w:cs="Times New Roman"/>
      <w:sz w:val="18"/>
      <w:szCs w:val="18"/>
    </w:rPr>
  </w:style>
  <w:style w:type="character" w:customStyle="1" w:styleId="71">
    <w:name w:val="页脚 Char"/>
    <w:link w:val="27"/>
    <w:qFormat/>
    <w:uiPriority w:val="0"/>
    <w:rPr>
      <w:rFonts w:ascii="Calibri" w:hAnsi="Calibri" w:eastAsia="宋体" w:cs="Times New Roman"/>
      <w:sz w:val="18"/>
      <w:szCs w:val="18"/>
    </w:rPr>
  </w:style>
  <w:style w:type="character" w:customStyle="1" w:styleId="72">
    <w:name w:val="页眉 Char"/>
    <w:link w:val="28"/>
    <w:qFormat/>
    <w:uiPriority w:val="0"/>
    <w:rPr>
      <w:rFonts w:ascii="Calibri" w:hAnsi="Calibri" w:eastAsia="宋体" w:cs="Times New Roman"/>
      <w:sz w:val="18"/>
      <w:szCs w:val="18"/>
    </w:rPr>
  </w:style>
  <w:style w:type="character" w:customStyle="1" w:styleId="73">
    <w:name w:val="脚注文本 Char"/>
    <w:link w:val="30"/>
    <w:qFormat/>
    <w:uiPriority w:val="0"/>
    <w:rPr>
      <w:rFonts w:ascii="宋体" w:hAnsi="宋体" w:eastAsia="宋体" w:cs="Times New Roman"/>
      <w:sz w:val="18"/>
      <w:szCs w:val="18"/>
    </w:rPr>
  </w:style>
  <w:style w:type="character" w:customStyle="1" w:styleId="74">
    <w:name w:val="正文文本缩进 3 Char"/>
    <w:link w:val="31"/>
    <w:qFormat/>
    <w:uiPriority w:val="0"/>
    <w:rPr>
      <w:rFonts w:ascii="Times New Roman" w:hAnsi="Times New Roman" w:eastAsia="宋体" w:cs="Times New Roman"/>
      <w:color w:val="000000"/>
      <w:sz w:val="24"/>
      <w:szCs w:val="20"/>
    </w:rPr>
  </w:style>
  <w:style w:type="character" w:customStyle="1" w:styleId="75">
    <w:name w:val="正文文本 2 Char"/>
    <w:link w:val="33"/>
    <w:qFormat/>
    <w:uiPriority w:val="0"/>
    <w:rPr>
      <w:rFonts w:ascii="宋体" w:hAnsi="宋体" w:eastAsia="宋体" w:cs="Times New Roman"/>
      <w:szCs w:val="24"/>
      <w:u w:val="single"/>
    </w:rPr>
  </w:style>
  <w:style w:type="character" w:customStyle="1" w:styleId="76">
    <w:name w:val="批注主题 Char"/>
    <w:link w:val="37"/>
    <w:qFormat/>
    <w:uiPriority w:val="0"/>
    <w:rPr>
      <w:rFonts w:ascii="宋体" w:hAnsi="宋体" w:eastAsia="宋体" w:cs="Times New Roman"/>
      <w:b/>
      <w:bCs/>
      <w:sz w:val="24"/>
      <w:szCs w:val="24"/>
    </w:rPr>
  </w:style>
  <w:style w:type="character" w:customStyle="1" w:styleId="77">
    <w:name w:val="文一 Char"/>
    <w:link w:val="78"/>
    <w:qFormat/>
    <w:uiPriority w:val="0"/>
    <w:rPr>
      <w:snapToGrid/>
      <w:spacing w:val="4"/>
      <w:sz w:val="24"/>
      <w:szCs w:val="24"/>
    </w:rPr>
  </w:style>
  <w:style w:type="paragraph" w:customStyle="1" w:styleId="78">
    <w:name w:val="文一"/>
    <w:basedOn w:val="1"/>
    <w:link w:val="77"/>
    <w:qFormat/>
    <w:uiPriority w:val="0"/>
    <w:pPr>
      <w:topLinePunct/>
      <w:adjustRightInd w:val="0"/>
      <w:snapToGrid w:val="0"/>
      <w:spacing w:line="360" w:lineRule="auto"/>
      <w:ind w:firstLine="200" w:firstLineChars="200"/>
    </w:pPr>
    <w:rPr>
      <w:spacing w:val="4"/>
      <w:kern w:val="0"/>
      <w:sz w:val="24"/>
      <w:szCs w:val="24"/>
    </w:rPr>
  </w:style>
  <w:style w:type="character" w:customStyle="1" w:styleId="79">
    <w:name w:val="正文文本缩进 3 字符"/>
    <w:semiHidden/>
    <w:qFormat/>
    <w:uiPriority w:val="99"/>
    <w:rPr>
      <w:rFonts w:ascii="Calibri" w:hAnsi="Calibri" w:eastAsia="宋体" w:cs="Times New Roman"/>
      <w:sz w:val="16"/>
      <w:szCs w:val="16"/>
    </w:rPr>
  </w:style>
  <w:style w:type="character" w:customStyle="1" w:styleId="80">
    <w:name w:val="标题 9 字符"/>
    <w:semiHidden/>
    <w:qFormat/>
    <w:uiPriority w:val="9"/>
    <w:rPr>
      <w:rFonts w:ascii="等线 Light" w:hAnsi="等线 Light" w:eastAsia="等线 Light" w:cs="Times New Roman"/>
      <w:szCs w:val="21"/>
    </w:rPr>
  </w:style>
  <w:style w:type="character" w:customStyle="1" w:styleId="81">
    <w:name w:val="标题 6 字符"/>
    <w:semiHidden/>
    <w:qFormat/>
    <w:uiPriority w:val="9"/>
    <w:rPr>
      <w:rFonts w:ascii="等线 Light" w:hAnsi="等线 Light" w:eastAsia="等线 Light" w:cs="Times New Roman"/>
      <w:b/>
      <w:bCs/>
      <w:sz w:val="24"/>
      <w:szCs w:val="24"/>
    </w:rPr>
  </w:style>
  <w:style w:type="character" w:customStyle="1" w:styleId="82">
    <w:name w:val="标题 3 字符"/>
    <w:semiHidden/>
    <w:qFormat/>
    <w:uiPriority w:val="9"/>
    <w:rPr>
      <w:rFonts w:ascii="Calibri" w:hAnsi="Calibri" w:eastAsia="宋体" w:cs="Times New Roman"/>
      <w:b/>
      <w:bCs/>
      <w:sz w:val="32"/>
      <w:szCs w:val="32"/>
    </w:rPr>
  </w:style>
  <w:style w:type="character" w:customStyle="1" w:styleId="83">
    <w:name w:val="正文文本首行缩进 字符"/>
    <w:link w:val="84"/>
    <w:qFormat/>
    <w:uiPriority w:val="0"/>
    <w:rPr>
      <w:rFonts w:ascii="Times New Roman" w:hAnsi="Times New Roman" w:eastAsia="宋体" w:cs="Times New Roman"/>
      <w:szCs w:val="20"/>
    </w:rPr>
  </w:style>
  <w:style w:type="paragraph" w:customStyle="1" w:styleId="84">
    <w:name w:val="_Style 48"/>
    <w:basedOn w:val="6"/>
    <w:next w:val="5"/>
    <w:link w:val="83"/>
    <w:qFormat/>
    <w:uiPriority w:val="0"/>
    <w:pPr>
      <w:ind w:firstLine="420"/>
    </w:pPr>
  </w:style>
  <w:style w:type="character" w:customStyle="1" w:styleId="85">
    <w:name w:val="尾注文本 字符"/>
    <w:semiHidden/>
    <w:qFormat/>
    <w:uiPriority w:val="99"/>
    <w:rPr>
      <w:rFonts w:ascii="Calibri" w:hAnsi="Calibri" w:eastAsia="宋体" w:cs="Times New Roman"/>
    </w:rPr>
  </w:style>
  <w:style w:type="character" w:customStyle="1" w:styleId="86">
    <w:name w:val="脚注文本 字符"/>
    <w:semiHidden/>
    <w:qFormat/>
    <w:uiPriority w:val="99"/>
    <w:rPr>
      <w:rFonts w:ascii="Calibri" w:hAnsi="Calibri" w:eastAsia="宋体" w:cs="Times New Roman"/>
      <w:sz w:val="18"/>
      <w:szCs w:val="18"/>
    </w:rPr>
  </w:style>
  <w:style w:type="character" w:customStyle="1" w:styleId="87">
    <w:name w:val="标题 字符"/>
    <w:qFormat/>
    <w:uiPriority w:val="10"/>
    <w:rPr>
      <w:rFonts w:ascii="等线 Light" w:hAnsi="等线 Light" w:eastAsia="等线 Light" w:cs="Times New Roman"/>
      <w:b/>
      <w:bCs/>
      <w:sz w:val="32"/>
      <w:szCs w:val="32"/>
    </w:rPr>
  </w:style>
  <w:style w:type="character" w:customStyle="1" w:styleId="88">
    <w:name w:val="正文文本缩进 字符"/>
    <w:semiHidden/>
    <w:qFormat/>
    <w:uiPriority w:val="99"/>
    <w:rPr>
      <w:rFonts w:ascii="Calibri" w:hAnsi="Calibri" w:eastAsia="宋体" w:cs="Times New Roman"/>
    </w:rPr>
  </w:style>
  <w:style w:type="character" w:customStyle="1" w:styleId="89">
    <w:name w:val="批注主题 字符"/>
    <w:semiHidden/>
    <w:qFormat/>
    <w:uiPriority w:val="99"/>
    <w:rPr>
      <w:rFonts w:ascii="Calibri" w:hAnsi="Calibri" w:eastAsia="宋体" w:cs="Times New Roman"/>
      <w:b/>
      <w:bCs/>
    </w:rPr>
  </w:style>
  <w:style w:type="character" w:customStyle="1" w:styleId="90">
    <w:name w:val="标题 1 字符"/>
    <w:qFormat/>
    <w:uiPriority w:val="9"/>
    <w:rPr>
      <w:rFonts w:ascii="Calibri" w:hAnsi="Calibri" w:eastAsia="宋体" w:cs="Times New Roman"/>
      <w:b/>
      <w:bCs/>
      <w:kern w:val="44"/>
      <w:sz w:val="44"/>
      <w:szCs w:val="44"/>
    </w:rPr>
  </w:style>
  <w:style w:type="character" w:customStyle="1" w:styleId="91">
    <w:name w:val="标题 8 字符"/>
    <w:semiHidden/>
    <w:qFormat/>
    <w:uiPriority w:val="9"/>
    <w:rPr>
      <w:rFonts w:ascii="等线 Light" w:hAnsi="等线 Light" w:eastAsia="等线 Light" w:cs="Times New Roman"/>
      <w:sz w:val="24"/>
      <w:szCs w:val="24"/>
    </w:rPr>
  </w:style>
  <w:style w:type="character" w:customStyle="1" w:styleId="92">
    <w:name w:val="日期 字符"/>
    <w:qFormat/>
    <w:uiPriority w:val="0"/>
    <w:rPr>
      <w:rFonts w:ascii="Calibri" w:hAnsi="Calibri" w:eastAsia="宋体" w:cs="Times New Roman"/>
    </w:rPr>
  </w:style>
  <w:style w:type="character" w:customStyle="1" w:styleId="93">
    <w:name w:val="正文文本 2 字符"/>
    <w:qFormat/>
    <w:uiPriority w:val="0"/>
    <w:rPr>
      <w:rFonts w:ascii="Calibri" w:hAnsi="Calibri" w:eastAsia="宋体" w:cs="Times New Roman"/>
    </w:rPr>
  </w:style>
  <w:style w:type="character" w:customStyle="1" w:styleId="94">
    <w:name w:val="页眉 字符"/>
    <w:semiHidden/>
    <w:qFormat/>
    <w:uiPriority w:val="99"/>
    <w:rPr>
      <w:rFonts w:ascii="Calibri" w:hAnsi="Calibri" w:eastAsia="宋体" w:cs="Times New Roman"/>
      <w:sz w:val="18"/>
      <w:szCs w:val="18"/>
    </w:rPr>
  </w:style>
  <w:style w:type="character" w:customStyle="1" w:styleId="95">
    <w:name w:val="标题 5 字符"/>
    <w:semiHidden/>
    <w:qFormat/>
    <w:uiPriority w:val="9"/>
    <w:rPr>
      <w:rFonts w:ascii="Calibri" w:hAnsi="Calibri" w:eastAsia="宋体" w:cs="Times New Roman"/>
      <w:b/>
      <w:bCs/>
      <w:sz w:val="28"/>
      <w:szCs w:val="28"/>
    </w:rPr>
  </w:style>
  <w:style w:type="character" w:customStyle="1" w:styleId="96">
    <w:name w:val="正文文本缩进 2 字符"/>
    <w:semiHidden/>
    <w:qFormat/>
    <w:uiPriority w:val="99"/>
    <w:rPr>
      <w:rFonts w:ascii="Calibri" w:hAnsi="Calibri" w:eastAsia="宋体" w:cs="Times New Roman"/>
    </w:rPr>
  </w:style>
  <w:style w:type="character" w:customStyle="1" w:styleId="97">
    <w:name w:val="页脚 字符"/>
    <w:semiHidden/>
    <w:qFormat/>
    <w:uiPriority w:val="99"/>
    <w:rPr>
      <w:rFonts w:ascii="Calibri" w:hAnsi="Calibri" w:eastAsia="宋体" w:cs="Times New Roman"/>
      <w:sz w:val="18"/>
      <w:szCs w:val="18"/>
    </w:rPr>
  </w:style>
  <w:style w:type="character" w:customStyle="1" w:styleId="98">
    <w:name w:val="批注文字 字符"/>
    <w:semiHidden/>
    <w:qFormat/>
    <w:uiPriority w:val="99"/>
    <w:rPr>
      <w:rFonts w:ascii="Calibri" w:hAnsi="Calibri" w:eastAsia="宋体" w:cs="Times New Roman"/>
    </w:rPr>
  </w:style>
  <w:style w:type="character" w:customStyle="1" w:styleId="99">
    <w:name w:val="正文首行缩进 字符"/>
    <w:semiHidden/>
    <w:qFormat/>
    <w:uiPriority w:val="99"/>
  </w:style>
  <w:style w:type="character" w:customStyle="1" w:styleId="100">
    <w:name w:val="正文文本 字符"/>
    <w:semiHidden/>
    <w:qFormat/>
    <w:uiPriority w:val="99"/>
    <w:rPr>
      <w:rFonts w:ascii="Calibri" w:hAnsi="Calibri" w:eastAsia="宋体" w:cs="Times New Roman"/>
    </w:rPr>
  </w:style>
  <w:style w:type="character" w:customStyle="1" w:styleId="101">
    <w:name w:val="批注框文本 字符"/>
    <w:semiHidden/>
    <w:qFormat/>
    <w:uiPriority w:val="99"/>
    <w:rPr>
      <w:rFonts w:ascii="Calibri" w:hAnsi="Calibri" w:eastAsia="宋体" w:cs="Times New Roman"/>
      <w:sz w:val="18"/>
      <w:szCs w:val="18"/>
    </w:rPr>
  </w:style>
  <w:style w:type="character" w:customStyle="1" w:styleId="102">
    <w:name w:val="文档结构图 字符"/>
    <w:semiHidden/>
    <w:qFormat/>
    <w:uiPriority w:val="99"/>
    <w:rPr>
      <w:rFonts w:ascii="Microsoft YaHei UI" w:hAnsi="Calibri" w:eastAsia="Microsoft YaHei UI" w:cs="Times New Roman"/>
      <w:sz w:val="18"/>
      <w:szCs w:val="18"/>
    </w:rPr>
  </w:style>
  <w:style w:type="character" w:customStyle="1" w:styleId="103">
    <w:name w:val="标题 2 字符"/>
    <w:semiHidden/>
    <w:qFormat/>
    <w:uiPriority w:val="9"/>
    <w:rPr>
      <w:rFonts w:ascii="等线 Light" w:hAnsi="等线 Light" w:eastAsia="等线 Light" w:cs="Times New Roman"/>
      <w:b/>
      <w:bCs/>
      <w:sz w:val="32"/>
      <w:szCs w:val="32"/>
    </w:rPr>
  </w:style>
  <w:style w:type="character" w:customStyle="1" w:styleId="104">
    <w:name w:val="标题 4 字符"/>
    <w:semiHidden/>
    <w:qFormat/>
    <w:uiPriority w:val="9"/>
    <w:rPr>
      <w:rFonts w:ascii="等线 Light" w:hAnsi="等线 Light" w:eastAsia="等线 Light" w:cs="Times New Roman"/>
      <w:b/>
      <w:bCs/>
      <w:sz w:val="28"/>
      <w:szCs w:val="28"/>
    </w:rPr>
  </w:style>
  <w:style w:type="character" w:customStyle="1" w:styleId="105">
    <w:name w:val="标题 7 字符"/>
    <w:semiHidden/>
    <w:qFormat/>
    <w:uiPriority w:val="9"/>
    <w:rPr>
      <w:rFonts w:ascii="Calibri" w:hAnsi="Calibri" w:eastAsia="宋体" w:cs="Times New Roman"/>
      <w:b/>
      <w:bCs/>
      <w:sz w:val="24"/>
      <w:szCs w:val="24"/>
    </w:rPr>
  </w:style>
  <w:style w:type="character" w:customStyle="1" w:styleId="106">
    <w:name w:val="纯文本 字符"/>
    <w:semiHidden/>
    <w:qFormat/>
    <w:uiPriority w:val="99"/>
    <w:rPr>
      <w:rFonts w:ascii="等线" w:hAnsi="Courier New" w:cs="Courier New"/>
    </w:rPr>
  </w:style>
  <w:style w:type="paragraph" w:customStyle="1" w:styleId="107">
    <w:name w:val="Char"/>
    <w:basedOn w:val="1"/>
    <w:qFormat/>
    <w:uiPriority w:val="0"/>
    <w:rPr>
      <w:rFonts w:ascii="Tahoma" w:hAnsi="Tahoma"/>
      <w:sz w:val="24"/>
      <w:szCs w:val="20"/>
    </w:rPr>
  </w:style>
  <w:style w:type="paragraph" w:customStyle="1" w:styleId="108">
    <w:name w:val="TOC 标题1"/>
    <w:basedOn w:val="3"/>
    <w:next w:val="1"/>
    <w:qFormat/>
    <w:uiPriority w:val="39"/>
    <w:pPr>
      <w:widowControl/>
      <w:spacing w:before="480" w:after="0" w:line="276" w:lineRule="auto"/>
      <w:outlineLvl w:val="9"/>
    </w:pPr>
    <w:rPr>
      <w:rFonts w:ascii="Cambria" w:hAnsi="Cambria"/>
      <w:color w:val="365F91"/>
      <w:kern w:val="0"/>
    </w:rPr>
  </w:style>
  <w:style w:type="paragraph" w:customStyle="1" w:styleId="109">
    <w:name w:val="列出段落1"/>
    <w:basedOn w:val="1"/>
    <w:qFormat/>
    <w:uiPriority w:val="34"/>
    <w:pPr>
      <w:ind w:firstLine="420" w:firstLineChars="200"/>
    </w:pPr>
    <w:rPr>
      <w:szCs w:val="20"/>
    </w:rPr>
  </w:style>
  <w:style w:type="paragraph" w:customStyle="1" w:styleId="110">
    <w:name w:val="Char Char Char Char"/>
    <w:basedOn w:val="1"/>
    <w:qFormat/>
    <w:uiPriority w:val="0"/>
    <w:rPr>
      <w:sz w:val="30"/>
      <w:szCs w:val="24"/>
    </w:rPr>
  </w:style>
  <w:style w:type="paragraph" w:customStyle="1" w:styleId="111">
    <w:name w:val="1"/>
    <w:basedOn w:val="1"/>
    <w:next w:val="1"/>
    <w:qFormat/>
    <w:uiPriority w:val="0"/>
  </w:style>
  <w:style w:type="paragraph" w:customStyle="1" w:styleId="112">
    <w:name w:val="公文抬头"/>
    <w:basedOn w:val="8"/>
    <w:qFormat/>
    <w:uiPriority w:val="0"/>
    <w:pPr>
      <w:ind w:firstLine="0"/>
    </w:pPr>
    <w:rPr>
      <w:rFonts w:ascii="仿宋_GB2312" w:eastAsia="仿宋_GB2312"/>
      <w:sz w:val="30"/>
      <w:szCs w:val="24"/>
    </w:rPr>
  </w:style>
  <w:style w:type="paragraph" w:customStyle="1" w:styleId="113">
    <w:name w:val="样式 23 10 磅"/>
    <w:qFormat/>
    <w:uiPriority w:val="0"/>
    <w:pPr>
      <w:widowControl w:val="0"/>
      <w:jc w:val="both"/>
    </w:pPr>
    <w:rPr>
      <w:rFonts w:ascii="宋体" w:hAnsi="宋体" w:eastAsia="楷体_GB2312" w:cs="宋体"/>
      <w:kern w:val="2"/>
      <w:sz w:val="21"/>
      <w:szCs w:val="21"/>
      <w:lang w:val="en-US" w:eastAsia="zh-CN" w:bidi="ar-SA"/>
    </w:rPr>
  </w:style>
  <w:style w:type="paragraph" w:customStyle="1" w:styleId="114">
    <w:name w:val="Char1"/>
    <w:basedOn w:val="1"/>
    <w:qFormat/>
    <w:uiPriority w:val="0"/>
    <w:pPr>
      <w:numPr>
        <w:ilvl w:val="0"/>
        <w:numId w:val="1"/>
      </w:numPr>
    </w:pPr>
    <w:rPr>
      <w:sz w:val="24"/>
      <w:szCs w:val="24"/>
    </w:rPr>
  </w:style>
  <w:style w:type="paragraph" w:customStyle="1" w:styleId="115">
    <w:name w:val="_Style 49"/>
    <w:basedOn w:val="6"/>
    <w:next w:val="5"/>
    <w:qFormat/>
    <w:uiPriority w:val="0"/>
    <w:pPr>
      <w:ind w:firstLine="420"/>
    </w:pPr>
  </w:style>
  <w:style w:type="paragraph" w:customStyle="1" w:styleId="116">
    <w:name w:val="文二"/>
    <w:basedOn w:val="1"/>
    <w:qFormat/>
    <w:uiPriority w:val="0"/>
    <w:pPr>
      <w:jc w:val="left"/>
    </w:pPr>
    <w:rPr>
      <w:rFonts w:ascii="宋体" w:hAnsi="宋体"/>
      <w:szCs w:val="21"/>
    </w:rPr>
  </w:style>
  <w:style w:type="paragraph" w:customStyle="1" w:styleId="117">
    <w:name w:val="列出段落11"/>
    <w:basedOn w:val="1"/>
    <w:qFormat/>
    <w:uiPriority w:val="34"/>
    <w:pPr>
      <w:widowControl/>
      <w:adjustRightInd w:val="0"/>
      <w:snapToGrid w:val="0"/>
      <w:ind w:firstLine="420"/>
      <w:jc w:val="left"/>
    </w:pPr>
    <w:rPr>
      <w:rFonts w:ascii="Calibri" w:hAnsi="Calibri" w:eastAsia="PMingLiU"/>
      <w:snapToGrid w:val="0"/>
      <w:kern w:val="0"/>
      <w:sz w:val="22"/>
      <w:lang w:val="en-GB" w:eastAsia="en-US"/>
    </w:rPr>
  </w:style>
  <w:style w:type="paragraph" w:customStyle="1" w:styleId="118">
    <w:name w:val="章节二"/>
    <w:basedOn w:val="1"/>
    <w:next w:val="1"/>
    <w:qFormat/>
    <w:uiPriority w:val="0"/>
    <w:pPr>
      <w:topLinePunct/>
      <w:adjustRightInd w:val="0"/>
      <w:snapToGrid w:val="0"/>
      <w:spacing w:beforeLines="50"/>
      <w:jc w:val="center"/>
      <w:outlineLvl w:val="1"/>
    </w:pPr>
    <w:rPr>
      <w:rFonts w:eastAsia="黑体"/>
      <w:b/>
      <w:spacing w:val="4"/>
      <w:kern w:val="0"/>
      <w:sz w:val="30"/>
      <w:szCs w:val="30"/>
    </w:rPr>
  </w:style>
  <w:style w:type="paragraph" w:customStyle="1" w:styleId="119">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20">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121">
    <w:name w:val="正题"/>
    <w:basedOn w:val="78"/>
    <w:next w:val="78"/>
    <w:qFormat/>
    <w:uiPriority w:val="0"/>
    <w:pPr>
      <w:ind w:firstLine="0" w:firstLineChars="0"/>
      <w:jc w:val="center"/>
    </w:pPr>
    <w:rPr>
      <w:rFonts w:eastAsia="黑体"/>
      <w:b/>
      <w:sz w:val="36"/>
      <w:szCs w:val="36"/>
    </w:rPr>
  </w:style>
  <w:style w:type="paragraph" w:customStyle="1" w:styleId="122">
    <w:name w:val="修订1"/>
    <w:semiHidden/>
    <w:qFormat/>
    <w:uiPriority w:val="99"/>
    <w:rPr>
      <w:rFonts w:ascii="Times New Roman" w:hAnsi="Times New Roman" w:eastAsia="宋体" w:cs="Times New Roman"/>
      <w:kern w:val="2"/>
      <w:sz w:val="21"/>
      <w:lang w:val="en-US" w:eastAsia="zh-CN" w:bidi="ar-SA"/>
    </w:rPr>
  </w:style>
  <w:style w:type="paragraph" w:customStyle="1" w:styleId="123">
    <w:name w:val="Char Char Char1 Char"/>
    <w:basedOn w:val="16"/>
    <w:qFormat/>
    <w:uiPriority w:val="0"/>
    <w:rPr>
      <w:rFonts w:ascii="Tahoma" w:hAnsi="Tahoma"/>
      <w:sz w:val="24"/>
      <w:szCs w:val="24"/>
    </w:rPr>
  </w:style>
  <w:style w:type="paragraph" w:customStyle="1" w:styleId="124">
    <w:name w:val="章节三"/>
    <w:basedOn w:val="78"/>
    <w:next w:val="78"/>
    <w:qFormat/>
    <w:uiPriority w:val="0"/>
    <w:pPr>
      <w:spacing w:beforeLines="50" w:afterLines="50" w:line="240" w:lineRule="auto"/>
      <w:ind w:firstLine="0" w:firstLineChars="0"/>
      <w:jc w:val="left"/>
      <w:outlineLvl w:val="2"/>
    </w:pPr>
    <w:rPr>
      <w:rFonts w:ascii="黑体" w:hAnsi="宋体" w:eastAsia="黑体"/>
      <w:b/>
    </w:rPr>
  </w:style>
  <w:style w:type="paragraph" w:customStyle="1" w:styleId="125">
    <w:name w:val="Table Paragraph"/>
    <w:qFormat/>
    <w:uiPriority w:val="0"/>
    <w:pPr>
      <w:widowControl w:val="0"/>
      <w:pBdr>
        <w:top w:val="none" w:color="000000" w:sz="0" w:space="0"/>
        <w:left w:val="none" w:color="000000" w:sz="0" w:space="0"/>
        <w:bottom w:val="none" w:color="000000" w:sz="0" w:space="0"/>
        <w:right w:val="none" w:color="000000" w:sz="0" w:space="0"/>
        <w:between w:val="none" w:color="000000" w:sz="0" w:space="0"/>
      </w:pBdr>
      <w:jc w:val="both"/>
    </w:pPr>
    <w:rPr>
      <w:rFonts w:ascii="宋体" w:hAnsi="宋体" w:eastAsia="宋体" w:cs="宋体"/>
      <w:kern w:val="1"/>
      <w:sz w:val="21"/>
      <w:szCs w:val="22"/>
      <w:lang w:val="en-US" w:eastAsia="zh-CN" w:bidi="ar-SA"/>
    </w:rPr>
  </w:style>
  <w:style w:type="paragraph" w:customStyle="1" w:styleId="126">
    <w:name w:val="公文标题"/>
    <w:basedOn w:val="9"/>
    <w:qFormat/>
    <w:uiPriority w:val="0"/>
    <w:pPr>
      <w:keepNext/>
      <w:keepLines/>
      <w:widowControl w:val="0"/>
      <w:spacing w:before="0" w:beforeAutospacing="0" w:after="0" w:afterAutospacing="0"/>
      <w:ind w:left="1469" w:right="1542"/>
    </w:pPr>
    <w:rPr>
      <w:rFonts w:hAnsi="Times New Roman"/>
      <w:b/>
      <w:kern w:val="2"/>
      <w:sz w:val="44"/>
      <w:szCs w:val="21"/>
    </w:rPr>
  </w:style>
  <w:style w:type="paragraph" w:customStyle="1" w:styleId="127">
    <w:name w:val="发文落款"/>
    <w:basedOn w:val="120"/>
    <w:qFormat/>
    <w:uiPriority w:val="0"/>
    <w:pPr>
      <w:ind w:left="4094" w:right="607" w:firstLine="0"/>
      <w:jc w:val="center"/>
    </w:pPr>
  </w:style>
  <w:style w:type="paragraph" w:customStyle="1" w:styleId="128">
    <w:name w:val="表头"/>
    <w:basedOn w:val="1"/>
    <w:qFormat/>
    <w:uiPriority w:val="0"/>
    <w:pPr>
      <w:spacing w:line="360" w:lineRule="auto"/>
      <w:jc w:val="center"/>
    </w:pPr>
    <w:rPr>
      <w:rFonts w:ascii="黑体" w:eastAsia="黑体"/>
      <w:kern w:val="0"/>
      <w:sz w:val="24"/>
      <w:szCs w:val="20"/>
    </w:rPr>
  </w:style>
  <w:style w:type="paragraph" w:customStyle="1" w:styleId="129">
    <w:name w:val="纯文本1"/>
    <w:qFormat/>
    <w:uiPriority w:val="0"/>
    <w:pPr>
      <w:widowControl w:val="0"/>
      <w:jc w:val="both"/>
    </w:pPr>
    <w:rPr>
      <w:rFonts w:ascii="宋体" w:hAnsi="Courier New" w:eastAsia="宋体" w:cs="Courier New"/>
      <w:kern w:val="2"/>
      <w:sz w:val="21"/>
      <w:szCs w:val="21"/>
      <w:lang w:val="en-US" w:eastAsia="zh-CN" w:bidi="ar-SA"/>
    </w:rPr>
  </w:style>
  <w:style w:type="paragraph" w:customStyle="1" w:styleId="130">
    <w:name w:val="样式 宋体 小四 首行缩进:  0.93 厘米 段前: 11.15 磅 段后: 11.15 磅1"/>
    <w:qFormat/>
    <w:uiPriority w:val="0"/>
    <w:pPr>
      <w:widowControl w:val="0"/>
      <w:adjustRightInd w:val="0"/>
      <w:snapToGrid w:val="0"/>
      <w:ind w:left="200" w:leftChars="200"/>
      <w:jc w:val="both"/>
    </w:pPr>
    <w:rPr>
      <w:rFonts w:ascii="宋体" w:hAnsi="Times New Roman" w:eastAsia="宋体" w:cs="宋体"/>
      <w:kern w:val="2"/>
      <w:sz w:val="24"/>
      <w:lang w:val="en-US" w:eastAsia="zh-CN" w:bidi="ar-SA"/>
    </w:rPr>
  </w:style>
  <w:style w:type="paragraph" w:customStyle="1" w:styleId="131">
    <w:name w:val="leo 样式"/>
    <w:qFormat/>
    <w:uiPriority w:val="0"/>
    <w:pPr>
      <w:widowControl w:val="0"/>
      <w:snapToGrid w:val="0"/>
      <w:spacing w:line="360" w:lineRule="auto"/>
      <w:jc w:val="both"/>
    </w:pPr>
    <w:rPr>
      <w:rFonts w:ascii="仿宋_GB2312" w:hAnsi="Calibri" w:eastAsia="仿宋_GB2312" w:cs="Times New Roman"/>
      <w:bCs/>
      <w:sz w:val="28"/>
      <w:szCs w:val="28"/>
      <w:lang w:val="en-US" w:eastAsia="zh-CN" w:bidi="ar-SA"/>
    </w:rPr>
  </w:style>
  <w:style w:type="paragraph" w:customStyle="1" w:styleId="132">
    <w:name w:val="列出段落3"/>
    <w:qFormat/>
    <w:uiPriority w:val="0"/>
    <w:pPr>
      <w:widowControl w:val="0"/>
      <w:ind w:firstLine="420" w:firstLineChars="200"/>
      <w:jc w:val="both"/>
    </w:pPr>
    <w:rPr>
      <w:rFonts w:ascii="Times New Roman" w:hAnsi="Times New Roman" w:eastAsia="宋体" w:cs="Times New Roman"/>
      <w:kern w:val="2"/>
      <w:sz w:val="21"/>
      <w:szCs w:val="24"/>
      <w:lang w:val="en-US" w:eastAsia="zh-CN" w:bidi="ar-SA"/>
    </w:rPr>
  </w:style>
  <w:style w:type="paragraph" w:customStyle="1" w:styleId="133">
    <w:name w:val="封二"/>
    <w:basedOn w:val="78"/>
    <w:next w:val="78"/>
    <w:qFormat/>
    <w:uiPriority w:val="0"/>
    <w:pPr>
      <w:ind w:firstLine="0" w:firstLineChars="0"/>
      <w:jc w:val="center"/>
    </w:pPr>
    <w:rPr>
      <w:rFonts w:eastAsia="黑体"/>
      <w:b/>
      <w:sz w:val="36"/>
      <w:szCs w:val="36"/>
    </w:rPr>
  </w:style>
  <w:style w:type="paragraph" w:customStyle="1" w:styleId="134">
    <w:name w:val="封一"/>
    <w:basedOn w:val="78"/>
    <w:next w:val="78"/>
    <w:qFormat/>
    <w:uiPriority w:val="0"/>
    <w:pPr>
      <w:ind w:firstLine="0" w:firstLineChars="0"/>
      <w:jc w:val="center"/>
    </w:pPr>
    <w:rPr>
      <w:rFonts w:eastAsia="黑体"/>
      <w:b/>
      <w:sz w:val="84"/>
      <w:szCs w:val="84"/>
    </w:rPr>
  </w:style>
  <w:style w:type="paragraph" w:customStyle="1" w:styleId="135">
    <w:name w:val="封四"/>
    <w:basedOn w:val="78"/>
    <w:next w:val="78"/>
    <w:qFormat/>
    <w:uiPriority w:val="0"/>
    <w:pPr>
      <w:jc w:val="left"/>
    </w:pPr>
    <w:rPr>
      <w:sz w:val="30"/>
      <w:szCs w:val="30"/>
    </w:rPr>
  </w:style>
  <w:style w:type="paragraph" w:customStyle="1" w:styleId="136">
    <w:name w:val="首行缩进"/>
    <w:basedOn w:val="1"/>
    <w:qFormat/>
    <w:uiPriority w:val="0"/>
    <w:pPr>
      <w:spacing w:line="300" w:lineRule="auto"/>
      <w:ind w:firstLine="420" w:firstLineChars="200"/>
    </w:pPr>
    <w:rPr>
      <w:rFonts w:eastAsia="方正书宋简体"/>
      <w:szCs w:val="20"/>
    </w:rPr>
  </w:style>
  <w:style w:type="character" w:customStyle="1" w:styleId="137">
    <w:name w:val="15"/>
    <w:qFormat/>
    <w:uiPriority w:val="0"/>
    <w:rPr>
      <w:rFonts w:hint="default" w:ascii="Times New Roman" w:hAnsi="Times New Roman" w:cs="Times New Roman"/>
    </w:rPr>
  </w:style>
  <w:style w:type="paragraph" w:customStyle="1" w:styleId="138">
    <w:name w:val="Revision"/>
    <w:hidden/>
    <w:semiHidden/>
    <w:unhideWhenUsed/>
    <w:qFormat/>
    <w:uiPriority w:val="99"/>
    <w:rPr>
      <w:rFonts w:ascii="Times New Roman" w:hAnsi="Times New Roman" w:eastAsia="宋体" w:cs="Times New Roman"/>
      <w:kern w:val="2"/>
      <w:sz w:val="21"/>
      <w:szCs w:val="22"/>
      <w:lang w:val="en-US" w:eastAsia="zh-CN" w:bidi="ar-SA"/>
    </w:rPr>
  </w:style>
  <w:style w:type="character" w:customStyle="1" w:styleId="139">
    <w:name w:val="s15"/>
    <w:qFormat/>
    <w:uiPriority w:val="0"/>
    <w:rPr>
      <w:color w:val="2131A1"/>
    </w:rPr>
  </w:style>
  <w:style w:type="character" w:customStyle="1" w:styleId="140">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image" Target="media/image3.png"/><Relationship Id="rId14" Type="http://schemas.openxmlformats.org/officeDocument/2006/relationships/image" Target="media/image2.png"/><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104</Pages>
  <Words>55651</Words>
  <Characters>58306</Characters>
  <Lines>453</Lines>
  <Paragraphs>127</Paragraphs>
  <TotalTime>10</TotalTime>
  <ScaleCrop>false</ScaleCrop>
  <LinksUpToDate>false</LinksUpToDate>
  <CharactersWithSpaces>60498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2022-06-02T02:55:00Z</dcterms:created>
  <dc:creator>管理员</dc:creator>
  <cp:lastModifiedBy>zhong</cp:lastModifiedBy>
  <cp:lastPrinted>2022-03-23T00:45:00Z</cp:lastPrinted>
  <dcterms:modified xsi:type="dcterms:W3CDTF">2023-01-19T07:05:35Z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0F8DF38A622A44EBAE541F55B40B3BA4</vt:lpwstr>
  </property>
</Properties>
</file>