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left"/>
        <w:rPr>
          <w:rFonts w:ascii="宋体" w:hAnsi="宋体" w:cs="宋体"/>
          <w:b/>
          <w:bCs/>
          <w:color w:val="auto"/>
          <w:spacing w:val="40"/>
          <w:sz w:val="44"/>
          <w:szCs w:val="44"/>
          <w:highlight w:val="none"/>
        </w:rPr>
      </w:pPr>
    </w:p>
    <w:p>
      <w:pPr>
        <w:spacing w:line="360" w:lineRule="auto"/>
        <w:rPr>
          <w:rFonts w:ascii="宋体" w:hAnsi="宋体" w:cs="宋体"/>
          <w:b/>
          <w:bCs/>
          <w:color w:val="auto"/>
          <w:spacing w:val="40"/>
          <w:sz w:val="44"/>
          <w:szCs w:val="44"/>
          <w:highlight w:val="none"/>
        </w:rPr>
      </w:pPr>
    </w:p>
    <w:p>
      <w:pPr>
        <w:spacing w:line="360" w:lineRule="auto"/>
        <w:jc w:val="center"/>
        <w:rPr>
          <w:rFonts w:ascii="宋体" w:hAnsi="宋体" w:cs="宋体"/>
          <w:color w:val="auto"/>
          <w:sz w:val="44"/>
          <w:szCs w:val="32"/>
          <w:highlight w:val="none"/>
          <w:u w:val="single"/>
        </w:rPr>
      </w:pPr>
      <w:r>
        <w:rPr>
          <w:rFonts w:hint="eastAsia" w:ascii="宋体" w:hAnsi="宋体" w:cs="宋体"/>
          <w:b/>
          <w:bCs/>
          <w:color w:val="auto"/>
          <w:spacing w:val="40"/>
          <w:sz w:val="52"/>
          <w:szCs w:val="56"/>
          <w:highlight w:val="none"/>
        </w:rPr>
        <w:t>广东省科学院长兴科创园集体宿舍项目施工总承包</w:t>
      </w:r>
    </w:p>
    <w:p>
      <w:pPr>
        <w:spacing w:line="360" w:lineRule="auto"/>
        <w:rPr>
          <w:rFonts w:ascii="宋体" w:hAnsi="宋体" w:cs="宋体"/>
          <w:b/>
          <w:bCs/>
          <w:color w:val="auto"/>
          <w:spacing w:val="26"/>
          <w:sz w:val="110"/>
          <w:szCs w:val="110"/>
          <w:highlight w:val="none"/>
        </w:rPr>
      </w:pPr>
    </w:p>
    <w:p>
      <w:pPr>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pPr>
        <w:spacing w:line="360" w:lineRule="auto"/>
        <w:jc w:val="center"/>
        <w:rPr>
          <w:rFonts w:ascii="宋体" w:hAnsi="宋体" w:cs="宋体"/>
          <w:color w:val="auto"/>
          <w:sz w:val="32"/>
          <w:highlight w:val="none"/>
        </w:rPr>
      </w:pPr>
    </w:p>
    <w:p>
      <w:pPr>
        <w:spacing w:line="360" w:lineRule="auto"/>
        <w:ind w:firstLine="2560" w:firstLineChars="800"/>
        <w:rPr>
          <w:rFonts w:ascii="宋体" w:hAnsi="宋体" w:cs="宋体"/>
          <w:color w:val="auto"/>
          <w:sz w:val="32"/>
          <w:highlight w:val="none"/>
        </w:rPr>
      </w:pPr>
    </w:p>
    <w:p>
      <w:pPr>
        <w:spacing w:line="360" w:lineRule="auto"/>
        <w:rPr>
          <w:rFonts w:ascii="宋体" w:hAnsi="宋体" w:cs="宋体"/>
          <w:color w:val="auto"/>
          <w:sz w:val="30"/>
          <w:szCs w:val="30"/>
          <w:highlight w:val="none"/>
        </w:rPr>
      </w:pPr>
    </w:p>
    <w:p>
      <w:pPr>
        <w:spacing w:line="360" w:lineRule="auto"/>
        <w:ind w:firstLine="900" w:firstLineChars="300"/>
        <w:rPr>
          <w:rFonts w:ascii="宋体" w:hAnsi="宋体" w:cs="宋体"/>
          <w:color w:val="auto"/>
          <w:sz w:val="30"/>
          <w:szCs w:val="30"/>
          <w:highlight w:val="none"/>
        </w:rPr>
      </w:pPr>
    </w:p>
    <w:p>
      <w:pPr>
        <w:pStyle w:val="8"/>
        <w:rPr>
          <w:rFonts w:ascii="宋体" w:hAnsi="宋体" w:cs="宋体"/>
          <w:color w:val="auto"/>
          <w:sz w:val="30"/>
          <w:szCs w:val="30"/>
          <w:highlight w:val="none"/>
        </w:rPr>
      </w:pPr>
    </w:p>
    <w:p>
      <w:pPr>
        <w:rPr>
          <w:rFonts w:ascii="宋体" w:hAnsi="宋体" w:cs="宋体"/>
          <w:color w:val="auto"/>
          <w:highlight w:val="none"/>
        </w:rPr>
      </w:pPr>
    </w:p>
    <w:p>
      <w:pPr>
        <w:pStyle w:val="22"/>
        <w:rPr>
          <w:rFonts w:hAnsi="宋体" w:cs="宋体"/>
          <w:color w:val="auto"/>
          <w:highlight w:val="none"/>
        </w:rPr>
      </w:pPr>
    </w:p>
    <w:p>
      <w:pPr>
        <w:pStyle w:val="22"/>
        <w:rPr>
          <w:rFonts w:hAnsi="宋体" w:cs="宋体"/>
          <w:color w:val="auto"/>
          <w:highlight w:val="none"/>
        </w:rPr>
      </w:pPr>
    </w:p>
    <w:p>
      <w:pPr>
        <w:pStyle w:val="22"/>
        <w:rPr>
          <w:rFonts w:hAnsi="宋体" w:cs="宋体"/>
          <w:color w:val="auto"/>
          <w:highlight w:val="none"/>
        </w:rPr>
      </w:pPr>
    </w:p>
    <w:p>
      <w:pPr>
        <w:spacing w:line="360" w:lineRule="auto"/>
        <w:ind w:firstLine="900" w:firstLineChars="300"/>
        <w:rPr>
          <w:rFonts w:ascii="宋体" w:hAnsi="宋体" w:cs="宋体"/>
          <w:color w:val="auto"/>
          <w:sz w:val="30"/>
          <w:szCs w:val="30"/>
          <w:highlight w:val="none"/>
          <w:u w:val="single"/>
        </w:rPr>
      </w:pPr>
      <w:r>
        <w:rPr>
          <w:rFonts w:hint="eastAsia" w:ascii="宋体" w:hAnsi="宋体" w:cs="宋体"/>
          <w:color w:val="auto"/>
          <w:sz w:val="30"/>
          <w:szCs w:val="30"/>
          <w:highlight w:val="none"/>
        </w:rPr>
        <w:t>招  标 单 位：</w:t>
      </w:r>
      <w:r>
        <w:rPr>
          <w:rFonts w:hint="eastAsia" w:ascii="宋体" w:hAnsi="宋体" w:cs="宋体"/>
          <w:color w:val="auto"/>
          <w:sz w:val="30"/>
          <w:szCs w:val="30"/>
          <w:highlight w:val="none"/>
          <w:u w:val="single"/>
        </w:rPr>
        <w:t>广东省科学院</w:t>
      </w:r>
    </w:p>
    <w:p>
      <w:pPr>
        <w:spacing w:line="360" w:lineRule="auto"/>
        <w:ind w:firstLine="900" w:firstLineChars="300"/>
        <w:rPr>
          <w:rFonts w:ascii="宋体" w:hAnsi="宋体" w:cs="宋体"/>
          <w:color w:val="auto"/>
          <w:sz w:val="30"/>
          <w:szCs w:val="30"/>
          <w:highlight w:val="none"/>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rPr>
        <w:t>广州市国科招标代理有限公司</w:t>
      </w:r>
    </w:p>
    <w:p>
      <w:pPr>
        <w:spacing w:line="360" w:lineRule="auto"/>
        <w:ind w:firstLine="900" w:firstLineChars="300"/>
        <w:rPr>
          <w:rFonts w:ascii="宋体" w:hAnsi="宋体" w:cs="宋体"/>
          <w:color w:val="auto"/>
          <w:sz w:val="30"/>
          <w:szCs w:val="30"/>
          <w:highlight w:val="none"/>
        </w:rPr>
      </w:pPr>
      <w:r>
        <w:rPr>
          <w:rFonts w:hint="eastAsia" w:ascii="宋体" w:hAnsi="宋体" w:cs="宋体"/>
          <w:color w:val="auto"/>
          <w:sz w:val="30"/>
          <w:szCs w:val="30"/>
          <w:highlight w:val="none"/>
        </w:rPr>
        <w:t>日        期：202</w:t>
      </w:r>
      <w:r>
        <w:rPr>
          <w:rFonts w:hint="eastAsia" w:ascii="宋体" w:hAnsi="宋体" w:cs="宋体"/>
          <w:color w:val="auto"/>
          <w:sz w:val="30"/>
          <w:szCs w:val="30"/>
          <w:highlight w:val="none"/>
          <w:lang w:val="en-US" w:eastAsia="zh-CN"/>
        </w:rPr>
        <w:t>3</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1</w:t>
      </w:r>
      <w:r>
        <w:rPr>
          <w:rFonts w:hint="eastAsia" w:ascii="宋体" w:hAnsi="宋体" w:cs="宋体"/>
          <w:color w:val="auto"/>
          <w:sz w:val="30"/>
          <w:szCs w:val="30"/>
          <w:highlight w:val="none"/>
        </w:rPr>
        <w:t>月</w:t>
      </w:r>
    </w:p>
    <w:p>
      <w:pPr>
        <w:spacing w:line="360" w:lineRule="auto"/>
        <w:ind w:firstLine="900" w:firstLineChars="300"/>
        <w:jc w:val="center"/>
        <w:rPr>
          <w:rFonts w:ascii="宋体" w:hAnsi="宋体" w:cs="宋体"/>
          <w:b/>
          <w:caps/>
          <w:color w:val="auto"/>
          <w:kern w:val="0"/>
          <w:highlight w:val="none"/>
        </w:rPr>
      </w:pPr>
      <w:r>
        <w:rPr>
          <w:rFonts w:hint="eastAsia" w:ascii="宋体" w:hAnsi="宋体" w:cs="宋体"/>
          <w:color w:val="auto"/>
          <w:sz w:val="30"/>
          <w:szCs w:val="30"/>
          <w:highlight w:val="none"/>
        </w:rPr>
        <w:br w:type="page"/>
      </w:r>
      <w:r>
        <w:rPr>
          <w:rStyle w:val="46"/>
          <w:rFonts w:hint="eastAsia" w:ascii="宋体" w:hAnsi="宋体" w:cs="宋体"/>
          <w:b/>
          <w:bCs/>
          <w:color w:val="auto"/>
          <w:sz w:val="30"/>
          <w:szCs w:val="30"/>
          <w:highlight w:val="none"/>
          <w:u w:val="none"/>
        </w:rPr>
        <w:t>目录</w:t>
      </w:r>
    </w:p>
    <w:p>
      <w:pPr>
        <w:pStyle w:val="29"/>
        <w:tabs>
          <w:tab w:val="right" w:leader="dot" w:pos="9070"/>
          <w:tab w:val="clear" w:pos="9060"/>
        </w:tabs>
        <w:rPr>
          <w:rFonts w:cs="宋体"/>
          <w:color w:val="auto"/>
          <w:highlight w:val="none"/>
        </w:rPr>
      </w:pPr>
      <w:r>
        <w:rPr>
          <w:rFonts w:hint="eastAsia" w:cs="宋体"/>
          <w:color w:val="auto"/>
          <w:highlight w:val="none"/>
        </w:rPr>
        <w:fldChar w:fldCharType="begin"/>
      </w:r>
      <w:r>
        <w:rPr>
          <w:rFonts w:hint="eastAsia" w:cs="宋体"/>
          <w:color w:val="auto"/>
          <w:highlight w:val="none"/>
        </w:rPr>
        <w:instrText xml:space="preserve"> TOC \o "1-3" \h \z \u </w:instrText>
      </w:r>
      <w:r>
        <w:rPr>
          <w:rFonts w:hint="eastAsia" w:cs="宋体"/>
          <w:color w:val="auto"/>
          <w:highlight w:val="none"/>
        </w:rPr>
        <w:fldChar w:fldCharType="separate"/>
      </w:r>
      <w:r>
        <w:rPr>
          <w:color w:val="auto"/>
          <w:highlight w:val="none"/>
        </w:rPr>
        <w:fldChar w:fldCharType="begin"/>
      </w:r>
      <w:r>
        <w:rPr>
          <w:color w:val="auto"/>
          <w:highlight w:val="none"/>
        </w:rPr>
        <w:instrText xml:space="preserve"> HYPERLINK \l "_Toc29999" </w:instrText>
      </w:r>
      <w:r>
        <w:rPr>
          <w:color w:val="auto"/>
          <w:highlight w:val="none"/>
        </w:rPr>
        <w:fldChar w:fldCharType="separate"/>
      </w:r>
      <w:r>
        <w:rPr>
          <w:rFonts w:hint="eastAsia" w:cs="宋体"/>
          <w:color w:val="auto"/>
          <w:highlight w:val="none"/>
        </w:rPr>
        <w:t>第一章  投标须知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_Toc29999 \h </w:instrText>
      </w:r>
      <w:r>
        <w:rPr>
          <w:rFonts w:hint="eastAsia" w:cs="宋体"/>
          <w:color w:val="auto"/>
          <w:highlight w:val="none"/>
        </w:rPr>
        <w:fldChar w:fldCharType="separate"/>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fldChar w:fldCharType="end"/>
      </w:r>
    </w:p>
    <w:p>
      <w:pPr>
        <w:pStyle w:val="32"/>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"_Toc3951" </w:instrText>
      </w:r>
      <w:r>
        <w:rPr>
          <w:color w:val="auto"/>
          <w:highlight w:val="none"/>
        </w:rPr>
        <w:fldChar w:fldCharType="separate"/>
      </w:r>
      <w:r>
        <w:rPr>
          <w:rFonts w:hint="eastAsia" w:ascii="宋体" w:hAnsi="宋体" w:cs="宋体"/>
          <w:color w:val="auto"/>
          <w:highlight w:val="none"/>
        </w:rPr>
        <w:t>一、投标须知前附表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_Toc3951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"_Toc12984" </w:instrText>
      </w:r>
      <w:r>
        <w:rPr>
          <w:color w:val="auto"/>
          <w:highlight w:val="none"/>
        </w:rPr>
        <w:fldChar w:fldCharType="separate"/>
      </w:r>
      <w:r>
        <w:rPr>
          <w:rFonts w:hint="eastAsia" w:ascii="宋体" w:hAnsi="宋体" w:cs="宋体"/>
          <w:color w:val="auto"/>
          <w:highlight w:val="none"/>
        </w:rPr>
        <w:t>二、投标须知修改表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_Toc12984 \h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"_Toc24881" </w:instrText>
      </w:r>
      <w:r>
        <w:rPr>
          <w:color w:val="auto"/>
          <w:highlight w:val="none"/>
        </w:rPr>
        <w:fldChar w:fldCharType="separate"/>
      </w:r>
      <w:r>
        <w:rPr>
          <w:rFonts w:hint="eastAsia" w:ascii="宋体" w:hAnsi="宋体" w:cs="宋体"/>
          <w:color w:val="auto"/>
          <w:highlight w:val="none"/>
        </w:rPr>
        <w:t>三、投标须知通用条款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_Toc24881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"_Toc286" </w:instrText>
      </w:r>
      <w:r>
        <w:rPr>
          <w:color w:val="auto"/>
          <w:highlight w:val="none"/>
        </w:rPr>
        <w:fldChar w:fldCharType="separate"/>
      </w:r>
      <w:r>
        <w:rPr>
          <w:rFonts w:hint="eastAsia" w:cs="宋体"/>
          <w:color w:val="auto"/>
          <w:highlight w:val="none"/>
        </w:rPr>
        <w:t>第二章  开标、评标及定标办法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_Toc286 \h </w:instrText>
      </w:r>
      <w:r>
        <w:rPr>
          <w:rFonts w:hint="eastAsia" w:cs="宋体"/>
          <w:color w:val="auto"/>
          <w:highlight w:val="none"/>
        </w:rPr>
        <w:fldChar w:fldCharType="separate"/>
      </w:r>
      <w:r>
        <w:rPr>
          <w:rFonts w:hint="eastAsia" w:cs="宋体"/>
          <w:color w:val="auto"/>
          <w:highlight w:val="none"/>
        </w:rPr>
        <w:t>33</w:t>
      </w:r>
      <w:r>
        <w:rPr>
          <w:rFonts w:hint="eastAsia" w:cs="宋体"/>
          <w:color w:val="auto"/>
          <w:highlight w:val="none"/>
        </w:rPr>
        <w:fldChar w:fldCharType="end"/>
      </w:r>
      <w:r>
        <w:rPr>
          <w:rFonts w:hint="eastAsia" w:cs="宋体"/>
          <w:color w:val="auto"/>
          <w:highlight w:val="none"/>
        </w:rPr>
        <w:fldChar w:fldCharType="end"/>
      </w:r>
    </w:p>
    <w:p>
      <w:pPr>
        <w:pStyle w:val="32"/>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"_Toc20398" </w:instrText>
      </w:r>
      <w:r>
        <w:rPr>
          <w:color w:val="auto"/>
          <w:highlight w:val="none"/>
        </w:rPr>
        <w:fldChar w:fldCharType="separate"/>
      </w:r>
      <w:r>
        <w:rPr>
          <w:rFonts w:hint="eastAsia" w:ascii="宋体" w:hAnsi="宋体" w:cs="宋体"/>
          <w:color w:val="auto"/>
          <w:szCs w:val="28"/>
          <w:highlight w:val="none"/>
        </w:rPr>
        <w:t>一、</w:t>
      </w:r>
      <w:r>
        <w:rPr>
          <w:rFonts w:hint="eastAsia" w:ascii="宋体" w:hAnsi="宋体" w:cs="宋体"/>
          <w:color w:val="auto"/>
          <w:highlight w:val="none"/>
        </w:rPr>
        <w:t>开标、评标及定标办法修改表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_Toc20398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"_Toc11460" </w:instrText>
      </w:r>
      <w:r>
        <w:rPr>
          <w:color w:val="auto"/>
          <w:highlight w:val="none"/>
        </w:rPr>
        <w:fldChar w:fldCharType="separate"/>
      </w:r>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_Toc11460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"_Toc19940"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_Toc19940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"_Toc18768" </w:instrText>
      </w:r>
      <w:r>
        <w:rPr>
          <w:color w:val="auto"/>
          <w:highlight w:val="none"/>
        </w:rPr>
        <w:fldChar w:fldCharType="separate"/>
      </w:r>
      <w:r>
        <w:rPr>
          <w:rFonts w:hint="eastAsia" w:ascii="宋体" w:hAnsi="宋体" w:cs="宋体"/>
          <w:color w:val="auto"/>
          <w:szCs w:val="24"/>
          <w:highlight w:val="none"/>
        </w:rPr>
        <w:t>（二）开标评标办法程序和细则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_Toc18768 \h </w:instrText>
      </w:r>
      <w:r>
        <w:rPr>
          <w:rFonts w:hint="eastAsia" w:ascii="宋体" w:hAnsi="宋体" w:cs="宋体"/>
          <w:color w:val="auto"/>
          <w:highlight w:val="none"/>
        </w:rPr>
        <w:fldChar w:fldCharType="separate"/>
      </w:r>
      <w:r>
        <w:rPr>
          <w:rFonts w:hint="eastAsia" w:ascii="宋体" w:hAnsi="宋体" w:cs="宋体"/>
          <w:color w:val="auto"/>
          <w:highlight w:val="none"/>
        </w:rPr>
        <w:t>40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"_Toc25301" </w:instrText>
      </w:r>
      <w:r>
        <w:rPr>
          <w:color w:val="auto"/>
          <w:highlight w:val="none"/>
        </w:rPr>
        <w:fldChar w:fldCharType="separate"/>
      </w:r>
      <w:r>
        <w:rPr>
          <w:rFonts w:hint="eastAsia" w:ascii="宋体" w:hAnsi="宋体" w:cs="宋体"/>
          <w:color w:val="auto"/>
          <w:szCs w:val="24"/>
          <w:highlight w:val="none"/>
        </w:rPr>
        <w:t>可选办法七（适合综合评分法四，技术标与经济标同时开启）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_Toc25301 \h </w:instrText>
      </w:r>
      <w:r>
        <w:rPr>
          <w:rFonts w:hint="eastAsia" w:ascii="宋体" w:hAnsi="宋体" w:cs="宋体"/>
          <w:color w:val="auto"/>
          <w:highlight w:val="none"/>
        </w:rPr>
        <w:fldChar w:fldCharType="separate"/>
      </w:r>
      <w:r>
        <w:rPr>
          <w:rFonts w:hint="eastAsia" w:ascii="宋体" w:hAnsi="宋体" w:cs="宋体"/>
          <w:color w:val="auto"/>
          <w:highlight w:val="none"/>
        </w:rPr>
        <w:t>40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"_Toc14934" </w:instrText>
      </w:r>
      <w:r>
        <w:rPr>
          <w:color w:val="auto"/>
          <w:highlight w:val="none"/>
        </w:rPr>
        <w:fldChar w:fldCharType="separate"/>
      </w:r>
      <w:r>
        <w:rPr>
          <w:rFonts w:hint="eastAsia" w:cs="宋体"/>
          <w:color w:val="auto"/>
          <w:highlight w:val="none"/>
        </w:rPr>
        <w:t>第三章  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_Toc14934 \h </w:instrText>
      </w:r>
      <w:r>
        <w:rPr>
          <w:rFonts w:hint="eastAsia" w:cs="宋体"/>
          <w:color w:val="auto"/>
          <w:highlight w:val="none"/>
        </w:rPr>
        <w:fldChar w:fldCharType="separate"/>
      </w:r>
      <w:r>
        <w:rPr>
          <w:rFonts w:hint="eastAsia" w:cs="宋体"/>
          <w:color w:val="auto"/>
          <w:highlight w:val="none"/>
        </w:rPr>
        <w:t>60</w:t>
      </w:r>
      <w:r>
        <w:rPr>
          <w:rFonts w:hint="eastAsia" w:cs="宋体"/>
          <w:color w:val="auto"/>
          <w:highlight w:val="none"/>
        </w:rPr>
        <w:fldChar w:fldCharType="end"/>
      </w:r>
      <w:r>
        <w:rPr>
          <w:rFonts w:hint="eastAsia"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"_Toc12630" </w:instrText>
      </w:r>
      <w:r>
        <w:rPr>
          <w:color w:val="auto"/>
          <w:highlight w:val="none"/>
        </w:rPr>
        <w:fldChar w:fldCharType="separate"/>
      </w:r>
      <w:r>
        <w:rPr>
          <w:rFonts w:hint="eastAsia" w:cs="宋体"/>
          <w:color w:val="auto"/>
          <w:highlight w:val="none"/>
        </w:rPr>
        <w:t>第四章  投标文件格式</w:t>
      </w:r>
      <w:r>
        <w:rPr>
          <w:rFonts w:hint="eastAsia" w:cs="宋体"/>
          <w:color w:val="auto"/>
          <w:highlight w:val="none"/>
        </w:rPr>
        <w:tab/>
      </w:r>
      <w:r>
        <w:rPr>
          <w:rFonts w:hint="eastAsia" w:cs="宋体"/>
          <w:color w:val="auto"/>
          <w:highlight w:val="none"/>
        </w:rPr>
        <w:t xml:space="preserve"> </w:t>
      </w:r>
      <w:r>
        <w:rPr>
          <w:rFonts w:hint="eastAsia" w:cs="宋体"/>
          <w:color w:val="auto"/>
          <w:highlight w:val="none"/>
        </w:rPr>
        <w:fldChar w:fldCharType="begin"/>
      </w:r>
      <w:r>
        <w:rPr>
          <w:rFonts w:hint="eastAsia" w:cs="宋体"/>
          <w:color w:val="auto"/>
          <w:highlight w:val="none"/>
        </w:rPr>
        <w:instrText xml:space="preserve"> PAGEREF _Toc12630 \h </w:instrText>
      </w:r>
      <w:r>
        <w:rPr>
          <w:rFonts w:hint="eastAsia" w:cs="宋体"/>
          <w:color w:val="auto"/>
          <w:highlight w:val="none"/>
        </w:rPr>
        <w:fldChar w:fldCharType="separate"/>
      </w:r>
      <w:r>
        <w:rPr>
          <w:rFonts w:hint="eastAsia" w:cs="宋体"/>
          <w:color w:val="auto"/>
          <w:highlight w:val="none"/>
        </w:rPr>
        <w:t>61</w:t>
      </w:r>
      <w:r>
        <w:rPr>
          <w:rFonts w:hint="eastAsia" w:cs="宋体"/>
          <w:color w:val="auto"/>
          <w:highlight w:val="none"/>
        </w:rPr>
        <w:fldChar w:fldCharType="end"/>
      </w:r>
      <w:r>
        <w:rPr>
          <w:rFonts w:hint="eastAsia"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"_Toc22889" </w:instrText>
      </w:r>
      <w:r>
        <w:rPr>
          <w:color w:val="auto"/>
          <w:highlight w:val="none"/>
        </w:rPr>
        <w:fldChar w:fldCharType="separate"/>
      </w:r>
      <w:r>
        <w:rPr>
          <w:rFonts w:hint="eastAsia" w:cs="宋体"/>
          <w:color w:val="auto"/>
          <w:highlight w:val="none"/>
        </w:rPr>
        <w:t>第五章  技术条件（工程建设标准）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_Toc22889 \h </w:instrText>
      </w:r>
      <w:r>
        <w:rPr>
          <w:rFonts w:hint="eastAsia" w:cs="宋体"/>
          <w:color w:val="auto"/>
          <w:highlight w:val="none"/>
        </w:rPr>
        <w:fldChar w:fldCharType="separate"/>
      </w:r>
      <w:r>
        <w:rPr>
          <w:rFonts w:hint="eastAsia" w:cs="宋体"/>
          <w:color w:val="auto"/>
          <w:highlight w:val="none"/>
        </w:rPr>
        <w:t>88</w:t>
      </w:r>
      <w:r>
        <w:rPr>
          <w:rFonts w:hint="eastAsia" w:cs="宋体"/>
          <w:color w:val="auto"/>
          <w:highlight w:val="none"/>
        </w:rPr>
        <w:fldChar w:fldCharType="end"/>
      </w:r>
      <w:r>
        <w:rPr>
          <w:rFonts w:hint="eastAsia"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"_Toc17006" </w:instrText>
      </w:r>
      <w:r>
        <w:rPr>
          <w:color w:val="auto"/>
          <w:highlight w:val="none"/>
        </w:rPr>
        <w:fldChar w:fldCharType="separate"/>
      </w:r>
      <w:r>
        <w:rPr>
          <w:rFonts w:hint="eastAsia" w:cs="宋体"/>
          <w:color w:val="auto"/>
          <w:highlight w:val="none"/>
        </w:rPr>
        <w:t>第六章  图纸及勘察资料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_Toc17006 \h </w:instrText>
      </w:r>
      <w:r>
        <w:rPr>
          <w:rFonts w:hint="eastAsia" w:cs="宋体"/>
          <w:color w:val="auto"/>
          <w:highlight w:val="none"/>
        </w:rPr>
        <w:fldChar w:fldCharType="separate"/>
      </w:r>
      <w:r>
        <w:rPr>
          <w:rFonts w:hint="eastAsia" w:cs="宋体"/>
          <w:color w:val="auto"/>
          <w:highlight w:val="none"/>
        </w:rPr>
        <w:t>102</w:t>
      </w:r>
      <w:r>
        <w:rPr>
          <w:rFonts w:hint="eastAsia" w:cs="宋体"/>
          <w:color w:val="auto"/>
          <w:highlight w:val="none"/>
        </w:rPr>
        <w:fldChar w:fldCharType="end"/>
      </w:r>
      <w:r>
        <w:rPr>
          <w:rFonts w:hint="eastAsia"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"_Toc2247" </w:instrText>
      </w:r>
      <w:r>
        <w:rPr>
          <w:color w:val="auto"/>
          <w:highlight w:val="none"/>
        </w:rPr>
        <w:fldChar w:fldCharType="separate"/>
      </w:r>
      <w:r>
        <w:rPr>
          <w:rFonts w:hint="eastAsia" w:cs="宋体"/>
          <w:color w:val="auto"/>
          <w:highlight w:val="none"/>
        </w:rPr>
        <w:t>第七章  工程量清单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_Toc2247 \h </w:instrText>
      </w:r>
      <w:r>
        <w:rPr>
          <w:rFonts w:hint="eastAsia" w:cs="宋体"/>
          <w:color w:val="auto"/>
          <w:highlight w:val="none"/>
        </w:rPr>
        <w:fldChar w:fldCharType="separate"/>
      </w:r>
      <w:r>
        <w:rPr>
          <w:rFonts w:hint="eastAsia" w:cs="宋体"/>
          <w:color w:val="auto"/>
          <w:highlight w:val="none"/>
        </w:rPr>
        <w:t>103</w:t>
      </w:r>
      <w:r>
        <w:rPr>
          <w:rFonts w:hint="eastAsia" w:cs="宋体"/>
          <w:color w:val="auto"/>
          <w:highlight w:val="none"/>
        </w:rPr>
        <w:fldChar w:fldCharType="end"/>
      </w:r>
      <w:r>
        <w:rPr>
          <w:rFonts w:hint="eastAsia"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"_Toc10163" </w:instrText>
      </w:r>
      <w:r>
        <w:rPr>
          <w:color w:val="auto"/>
          <w:highlight w:val="none"/>
        </w:rPr>
        <w:fldChar w:fldCharType="separate"/>
      </w:r>
      <w:r>
        <w:rPr>
          <w:rFonts w:hint="eastAsia" w:cs="宋体"/>
          <w:color w:val="auto"/>
          <w:highlight w:val="none"/>
        </w:rPr>
        <w:t>第八章  最高投标限价</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_Toc10163 \h </w:instrText>
      </w:r>
      <w:r>
        <w:rPr>
          <w:rFonts w:hint="eastAsia" w:cs="宋体"/>
          <w:color w:val="auto"/>
          <w:highlight w:val="none"/>
        </w:rPr>
        <w:fldChar w:fldCharType="separate"/>
      </w:r>
      <w:r>
        <w:rPr>
          <w:rFonts w:hint="eastAsia" w:cs="宋体"/>
          <w:color w:val="auto"/>
          <w:highlight w:val="none"/>
        </w:rPr>
        <w:t>104</w:t>
      </w:r>
      <w:r>
        <w:rPr>
          <w:rFonts w:hint="eastAsia" w:cs="宋体"/>
          <w:color w:val="auto"/>
          <w:highlight w:val="none"/>
        </w:rPr>
        <w:fldChar w:fldCharType="end"/>
      </w:r>
      <w:r>
        <w:rPr>
          <w:rFonts w:hint="eastAsia" w:cs="宋体"/>
          <w:color w:val="auto"/>
          <w:highlight w:val="none"/>
        </w:rPr>
        <w:fldChar w:fldCharType="end"/>
      </w:r>
    </w:p>
    <w:p>
      <w:pPr>
        <w:pStyle w:val="3"/>
        <w:rPr>
          <w:rFonts w:ascii="宋体" w:hAnsi="宋体" w:cs="宋体"/>
          <w:color w:val="auto"/>
          <w:highlight w:val="none"/>
        </w:rPr>
      </w:pPr>
      <w:r>
        <w:rPr>
          <w:rFonts w:hint="eastAsia" w:ascii="宋体" w:hAnsi="宋体" w:cs="宋体"/>
          <w:color w:val="auto"/>
          <w:highlight w:val="none"/>
        </w:rPr>
        <w:fldChar w:fldCharType="end"/>
      </w: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r>
        <w:rPr>
          <w:rFonts w:hint="eastAsia" w:ascii="宋体" w:hAnsi="宋体" w:cs="宋体"/>
          <w:color w:val="auto"/>
          <w:highlight w:val="none"/>
        </w:rPr>
        <w:br w:type="page"/>
      </w:r>
      <w:bookmarkStart w:id="0" w:name="_Toc29999"/>
      <w:r>
        <w:rPr>
          <w:rFonts w:hint="eastAsia" w:ascii="宋体" w:hAnsi="宋体" w:cs="宋体"/>
          <w:color w:val="auto"/>
          <w:highlight w:val="none"/>
        </w:rPr>
        <w:t>第一章  投标须知</w:t>
      </w:r>
      <w:bookmarkEnd w:id="0"/>
    </w:p>
    <w:p>
      <w:pPr>
        <w:pStyle w:val="7"/>
        <w:rPr>
          <w:rFonts w:ascii="宋体" w:hAnsi="宋体" w:cs="宋体"/>
          <w:color w:val="auto"/>
          <w:highlight w:val="none"/>
        </w:rPr>
      </w:pPr>
      <w:bookmarkStart w:id="1" w:name="_Toc3951"/>
      <w:r>
        <w:rPr>
          <w:rFonts w:hint="eastAsia" w:ascii="宋体" w:hAnsi="宋体" w:cs="宋体"/>
          <w:color w:val="auto"/>
          <w:highlight w:val="none"/>
        </w:rPr>
        <w:t>一、投标须知前附表</w:t>
      </w:r>
      <w:bookmarkEnd w:id="1"/>
    </w:p>
    <w:p>
      <w:pPr>
        <w:pStyle w:val="8"/>
        <w:spacing w:line="360" w:lineRule="auto"/>
        <w:ind w:firstLine="0"/>
        <w:rPr>
          <w:rFonts w:ascii="宋体" w:hAnsi="宋体" w:cs="宋体"/>
          <w:b/>
          <w:color w:val="auto"/>
          <w:sz w:val="24"/>
          <w:szCs w:val="24"/>
          <w:highlight w:val="none"/>
        </w:rPr>
      </w:pPr>
      <w:r>
        <w:rPr>
          <w:rFonts w:hint="eastAsia" w:ascii="宋体" w:hAnsi="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9"/>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w:t>
            </w:r>
          </w:p>
        </w:tc>
        <w:tc>
          <w:tcPr>
            <w:tcW w:w="887" w:type="dxa"/>
            <w:tcBorders>
              <w:top w:val="doub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条款号</w:t>
            </w:r>
          </w:p>
        </w:tc>
        <w:tc>
          <w:tcPr>
            <w:tcW w:w="1713"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r>
              <w:rPr>
                <w:rFonts w:hint="eastAsia" w:ascii="宋体" w:hAnsi="宋体" w:cs="宋体"/>
                <w:color w:val="auto"/>
                <w:szCs w:val="21"/>
                <w:highlight w:val="none"/>
              </w:rPr>
              <w:t>内容</w:t>
            </w:r>
          </w:p>
        </w:tc>
        <w:tc>
          <w:tcPr>
            <w:tcW w:w="6048" w:type="dxa"/>
            <w:tcBorders>
              <w:top w:val="double" w:color="auto" w:sz="4" w:space="0"/>
              <w:left w:val="single" w:color="auto" w:sz="4" w:space="0"/>
              <w:bottom w:val="single" w:color="auto" w:sz="4" w:space="0"/>
              <w:right w:val="double" w:color="auto" w:sz="4" w:space="0"/>
            </w:tcBorders>
            <w:vAlign w:val="center"/>
          </w:tcPr>
          <w:p>
            <w:pPr>
              <w:pStyle w:val="23"/>
              <w:ind w:firstLine="458"/>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定义</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广东省科学院</w:t>
            </w:r>
          </w:p>
          <w:p>
            <w:pPr>
              <w:rPr>
                <w:rFonts w:ascii="宋体" w:hAnsi="宋体" w:cs="宋体"/>
                <w:color w:val="auto"/>
                <w:szCs w:val="21"/>
                <w:highlight w:val="none"/>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rPr>
              <w:t>广州市国科招标代理有限公司</w:t>
            </w:r>
          </w:p>
          <w:p>
            <w:pPr>
              <w:rPr>
                <w:rFonts w:ascii="宋体" w:hAnsi="宋体" w:cs="宋体"/>
                <w:color w:val="auto"/>
                <w:szCs w:val="21"/>
                <w:highlight w:val="none"/>
              </w:rPr>
            </w:pPr>
            <w:r>
              <w:rPr>
                <w:rFonts w:hint="eastAsia" w:ascii="宋体" w:hAnsi="宋体" w:cs="宋体"/>
                <w:color w:val="auto"/>
                <w:szCs w:val="21"/>
                <w:highlight w:val="none"/>
              </w:rPr>
              <w:t>设计单位：</w:t>
            </w:r>
            <w:r>
              <w:rPr>
                <w:rFonts w:hint="eastAsia"/>
                <w:color w:val="auto"/>
                <w:highlight w:val="none"/>
                <w:u w:val="single"/>
              </w:rPr>
              <w:t>广东建筑艺术设计院有限公司</w:t>
            </w:r>
          </w:p>
          <w:p>
            <w:pPr>
              <w:rPr>
                <w:rFonts w:ascii="宋体" w:hAnsi="宋体" w:cs="宋体"/>
                <w:color w:val="auto"/>
                <w:szCs w:val="21"/>
                <w:highlight w:val="non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    </w:t>
            </w:r>
          </w:p>
          <w:p>
            <w:pPr>
              <w:rPr>
                <w:rFonts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广东省科学院长兴科创园集体宿舍项目施工总承包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广州市天河区长兴街道长兴路363号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包工、包料、包工期、包质量、包安全、包文明施工。综合单价包干、项目措施费包干。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6</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必须符合国家和行业现行质量验收标准（GB50300-2013建筑工程施工质量验收统一标准）和《工程施工质量验收规范》，达到合格工程质量标准。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7</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8</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pPr>
              <w:ind w:hanging="10"/>
              <w:rPr>
                <w:rFonts w:ascii="宋体" w:hAnsi="宋体" w:cs="宋体"/>
                <w:color w:val="auto"/>
                <w:szCs w:val="21"/>
                <w:highlight w:val="none"/>
              </w:rPr>
            </w:pPr>
            <w:r>
              <w:rPr>
                <w:rFonts w:hint="eastAsia" w:ascii="宋体" w:hAnsi="宋体" w:cs="宋体"/>
                <w:color w:val="auto"/>
                <w:szCs w:val="21"/>
                <w:highlight w:val="none"/>
              </w:rPr>
              <w:t>施工总期：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350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r>
              <w:rPr>
                <w:rFonts w:hint="eastAsia" w:ascii="宋体" w:hAnsi="宋体" w:cs="宋体"/>
                <w:color w:val="auto"/>
                <w:szCs w:val="21"/>
                <w:highlight w:val="none"/>
                <w:u w:val="single"/>
              </w:rPr>
              <w:t>（具体开工时间以监理下达的开工令通知书为准）</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9</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kern w:val="0"/>
                <w:szCs w:val="21"/>
                <w:lang w:val="zh-CN"/>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10</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11</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12</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13.1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13</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15.1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 xml:space="preserve"> 120 </w:t>
            </w:r>
            <w:r>
              <w:rPr>
                <w:rFonts w:hint="eastAsia" w:ascii="宋体" w:hAnsi="宋体" w:cs="宋体"/>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14</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16.1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highlight w:val="none"/>
              </w:rPr>
            </w:pPr>
            <w:r>
              <w:rPr>
                <w:rFonts w:hint="eastAsia" w:ascii="宋体" w:hAnsi="宋体" w:cs="宋体"/>
                <w:color w:val="auto"/>
                <w:highlight w:val="none"/>
              </w:rPr>
              <w:t>10万元人民币，缴纳时间在递交投标文件截止时间之前。</w:t>
            </w:r>
          </w:p>
          <w:p>
            <w:pPr>
              <w:pStyle w:val="18"/>
              <w:topLinePunct/>
              <w:spacing w:after="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投标保证金可采用现金、支票、投标保函、投标保证保险的形式，须在递交投标文件截止时间前完成缴纳。</w:t>
            </w:r>
          </w:p>
          <w:p>
            <w:pPr>
              <w:pStyle w:val="18"/>
              <w:topLinePunct/>
              <w:spacing w:after="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pStyle w:val="18"/>
              <w:topLinePunct/>
              <w:spacing w:after="0"/>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收款单位：广州交易集团有限公司</w:t>
            </w:r>
          </w:p>
          <w:p>
            <w:pPr>
              <w:pStyle w:val="18"/>
              <w:topLinePunct/>
              <w:spacing w:after="0"/>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开户银行：中国建设银行广州天润路支行</w:t>
            </w:r>
          </w:p>
          <w:p>
            <w:pPr>
              <w:pStyle w:val="18"/>
              <w:topLinePunct/>
              <w:spacing w:after="0"/>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银行账号：44001583404059333333</w:t>
            </w:r>
          </w:p>
          <w:p>
            <w:pPr>
              <w:pStyle w:val="18"/>
              <w:numPr>
                <w:ilvl w:val="0"/>
                <w:numId w:val="3"/>
              </w:numPr>
              <w:topLinePunct/>
              <w:spacing w:after="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如采用投标保函或投标保证保险的形式提交的，在开标前不得强制要求投标人提交纸质原件，由中标候选人在中标候选人公示前提交并在网上公示，但投标人应在投标文件中提交投标保函或投标保证保险扫描件并加盖投标人电子印章。</w:t>
            </w:r>
          </w:p>
          <w:p>
            <w:pPr>
              <w:pStyle w:val="22"/>
              <w:rPr>
                <w:rFonts w:hAnsi="宋体" w:cs="宋体"/>
                <w:color w:val="auto"/>
                <w:highlight w:val="none"/>
              </w:rPr>
            </w:pPr>
            <w:r>
              <w:rPr>
                <w:rFonts w:hint="eastAsia" w:hAnsi="宋体" w:cs="宋体"/>
                <w:color w:val="auto"/>
                <w:spacing w:val="-2"/>
                <w:szCs w:val="21"/>
                <w:highlight w:val="none"/>
                <w:u w:val="single"/>
              </w:rPr>
              <w:t>如采用非现金电子化形式递交投标保证金，按广州公共资源交易中心发布的《广州公共资源交易中心关于开通电子保函服务功能的通知》操作。详见：http://ggzy.gz.gov.cn/zxgg/822128.jhtml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2" w:type="dxa"/>
            <w:tcBorders>
              <w:top w:val="single" w:color="auto" w:sz="4" w:space="0"/>
              <w:left w:val="double" w:color="auto" w:sz="4" w:space="0"/>
              <w:bottom w:val="single" w:color="auto" w:sz="4" w:space="0"/>
              <w:right w:val="single" w:color="auto" w:sz="4" w:space="0"/>
            </w:tcBorders>
            <w:vAlign w:val="center"/>
          </w:tcPr>
          <w:p>
            <w:pPr>
              <w:ind w:firstLine="210" w:firstLineChars="100"/>
              <w:rPr>
                <w:rFonts w:ascii="宋体" w:hAnsi="宋体" w:cs="宋体"/>
                <w:color w:val="auto"/>
                <w:szCs w:val="21"/>
                <w:highlight w:val="none"/>
              </w:rPr>
            </w:pPr>
            <w:r>
              <w:rPr>
                <w:rFonts w:hint="eastAsia" w:ascii="宋体" w:hAnsi="宋体" w:cs="宋体"/>
                <w:color w:val="auto"/>
                <w:szCs w:val="21"/>
                <w:highlight w:val="none"/>
              </w:rPr>
              <w:t>15</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pPr>
              <w:ind w:left="-38" w:leftChars="-18" w:right="-48" w:rightChars="-23"/>
              <w:jc w:val="left"/>
              <w:rPr>
                <w:rFonts w:hint="eastAsia" w:ascii="宋体" w:hAnsi="宋体" w:cs="宋体"/>
                <w:color w:val="auto"/>
                <w:kern w:val="2"/>
                <w:sz w:val="21"/>
                <w:szCs w:val="21"/>
                <w:highlight w:val="none"/>
                <w:u w:val="single"/>
              </w:rPr>
            </w:pPr>
            <w:r>
              <w:rPr>
                <w:rFonts w:hint="eastAsia" w:ascii="宋体" w:hAnsi="宋体"/>
                <w:color w:val="auto"/>
                <w:szCs w:val="21"/>
                <w:u w:val="single"/>
              </w:rPr>
              <w:t>时间：自招标公告发布之日起具备现场踏勘条件。</w:t>
            </w:r>
          </w:p>
          <w:p>
            <w:pPr>
              <w:pStyle w:val="23"/>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招标人不集中组织，由投标人自行踏勘</w:t>
            </w:r>
            <w:r>
              <w:rPr>
                <w:rFonts w:hint="eastAsia" w:ascii="宋体" w:hAnsi="宋体" w:cs="宋体"/>
                <w:color w:val="auto"/>
                <w:kern w:val="2"/>
                <w:sz w:val="21"/>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16</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8</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1、疑问提交时间：</w:t>
            </w:r>
            <w:r>
              <w:rPr>
                <w:rFonts w:hint="eastAsia" w:ascii="宋体" w:hAnsi="宋体" w:cs="宋体"/>
                <w:color w:val="auto"/>
                <w:szCs w:val="21"/>
                <w:highlight w:val="none"/>
                <w:u w:val="single"/>
              </w:rPr>
              <w:t>在递交投标文件截止日期前18日</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2、形式：投标人的疑问通过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交易平台提交。</w:t>
            </w:r>
          </w:p>
          <w:p>
            <w:pPr>
              <w:rPr>
                <w:rFonts w:ascii="宋体" w:hAnsi="宋体" w:cs="宋体"/>
                <w:color w:val="auto"/>
                <w:szCs w:val="21"/>
                <w:highlight w:val="none"/>
              </w:rPr>
            </w:pPr>
            <w:r>
              <w:rPr>
                <w:rFonts w:hint="eastAsia" w:ascii="宋体" w:hAnsi="宋体" w:cs="宋体"/>
                <w:color w:val="auto"/>
                <w:szCs w:val="21"/>
                <w:highlight w:val="none"/>
              </w:rPr>
              <w:t>3、招标人澄清、修补或答疑期限：</w:t>
            </w:r>
            <w:r>
              <w:rPr>
                <w:rFonts w:hint="eastAsia" w:ascii="宋体" w:hAnsi="宋体" w:cs="宋体"/>
                <w:color w:val="auto"/>
                <w:szCs w:val="21"/>
                <w:highlight w:val="none"/>
                <w:u w:val="single"/>
              </w:rPr>
              <w:t>在递交投标文件截止日期前15日</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4、网上答疑的操作指南为：</w:t>
            </w:r>
            <w:r>
              <w:rPr>
                <w:rFonts w:hint="eastAsia" w:ascii="宋体" w:hAnsi="宋体" w:cs="宋体"/>
                <w:color w:val="auto"/>
                <w:szCs w:val="21"/>
                <w:highlight w:val="none"/>
                <w:u w:val="single"/>
              </w:rPr>
              <w:t>登陆广州公共资源交易中心网站→进入交易业务/</w:t>
            </w:r>
            <w:r>
              <w:rPr>
                <w:color w:val="auto"/>
                <w:highlight w:val="none"/>
              </w:rPr>
              <w:fldChar w:fldCharType="begin"/>
            </w:r>
            <w:r>
              <w:rPr>
                <w:color w:val="auto"/>
                <w:highlight w:val="none"/>
              </w:rPr>
              <w:instrText xml:space="preserve"> HYPERLINK "http://ggzy.gz.gov.cn/jyywjsgcfwjzzbgg/index.jhtml" </w:instrText>
            </w:r>
            <w:r>
              <w:rPr>
                <w:color w:val="auto"/>
                <w:highlight w:val="none"/>
              </w:rPr>
              <w:fldChar w:fldCharType="separate"/>
            </w:r>
            <w:r>
              <w:rPr>
                <w:rFonts w:hint="eastAsia" w:ascii="宋体" w:hAnsi="宋体" w:cs="宋体"/>
                <w:color w:val="auto"/>
                <w:szCs w:val="21"/>
                <w:highlight w:val="none"/>
                <w:u w:val="single"/>
              </w:rPr>
              <w:t>建设工程</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 xml:space="preserve"> “网上答疑”专区→通过项目编号或名称找到所需的项目→在上述的答疑时间内点击“提问”→登录系统进入到提问区域→无记名或匿名提出问题以及查看所有的问题。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17</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trike/>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时（北京时间）。</w:t>
            </w:r>
            <w:r>
              <w:rPr>
                <w:rFonts w:hint="eastAsia" w:ascii="宋体" w:hAnsi="宋体"/>
                <w:color w:val="auto"/>
                <w:szCs w:val="21"/>
              </w:rPr>
              <w:t>（详见广州</w:t>
            </w:r>
            <w:r>
              <w:rPr>
                <w:rFonts w:ascii="宋体" w:hAnsi="宋体"/>
                <w:color w:val="auto"/>
                <w:szCs w:val="21"/>
              </w:rPr>
              <w:t>公共资源交易中心</w:t>
            </w:r>
            <w:r>
              <w:rPr>
                <w:rFonts w:hint="eastAsia" w:ascii="宋体" w:hAnsi="宋体"/>
                <w:color w:val="auto"/>
                <w:szCs w:val="21"/>
              </w:rPr>
              <w:t>网站信息）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18</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（技术标和经济标同时开标）</w:t>
            </w:r>
          </w:p>
          <w:p>
            <w:pPr>
              <w:rPr>
                <w:rFonts w:ascii="宋体" w:hAnsi="宋体" w:cs="宋体"/>
                <w:color w:val="auto"/>
                <w:szCs w:val="21"/>
                <w:highlight w:val="none"/>
                <w:u w:val="singl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分（与投标截止时间为同一时间），地点：</w:t>
            </w:r>
            <w:r>
              <w:rPr>
                <w:rFonts w:hint="eastAsia" w:ascii="宋体" w:hAnsi="宋体" w:cs="宋体"/>
                <w:color w:val="auto"/>
                <w:szCs w:val="21"/>
                <w:highlight w:val="none"/>
                <w:u w:val="single"/>
              </w:rPr>
              <w:t>广州公共资源交易中心第  开标室。</w:t>
            </w:r>
          </w:p>
          <w:p>
            <w:pPr>
              <w:rPr>
                <w:rFonts w:ascii="宋体" w:hAnsi="宋体" w:cs="宋体"/>
                <w:color w:val="auto"/>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分；递交地点：</w:t>
            </w:r>
            <w:r>
              <w:rPr>
                <w:rFonts w:hint="eastAsia" w:ascii="宋体" w:hAnsi="宋体" w:cs="宋体"/>
                <w:color w:val="auto"/>
                <w:highlight w:val="none"/>
                <w:u w:val="single"/>
              </w:rPr>
              <w:t>广州公共资源交易中心第  开标室。</w:t>
            </w:r>
            <w:r>
              <w:rPr>
                <w:rFonts w:hint="eastAsia" w:ascii="宋体" w:hAnsi="宋体" w:cs="宋体"/>
                <w:color w:val="auto"/>
                <w:highlight w:val="none"/>
              </w:rPr>
              <w:t>(建议安排在投标文件截止时间前15分钟至投标文件截止时间）</w:t>
            </w:r>
          </w:p>
          <w:p>
            <w:pP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本项目不设置项目负责人签到环节。</w:t>
            </w:r>
          </w:p>
          <w:p>
            <w:pPr>
              <w:rPr>
                <w:rFonts w:ascii="宋体" w:hAnsi="宋体" w:cs="宋体"/>
                <w:color w:val="auto"/>
                <w:szCs w:val="21"/>
                <w:highlight w:val="none"/>
              </w:rPr>
            </w:pPr>
            <w:r>
              <w:rPr>
                <w:rFonts w:hint="eastAsia" w:ascii="宋体" w:hAnsi="宋体" w:cs="宋体"/>
                <w:color w:val="auto"/>
                <w:highlight w:val="none"/>
              </w:rPr>
              <w:t>上述时间及地点是否有改变，请密切留意招标答疑纪要的相关信息。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19</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26</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pPr>
              <w:pStyle w:val="5"/>
              <w:ind w:firstLine="0"/>
              <w:rPr>
                <w:rFonts w:ascii="宋体" w:hAnsi="宋体" w:cs="宋体"/>
                <w:color w:val="auto"/>
                <w:sz w:val="21"/>
                <w:szCs w:val="21"/>
                <w:highlight w:val="none"/>
              </w:rPr>
            </w:pPr>
            <w:r>
              <w:rPr>
                <w:rFonts w:hint="eastAsia" w:ascii="宋体" w:hAnsi="宋体" w:cs="宋体"/>
                <w:color w:val="auto"/>
                <w:sz w:val="21"/>
                <w:szCs w:val="21"/>
                <w:highlight w:val="none"/>
              </w:rPr>
              <w:t>方式一：选取方法</w:t>
            </w:r>
            <w:r>
              <w:rPr>
                <w:rFonts w:hint="eastAsia" w:ascii="宋体" w:hAnsi="宋体" w:cs="宋体"/>
                <w:color w:val="auto"/>
                <w:sz w:val="21"/>
                <w:szCs w:val="21"/>
                <w:highlight w:val="none"/>
                <w:u w:val="single"/>
              </w:rPr>
              <w:t>七（综合评分法四，技术标与经济标同时开启）</w:t>
            </w:r>
            <w:r>
              <w:rPr>
                <w:rFonts w:hint="eastAsia" w:ascii="宋体" w:hAnsi="宋体" w:cs="宋体"/>
                <w:color w:val="auto"/>
                <w:sz w:val="21"/>
                <w:szCs w:val="21"/>
                <w:highlight w:val="none"/>
              </w:rPr>
              <w:t>；</w:t>
            </w:r>
          </w:p>
          <w:p>
            <w:pPr>
              <w:pStyle w:val="5"/>
              <w:ind w:firstLine="0"/>
              <w:rPr>
                <w:rFonts w:ascii="宋体" w:hAnsi="宋体" w:cs="宋体"/>
                <w:color w:val="auto"/>
                <w:sz w:val="21"/>
                <w:szCs w:val="21"/>
                <w:highlight w:val="none"/>
              </w:rPr>
            </w:pPr>
            <w:r>
              <w:rPr>
                <w:rFonts w:hint="eastAsia" w:ascii="宋体" w:hAnsi="宋体" w:cs="宋体"/>
                <w:color w:val="auto"/>
                <w:sz w:val="21"/>
                <w:szCs w:val="21"/>
                <w:highlight w:val="none"/>
              </w:rPr>
              <w:t>投标人总得分=技术得分（20分）＋经济得分（100分）×经济得分权重（80%）。总得分四舍五入保留两位小数。总分相同的，以技术得分高的排前；总分与技术得分均相同，以投标报价较低的排前；如仍存在相同情况，则对具有相同情况的投标人，按中标候选人数量规定，由评标委员会采用随机抽取方式，确定中标候选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29.1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pPr>
              <w:pStyle w:val="5"/>
              <w:spacing w:after="0"/>
              <w:ind w:firstLine="0"/>
              <w:rPr>
                <w:rFonts w:ascii="宋体" w:hAnsi="宋体" w:cs="宋体"/>
                <w:color w:val="auto"/>
                <w:kern w:val="2"/>
                <w:sz w:val="21"/>
                <w:szCs w:val="21"/>
                <w:highlight w:val="none"/>
                <w:u w:val="single"/>
              </w:rPr>
            </w:pPr>
            <w:r>
              <w:rPr>
                <w:rFonts w:hint="eastAsia" w:ascii="宋体" w:hAnsi="宋体" w:cs="宋体"/>
                <w:color w:val="auto"/>
                <w:sz w:val="21"/>
                <w:szCs w:val="21"/>
                <w:highlight w:val="none"/>
              </w:rPr>
              <w:t>方式一：中标人提供的履约保证金为中标价款的10%。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21</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本项目最高投标限价为人民币24198044.56元。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lang w:val="en-US" w:eastAsia="zh-CN"/>
              </w:rPr>
              <w:t>1601081.42</w:t>
            </w:r>
            <w:r>
              <w:rPr>
                <w:rFonts w:hint="eastAsia" w:ascii="宋体" w:hAnsi="宋体" w:cs="宋体"/>
                <w:color w:val="auto"/>
                <w:szCs w:val="21"/>
                <w:highlight w:val="none"/>
              </w:rPr>
              <w:t xml:space="preserve">元，暂列金额为 </w:t>
            </w:r>
            <w:r>
              <w:rPr>
                <w:rFonts w:hint="eastAsia" w:ascii="宋体" w:hAnsi="宋体" w:cs="宋体"/>
                <w:color w:val="auto"/>
                <w:szCs w:val="21"/>
                <w:highlight w:val="none"/>
                <w:u w:val="single"/>
              </w:rPr>
              <w:t xml:space="preserve">  534711.74</w:t>
            </w:r>
            <w:r>
              <w:rPr>
                <w:rFonts w:hint="eastAsia" w:ascii="宋体" w:hAnsi="宋体" w:cs="宋体"/>
                <w:color w:val="auto"/>
                <w:szCs w:val="21"/>
                <w:highlight w:val="none"/>
              </w:rPr>
              <w:t>元，暂估价为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23</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5"/>
              <w:snapToGrid w:val="0"/>
              <w:spacing w:after="0"/>
              <w:ind w:firstLine="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24</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计算评标参考价的等分点值</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w:t>
            </w:r>
            <w:r>
              <w:rPr>
                <w:rFonts w:hint="eastAsia" w:ascii="宋体" w:hAnsi="宋体" w:cs="宋体"/>
                <w:color w:val="auto"/>
                <w:szCs w:val="21"/>
                <w:highlight w:val="none"/>
                <w:u w:val="single"/>
                <w:lang w:val="en-US" w:eastAsia="zh-CN"/>
              </w:rPr>
              <w:t>款</w:t>
            </w:r>
            <w:r>
              <w:rPr>
                <w:rFonts w:hint="eastAsia" w:ascii="宋体" w:hAnsi="宋体" w:cs="宋体"/>
                <w:color w:val="auto"/>
                <w:szCs w:val="21"/>
                <w:highlight w:val="none"/>
                <w:u w:val="single"/>
              </w:rPr>
              <w:t>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25</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w:t>
            </w:r>
            <w:r>
              <w:rPr>
                <w:rFonts w:hint="eastAsia" w:ascii="宋体" w:hAnsi="宋体" w:cs="宋体"/>
                <w:color w:val="auto"/>
                <w:szCs w:val="21"/>
                <w:highlight w:val="none"/>
                <w:u w:val="single"/>
                <w:lang w:val="en-US" w:eastAsia="zh-CN"/>
              </w:rPr>
              <w:t>款</w:t>
            </w:r>
            <w:r>
              <w:rPr>
                <w:rFonts w:hint="eastAsia" w:ascii="宋体" w:hAnsi="宋体" w:cs="宋体"/>
                <w:color w:val="auto"/>
                <w:szCs w:val="21"/>
                <w:highlight w:val="none"/>
                <w:u w:val="single"/>
              </w:rPr>
              <w:t>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26</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工程成本警戒价为</w:t>
            </w:r>
            <w:r>
              <w:rPr>
                <w:rFonts w:hint="eastAsia" w:ascii="宋体" w:hAnsi="宋体" w:cs="宋体"/>
                <w:color w:val="auto"/>
                <w:szCs w:val="21"/>
                <w:highlight w:val="none"/>
                <w:lang w:val="en-US" w:eastAsia="zh-CN"/>
              </w:rPr>
              <w:t>21778240.10</w:t>
            </w:r>
            <w:r>
              <w:rPr>
                <w:rFonts w:hint="eastAsia" w:ascii="宋体" w:hAnsi="宋体" w:cs="宋体"/>
                <w:color w:val="auto"/>
                <w:szCs w:val="21"/>
                <w:highlight w:val="none"/>
              </w:rPr>
              <w:t>元（按最高投标限价的</w:t>
            </w:r>
            <w:r>
              <w:rPr>
                <w:rFonts w:hint="eastAsia" w:ascii="宋体" w:hAnsi="宋体" w:cs="宋体"/>
                <w:color w:val="auto"/>
                <w:szCs w:val="21"/>
                <w:highlight w:val="none"/>
                <w:u w:val="single"/>
              </w:rPr>
              <w:t>90</w:t>
            </w:r>
            <w:r>
              <w:rPr>
                <w:rFonts w:hint="eastAsia" w:ascii="宋体" w:hAnsi="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27</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w:t>
            </w:r>
            <w:r>
              <w:rPr>
                <w:rFonts w:hint="eastAsia" w:ascii="宋体" w:hAnsi="宋体" w:cs="宋体"/>
                <w:color w:val="auto"/>
                <w:szCs w:val="21"/>
                <w:highlight w:val="none"/>
                <w:u w:val="single"/>
                <w:lang w:val="en-US" w:eastAsia="zh-CN"/>
              </w:rPr>
              <w:t>款</w:t>
            </w:r>
            <w:r>
              <w:rPr>
                <w:rFonts w:hint="eastAsia" w:ascii="宋体" w:hAnsi="宋体" w:cs="宋体"/>
                <w:color w:val="auto"/>
                <w:szCs w:val="21"/>
                <w:highlight w:val="none"/>
                <w:u w:val="single"/>
              </w:rPr>
              <w:t>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28</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29</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30</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w:t>
            </w:r>
            <w:r>
              <w:rPr>
                <w:rFonts w:hint="eastAsia" w:ascii="宋体" w:hAnsi="宋体" w:cs="宋体"/>
                <w:color w:val="auto"/>
                <w:szCs w:val="21"/>
                <w:highlight w:val="none"/>
                <w:u w:val="single"/>
                <w:lang w:val="en-US" w:eastAsia="zh-CN"/>
              </w:rPr>
              <w:t>款</w:t>
            </w:r>
            <w:r>
              <w:rPr>
                <w:rFonts w:hint="eastAsia" w:ascii="宋体" w:hAnsi="宋体" w:cs="宋体"/>
                <w:color w:val="auto"/>
                <w:szCs w:val="21"/>
                <w:highlight w:val="none"/>
                <w:u w:val="single"/>
              </w:rPr>
              <w:t>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31</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w:t>
            </w:r>
            <w:r>
              <w:rPr>
                <w:rFonts w:hint="eastAsia" w:ascii="宋体" w:hAnsi="宋体" w:cs="宋体"/>
                <w:color w:val="auto"/>
                <w:szCs w:val="21"/>
                <w:highlight w:val="none"/>
                <w:u w:val="single"/>
                <w:lang w:val="en-US" w:eastAsia="zh-CN"/>
              </w:rPr>
              <w:t>款</w:t>
            </w:r>
            <w:r>
              <w:rPr>
                <w:rFonts w:hint="eastAsia" w:ascii="宋体" w:hAnsi="宋体" w:cs="宋体"/>
                <w:color w:val="auto"/>
                <w:szCs w:val="21"/>
                <w:highlight w:val="none"/>
                <w:u w:val="single"/>
              </w:rPr>
              <w:t>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w:t>
            </w:r>
            <w:r>
              <w:rPr>
                <w:rFonts w:hint="eastAsia" w:ascii="宋体" w:hAnsi="宋体" w:cs="宋体"/>
                <w:color w:val="auto"/>
                <w:szCs w:val="21"/>
                <w:highlight w:val="none"/>
                <w:u w:val="single"/>
                <w:lang w:val="en-US" w:eastAsia="zh-CN"/>
              </w:rPr>
              <w:t>款</w:t>
            </w:r>
            <w:r>
              <w:rPr>
                <w:rFonts w:hint="eastAsia" w:ascii="宋体" w:hAnsi="宋体" w:cs="宋体"/>
                <w:color w:val="auto"/>
                <w:szCs w:val="21"/>
                <w:highlight w:val="none"/>
                <w:u w:val="single"/>
              </w:rPr>
              <w:t>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33</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13.4、13.5.2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Style w:val="140"/>
                <w:rFonts w:ascii="宋体" w:hAnsi="宋体"/>
                <w:color w:val="auto"/>
                <w:szCs w:val="21"/>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34</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kern w:val="0"/>
                <w:szCs w:val="21"/>
                <w:highlight w:val="none"/>
                <w:lang w:val="zh-CN"/>
              </w:rPr>
              <w:t>建设工程质量检测管理办法</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zh-CN"/>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35</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w:t>
            </w:r>
          </w:p>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■允许：</w:t>
            </w:r>
          </w:p>
          <w:p>
            <w:pPr>
              <w:ind w:firstLine="840" w:firstLineChars="4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分包内容要求：</w:t>
            </w:r>
            <w:r>
              <w:rPr>
                <w:rFonts w:hint="eastAsia" w:ascii="宋体" w:hAnsi="宋体" w:cs="宋体"/>
                <w:color w:val="auto"/>
                <w:kern w:val="0"/>
                <w:szCs w:val="21"/>
                <w:highlight w:val="none"/>
                <w:u w:val="single"/>
                <w:lang w:val="zh-CN"/>
              </w:rPr>
              <w:t>非主体的工程、非关键性的工作</w:t>
            </w:r>
          </w:p>
          <w:p>
            <w:pPr>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lang w:val="zh-CN"/>
              </w:rPr>
              <w:t>分包金额要求：</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pPr>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对分包人的资质要求：</w:t>
            </w:r>
            <w:r>
              <w:rPr>
                <w:rFonts w:hint="eastAsia" w:ascii="宋体" w:hAnsi="宋体" w:cs="宋体"/>
                <w:color w:val="auto"/>
                <w:kern w:val="0"/>
                <w:szCs w:val="21"/>
                <w:highlight w:val="none"/>
                <w:u w:val="single"/>
              </w:rPr>
              <w:t>相对应的资质</w:t>
            </w:r>
            <w:r>
              <w:rPr>
                <w:rFonts w:hint="eastAsia" w:ascii="宋体" w:hAnsi="宋体" w:cs="宋体"/>
                <w:color w:val="auto"/>
                <w:kern w:val="0"/>
                <w:szCs w:val="21"/>
                <w:highlight w:val="none"/>
              </w:rPr>
              <w:t>。</w:t>
            </w:r>
          </w:p>
          <w:p>
            <w:pPr>
              <w:rPr>
                <w:rFonts w:ascii="宋体" w:hAnsi="宋体" w:cs="宋体"/>
                <w:color w:val="auto"/>
                <w:kern w:val="0"/>
                <w:szCs w:val="21"/>
                <w:highlight w:val="none"/>
              </w:rPr>
            </w:pPr>
            <w:r>
              <w:rPr>
                <w:rFonts w:hint="eastAsia" w:ascii="宋体" w:hAnsi="宋体" w:cs="宋体"/>
                <w:color w:val="auto"/>
                <w:kern w:val="0"/>
                <w:szCs w:val="21"/>
                <w:highlight w:val="none"/>
                <w:lang w:val="zh-CN"/>
              </w:rPr>
              <w:t>对分包人的其他要求：</w:t>
            </w:r>
            <w:r>
              <w:rPr>
                <w:rFonts w:hint="eastAsia" w:ascii="宋体" w:hAnsi="宋体" w:cs="宋体"/>
                <w:color w:val="auto"/>
                <w:kern w:val="0"/>
                <w:szCs w:val="21"/>
                <w:highlight w:val="none"/>
                <w:u w:val="single"/>
                <w:lang w:val="zh-CN"/>
              </w:rPr>
              <w:t>未在以往工程中因不诚信行为或不充分履约行为被本项目招标人书面拒绝投标的，或未被纳入联合惩戒范围的。须经发包人和总监理工程师书面同意。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Fonts w:hint="eastAsia" w:ascii="宋体" w:hAnsi="宋体" w:cs="宋体"/>
                <w:color w:val="auto"/>
                <w:szCs w:val="21"/>
                <w:highlight w:val="none"/>
                <w:u w:val="single"/>
              </w:rPr>
              <w:t>【房建市政】【交易系统】【投标人】全流程电子化交易系统操作手册</w:t>
            </w:r>
            <w:r>
              <w:rPr>
                <w:rFonts w:hint="eastAsia"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2、提交投标文件光盘备用</w:t>
            </w:r>
          </w:p>
          <w:p>
            <w:pPr>
              <w:rPr>
                <w:rFonts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宋体"/>
                <w:color w:val="auto"/>
                <w:szCs w:val="21"/>
                <w:highlight w:val="none"/>
              </w:rPr>
            </w:pPr>
            <w:r>
              <w:rPr>
                <w:rFonts w:hint="eastAsia" w:ascii="宋体" w:hAnsi="宋体" w:cs="宋体"/>
                <w:color w:val="auto"/>
                <w:szCs w:val="21"/>
                <w:highlight w:val="none"/>
              </w:rPr>
              <w:t xml:space="preserve"> 3、补救方案</w:t>
            </w:r>
          </w:p>
          <w:p>
            <w:pPr>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pPr>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pPr>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宋体"/>
                <w:color w:val="auto"/>
                <w:szCs w:val="21"/>
                <w:highlight w:val="none"/>
              </w:rPr>
            </w:pPr>
            <w:r>
              <w:rPr>
                <w:rFonts w:hint="eastAsia" w:ascii="宋体" w:hAnsi="宋体" w:cs="宋体"/>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szCs w:val="21"/>
                <w:highlight w:val="none"/>
              </w:rPr>
              <w:t>各分值的权重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b/>
                <w:bCs/>
                <w:color w:val="auto"/>
                <w:szCs w:val="21"/>
                <w:highlight w:val="none"/>
                <w:u w:val="single"/>
              </w:rPr>
              <w:t>投标人总得分=技术得分（20分）＋经济得分（100分）×经济得分权重（80%）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u w:val="single"/>
              </w:rPr>
              <w:t>其他费用</w:t>
            </w:r>
          </w:p>
        </w:tc>
        <w:tc>
          <w:tcPr>
            <w:tcW w:w="6048" w:type="dxa"/>
            <w:tcBorders>
              <w:top w:val="single" w:color="auto" w:sz="4" w:space="0"/>
              <w:left w:val="single" w:color="auto" w:sz="4" w:space="0"/>
              <w:bottom w:val="single" w:color="auto" w:sz="4" w:space="0"/>
              <w:right w:val="double" w:color="auto" w:sz="4" w:space="0"/>
            </w:tcBorders>
            <w:vAlign w:val="center"/>
          </w:tcPr>
          <w:p>
            <w:pPr>
              <w:adjustRightInd w:val="0"/>
              <w:spacing w:before="156" w:beforeLines="50"/>
              <w:rPr>
                <w:rFonts w:ascii="宋体" w:hAnsi="宋体" w:cs="宋体"/>
                <w:color w:val="auto"/>
                <w:szCs w:val="21"/>
                <w:highlight w:val="none"/>
                <w:u w:val="single"/>
              </w:rPr>
            </w:pPr>
            <w:r>
              <w:rPr>
                <w:rFonts w:hint="eastAsia" w:ascii="宋体" w:hAnsi="宋体" w:cs="宋体"/>
                <w:color w:val="auto"/>
                <w:szCs w:val="21"/>
                <w:highlight w:val="none"/>
                <w:u w:val="single"/>
              </w:rPr>
              <w:t>交易服务费：由中标人支付，根据政府相关文件规定缴纳。</w:t>
            </w:r>
          </w:p>
          <w:p>
            <w:pPr>
              <w:adjustRightInd w:val="0"/>
              <w:spacing w:before="156" w:beforeLines="50"/>
              <w:rPr>
                <w:rFonts w:ascii="宋体" w:hAnsi="宋体" w:cs="宋体"/>
                <w:b/>
                <w:bCs/>
                <w:color w:val="auto"/>
                <w:szCs w:val="21"/>
                <w:highlight w:val="none"/>
                <w:u w:val="single"/>
              </w:rPr>
            </w:pPr>
            <w:r>
              <w:rPr>
                <w:rFonts w:hint="eastAsia" w:ascii="宋体" w:hAnsi="宋体" w:cs="宋体"/>
                <w:color w:val="auto"/>
                <w:szCs w:val="21"/>
                <w:highlight w:val="none"/>
                <w:u w:val="single"/>
              </w:rPr>
              <w:t>招标代理费：按照招标人与招标代理签订的招标代理合同约定的内容执行。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rPr>
              <w:t>投标文件份数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highlight w:val="none"/>
              </w:rPr>
            </w:pPr>
            <w:r>
              <w:rPr>
                <w:rFonts w:hint="eastAsia" w:ascii="宋体" w:hAnsi="宋体" w:cs="宋体"/>
                <w:color w:val="auto"/>
                <w:highlight w:val="none"/>
              </w:rPr>
              <w:t>投标文件为含电子签章的加密电子投标文件1套。</w:t>
            </w:r>
          </w:p>
          <w:p>
            <w:pPr>
              <w:rPr>
                <w:rFonts w:hint="eastAsia" w:ascii="宋体" w:hAnsi="宋体" w:cs="宋体"/>
                <w:color w:val="auto"/>
                <w:szCs w:val="21"/>
                <w:highlight w:val="none"/>
                <w:u w:val="single"/>
              </w:rPr>
            </w:pPr>
            <w:r>
              <w:rPr>
                <w:rFonts w:hint="eastAsia" w:ascii="宋体" w:hAnsi="宋体" w:cs="宋体"/>
                <w:color w:val="auto"/>
                <w:highlight w:val="none"/>
              </w:rPr>
              <w:t>项目中标后，在发出中标通知书前，中标单位必须提供投标文件纸质版4套，电子版（造价部分需提供软件版本及导出清单）1套。</w:t>
            </w:r>
          </w:p>
        </w:tc>
      </w:tr>
    </w:tbl>
    <w:p>
      <w:pPr>
        <w:pStyle w:val="7"/>
        <w:rPr>
          <w:rFonts w:ascii="宋体" w:hAnsi="宋体" w:cs="宋体"/>
          <w:color w:val="auto"/>
          <w:highlight w:val="none"/>
        </w:rPr>
      </w:pPr>
      <w:r>
        <w:rPr>
          <w:rFonts w:hint="eastAsia" w:ascii="宋体" w:hAnsi="宋体" w:cs="宋体"/>
          <w:color w:val="auto"/>
          <w:highlight w:val="none"/>
        </w:rPr>
        <w:br w:type="page"/>
      </w:r>
      <w:bookmarkStart w:id="2" w:name="_Toc12984"/>
      <w:r>
        <w:rPr>
          <w:rFonts w:hint="eastAsia" w:ascii="宋体" w:hAnsi="宋体" w:cs="宋体"/>
          <w:color w:val="auto"/>
          <w:highlight w:val="none"/>
        </w:rPr>
        <w:t>二、投标须知修改表</w:t>
      </w:r>
      <w:bookmarkEnd w:id="2"/>
    </w:p>
    <w:p>
      <w:pPr>
        <w:pStyle w:val="5"/>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color w:val="auto"/>
          <w:highlight w:val="none"/>
        </w:rPr>
        <w:fldChar w:fldCharType="begin"/>
      </w:r>
      <w:r>
        <w:rPr>
          <w:color w:val="auto"/>
          <w:highlight w:val="none"/>
        </w:rPr>
        <w:instrText xml:space="preserve"> HYPERLINK "http://www.gzcc.gov.cn/）下载查阅" </w:instrText>
      </w:r>
      <w:r>
        <w:rPr>
          <w:color w:val="auto"/>
          <w:highlight w:val="none"/>
        </w:rPr>
        <w:fldChar w:fldCharType="separate"/>
      </w:r>
      <w:r>
        <w:rPr>
          <w:rFonts w:hint="eastAsia" w:ascii="宋体" w:hAnsi="宋体" w:cs="宋体"/>
          <w:b/>
          <w:color w:val="auto"/>
          <w:sz w:val="21"/>
          <w:szCs w:val="21"/>
          <w:highlight w:val="none"/>
          <w:lang w:eastAsia="zh-CN"/>
        </w:rPr>
        <w:t>http://zfcj.gz.gov.cn/</w:t>
      </w:r>
      <w:r>
        <w:rPr>
          <w:rFonts w:hint="eastAsia" w:ascii="宋体" w:hAnsi="宋体" w:cs="宋体"/>
          <w:b/>
          <w:color w:val="auto"/>
          <w:sz w:val="21"/>
          <w:szCs w:val="21"/>
          <w:highlight w:val="none"/>
        </w:rPr>
        <w:t>）下载查阅</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t>。</w:t>
      </w:r>
    </w:p>
    <w:p>
      <w:pPr>
        <w:tabs>
          <w:tab w:val="left" w:pos="5620"/>
        </w:tabs>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2.5</w:t>
      </w:r>
      <w:r>
        <w:rPr>
          <w:rFonts w:hint="eastAsia" w:ascii="宋体" w:hAnsi="宋体" w:cs="宋体"/>
          <w:color w:val="auto"/>
          <w:szCs w:val="21"/>
          <w:highlight w:val="none"/>
          <w:u w:val="single"/>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cs="宋体"/>
          <w:color w:val="auto"/>
          <w:kern w:val="0"/>
          <w:szCs w:val="21"/>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检工作。</w:t>
      </w:r>
    </w:p>
    <w:p>
      <w:pPr>
        <w:tabs>
          <w:tab w:val="left" w:pos="5620"/>
        </w:tabs>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pPr>
        <w:tabs>
          <w:tab w:val="left" w:pos="5620"/>
        </w:tabs>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原文：5</w:t>
      </w:r>
      <w:r>
        <w:rPr>
          <w:rFonts w:hint="eastAsia" w:ascii="宋体" w:hAnsi="宋体" w:cs="宋体"/>
          <w:color w:val="auto"/>
          <w:szCs w:val="21"/>
          <w:highlight w:val="none"/>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4" w:space="1"/>
        </w:pBdr>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color w:val="auto"/>
          <w:szCs w:val="21"/>
          <w:highlight w:val="none"/>
        </w:rPr>
        <w:t>一旦中标，这种考察即被认为其结果已在中标文件中得到充分反映。考察现场的费用由投标人自己承担。</w:t>
      </w:r>
    </w:p>
    <w:p>
      <w:pPr>
        <w:tabs>
          <w:tab w:val="left" w:pos="5620"/>
        </w:tabs>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color w:val="auto"/>
          <w:szCs w:val="21"/>
          <w:highlight w:val="none"/>
        </w:rPr>
        <w:t>7.1</w:t>
      </w:r>
      <w:r>
        <w:rPr>
          <w:rFonts w:hint="eastAsia" w:ascii="宋体" w:hAnsi="宋体" w:cs="宋体"/>
          <w:b/>
          <w:color w:val="auto"/>
          <w:szCs w:val="21"/>
          <w:highlight w:val="none"/>
        </w:rPr>
        <w:t xml:space="preserve">            修改类型：修改</w:t>
      </w:r>
      <w:r>
        <w:rPr>
          <w:rFonts w:hint="eastAsia" w:ascii="宋体" w:hAnsi="宋体" w:cs="宋体"/>
          <w:b/>
          <w:color w:val="auto"/>
          <w:szCs w:val="21"/>
          <w:highlight w:val="none"/>
        </w:rPr>
        <w:tab/>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第一章  </w:t>
      </w:r>
      <w:r>
        <w:rPr>
          <w:rFonts w:hint="eastAsia" w:ascii="宋体" w:hAnsi="宋体" w:cs="宋体"/>
          <w:color w:val="auto"/>
          <w:sz w:val="21"/>
          <w:szCs w:val="21"/>
          <w:highlight w:val="none"/>
        </w:rPr>
        <w:t>投标须知</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第二章  </w:t>
      </w:r>
      <w:r>
        <w:rPr>
          <w:rFonts w:hint="eastAsia" w:ascii="宋体" w:hAnsi="宋体" w:cs="宋体"/>
          <w:color w:val="auto"/>
          <w:sz w:val="21"/>
          <w:szCs w:val="21"/>
          <w:highlight w:val="none"/>
        </w:rPr>
        <w:t>开标、评标及定标办法</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color w:val="auto"/>
          <w:sz w:val="21"/>
          <w:szCs w:val="21"/>
          <w:highlight w:val="none"/>
        </w:rPr>
        <w:t>第三章  合同条款</w:t>
      </w:r>
    </w:p>
    <w:p>
      <w:pPr>
        <w:pStyle w:val="5"/>
        <w:spacing w:after="0"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第四章  </w:t>
      </w:r>
      <w:r>
        <w:rPr>
          <w:rFonts w:hint="eastAsia" w:ascii="宋体" w:hAnsi="宋体" w:cs="宋体"/>
          <w:color w:val="auto"/>
          <w:sz w:val="21"/>
          <w:szCs w:val="21"/>
          <w:highlight w:val="none"/>
        </w:rPr>
        <w:t>投标文件格式</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第五章  </w:t>
      </w:r>
      <w:r>
        <w:rPr>
          <w:rFonts w:hint="eastAsia" w:ascii="宋体" w:hAnsi="宋体" w:cs="宋体"/>
          <w:color w:val="auto"/>
          <w:sz w:val="21"/>
          <w:szCs w:val="21"/>
          <w:highlight w:val="none"/>
        </w:rPr>
        <w:t>技术条件（工程建设标准）（另册）</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第六章  </w:t>
      </w:r>
      <w:r>
        <w:rPr>
          <w:rFonts w:hint="eastAsia" w:ascii="宋体" w:hAnsi="宋体" w:cs="宋体"/>
          <w:color w:val="auto"/>
          <w:sz w:val="21"/>
          <w:szCs w:val="21"/>
          <w:highlight w:val="none"/>
        </w:rPr>
        <w:t>图纸及勘察资料（另册）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招标工程量清单（另册）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第八章  最高投标限价</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第一章  </w:t>
      </w:r>
      <w:r>
        <w:rPr>
          <w:rFonts w:hint="eastAsia" w:ascii="宋体" w:hAnsi="宋体" w:cs="宋体"/>
          <w:color w:val="auto"/>
          <w:sz w:val="21"/>
          <w:szCs w:val="21"/>
          <w:highlight w:val="none"/>
        </w:rPr>
        <w:t>投标须知</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第二章  </w:t>
      </w:r>
      <w:r>
        <w:rPr>
          <w:rFonts w:hint="eastAsia" w:ascii="宋体" w:hAnsi="宋体" w:cs="宋体"/>
          <w:color w:val="auto"/>
          <w:sz w:val="21"/>
          <w:szCs w:val="21"/>
          <w:highlight w:val="none"/>
        </w:rPr>
        <w:t>开标、评标及定标办法</w:t>
      </w:r>
    </w:p>
    <w:p>
      <w:pPr>
        <w:pStyle w:val="5"/>
        <w:spacing w:after="0" w:line="360" w:lineRule="auto"/>
        <w:ind w:left="-2"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第三章  合同条款（另册）</w:t>
      </w:r>
    </w:p>
    <w:p>
      <w:pPr>
        <w:pStyle w:val="5"/>
        <w:spacing w:after="0"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第四章  </w:t>
      </w:r>
      <w:r>
        <w:rPr>
          <w:rFonts w:hint="eastAsia" w:ascii="宋体" w:hAnsi="宋体" w:cs="宋体"/>
          <w:color w:val="auto"/>
          <w:sz w:val="21"/>
          <w:szCs w:val="21"/>
          <w:highlight w:val="none"/>
        </w:rPr>
        <w:t>投标文件格式</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第五章  </w:t>
      </w:r>
      <w:r>
        <w:rPr>
          <w:rFonts w:hint="eastAsia" w:ascii="宋体" w:hAnsi="宋体" w:cs="宋体"/>
          <w:color w:val="auto"/>
          <w:sz w:val="21"/>
          <w:szCs w:val="21"/>
          <w:highlight w:val="none"/>
        </w:rPr>
        <w:t>技术条件（工程建设标准）（另册）</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第六章  </w:t>
      </w:r>
      <w:r>
        <w:rPr>
          <w:rFonts w:hint="eastAsia" w:ascii="宋体" w:hAnsi="宋体" w:cs="宋体"/>
          <w:color w:val="auto"/>
          <w:sz w:val="21"/>
          <w:szCs w:val="21"/>
          <w:highlight w:val="none"/>
        </w:rPr>
        <w:t>图纸及勘察资料（另册）</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第七章  招标</w:t>
      </w:r>
      <w:r>
        <w:rPr>
          <w:rFonts w:hint="eastAsia" w:ascii="宋体" w:hAnsi="宋体" w:cs="宋体"/>
          <w:color w:val="auto"/>
          <w:sz w:val="21"/>
          <w:szCs w:val="21"/>
          <w:highlight w:val="none"/>
        </w:rPr>
        <w:t xml:space="preserve">工程量清单（另册） </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第八章  最高投标限价</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8.1         </w:t>
      </w:r>
      <w:r>
        <w:rPr>
          <w:rFonts w:hint="eastAsia" w:ascii="宋体" w:hAnsi="宋体" w:cs="宋体"/>
          <w:b/>
          <w:color w:val="auto"/>
          <w:szCs w:val="21"/>
          <w:highlight w:val="none"/>
        </w:rPr>
        <w:t>修改类型：修改</w:t>
      </w:r>
    </w:p>
    <w:p>
      <w:pPr>
        <w:pStyle w:val="5"/>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 投标人若对招标文件（包括招标图纸）中有疑问，可以书面形式通过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交易平台提交给招标人或招标代理人，提交形式见本须知前附表第16项。</w:t>
      </w:r>
    </w:p>
    <w:p>
      <w:pPr>
        <w:pBdr>
          <w:bottom w:val="single" w:color="auto" w:sz="6" w:space="1"/>
        </w:pBdr>
        <w:spacing w:line="360" w:lineRule="auto"/>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8.1投标人若对招标文件（包括招标图纸）中有疑问，可以通过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交易平台提交给招标人或招标代理人，提交形式见本须知前附表第16项。</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8.2</w:t>
      </w:r>
      <w:r>
        <w:rPr>
          <w:rFonts w:hint="eastAsia" w:ascii="宋体" w:hAnsi="宋体" w:cs="宋体"/>
          <w:b/>
          <w:color w:val="auto"/>
          <w:szCs w:val="21"/>
          <w:highlight w:val="none"/>
        </w:rPr>
        <w:t xml:space="preserve">             修改类型：修改</w:t>
      </w:r>
    </w:p>
    <w:p>
      <w:pPr>
        <w:pStyle w:val="5"/>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8.2招标答疑会会议纪要将在提交投标文件截止时间15日前在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 “项目答疑纪要”专区公开发布。答疑纪要一经在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交易平台发布，视作已发放给所有投标人。</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9.2</w:t>
      </w:r>
      <w:r>
        <w:rPr>
          <w:rFonts w:hint="eastAsia" w:ascii="宋体" w:hAnsi="宋体" w:cs="宋体"/>
          <w:b/>
          <w:color w:val="auto"/>
          <w:szCs w:val="21"/>
          <w:highlight w:val="none"/>
        </w:rPr>
        <w:t xml:space="preserve">             修改类型：修改</w:t>
      </w:r>
    </w:p>
    <w:p>
      <w:pPr>
        <w:pStyle w:val="5"/>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9.2招标文件的澄清或修改将在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交易平台上网发布时间作为送达时间。</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交易平台上网发布时间作为送达时间。</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9.4             </w:t>
      </w:r>
      <w:r>
        <w:rPr>
          <w:rFonts w:hint="eastAsia" w:ascii="宋体" w:hAnsi="宋体" w:cs="宋体"/>
          <w:b/>
          <w:color w:val="auto"/>
          <w:szCs w:val="21"/>
          <w:highlight w:val="none"/>
        </w:rPr>
        <w:t>修改类型：修改</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w:t>
      </w:r>
      <w:r>
        <w:rPr>
          <w:rFonts w:hint="eastAsia" w:ascii="宋体" w:hAnsi="宋体" w:cs="宋体"/>
          <w:color w:val="auto"/>
          <w:szCs w:val="21"/>
          <w:highlight w:val="none"/>
          <w:u w:val="single"/>
        </w:rPr>
        <w:t>以广州公共资源交易中心网站发布</w:t>
      </w:r>
      <w:r>
        <w:rPr>
          <w:rFonts w:hint="eastAsia" w:ascii="宋体" w:hAnsi="宋体" w:cs="宋体"/>
          <w:color w:val="auto"/>
          <w:szCs w:val="21"/>
          <w:highlight w:val="none"/>
        </w:rPr>
        <w:t>的内容为准。当招标文件的澄清、修改、补充等在同一内容的表述不一致时，</w:t>
      </w:r>
      <w:r>
        <w:rPr>
          <w:rFonts w:hint="eastAsia" w:ascii="宋体" w:hAnsi="宋体" w:cs="宋体"/>
          <w:color w:val="auto"/>
          <w:szCs w:val="21"/>
          <w:highlight w:val="none"/>
          <w:u w:val="single"/>
        </w:rPr>
        <w:t>以广州公共资源交易中心网站最后发布的内容为准</w:t>
      </w:r>
      <w:r>
        <w:rPr>
          <w:rFonts w:hint="eastAsia" w:ascii="宋体" w:hAnsi="宋体" w:cs="宋体"/>
          <w:color w:val="auto"/>
          <w:szCs w:val="21"/>
          <w:highlight w:val="none"/>
        </w:rPr>
        <w:t>。</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bCs/>
          <w:color w:val="auto"/>
          <w:szCs w:val="21"/>
          <w:highlight w:val="none"/>
        </w:rPr>
        <w:t>11.2</w:t>
      </w:r>
      <w:r>
        <w:rPr>
          <w:rFonts w:hint="eastAsia" w:ascii="宋体" w:hAnsi="宋体" w:cs="宋体"/>
          <w:b/>
          <w:color w:val="auto"/>
          <w:szCs w:val="21"/>
          <w:highlight w:val="none"/>
        </w:rPr>
        <w:t xml:space="preserve">            修改类型：修改</w:t>
      </w:r>
    </w:p>
    <w:p>
      <w:pPr>
        <w:pStyle w:val="5"/>
        <w:rPr>
          <w:rFonts w:ascii="宋体" w:hAnsi="宋体" w:cs="宋体"/>
          <w:bCs/>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11.2投标文件技术标部分主要包括下列内容:</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（1）投标人声明；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（8）拟委托技术负责人的相关证书、资料（具体要求由招标人明确）</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（9）拟委派项目负责人的建造师注册证书或小型项目负责人相关证明（取自平台内上传件）；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（10）项目负责人安全培训考核合格证明或在有效期内的安全考核合格证书（B类）或建筑施工企业项目负责人安全生产考核合格证书（取自平台内上传件）；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w:t>
      </w:r>
      <w:r>
        <w:rPr>
          <w:rFonts w:hint="eastAsia" w:ascii="宋体" w:hAnsi="宋体" w:cs="宋体"/>
          <w:color w:val="auto"/>
          <w:szCs w:val="21"/>
          <w:highlight w:val="none"/>
        </w:rPr>
        <w:t>须提供类似工程业绩的项目名称及项目编号，具体格式由招标人自定</w:t>
      </w:r>
      <w:r>
        <w:rPr>
          <w:rFonts w:hint="eastAsia" w:ascii="宋体" w:hAnsi="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w:t>
      </w:r>
      <w:r>
        <w:rPr>
          <w:rFonts w:hint="eastAsia" w:ascii="宋体" w:hAnsi="宋体" w:cs="宋体"/>
          <w:color w:val="auto"/>
          <w:szCs w:val="21"/>
          <w:highlight w:val="none"/>
        </w:rPr>
        <w:t>联合体工作协议应明确约定各方拟承担的工作和责任</w:t>
      </w:r>
      <w:r>
        <w:rPr>
          <w:rFonts w:hint="eastAsia" w:ascii="宋体" w:hAnsi="宋体" w:cs="宋体"/>
          <w:bCs/>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（15）</w:t>
      </w:r>
      <w:r>
        <w:rPr>
          <w:rFonts w:hint="eastAsia" w:ascii="宋体" w:hAnsi="宋体" w:cs="宋体"/>
          <w:color w:val="auto"/>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11.2.3项目管理机构配备。</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（1）投标人应列出该项目工程的施工组织机构构成和画出机构框架图及其负责人；</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（2）投标人应详细列出该施工组织机构中主要成员的名单、简历资料、职务职称和在本项目中拟担任的职务等资料，并附上有关证明材料扫描件；</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（3）其他辅助说明资料。</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11.2.4投标人在广州市可使用适合本工程的机械设备（附：机械设备为自有或租赁的说明；及承诺机械设备如属于租赁的，其租赁是不属于重复租赁）。</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11.2.5施工组织设计或施工方案。</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11.2.6按照招标文件要求填写的《参与编制技术标投标文件人员名单》。</w:t>
      </w:r>
    </w:p>
    <w:p>
      <w:pPr>
        <w:tabs>
          <w:tab w:val="left" w:pos="1125"/>
        </w:tabs>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11.2投标文件技术标部分</w:t>
      </w:r>
      <w:r>
        <w:rPr>
          <w:rFonts w:hint="eastAsia" w:ascii="宋体" w:hAnsi="宋体" w:cs="宋体"/>
          <w:bCs/>
          <w:color w:val="auto"/>
          <w:szCs w:val="21"/>
          <w:highlight w:val="none"/>
          <w:u w:val="single"/>
        </w:rPr>
        <w:t>（含资格审查文件）</w:t>
      </w:r>
      <w:r>
        <w:rPr>
          <w:rFonts w:hint="eastAsia" w:ascii="宋体" w:hAnsi="宋体" w:cs="宋体"/>
          <w:color w:val="auto"/>
          <w:szCs w:val="21"/>
          <w:highlight w:val="none"/>
        </w:rPr>
        <w:t>主要包括下列内容: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11.2.1</w:t>
      </w:r>
      <w:r>
        <w:rPr>
          <w:rFonts w:hint="eastAsia" w:ascii="宋体" w:hAnsi="宋体" w:cs="宋体"/>
          <w:bCs/>
          <w:color w:val="auto"/>
          <w:szCs w:val="21"/>
          <w:highlight w:val="none"/>
          <w:u w:val="single"/>
          <w:lang w:val="en-US" w:eastAsia="zh-CN"/>
        </w:rPr>
        <w:t>目录</w:t>
      </w:r>
      <w:r>
        <w:rPr>
          <w:rFonts w:hint="eastAsia" w:ascii="宋体" w:hAnsi="宋体" w:cs="宋体"/>
          <w:bCs/>
          <w:color w:val="auto"/>
          <w:szCs w:val="21"/>
          <w:highlight w:val="none"/>
          <w:u w:val="singl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11.2.2 资格审查文件：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投标人声明（按招标公告附件一的格式及内容提交）；</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（3）企业营业执照（取自平台内上传件）；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（4）企业资质证书（取自平台内上传件）；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（5）建筑施工企业安全生产许可证（取自平台内上传件）；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bCs/>
          <w:color w:val="auto"/>
          <w:szCs w:val="21"/>
          <w:highlight w:val="none"/>
          <w:u w:val="single"/>
        </w:rPr>
        <w:t>拟委派技术负责人的职称证书扫描件；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u w:val="single"/>
        </w:rPr>
        <w:t>拟委派项目负责人的建造师注册证书（取自平台内上传件）；</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u w:val="single"/>
        </w:rPr>
        <w:t>项目负责人安全培训考核合格证明或在有效期内的安全考核合格证书（B类）或建筑施工企业项目负责人安全生产考核合格证书（取自平台内上传件）；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u w:val="single"/>
        </w:rPr>
        <w:t>专职安全员须具有在有效期内的安全考核合格证书（C类）或建筑施工企业专职安全生产管理人员安全生产考核合格证书（C3类）（取自平台内上传件），项目负责人和安全员不为同一人；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bCs/>
          <w:color w:val="auto"/>
          <w:szCs w:val="21"/>
          <w:highlight w:val="none"/>
          <w:u w:val="single"/>
        </w:rPr>
        <w:t>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11.2.3 广州建设工程施工技术标招标投标书（技术部分格式</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11.2.4 投标人廉洁承诺书（技术部分格式4）</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11.2.5 企业资信等相关资料（技术部分格式5）：按《技术标详细审查评分表》要求提交。</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11.2.6 施工技术承诺书（技术部分格式6）</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11.2.7参与编制技术标投标文件人员名单（技术部分格式7）</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11.2.8拟投入施工项目管理团队人员信息表（技术部分格式8）</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11.2.9技术负责人（或其他项目管理机构人员）基本情况表（技术部分格式9）</w:t>
      </w:r>
    </w:p>
    <w:p>
      <w:pPr>
        <w:pBdr>
          <w:bottom w:val="single" w:color="auto" w:sz="4" w:space="1"/>
        </w:pBdr>
        <w:spacing w:line="360" w:lineRule="auto"/>
        <w:ind w:firstLine="420" w:firstLineChars="200"/>
        <w:rPr>
          <w:rFonts w:hint="eastAsia" w:ascii="宋体" w:hAnsi="宋体" w:cs="宋体"/>
          <w:color w:val="auto"/>
          <w:szCs w:val="21"/>
          <w:highlight w:val="none"/>
          <w:u w:val="single"/>
        </w:rPr>
      </w:pPr>
      <w:bookmarkStart w:id="3" w:name="_Hlk101449593"/>
      <w:r>
        <w:rPr>
          <w:rFonts w:hint="eastAsia" w:ascii="宋体" w:hAnsi="宋体" w:cs="宋体"/>
          <w:color w:val="auto"/>
          <w:szCs w:val="21"/>
          <w:highlight w:val="none"/>
          <w:u w:val="single"/>
        </w:rPr>
        <w:t>11.2.1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业绩获奖情况一览表（技术部分格式1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w:t>
      </w:r>
      <w:bookmarkEnd w:id="3"/>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危险性较大的分部分项工程清单及超过一定规模的危险性较大的分部分项工程清单（技术部分格式1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条款号：  11.3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11.3 经济部分投标文件主要包括下列内容：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11.3.1 经济投标文件(按招标文件的要求填写)。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（1）投标总价封面、扉页；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（3）工程项目投标报价汇总表；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（4）单项工程投标报价汇总表；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（5）单位工程投标报价汇总表；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（9）综合单价分析表；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（11）暂列金额明细表；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（13）专业工程暂估价明细表；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（14）计日工表；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（15）总承包服务计价表；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（16）规费和税金项目计价表；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11.3.3按照招标文件要求填写的《参与编制经济标投标文件人员名单》。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 xml:space="preserve">11.3 </w:t>
      </w:r>
      <w:r>
        <w:rPr>
          <w:rFonts w:hint="eastAsia" w:ascii="宋体" w:hAnsi="宋体" w:cs="宋体"/>
          <w:b/>
          <w:bCs/>
          <w:color w:val="auto"/>
          <w:szCs w:val="21"/>
          <w:highlight w:val="none"/>
          <w:u w:val="single"/>
        </w:rPr>
        <w:t>经济部分投标文件</w:t>
      </w:r>
      <w:r>
        <w:rPr>
          <w:rFonts w:hint="eastAsia" w:ascii="宋体" w:hAnsi="宋体" w:cs="宋体"/>
          <w:bCs/>
          <w:color w:val="auto"/>
          <w:szCs w:val="21"/>
          <w:highlight w:val="none"/>
        </w:rPr>
        <w:t>主要包括下列内容:</w:t>
      </w:r>
    </w:p>
    <w:p>
      <w:pPr>
        <w:pBdr>
          <w:bottom w:val="single" w:color="auto" w:sz="6" w:space="1"/>
        </w:pBdr>
        <w:adjustRightIn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11.3.1 </w:t>
      </w:r>
      <w:r>
        <w:rPr>
          <w:rFonts w:hint="eastAsia" w:ascii="宋体" w:hAnsi="宋体" w:cs="宋体"/>
          <w:color w:val="auto"/>
          <w:szCs w:val="21"/>
          <w:highlight w:val="none"/>
          <w:u w:val="single"/>
          <w:lang w:val="en-US" w:eastAsia="zh-CN"/>
        </w:rPr>
        <w:t>目录</w:t>
      </w:r>
      <w:r>
        <w:rPr>
          <w:rFonts w:hint="eastAsia" w:ascii="宋体" w:hAnsi="宋体" w:cs="宋体"/>
          <w:color w:val="auto"/>
          <w:szCs w:val="21"/>
          <w:highlight w:val="none"/>
          <w:u w:val="single"/>
        </w:rPr>
        <w:t>。</w:t>
      </w:r>
    </w:p>
    <w:p>
      <w:pPr>
        <w:pBdr>
          <w:bottom w:val="single" w:color="auto" w:sz="6" w:space="1"/>
        </w:pBdr>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none"/>
        </w:rPr>
        <w:t>11.3.</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single"/>
        </w:rPr>
        <w:t>广州建设工程施工招标投标书（经济部分格式2）</w:t>
      </w:r>
      <w:r>
        <w:rPr>
          <w:rFonts w:hint="eastAsia" w:ascii="宋体" w:hAnsi="宋体" w:cs="宋体"/>
          <w:color w:val="auto"/>
          <w:szCs w:val="21"/>
          <w:highlight w:val="none"/>
        </w:rPr>
        <w:t>。</w:t>
      </w:r>
    </w:p>
    <w:p>
      <w:pPr>
        <w:pBdr>
          <w:bottom w:val="single" w:color="auto" w:sz="6" w:space="1"/>
        </w:pBd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Cs w:val="21"/>
          <w:highlight w:val="none"/>
          <w:u w:val="single"/>
        </w:rPr>
        <w:t>（投标报价的工程量清单的组成、格式等由广州公共资源交易中心的投标文件管理软件自动生成）</w:t>
      </w:r>
    </w:p>
    <w:p>
      <w:pPr>
        <w:pBdr>
          <w:bottom w:val="single" w:color="auto" w:sz="6" w:space="1"/>
        </w:pBd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按照招标文件要求填写的《参与编制经济标投标文件人员名单》</w:t>
      </w:r>
      <w:r>
        <w:rPr>
          <w:rFonts w:hint="eastAsia" w:ascii="宋体" w:hAnsi="宋体" w:cs="宋体"/>
          <w:color w:val="auto"/>
          <w:szCs w:val="21"/>
          <w:highlight w:val="none"/>
          <w:u w:val="single"/>
        </w:rPr>
        <w:t>（经济部分格式4）</w:t>
      </w:r>
      <w:r>
        <w:rPr>
          <w:rFonts w:hint="eastAsia" w:ascii="宋体" w:hAnsi="宋体" w:cs="宋体"/>
          <w:color w:val="auto"/>
          <w:szCs w:val="21"/>
          <w:highlight w:val="none"/>
        </w:rPr>
        <w:t>。。</w:t>
      </w:r>
    </w:p>
    <w:p>
      <w:pPr>
        <w:pBdr>
          <w:bottom w:val="single" w:color="auto" w:sz="6" w:space="1"/>
        </w:pBdr>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none"/>
        </w:rPr>
        <w:t>11.3.</w:t>
      </w:r>
      <w:r>
        <w:rPr>
          <w:rFonts w:hint="eastAsia" w:ascii="宋体" w:hAnsi="宋体" w:cs="宋体"/>
          <w:color w:val="auto"/>
          <w:szCs w:val="21"/>
          <w:highlight w:val="none"/>
          <w:u w:val="none"/>
          <w:lang w:val="en-US" w:eastAsia="zh-CN"/>
        </w:rPr>
        <w:t>5</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single"/>
        </w:rPr>
        <w:t>《对投标文件编制的承诺》（经济部分格式5）。</w:t>
      </w:r>
    </w:p>
    <w:p>
      <w:pPr>
        <w:pBdr>
          <w:bottom w:val="single" w:color="auto" w:sz="6" w:space="1"/>
        </w:pBd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若投标人的投标报价低于工程成本警戒价的，投标人还须提供详细的施工组织设计、单价、措施性费用、单价分析表、主要材料价格表、投标人成本分析供评标委员会评审。</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12.2       </w:t>
      </w:r>
      <w:r>
        <w:rPr>
          <w:rFonts w:hint="eastAsia" w:ascii="宋体" w:hAnsi="宋体" w:cs="宋体"/>
          <w:b/>
          <w:color w:val="auto"/>
          <w:szCs w:val="21"/>
          <w:highlight w:val="none"/>
        </w:rPr>
        <w:t>修改类型：修改</w:t>
      </w:r>
    </w:p>
    <w:p>
      <w:pPr>
        <w:pStyle w:val="5"/>
        <w:spacing w:after="0"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原文：</w:t>
      </w:r>
      <w:r>
        <w:rPr>
          <w:rFonts w:hint="eastAsia" w:ascii="宋体" w:hAnsi="宋体" w:cs="宋体"/>
          <w:color w:val="auto"/>
          <w:sz w:val="21"/>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广州公共资源交易中心网站。</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12.3       </w:t>
      </w:r>
      <w:r>
        <w:rPr>
          <w:rFonts w:hint="eastAsia" w:ascii="宋体" w:hAnsi="宋体" w:cs="宋体"/>
          <w:b/>
          <w:color w:val="auto"/>
          <w:szCs w:val="21"/>
          <w:highlight w:val="none"/>
        </w:rPr>
        <w:t>修改类型：修改</w:t>
      </w:r>
    </w:p>
    <w:p>
      <w:pPr>
        <w:pStyle w:val="8"/>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u w:val="none"/>
        </w:rPr>
        <w:t>如不按上述要求编制引起系统无法检索、读取相关信息的，其后果由投标人承担。</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13.1 本工程的投标报价采用投标须知前附表第12项所规定的方式。投标报价（含单价及总价）精确到“分”。</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条款号：13.4              修改类型：修改</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13.4</w:t>
      </w:r>
      <w:r>
        <w:rPr>
          <w:rFonts w:hint="eastAsia" w:ascii="宋体" w:hAnsi="宋体" w:cs="宋体"/>
          <w:color w:val="auto"/>
          <w:szCs w:val="21"/>
          <w:highlight w:val="none"/>
        </w:rPr>
        <w:t>投标人一旦中标，投标人对招标人提供的招标工程量清单中列出的工程项目所报出的综合单价，</w:t>
      </w:r>
      <w:r>
        <w:rPr>
          <w:rFonts w:hint="eastAsia" w:ascii="宋体" w:hAnsi="宋体" w:cs="宋体"/>
          <w:color w:val="auto"/>
          <w:szCs w:val="21"/>
          <w:highlight w:val="none"/>
          <w:u w:val="single"/>
        </w:rPr>
        <w:t>除招标文件第三章合同条款另有约定外</w:t>
      </w:r>
      <w:r>
        <w:rPr>
          <w:rFonts w:hint="eastAsia" w:ascii="宋体" w:hAnsi="宋体" w:cs="宋体"/>
          <w:color w:val="auto"/>
          <w:szCs w:val="21"/>
          <w:highlight w:val="none"/>
        </w:rPr>
        <w:t>，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color w:val="auto"/>
          <w:szCs w:val="21"/>
          <w:highlight w:val="none"/>
          <w:u w:val="single"/>
        </w:rPr>
        <w:t>按招标文件第三章合同条款相关约定调整</w:t>
      </w:r>
      <w:r>
        <w:rPr>
          <w:rFonts w:hint="eastAsia" w:ascii="宋体" w:hAnsi="宋体" w:cs="宋体"/>
          <w:color w:val="auto"/>
          <w:szCs w:val="21"/>
          <w:highlight w:val="none"/>
        </w:rPr>
        <w:t>。</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条款号：13.5  13.5.1  13.5.2  13.5.3  13.5.4          修改类型：修改</w:t>
      </w:r>
    </w:p>
    <w:p>
      <w:pPr>
        <w:pStyle w:val="5"/>
        <w:pBdr>
          <w:bottom w:val="single" w:color="auto" w:sz="6" w:space="1"/>
        </w:pBdr>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13.5工程项目实施期间……，中标后双方协商约定。</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变更结算方式按招标文件及施工合同相关规定执行。</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Cs/>
          <w:color w:val="auto"/>
          <w:szCs w:val="21"/>
          <w:highlight w:val="none"/>
        </w:rPr>
        <w:t xml:space="preserve">13.9 </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bCs/>
          <w:color w:val="auto"/>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条款号：16.1-16.5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16.1投标人应按投标须知前附表第14项所述金额和时间递交</w:t>
      </w:r>
      <w:r>
        <w:rPr>
          <w:rFonts w:hint="eastAsia" w:ascii="宋体" w:hAnsi="宋体" w:cs="宋体"/>
          <w:bCs/>
          <w:color w:val="auto"/>
          <w:szCs w:val="21"/>
          <w:highlight w:val="none"/>
        </w:rPr>
        <w:t>投标保证金</w:t>
      </w:r>
      <w:r>
        <w:rPr>
          <w:rFonts w:hint="eastAsia" w:ascii="宋体" w:hAnsi="宋体" w:cs="宋体"/>
          <w:color w:val="auto"/>
          <w:szCs w:val="21"/>
          <w:highlight w:val="none"/>
        </w:rPr>
        <w:t>。招标人应当允许投标人自主选择现金、银行保函、保证保险、专业工程担保公司担保等方式缴纳投标保证金。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注：16.5.3款由招标人二选一，需在招标文件中明确。</w:t>
      </w:r>
    </w:p>
    <w:p>
      <w:pPr>
        <w:pBdr>
          <w:bottom w:val="single" w:color="auto" w:sz="6" w:space="1"/>
        </w:pBdr>
        <w:spacing w:line="360" w:lineRule="auto"/>
        <w:ind w:firstLine="527" w:firstLineChars="250"/>
        <w:rPr>
          <w:rFonts w:ascii="宋体" w:hAnsi="宋体" w:cs="宋体"/>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16.1投标人应按投标须知前附表第14项所述金额和时间递交投标保证金。</w:t>
      </w:r>
      <w:r>
        <w:rPr>
          <w:rFonts w:hint="eastAsia" w:ascii="宋体" w:hAnsi="宋体" w:cs="宋体"/>
          <w:bCs/>
          <w:color w:val="auto"/>
          <w:szCs w:val="21"/>
          <w:highlight w:val="none"/>
          <w:u w:val="single"/>
        </w:rPr>
        <w:t>招标人应当允许投标人自主选择现金、银行保函、保证保险、专业工程担保公司担保等方式缴纳投标保证金。</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16.1.1 采用现金</w:t>
      </w:r>
      <w:r>
        <w:rPr>
          <w:rFonts w:hint="eastAsia" w:ascii="宋体" w:hAnsi="宋体" w:cs="宋体"/>
          <w:bCs/>
          <w:color w:val="auto"/>
          <w:szCs w:val="21"/>
          <w:highlight w:val="none"/>
          <w:u w:val="single"/>
        </w:rPr>
        <w:t>或者支票</w:t>
      </w:r>
      <w:r>
        <w:rPr>
          <w:rFonts w:hint="eastAsia" w:ascii="宋体" w:hAnsi="宋体" w:cs="宋体"/>
          <w:bCs/>
          <w:color w:val="auto"/>
          <w:szCs w:val="21"/>
          <w:highlight w:val="none"/>
        </w:rPr>
        <w:t>形式提交的，投标保证金须从投标人的银行基本账户转出。</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16.1.3 采用电子形式的保函、担保或保证保险提交投标保证金的，应在招标文件中明确电子递交途径。</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16.3投标保证金应依据法律法规的相关规定退还。</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16.4如有下列情况之一的，招标人将不予退还投标保证金：</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16.4.1因投标人原因造成投标文件未解密的；</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16.4.2投标人在投标有效期内撤销投标文件；</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16.4.3中标人未能在规定期限内按要求提交履约担保；</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16.4.4中标人未能在规定期限内签署合同协议。</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16.5</w:t>
      </w:r>
      <w:r>
        <w:rPr>
          <w:rFonts w:hint="eastAsia" w:ascii="宋体" w:hAnsi="宋体" w:cs="宋体"/>
          <w:color w:val="auto"/>
          <w:kern w:val="0"/>
          <w:szCs w:val="24"/>
          <w:highlight w:val="none"/>
          <w:u w:val="single"/>
        </w:rPr>
        <w:t>投标人如存在下列情况之一的，将被拒绝在一定时期内参与招标人后续工程投标（拒绝投标时限为</w:t>
      </w:r>
      <w:r>
        <w:rPr>
          <w:rFonts w:hint="eastAsia" w:ascii="宋体" w:hAnsi="宋体" w:cs="宋体"/>
          <w:color w:val="auto"/>
          <w:kern w:val="0"/>
          <w:szCs w:val="24"/>
          <w:highlight w:val="none"/>
          <w:u w:val="single"/>
          <w:lang w:val="en-US" w:eastAsia="zh-CN"/>
        </w:rPr>
        <w:t>1年</w:t>
      </w:r>
      <w:r>
        <w:rPr>
          <w:rFonts w:hint="eastAsia" w:ascii="宋体" w:hAnsi="宋体" w:cs="宋体"/>
          <w:color w:val="auto"/>
          <w:kern w:val="0"/>
          <w:szCs w:val="24"/>
          <w:highlight w:val="none"/>
          <w:u w:val="single"/>
        </w:rPr>
        <w:t>）；</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16.5.1投标人存在16.4条款所列情形且投标人提交的保函、担保或保证保险无法兑付的；</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17.1</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18、19</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18．</w:t>
      </w:r>
      <w:r>
        <w:rPr>
          <w:rFonts w:hint="eastAsia" w:ascii="宋体" w:hAnsi="宋体" w:cs="宋体"/>
          <w:b/>
          <w:color w:val="auto"/>
          <w:szCs w:val="21"/>
          <w:highlight w:val="none"/>
        </w:rPr>
        <w:t>投标文件的密封和标记</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19．投标文件的递交和接收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Cs w:val="21"/>
          <w:highlight w:val="none"/>
        </w:rPr>
        <w:t>交易平台递交电子投标文件。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rPr>
        <w:t>交易平台即时向投标人发出递交回执通知。递交时间以递交回执通知载明的传输完成时间为准。</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rPr>
        <w:t>交易平台将予以拒收。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19.5如技术标和经济标先后分别开启，交易平台将按招标文件规定的时间分别开启技术标和经济标。</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pStyle w:val="5"/>
        <w:spacing w:after="0" w:line="360" w:lineRule="auto"/>
        <w:ind w:firstLine="422" w:firstLineChars="200"/>
        <w:rPr>
          <w:rFonts w:ascii="宋体" w:hAnsi="宋体" w:cs="宋体"/>
          <w:b/>
          <w:bCs/>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b/>
          <w:bCs/>
          <w:color w:val="auto"/>
          <w:sz w:val="21"/>
          <w:szCs w:val="21"/>
          <w:highlight w:val="none"/>
        </w:rPr>
        <w:t>18．</w:t>
      </w:r>
      <w:r>
        <w:rPr>
          <w:rFonts w:hint="eastAsia" w:ascii="宋体" w:hAnsi="宋体" w:cs="宋体"/>
          <w:b/>
          <w:color w:val="auto"/>
          <w:sz w:val="21"/>
          <w:szCs w:val="21"/>
          <w:highlight w:val="none"/>
        </w:rPr>
        <w:t>投标文件的密封和标记</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19．投标文件的递交和接收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交易平台递交电子投标文件。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交易平台将予以拒收。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19.5技术标和经济标同时开启，广州公共资源交易中心交易平台将按招标文件规定的时间同时开启技术标和经济标。</w:t>
      </w:r>
    </w:p>
    <w:p>
      <w:pPr>
        <w:adjustRightInd w:val="0"/>
        <w:spacing w:line="360" w:lineRule="auto"/>
        <w:ind w:firstLine="470" w:firstLineChars="223"/>
        <w:rPr>
          <w:rFonts w:ascii="宋体" w:hAnsi="宋体" w:cs="宋体"/>
          <w:b/>
          <w:color w:val="auto"/>
          <w:szCs w:val="21"/>
          <w:highlight w:val="none"/>
        </w:rPr>
      </w:pPr>
      <w:r>
        <w:rPr>
          <w:rFonts w:hint="eastAsia" w:ascii="宋体" w:hAnsi="宋体" w:cs="宋体"/>
          <w:b/>
          <w:color w:val="auto"/>
          <w:szCs w:val="21"/>
          <w:highlight w:val="none"/>
        </w:rPr>
        <w:t>条款号：20.3             修改类型：修改</w:t>
      </w:r>
    </w:p>
    <w:p>
      <w:pPr>
        <w:adjustRightInd w:val="0"/>
        <w:spacing w:line="360" w:lineRule="auto"/>
        <w:ind w:firstLine="472" w:firstLineChars="224"/>
        <w:rPr>
          <w:rFonts w:ascii="宋体" w:hAnsi="宋体" w:cs="宋体"/>
          <w:b/>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20.3 到投标截止时间止，招标人收到的投标文件少于3家的，招标人将重新组织招标（当N个标段同时招标且不允许兼中时，若有效投标单位不足N+4家，则重新组织招标）。</w:t>
      </w:r>
    </w:p>
    <w:p>
      <w:pPr>
        <w:pBdr>
          <w:bottom w:val="single" w:color="auto" w:sz="6" w:space="1"/>
        </w:pBdr>
        <w:adjustRightInd w:val="0"/>
        <w:spacing w:line="360" w:lineRule="auto"/>
        <w:ind w:firstLine="527" w:firstLineChars="250"/>
        <w:rPr>
          <w:rFonts w:ascii="宋体" w:hAnsi="宋体" w:cs="宋体"/>
          <w:b/>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20.3 到投标截止时间止，招标人收到的投标文件少于</w:t>
      </w:r>
      <w:r>
        <w:rPr>
          <w:rFonts w:hint="eastAsia" w:ascii="宋体" w:hAnsi="宋体" w:cs="宋体"/>
          <w:color w:val="auto"/>
          <w:szCs w:val="21"/>
          <w:highlight w:val="none"/>
          <w:u w:val="single"/>
        </w:rPr>
        <w:t>3家</w:t>
      </w:r>
      <w:r>
        <w:rPr>
          <w:rFonts w:hint="eastAsia" w:ascii="宋体" w:hAnsi="宋体" w:cs="宋体"/>
          <w:color w:val="auto"/>
          <w:szCs w:val="21"/>
          <w:highlight w:val="none"/>
        </w:rPr>
        <w:t>的，招标人将重新组织招标。</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21.1</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rPr>
        <w:t>交易平台将予以拒收。</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交易平台将予以拒收。</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条款号：27.1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27.1招标人将在交易平台、广东省招标投标监管网和中国招标投标公共服务平台公示中标候选人，公示期为三天。</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交易平台、广东省招标投标监管网和中国招标投标公共服务平台公示中标候选人，公示期为三天。</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27.4</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27.4在产生中标候选人后，招标人将中标候选人的投标文件商务部分文件的所有内容（包括报价清单、人员、业绩、奖项等资料）在交易平台和广东省招标投标监管网公开。</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kern w:val="0"/>
          <w:szCs w:val="21"/>
          <w:highlight w:val="none"/>
          <w:u w:val="single"/>
        </w:rPr>
        <w:t>广州公共资源交易中心</w:t>
      </w:r>
      <w:r>
        <w:rPr>
          <w:rFonts w:hint="eastAsia" w:ascii="宋体" w:hAnsi="宋体" w:cs="宋体"/>
          <w:color w:val="auto"/>
          <w:szCs w:val="21"/>
          <w:highlight w:val="none"/>
        </w:rPr>
        <w:t>交易平台和广东省招标投标监管网公开。</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条款号：29.1  29.2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29.1 在收到中标通知书后的15日内，中标人应按本须知前附表第20项的规定向招标人提交履约担保；如果中标人的履约担保是以银行保函的形式提供，则该银行保函应由在中国注册且营业地点在广州行政辖区内的银行开具。</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29.1在签订合同后5个工作日内，中标人应按本须知前附表第20项的规定向招标人提交履约担保；</w:t>
      </w:r>
    </w:p>
    <w:p>
      <w:pPr>
        <w:pBdr>
          <w:bottom w:val="single" w:color="auto" w:sz="6" w:space="1"/>
        </w:pBdr>
        <w:spacing w:line="360" w:lineRule="auto"/>
        <w:ind w:firstLine="525" w:firstLineChars="250"/>
        <w:rPr>
          <w:rFonts w:ascii="宋体" w:hAnsi="宋体" w:cs="宋体"/>
          <w:b/>
          <w:color w:val="auto"/>
          <w:szCs w:val="21"/>
          <w:highlight w:val="none"/>
        </w:rPr>
      </w:pPr>
      <w:r>
        <w:rPr>
          <w:rFonts w:hint="eastAsia" w:ascii="宋体" w:hAnsi="宋体" w:cs="宋体"/>
          <w:color w:val="auto"/>
          <w:szCs w:val="21"/>
          <w:highlight w:val="none"/>
        </w:rPr>
        <w:t>29.2中标人未按上款的规定提交履约担保，招标人有权解除合同并拒绝支付相应工程款项，且中标人依法承担相应法律责任。原中标人给招标人造成损失的，还应当予以赔偿。原中标人有异议的，按合同纠纷条款执行。</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条款号：29.3            修改类型：增加</w:t>
      </w:r>
    </w:p>
    <w:p>
      <w:pPr>
        <w:pBdr>
          <w:bottom w:val="single" w:color="auto" w:sz="6" w:space="1"/>
        </w:pBdr>
        <w:tabs>
          <w:tab w:val="left" w:pos="1620"/>
        </w:tabs>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中</w:t>
      </w:r>
      <w:r>
        <w:rPr>
          <w:rFonts w:hint="eastAsia" w:ascii="宋体" w:hAnsi="宋体" w:cs="宋体"/>
          <w:color w:val="auto"/>
          <w:szCs w:val="21"/>
          <w:highlight w:val="none"/>
        </w:rPr>
        <w:t>标单位在本项目结束中标公示后3天内，须提供与递交投标文件电子标书内容一致且每页加盖单位公章的纸质文件四套（一正一副）及电子文件一套（不用生成投标书）；包括用Microsoft Excel软件或广州公共资源交易中心提供的投标书制作软件制作的工程量清单报价表和单价分析表，用Microsoft Excel软件或广州公共资源交易中心提供的投标书制作软件制作的经济投标文件其它部分。电子文件介质使用CD-R光盘，所有电子文件不能采用压缩处理）给招标人。</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条款号：33.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原文：33.投标人信誉的要求</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存在下列情形之一的，招标人可以限制其投标（需在招标文件中明确评定方法）</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（1）被住房城乡建设行政主管部门在全国建筑市场监管一体化工作平台列入建筑市场主体“黑名单”；</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（2）被发改委、人力资源社会保障、质检总局等有关部门、单位在“信用中国”网站中列入联合惩戒失信黑名单。</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现文：33.投标人信誉的要求</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存在下列情形之一的，招标人可以限制其投标</w:t>
      </w:r>
      <w:r>
        <w:rPr>
          <w:rFonts w:hint="eastAsia" w:ascii="宋体" w:hAnsi="宋体" w:cs="宋体"/>
          <w:b/>
          <w:color w:val="auto"/>
          <w:szCs w:val="21"/>
          <w:highlight w:val="none"/>
          <w:u w:val="single"/>
        </w:rPr>
        <w:t>（按照《投标人声明》评审）</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（1）被住房城乡建设行政主管部门在全国建筑市场监管一体化工作平台列入建筑市场主体“黑名单”；</w:t>
      </w:r>
    </w:p>
    <w:p>
      <w:pPr>
        <w:pBdr>
          <w:bottom w:val="single" w:color="auto" w:sz="6" w:space="1"/>
        </w:pBdr>
        <w:spacing w:line="360" w:lineRule="auto"/>
        <w:ind w:firstLine="525" w:firstLineChars="250"/>
        <w:rPr>
          <w:rFonts w:ascii="宋体" w:hAnsi="宋体" w:cs="宋体"/>
          <w:b/>
          <w:color w:val="auto"/>
          <w:szCs w:val="21"/>
          <w:highlight w:val="none"/>
        </w:rPr>
      </w:pPr>
      <w:r>
        <w:rPr>
          <w:rFonts w:hint="eastAsia" w:ascii="宋体" w:hAnsi="宋体" w:cs="宋体"/>
          <w:bCs/>
          <w:color w:val="auto"/>
          <w:szCs w:val="21"/>
          <w:highlight w:val="none"/>
        </w:rPr>
        <w:t>（2）被发改委、人力资源社会保障、质检总局等有关部门、单位在“信用中国”网站中列入联合惩戒失信黑名单。</w:t>
      </w:r>
    </w:p>
    <w:p>
      <w:pPr>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（以下无正文）</w:t>
      </w:r>
    </w:p>
    <w:p>
      <w:pPr>
        <w:pStyle w:val="8"/>
        <w:spacing w:line="360" w:lineRule="auto"/>
        <w:ind w:firstLine="422" w:firstLineChars="200"/>
        <w:rPr>
          <w:rFonts w:ascii="宋体" w:hAnsi="宋体" w:cs="宋体"/>
          <w:b/>
          <w:bCs/>
          <w:color w:val="auto"/>
          <w:szCs w:val="21"/>
          <w:highlight w:val="none"/>
        </w:rPr>
        <w:sectPr>
          <w:footerReference r:id="rId7" w:type="first"/>
          <w:headerReference r:id="rId3" w:type="default"/>
          <w:footerReference r:id="rId5" w:type="default"/>
          <w:headerReference r:id="rId4" w:type="even"/>
          <w:footerReference r:id="rId6" w:type="even"/>
          <w:endnotePr>
            <w:numFmt w:val="decimal"/>
          </w:endnotePr>
          <w:pgSz w:w="11906" w:h="16838"/>
          <w:pgMar w:top="1134" w:right="1418" w:bottom="1247" w:left="1418" w:header="851" w:footer="907" w:gutter="0"/>
          <w:cols w:space="720" w:num="1"/>
          <w:titlePg/>
          <w:docGrid w:type="lines" w:linePitch="312" w:charSpace="0"/>
        </w:sectPr>
      </w:pPr>
    </w:p>
    <w:p>
      <w:pPr>
        <w:pStyle w:val="7"/>
        <w:rPr>
          <w:rFonts w:ascii="宋体" w:hAnsi="宋体" w:cs="宋体"/>
          <w:color w:val="auto"/>
          <w:highlight w:val="none"/>
        </w:rPr>
      </w:pPr>
      <w:bookmarkStart w:id="4" w:name="_Toc24881"/>
      <w:r>
        <w:rPr>
          <w:rFonts w:hint="eastAsia" w:ascii="宋体" w:hAnsi="宋体" w:cs="宋体"/>
          <w:color w:val="auto"/>
          <w:highlight w:val="none"/>
        </w:rPr>
        <w:t>三、投标须知通用条款</w:t>
      </w:r>
      <w:bookmarkEnd w:id="4"/>
    </w:p>
    <w:p>
      <w:pPr>
        <w:pStyle w:val="9"/>
        <w:spacing w:before="156" w:after="156"/>
        <w:rPr>
          <w:rFonts w:cs="宋体"/>
          <w:color w:val="auto"/>
          <w:highlight w:val="none"/>
        </w:rPr>
      </w:pPr>
      <w:bookmarkStart w:id="5" w:name="_Toc21525493"/>
      <w:bookmarkStart w:id="6" w:name="_Toc2272549"/>
      <w:bookmarkStart w:id="7" w:name="_Toc373"/>
      <w:r>
        <w:rPr>
          <w:rFonts w:hint="eastAsia" w:cs="宋体"/>
          <w:color w:val="auto"/>
          <w:highlight w:val="none"/>
        </w:rPr>
        <w:t>（一）总则</w:t>
      </w:r>
      <w:bookmarkEnd w:id="5"/>
      <w:bookmarkEnd w:id="6"/>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1、定义</w:t>
      </w:r>
    </w:p>
    <w:p>
      <w:pPr>
        <w:pStyle w:val="5"/>
        <w:spacing w:after="0"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本招标文件使用的下列词语具有如下规定的意义：</w:t>
      </w:r>
    </w:p>
    <w:p>
      <w:pPr>
        <w:pStyle w:val="5"/>
        <w:spacing w:after="0"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（1）“招标人”（即发包人）、“项目建设管理单位”（或称“项目代建单位”）、“招标代理”、“设计单位”、“监理单位”均已在投标须知前附表中列明。</w:t>
      </w:r>
    </w:p>
    <w:p>
      <w:pPr>
        <w:pStyle w:val="5"/>
        <w:spacing w:after="0"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（2）“投标人”指向招标人提交投标文件的当事人。   </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（3）“承包人”指其投标被招标人接受并与其签订承包合同的当事人。</w:t>
      </w:r>
    </w:p>
    <w:p>
      <w:pPr>
        <w:pStyle w:val="5"/>
        <w:spacing w:after="0"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（4）“招标文件”指由招标代理发出的本文件（包括全部章节、附件）及招标答疑会会议纪要和</w:t>
      </w:r>
      <w:r>
        <w:rPr>
          <w:rFonts w:hint="eastAsia" w:ascii="宋体" w:hAnsi="宋体" w:cs="宋体"/>
          <w:bCs/>
          <w:color w:val="auto"/>
          <w:sz w:val="24"/>
          <w:highlight w:val="none"/>
        </w:rPr>
        <w:t>招标文件的澄清与修改</w:t>
      </w:r>
      <w:r>
        <w:rPr>
          <w:rFonts w:hint="eastAsia" w:ascii="宋体" w:hAnsi="宋体" w:cs="宋体"/>
          <w:color w:val="auto"/>
          <w:sz w:val="24"/>
          <w:highlight w:val="none"/>
        </w:rPr>
        <w:t>文件。</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（5）“投标文件”指投标人根据本项目招标文件向招标人提交的全部文件。</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（6）“书面形式”指打字或印刷的文件和数据电文（包括电报、电传、传真、电子数据交换和电子邮件）。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2、招标说明</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2.1本招标工程项目按照《中华人民共和国招标投标法》等有关法律、行政法规、规章和规范性文件，通过招标方式选定承包人。</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2.2工程名称、建设地点、建设规模、承包方式、质量标准、招标范围、工期要求等均在投标须知前附表中列明。</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2.3设计说明：详见招标图纸。</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2.4工程施工特点：详见招标图纸。</w:t>
      </w:r>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3．资金来源</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3.1本招标工程项目资金来源见投标须知前附表第9项</w:t>
      </w:r>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4．合格投标人的条件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4.1详见本项目招标公告</w:t>
      </w:r>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5．踏勘现场</w:t>
      </w:r>
    </w:p>
    <w:p>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5.1 投标人应按本投标须知前附表第15项所述时间和要求对工程现场及周围环境进行踏勘，</w:t>
      </w:r>
      <w:r>
        <w:rPr>
          <w:rFonts w:hint="eastAsia" w:ascii="宋体" w:hAnsi="宋体" w:cs="宋体"/>
          <w:color w:val="auto"/>
          <w:sz w:val="24"/>
          <w:highlight w:val="none"/>
        </w:rPr>
        <w:t>投标人应充分重视和仔细地进行这种考察，</w:t>
      </w:r>
      <w:r>
        <w:rPr>
          <w:rFonts w:hint="eastAsia" w:ascii="宋体" w:hAnsi="宋体" w:cs="宋体"/>
          <w:bCs/>
          <w:color w:val="auto"/>
          <w:sz w:val="24"/>
          <w:highlight w:val="none"/>
        </w:rPr>
        <w:t>以便投标人获取</w:t>
      </w:r>
      <w:r>
        <w:rPr>
          <w:rFonts w:hint="eastAsia" w:ascii="宋体" w:hAnsi="宋体" w:cs="宋体"/>
          <w:color w:val="auto"/>
          <w:sz w:val="24"/>
          <w:highlight w:val="none"/>
        </w:rPr>
        <w:t>那些须投标人自己负责的</w:t>
      </w:r>
      <w:r>
        <w:rPr>
          <w:rFonts w:hint="eastAsia" w:ascii="宋体" w:hAnsi="宋体" w:cs="宋体"/>
          <w:bCs/>
          <w:color w:val="auto"/>
          <w:sz w:val="24"/>
          <w:highlight w:val="none"/>
        </w:rPr>
        <w:t>有关编制投标文件和签署合同所涉及现场所有的资料。</w:t>
      </w:r>
      <w:r>
        <w:rPr>
          <w:rFonts w:hint="eastAsia" w:ascii="宋体" w:hAnsi="宋体" w:cs="宋体"/>
          <w:color w:val="auto"/>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5.2 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5.3 经招标人允许，投标人可为踏勘目的进入招标人的项目现场。</w:t>
      </w:r>
      <w:r>
        <w:rPr>
          <w:rFonts w:hint="eastAsia" w:ascii="宋体" w:hAnsi="宋体" w:cs="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6．投标费用</w:t>
      </w:r>
    </w:p>
    <w:p>
      <w:pPr>
        <w:tabs>
          <w:tab w:val="left" w:pos="10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6.1</w:t>
      </w:r>
      <w:r>
        <w:rPr>
          <w:rFonts w:hint="eastAsia" w:ascii="宋体" w:hAnsi="宋体" w:cs="宋体"/>
          <w:color w:val="auto"/>
          <w:sz w:val="24"/>
          <w:highlight w:val="none"/>
        </w:rPr>
        <w:t>不论投标结果如何，投标人应承担</w:t>
      </w:r>
      <w:r>
        <w:rPr>
          <w:rFonts w:hint="eastAsia" w:ascii="宋体" w:hAnsi="宋体" w:cs="宋体"/>
          <w:bCs/>
          <w:color w:val="auto"/>
          <w:sz w:val="24"/>
          <w:highlight w:val="none"/>
        </w:rPr>
        <w:t>自身</w:t>
      </w:r>
      <w:r>
        <w:rPr>
          <w:rFonts w:hint="eastAsia" w:ascii="宋体" w:hAnsi="宋体" w:cs="宋体"/>
          <w:color w:val="auto"/>
          <w:sz w:val="24"/>
          <w:highlight w:val="none"/>
        </w:rPr>
        <w:t>因投标文件编制、递交及其他</w:t>
      </w:r>
      <w:r>
        <w:rPr>
          <w:rFonts w:hint="eastAsia" w:ascii="宋体" w:hAnsi="宋体" w:cs="宋体"/>
          <w:bCs/>
          <w:color w:val="auto"/>
          <w:sz w:val="24"/>
          <w:highlight w:val="none"/>
        </w:rPr>
        <w:t>参加本招标活动</w:t>
      </w:r>
      <w:r>
        <w:rPr>
          <w:rFonts w:hint="eastAsia" w:ascii="宋体" w:hAnsi="宋体" w:cs="宋体"/>
          <w:color w:val="auto"/>
          <w:sz w:val="24"/>
          <w:highlight w:val="none"/>
        </w:rPr>
        <w:t>所涉及的一切费用，招标人对上述费用不负任何责任。</w:t>
      </w:r>
    </w:p>
    <w:p>
      <w:pPr>
        <w:pStyle w:val="9"/>
        <w:spacing w:before="156" w:after="156"/>
        <w:rPr>
          <w:rFonts w:cs="宋体"/>
          <w:color w:val="auto"/>
          <w:highlight w:val="none"/>
        </w:rPr>
      </w:pPr>
      <w:bookmarkStart w:id="8" w:name="_Toc2272550"/>
      <w:bookmarkStart w:id="9" w:name="_Toc21525494"/>
      <w:r>
        <w:rPr>
          <w:rFonts w:hint="eastAsia" w:cs="宋体"/>
          <w:color w:val="auto"/>
          <w:highlight w:val="none"/>
        </w:rPr>
        <w:t>（二）招标文件</w:t>
      </w:r>
      <w:bookmarkEnd w:id="8"/>
      <w:bookmarkEnd w:id="9"/>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7.招标文件的组成</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7.1</w:t>
      </w:r>
      <w:r>
        <w:rPr>
          <w:rFonts w:hint="eastAsia" w:ascii="宋体" w:hAnsi="宋体" w:cs="宋体"/>
          <w:color w:val="auto"/>
          <w:sz w:val="24"/>
          <w:highlight w:val="none"/>
        </w:rPr>
        <w:t>本招标文件包括下列文件，以及所有按本须知第8条发出的招标答疑会会议纪要和按本须知第9条发出的澄清或修改：</w:t>
      </w:r>
    </w:p>
    <w:p>
      <w:pPr>
        <w:pStyle w:val="5"/>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第一章  </w:t>
      </w:r>
      <w:r>
        <w:rPr>
          <w:rFonts w:hint="eastAsia" w:ascii="宋体" w:hAnsi="宋体" w:cs="宋体"/>
          <w:color w:val="auto"/>
          <w:sz w:val="24"/>
          <w:highlight w:val="none"/>
        </w:rPr>
        <w:t>投标须知</w:t>
      </w:r>
    </w:p>
    <w:p>
      <w:pPr>
        <w:pStyle w:val="5"/>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第二章  </w:t>
      </w:r>
      <w:r>
        <w:rPr>
          <w:rFonts w:hint="eastAsia" w:ascii="宋体" w:hAnsi="宋体" w:cs="宋体"/>
          <w:color w:val="auto"/>
          <w:sz w:val="24"/>
          <w:highlight w:val="none"/>
        </w:rPr>
        <w:t>开标、评标及定标办法</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第三章  合同条款</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第四章  </w:t>
      </w:r>
      <w:r>
        <w:rPr>
          <w:rFonts w:hint="eastAsia" w:ascii="宋体" w:hAnsi="宋体" w:cs="宋体"/>
          <w:color w:val="auto"/>
          <w:sz w:val="24"/>
          <w:highlight w:val="none"/>
        </w:rPr>
        <w:t>投标文件格式</w:t>
      </w:r>
    </w:p>
    <w:p>
      <w:pPr>
        <w:pStyle w:val="5"/>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第五章  </w:t>
      </w:r>
      <w:r>
        <w:rPr>
          <w:rFonts w:hint="eastAsia" w:ascii="宋体" w:hAnsi="宋体" w:cs="宋体"/>
          <w:color w:val="auto"/>
          <w:sz w:val="24"/>
          <w:highlight w:val="none"/>
        </w:rPr>
        <w:t>技术条件（工程建设标准）（另册）</w:t>
      </w:r>
    </w:p>
    <w:p>
      <w:pPr>
        <w:pStyle w:val="5"/>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第六章  </w:t>
      </w:r>
      <w:r>
        <w:rPr>
          <w:rFonts w:hint="eastAsia" w:ascii="宋体" w:hAnsi="宋体" w:cs="宋体"/>
          <w:color w:val="auto"/>
          <w:sz w:val="24"/>
          <w:highlight w:val="none"/>
        </w:rPr>
        <w:t>图纸及勘察资料（另册）</w:t>
      </w:r>
    </w:p>
    <w:p>
      <w:pPr>
        <w:pStyle w:val="5"/>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第七章  招标</w:t>
      </w:r>
      <w:r>
        <w:rPr>
          <w:rFonts w:hint="eastAsia" w:ascii="宋体" w:hAnsi="宋体" w:cs="宋体"/>
          <w:color w:val="auto"/>
          <w:sz w:val="24"/>
          <w:highlight w:val="none"/>
        </w:rPr>
        <w:t>工程量清单（另册）</w:t>
      </w:r>
    </w:p>
    <w:p>
      <w:pPr>
        <w:pStyle w:val="5"/>
        <w:spacing w:after="0"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第八章  最高投标限价</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 投标人一旦中标，招标文件的内容对招标人和中标人双方均有约束力。</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8．招标答疑</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 投标人若对招标文件（包括招标图纸）中有疑问，可以书面形式</w:t>
      </w:r>
      <w:r>
        <w:rPr>
          <w:rFonts w:hint="eastAsia" w:ascii="宋体" w:hAnsi="宋体" w:cs="宋体"/>
          <w:color w:val="auto"/>
          <w:sz w:val="24"/>
          <w:szCs w:val="24"/>
          <w:highlight w:val="none"/>
        </w:rPr>
        <w:t>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交易平台提交</w:t>
      </w:r>
      <w:r>
        <w:rPr>
          <w:rFonts w:hint="eastAsia" w:ascii="宋体" w:hAnsi="宋体" w:cs="宋体"/>
          <w:color w:val="auto"/>
          <w:sz w:val="24"/>
          <w:highlight w:val="none"/>
        </w:rPr>
        <w:t>给招标人或招标代理人，提交形式见本须知前附表第16项。</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8.2招标答疑会会议纪要将在提交投标文件截止时间15日前在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 xml:space="preserve"> “项目答疑纪要”专区公开发布。答疑纪要一经在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发布，视作已发放给所有投标人。</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8.3答疑会会议纪要为招标文件的一部分。</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8.4若招标答疑会会议纪要与招标文件有矛盾，以答疑会议纪要最后发出的书面形式的文件为准。</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9.招标文件的澄清与修改</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9.1招标文件发出后,在提交投标文件截止时间15日前，招标人可对招标文件进行必要的澄清或修改。</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9.2招标文件的澄清或修改将在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发布，视作已发放给所有投标人，以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上网发布时间作为送达时间。</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9.3招标文件的修改内容为招标文件的组成部分。</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9"/>
        <w:spacing w:before="156" w:after="156"/>
        <w:rPr>
          <w:rFonts w:cs="宋体"/>
          <w:color w:val="auto"/>
          <w:highlight w:val="none"/>
        </w:rPr>
      </w:pPr>
      <w:bookmarkStart w:id="10" w:name="_Toc21525495"/>
      <w:bookmarkStart w:id="11" w:name="_Toc2272551"/>
      <w:r>
        <w:rPr>
          <w:rFonts w:hint="eastAsia" w:cs="宋体"/>
          <w:color w:val="auto"/>
          <w:highlight w:val="none"/>
        </w:rPr>
        <w:t>（三）投标文件的编制</w:t>
      </w:r>
      <w:bookmarkEnd w:id="10"/>
      <w:bookmarkEnd w:id="11"/>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10．投标文件的语言及度量衡单位</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 投标文件和与投标有关的所有文件均应使用中文。</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10.2 除工程规范另有规定外，投标文件使用的度量衡单位，均采用中华人民共和国法定计量单位。</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11．投标文件的组成</w:t>
      </w:r>
    </w:p>
    <w:p>
      <w:pPr>
        <w:pStyle w:val="5"/>
        <w:spacing w:after="0"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11.1 投标文件由技术部分（含资格审查文件）和经济部分二部分投标文件组成</w:t>
      </w:r>
      <w:r>
        <w:rPr>
          <w:rFonts w:hint="eastAsia" w:ascii="宋体" w:hAnsi="宋体" w:cs="宋体"/>
          <w:b/>
          <w:color w:val="auto"/>
          <w:sz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11.2投标文件技术标部分主要包括下列内容:</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11.2.1 技术投标文件</w:t>
      </w:r>
      <w:r>
        <w:rPr>
          <w:rFonts w:hint="eastAsia" w:ascii="宋体" w:hAnsi="宋体" w:cs="宋体"/>
          <w:color w:val="auto"/>
          <w:sz w:val="24"/>
          <w:highlight w:val="none"/>
        </w:rPr>
        <w:t>(按招标文件的要求填写)</w:t>
      </w:r>
      <w:r>
        <w:rPr>
          <w:rFonts w:hint="eastAsia" w:ascii="宋体" w:hAnsi="宋体" w:cs="宋体"/>
          <w:bCs/>
          <w:color w:val="auto"/>
          <w:sz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11.2.2 资格审查文件：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（1）投标人声明；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（2）法定代表人证明书、法定代表人签字或盖章的本投标文件授权委托证明书；</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（3）企业营业执照（取自平台内上传件）；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（4）企业资质证书（取自平台内上传件）；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（5）建筑施工企业安全生产许可证（取自平台内上传件）；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（6）</w:t>
      </w:r>
      <w:r>
        <w:rPr>
          <w:rFonts w:hint="eastAsia" w:ascii="宋体" w:hAnsi="宋体" w:cs="宋体"/>
          <w:bCs/>
          <w:color w:val="auto"/>
          <w:sz w:val="24"/>
          <w:szCs w:val="24"/>
          <w:highlight w:val="none"/>
        </w:rPr>
        <w:t>项目负责人（按网上投标登记时选择拟投标的项目负责人）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（7）专职安全员（按网上投标登记时选择拟投标的专职安全员）</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（8）拟委托技术负责人的相关证书、资料（具体要求由招标人明确）</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（9）拟委派项目负责人的建造师注册证书或小型项目负责人相关证明（取自平台内上传件）；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（10）项目负责人安全培训考核合格证明或在有效期内的安全考核合格证书（B类）或建筑施工企业项目负责人安全生产考核合格证书（取自平台内上传件）</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（11）专职安全员须具有在有效期内的安全考核合格证书（C类）或建筑施工企业专职安全生产管理人员安全生产考核合格证书</w:t>
      </w:r>
      <w:r>
        <w:rPr>
          <w:rFonts w:hint="eastAsia" w:ascii="宋体" w:hAnsi="宋体" w:cs="宋体"/>
          <w:bCs/>
          <w:color w:val="auto"/>
          <w:sz w:val="24"/>
          <w:szCs w:val="24"/>
          <w:highlight w:val="none"/>
        </w:rPr>
        <w:t>（取自平台内上传件）；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（12）用于资格审查的业绩（设置业绩要求时选择此项，投标人</w:t>
      </w:r>
      <w:r>
        <w:rPr>
          <w:rFonts w:hint="eastAsia" w:ascii="宋体" w:hAnsi="宋体" w:cs="宋体"/>
          <w:color w:val="auto"/>
          <w:sz w:val="24"/>
          <w:highlight w:val="none"/>
        </w:rPr>
        <w:t>须提供类似工程业绩的项目名称及项目编号，具体格式由招标人自定</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s="宋体"/>
          <w:color w:val="auto"/>
          <w:sz w:val="24"/>
          <w:szCs w:val="24"/>
          <w:highlight w:val="none"/>
        </w:rPr>
        <w:t>联合体工作协议应明确约定各方拟承担的工作和责任</w:t>
      </w:r>
      <w:r>
        <w:rPr>
          <w:rFonts w:hint="eastAsia" w:ascii="宋体" w:hAnsi="宋体" w:cs="宋体"/>
          <w:bCs/>
          <w:color w:val="auto"/>
          <w:sz w:val="24"/>
          <w:szCs w:val="24"/>
          <w:highlight w:val="none"/>
        </w:rPr>
        <w:t xml:space="preserve">）；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szCs w:val="24"/>
          <w:highlight w:val="none"/>
        </w:rPr>
        <w:t>（15）</w:t>
      </w:r>
      <w:r>
        <w:rPr>
          <w:rFonts w:hint="eastAsia" w:ascii="宋体" w:hAnsi="宋体" w:cs="宋体"/>
          <w:color w:val="auto"/>
          <w:sz w:val="24"/>
          <w:szCs w:val="24"/>
          <w:highlight w:val="none"/>
        </w:rPr>
        <w:t>投标人具有在广州地区可使用适合本工程的机械设备的证明文件（</w:t>
      </w:r>
      <w:r>
        <w:rPr>
          <w:rFonts w:hint="eastAsia" w:ascii="宋体" w:hAnsi="宋体" w:cs="宋体"/>
          <w:color w:val="auto"/>
          <w:sz w:val="24"/>
          <w:highlight w:val="none"/>
        </w:rPr>
        <w:t>提供沥青摊铺机自有发票或权属证明及设备现场全貌彩照（彩照须能反映其规格型号）</w:t>
      </w:r>
      <w:r>
        <w:rPr>
          <w:rFonts w:hint="eastAsia" w:ascii="宋体" w:hAnsi="宋体" w:cs="宋体"/>
          <w:color w:val="auto"/>
          <w:sz w:val="24"/>
          <w:szCs w:val="24"/>
          <w:highlight w:val="none"/>
        </w:rPr>
        <w:t>）。（含有市政道路面层沥青摊铺且沥青摊铺占预计发包价50%或以上的大、中修市政公用工程需提供该项内容的证明文件）。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11.2.3项目管理机构配备。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（1）投标人应列出该项目工程的施工组织机构构成和画出机构框架图及其负责人；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（3）其他辅助说明资料。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11.2.5施工组织设计或施工方案。</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11.2.6按照</w:t>
      </w:r>
      <w:r>
        <w:rPr>
          <w:rFonts w:hint="eastAsia" w:ascii="宋体" w:hAnsi="宋体" w:cs="宋体"/>
          <w:bCs/>
          <w:color w:val="auto"/>
          <w:sz w:val="24"/>
          <w:highlight w:val="none"/>
        </w:rPr>
        <w:t>招标文件要求</w:t>
      </w:r>
      <w:r>
        <w:rPr>
          <w:rFonts w:hint="eastAsia" w:ascii="宋体" w:hAnsi="宋体" w:cs="宋体"/>
          <w:color w:val="auto"/>
          <w:sz w:val="24"/>
          <w:highlight w:val="none"/>
        </w:rPr>
        <w:t>填写的《参与编制技术标投标文件人员名单》。</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11.3 经济部分投标文件主要包括下列内容：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 经济投标文件(按招标文件的要求填写)。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 w:val="24"/>
          <w:szCs w:val="24"/>
          <w:highlight w:val="none"/>
        </w:rPr>
        <w:t>其中包括如下：</w:t>
      </w:r>
      <w:r>
        <w:rPr>
          <w:rFonts w:hint="eastAsia" w:ascii="宋体" w:hAnsi="宋体" w:cs="宋体"/>
          <w:color w:val="auto"/>
          <w:sz w:val="24"/>
          <w:highlight w:val="none"/>
        </w:rPr>
        <w:t xml:space="preserve"> </w:t>
      </w:r>
    </w:p>
    <w:p>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（1）投标总价封面、扉页；</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（2）总说明</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（3）工程项目投标报价汇总表；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（4）单项工程投标报价汇总表；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（5）单位工程投标报价汇总表；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（6）分部分项工程清单与计价表；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（7）单价措施项目清单与计价表；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（8）总价措施项目清单与计价表；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（9）综合单价分析表；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（10）其他项目清单与计价汇总表；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（11）暂列金额明细表；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（12）材料（工程设备）暂估价明细表；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（13）专业工程暂估价明细表；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（14）计日工表；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（15）总承包服务计价表；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（16）规费和税金项目计价表；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 xml:space="preserve"> （17）人工、主要材料和设备一览表</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11.3.3按照</w:t>
      </w:r>
      <w:r>
        <w:rPr>
          <w:rFonts w:hint="eastAsia" w:ascii="宋体" w:hAnsi="宋体" w:cs="宋体"/>
          <w:bCs/>
          <w:color w:val="auto"/>
          <w:sz w:val="24"/>
          <w:highlight w:val="none"/>
        </w:rPr>
        <w:t>招标文件要求</w:t>
      </w:r>
      <w:r>
        <w:rPr>
          <w:rFonts w:hint="eastAsia" w:ascii="宋体" w:hAnsi="宋体" w:cs="宋体"/>
          <w:color w:val="auto"/>
          <w:sz w:val="24"/>
          <w:highlight w:val="none"/>
        </w:rPr>
        <w:t>填写的《参与编制经济标投标文件人员名单》。</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12．投标文件格式</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投标文件包括本须知第11条中规定的内容，投标人提交的投标文件应当使用招标文件所提供的投标文件全部格式（表格可以按同样格式扩展）。</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highlight w:val="none"/>
        </w:rPr>
        <w:t>照交易平台关于全流程电子化项目的相关指南进行编制，详见：</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rPr>
        <w:t xml:space="preserve">。               </w:t>
      </w:r>
    </w:p>
    <w:p>
      <w:pPr>
        <w:pStyle w:val="5"/>
        <w:spacing w:after="0" w:line="360" w:lineRule="auto"/>
        <w:ind w:firstLine="0"/>
        <w:rPr>
          <w:rFonts w:ascii="宋体" w:hAnsi="宋体" w:cs="宋体"/>
          <w:color w:val="auto"/>
          <w:sz w:val="24"/>
          <w:highlight w:val="none"/>
        </w:rPr>
      </w:pPr>
      <w:r>
        <w:rPr>
          <w:rFonts w:hint="eastAsia" w:ascii="宋体" w:hAnsi="宋体" w:cs="宋体"/>
          <w:bCs/>
          <w:color w:val="auto"/>
          <w:sz w:val="24"/>
          <w:szCs w:val="24"/>
          <w:highlight w:val="none"/>
        </w:rPr>
        <w:t>如不按上述要求编制引起系统无法检索、读取相关信息的，其后果由投标人承担。</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13．投标报价及造价承包和变更结算方式</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 本工程的投标报价采用投标须知前附表第12项所规定的方式。投标报价（含单价及总价）精确到“分”。</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s="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13.5.1中标的投标文件工程量清单中已有相同项目的适用综合单价，则沿用；</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13.5.3 中标的投标文件工程量清单中没有相同项目或类似项目的，如可套取相关定额，则以相关定额为基数下浮计算单价,下浮率为中标价</w:t>
      </w:r>
      <w:r>
        <w:rPr>
          <w:rFonts w:hint="eastAsia" w:ascii="宋体" w:hAnsi="宋体" w:cs="宋体"/>
          <w:color w:val="auto"/>
          <w:sz w:val="24"/>
          <w:szCs w:val="24"/>
          <w:highlight w:val="none"/>
        </w:rPr>
        <w:t>相对于最高投标限价的下</w:t>
      </w:r>
      <w:r>
        <w:rPr>
          <w:rFonts w:hint="eastAsia" w:ascii="宋体" w:hAnsi="宋体" w:cs="宋体"/>
          <w:color w:val="auto"/>
          <w:sz w:val="24"/>
          <w:highlight w:val="none"/>
        </w:rPr>
        <w:t>浮率（下浮率=(</w:t>
      </w:r>
      <w:r>
        <w:rPr>
          <w:rFonts w:hint="eastAsia" w:ascii="宋体" w:hAnsi="宋体" w:cs="宋体"/>
          <w:color w:val="auto"/>
          <w:sz w:val="24"/>
          <w:szCs w:val="24"/>
          <w:highlight w:val="none"/>
        </w:rPr>
        <w:t>最高投标限价</w:t>
      </w:r>
      <w:r>
        <w:rPr>
          <w:rFonts w:hint="eastAsia" w:ascii="宋体" w:hAnsi="宋体" w:cs="宋体"/>
          <w:color w:val="auto"/>
          <w:sz w:val="24"/>
          <w:highlight w:val="none"/>
        </w:rPr>
        <w:t>-中标价)/</w:t>
      </w:r>
      <w:r>
        <w:rPr>
          <w:rFonts w:hint="eastAsia" w:ascii="宋体" w:hAnsi="宋体" w:cs="宋体"/>
          <w:color w:val="auto"/>
          <w:sz w:val="24"/>
          <w:szCs w:val="24"/>
          <w:highlight w:val="none"/>
        </w:rPr>
        <w:t xml:space="preserve"> 最高投标限价</w:t>
      </w:r>
      <w:r>
        <w:rPr>
          <w:rFonts w:hint="eastAsia" w:ascii="宋体" w:hAnsi="宋体" w:cs="宋体"/>
          <w:color w:val="auto"/>
          <w:sz w:val="24"/>
          <w:highlight w:val="none"/>
        </w:rPr>
        <w:t>）。</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13.5.4 如相关定额没有相应子目的，其计价方式由招标人在本招标文件第三章中另行规定。未规定的，中标后双方协商约定。</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13.6暂列金额、暂估价</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13.9</w:t>
      </w:r>
      <w:r>
        <w:rPr>
          <w:rFonts w:hint="eastAsia" w:ascii="宋体" w:hAnsi="宋体" w:cs="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14．投标货币</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本工程投标报价采用的币种为人民币。</w:t>
      </w:r>
    </w:p>
    <w:p>
      <w:pPr>
        <w:pStyle w:val="5"/>
        <w:spacing w:after="0"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15．投标有效期</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 投标有效期见投标须知前附表第13项所规定的期限，在此期限内，凡符合本招标文件要求的投标文件均保持有效。</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16.1投标人应按投标须知前附表第14项所述金额和时间递交</w:t>
      </w:r>
      <w:r>
        <w:rPr>
          <w:rFonts w:hint="eastAsia" w:ascii="宋体" w:hAnsi="宋体" w:cs="宋体"/>
          <w:bCs/>
          <w:color w:val="auto"/>
          <w:sz w:val="24"/>
          <w:highlight w:val="none"/>
        </w:rPr>
        <w:t>投标保证金</w:t>
      </w:r>
      <w:r>
        <w:rPr>
          <w:rFonts w:hint="eastAsia" w:ascii="宋体" w:hAnsi="宋体" w:cs="宋体"/>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16.1.1 采用现金或者支票形式提交的，投标保证金须从投标人的银行基本账户转出。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16.1.3 采用电子形式的保函、担保或保证保险提交投标保证金的，应在招标文件中明确电子递交途径。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16.3投标保证金应依据法律法规的相关规定退还。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16.4如有下列情况之一的，招标人可以不予退还投标保证金（是否退还投标保证金由招标人在招标文件中规定）：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16.4.1因投标人原因造成投标文件未解密的；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16.4.2投标人在投标有效期内撤销投标文件；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16.4.3中标人未能在规定期限内按要求提交履约担保；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16.4.4中标人未能在规定期限内签署合同协议。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16.5.1投标人存在16.4条款所列情形且投标人提交的保函、担保或保证保险无法兑付的；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16.5.3按招标文件要求免于提供投标保证金的投标人存在16.4条款所列情形的。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注：16.5.3款由招标人二选一，需在招标文件中明确。</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17．投标文件的签署</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9"/>
        <w:spacing w:before="156" w:after="156"/>
        <w:rPr>
          <w:rFonts w:cs="宋体"/>
          <w:color w:val="auto"/>
          <w:highlight w:val="none"/>
        </w:rPr>
      </w:pPr>
      <w:bookmarkStart w:id="12" w:name="_Toc2272552"/>
      <w:bookmarkStart w:id="13" w:name="_Toc21525496"/>
      <w:r>
        <w:rPr>
          <w:rFonts w:hint="eastAsia" w:cs="宋体"/>
          <w:color w:val="auto"/>
          <w:highlight w:val="none"/>
        </w:rPr>
        <w:t>（四）投标文件的提交</w:t>
      </w:r>
      <w:bookmarkEnd w:id="12"/>
      <w:bookmarkEnd w:id="13"/>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w:t>
      </w:r>
      <w:r>
        <w:rPr>
          <w:rFonts w:hint="eastAsia" w:ascii="宋体" w:hAnsi="宋体" w:cs="宋体"/>
          <w:b/>
          <w:color w:val="auto"/>
          <w:sz w:val="24"/>
          <w:szCs w:val="24"/>
          <w:highlight w:val="none"/>
        </w:rPr>
        <w:t>投标文件的密封和标记</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18.1递交的电子投标文件（不含备用光盘）必须进行加密。按照交易平台关于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18.2 未按要求加密的投标文件，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bCs/>
          <w:color w:val="auto"/>
          <w:sz w:val="24"/>
          <w:highlight w:val="none"/>
        </w:rPr>
        <w:t>将予以拒收。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19．投标文件的递交和接收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19.1投标人通过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递交电子投标文件。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19.2投标人完成电子</w:t>
      </w:r>
      <w:r>
        <w:rPr>
          <w:rFonts w:hint="eastAsia" w:ascii="宋体" w:hAnsi="宋体" w:cs="宋体"/>
          <w:color w:val="auto"/>
          <w:sz w:val="24"/>
          <w:highlight w:val="none"/>
        </w:rPr>
        <w:t>投标文件</w:t>
      </w:r>
      <w:r>
        <w:rPr>
          <w:rFonts w:hint="eastAsia" w:ascii="宋体" w:hAnsi="宋体" w:cs="宋体"/>
          <w:bCs/>
          <w:color w:val="auto"/>
          <w:sz w:val="24"/>
          <w:highlight w:val="none"/>
        </w:rPr>
        <w:t>上传后，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即时向投标人发出递交回执通知。递交时间以递交回执通知载明的传输完成时间为准。</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19.3</w:t>
      </w:r>
      <w:r>
        <w:rPr>
          <w:rFonts w:hint="eastAsia" w:ascii="宋体" w:hAnsi="宋体" w:cs="宋体"/>
          <w:bCs/>
          <w:color w:val="auto"/>
          <w:sz w:val="24"/>
          <w:szCs w:val="24"/>
          <w:highlight w:val="none"/>
        </w:rPr>
        <w:t>逾期送达的</w:t>
      </w:r>
      <w:r>
        <w:rPr>
          <w:rFonts w:hint="eastAsia" w:ascii="宋体" w:hAnsi="宋体" w:cs="宋体"/>
          <w:bCs/>
          <w:color w:val="auto"/>
          <w:sz w:val="24"/>
          <w:highlight w:val="none"/>
        </w:rPr>
        <w:t>电子投标文件，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将予以拒收。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19.4 </w:t>
      </w:r>
      <w:r>
        <w:rPr>
          <w:rFonts w:hint="eastAsia" w:ascii="宋体" w:hAnsi="宋体" w:cs="宋体"/>
          <w:color w:val="auto"/>
          <w:sz w:val="24"/>
          <w:szCs w:val="24"/>
          <w:highlight w:val="none"/>
        </w:rPr>
        <w:t>投标截止前，招标人拒绝接收符合条件的投标文件，投标人可向招标投标监督机构投诉。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19.5如技术标和经济标先后分别开启，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将按招标文件规定的时间分别开启技术标和经济标。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19.6在规定的时间内，项目负责人须到自助签到。按照交易平台有关项目负责人自助签到流程进行操作。项目负责人凡未凭身份证按时到达指定地点签到的，</w:t>
      </w:r>
      <w:r>
        <w:rPr>
          <w:rFonts w:hint="eastAsia" w:ascii="宋体" w:hAnsi="宋体" w:cs="宋体"/>
          <w:color w:val="auto"/>
          <w:sz w:val="24"/>
          <w:highlight w:val="none"/>
        </w:rPr>
        <w:t>该投标文件将不能参与资格审查和评标</w:t>
      </w:r>
      <w:r>
        <w:rPr>
          <w:rFonts w:hint="eastAsia" w:ascii="宋体" w:hAnsi="宋体" w:cs="宋体"/>
          <w:color w:val="auto"/>
          <w:sz w:val="24"/>
          <w:szCs w:val="24"/>
          <w:highlight w:val="none"/>
        </w:rPr>
        <w:t>（选择性条款）。</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20．投标文件提交的截止时间</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20.1投标人应在投标须知前附表第17项所述的时间前提交投标文件。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 到投标截止时间止，招标人收到的投标文件少于3家的，招标人将重新组织招标</w:t>
      </w:r>
      <w:r>
        <w:rPr>
          <w:rFonts w:hint="eastAsia" w:ascii="宋体" w:hAnsi="宋体" w:cs="宋体"/>
          <w:color w:val="auto"/>
          <w:sz w:val="24"/>
          <w:szCs w:val="24"/>
          <w:highlight w:val="none"/>
        </w:rPr>
        <w:t>（当N个标段同时招标且不允许兼中时，若有效投标人不足N+2家，则重新组织招标）</w:t>
      </w:r>
      <w:r>
        <w:rPr>
          <w:rFonts w:hint="eastAsia" w:ascii="宋体" w:hAnsi="宋体" w:cs="宋体"/>
          <w:color w:val="auto"/>
          <w:sz w:val="24"/>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21．迟交的投标文件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本须知前附表第17项规定的投标截止时间</w:t>
      </w:r>
      <w:r>
        <w:rPr>
          <w:rFonts w:hint="eastAsia" w:ascii="宋体" w:hAnsi="宋体" w:cs="宋体"/>
          <w:bCs/>
          <w:color w:val="auto"/>
          <w:sz w:val="24"/>
          <w:szCs w:val="24"/>
          <w:highlight w:val="none"/>
        </w:rPr>
        <w:t>后送达的</w:t>
      </w:r>
      <w:r>
        <w:rPr>
          <w:rFonts w:hint="eastAsia" w:ascii="宋体" w:hAnsi="宋体" w:cs="宋体"/>
          <w:bCs/>
          <w:color w:val="auto"/>
          <w:sz w:val="24"/>
          <w:highlight w:val="none"/>
        </w:rPr>
        <w:t>电子投标文件，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将予以拒收。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22．投标文件的修改与撤回</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22.1在规定的投标截止时间前，投标人可以修改或撤回已递交的投标文件，但应以书面形式通知招标人。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22.2投标人修改或撤回已递交的投标文件，需在</w:t>
      </w:r>
      <w:r>
        <w:rPr>
          <w:rFonts w:hint="eastAsia" w:ascii="宋体" w:hAnsi="宋体" w:cs="宋体"/>
          <w:color w:val="auto"/>
          <w:sz w:val="24"/>
          <w:highlight w:val="none"/>
        </w:rPr>
        <w:t>交易平台发出修改或撤回</w:t>
      </w:r>
      <w:r>
        <w:rPr>
          <w:rFonts w:hint="eastAsia" w:ascii="宋体" w:hAnsi="宋体" w:cs="宋体"/>
          <w:color w:val="auto"/>
          <w:sz w:val="24"/>
          <w:szCs w:val="24"/>
          <w:highlight w:val="none"/>
        </w:rPr>
        <w:t>通知，并按要求加盖电子印章。</w:t>
      </w:r>
      <w:r>
        <w:rPr>
          <w:rFonts w:hint="eastAsia" w:ascii="宋体" w:hAnsi="宋体" w:cs="宋体"/>
          <w:bCs/>
          <w:iCs/>
          <w:color w:val="auto"/>
          <w:sz w:val="24"/>
          <w:szCs w:val="24"/>
          <w:highlight w:val="none"/>
        </w:rPr>
        <w:t>电子招标投标交易平台收到通知后，</w:t>
      </w:r>
      <w:r>
        <w:rPr>
          <w:rFonts w:hint="eastAsia" w:ascii="宋体" w:hAnsi="宋体" w:cs="宋体"/>
          <w:color w:val="auto"/>
          <w:sz w:val="24"/>
          <w:szCs w:val="24"/>
          <w:highlight w:val="none"/>
        </w:rPr>
        <w:t>即时向投标人发出确认回执通知。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22.3修改后再次递交的，按19点的规定执行。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22.4 在投标截止时间之后，投标人不得补充、修改和更换投标文件。</w:t>
      </w:r>
    </w:p>
    <w:p>
      <w:pPr>
        <w:pStyle w:val="9"/>
        <w:spacing w:before="156" w:after="156"/>
        <w:rPr>
          <w:rFonts w:cs="宋体"/>
          <w:color w:val="auto"/>
          <w:highlight w:val="none"/>
        </w:rPr>
      </w:pPr>
      <w:bookmarkStart w:id="14" w:name="_Toc2272553"/>
      <w:bookmarkStart w:id="15" w:name="_Toc21525497"/>
      <w:r>
        <w:rPr>
          <w:rFonts w:hint="eastAsia" w:cs="宋体"/>
          <w:color w:val="auto"/>
          <w:highlight w:val="none"/>
        </w:rPr>
        <w:t>（五）开标、评标、定标及合同签定</w:t>
      </w:r>
      <w:bookmarkEnd w:id="14"/>
      <w:bookmarkEnd w:id="15"/>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23、开标。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详见第二章开标、评标及定标办法</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24．评标过程的保密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 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25．投标文件的澄清，计算错误的修正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详见招标文件第二章开标、评标及定标办法</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26．投标文件的评审、比较和否决</w:t>
      </w:r>
    </w:p>
    <w:p>
      <w:pPr>
        <w:spacing w:line="360" w:lineRule="auto"/>
        <w:ind w:firstLine="480" w:firstLineChars="200"/>
        <w:rPr>
          <w:rFonts w:ascii="宋体" w:hAnsi="宋体" w:cs="宋体"/>
          <w:bCs/>
          <w:color w:val="auto"/>
          <w:sz w:val="24"/>
          <w:szCs w:val="24"/>
          <w:highlight w:val="none"/>
        </w:rPr>
      </w:pPr>
      <w:r>
        <w:rPr>
          <w:rFonts w:hint="eastAsia" w:ascii="宋体" w:hAnsi="宋体" w:cs="宋体"/>
          <w:color w:val="auto"/>
          <w:sz w:val="24"/>
          <w:highlight w:val="none"/>
        </w:rPr>
        <w:t>详见招标文件第二章开标、评标及定标办法。</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27．中标通知书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27.1招标人将在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、广东省招标投标监管网和中国招标投标公共服务平台公示中标候选人，公示期为三天。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27.3中标人必须在收到中标通知书后24小时之内以书面形式回复招标人，确认收到。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27.4在产生中标候选人后，招标人将中标候选人的投标文件商务部分文件的所有内容（包括报价清单、人员、业绩、奖项等资料）在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交易平台和广东省招标投标监管网</w:t>
      </w:r>
      <w:r>
        <w:rPr>
          <w:rFonts w:hint="eastAsia" w:ascii="宋体" w:hAnsi="宋体" w:cs="宋体"/>
          <w:color w:val="auto"/>
          <w:sz w:val="24"/>
          <w:highlight w:val="none"/>
        </w:rPr>
        <w:t>公开。</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28．合同协议书的签订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28.4招标人支付工程款时，中标人应按规定开具发票。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29．履约担保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29.1 在收到中标通知书后的</w:t>
      </w:r>
      <w:r>
        <w:rPr>
          <w:rFonts w:hint="eastAsia" w:ascii="宋体" w:hAnsi="宋体" w:cs="宋体"/>
          <w:b/>
          <w:color w:val="auto"/>
          <w:sz w:val="24"/>
          <w:highlight w:val="none"/>
        </w:rPr>
        <w:t>15日</w:t>
      </w:r>
      <w:r>
        <w:rPr>
          <w:rFonts w:hint="eastAsia" w:ascii="宋体" w:hAnsi="宋体" w:cs="宋体"/>
          <w:color w:val="auto"/>
          <w:sz w:val="24"/>
          <w:highlight w:val="none"/>
        </w:rPr>
        <w:t>内，中标人应按本须知前附表第20项的规定向招标人提交履约担保。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30．合同生效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30.1在合同双方全权代表在合同协议书上签字，并分别加盖双方单位的公章后，合同正式生效。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31．其它费用</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32．腐败与欺诈行为</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在招标和合同实施期间，招标人要求投标人和承包人遵守最高的道德标准。</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32．1对本条款的规定，特定义如下词汇：</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32．2如果投标人被认定在本招标的竞争中有腐败或欺诈行为，则会被取消投标资格。</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spacing w:line="480" w:lineRule="auto"/>
        <w:ind w:firstLine="540" w:firstLineChars="224"/>
        <w:rPr>
          <w:rFonts w:ascii="宋体" w:hAnsi="宋体" w:cs="宋体"/>
          <w:b/>
          <w:color w:val="auto"/>
          <w:sz w:val="24"/>
          <w:highlight w:val="none"/>
        </w:rPr>
      </w:pPr>
      <w:r>
        <w:rPr>
          <w:rFonts w:hint="eastAsia" w:ascii="宋体" w:hAnsi="宋体" w:cs="宋体"/>
          <w:b/>
          <w:color w:val="auto"/>
          <w:sz w:val="24"/>
          <w:highlight w:val="none"/>
        </w:rPr>
        <w:t>33. 投标人信誉的要求</w:t>
      </w:r>
    </w:p>
    <w:p>
      <w:pPr>
        <w:spacing w:line="48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存在下列情形之一的，招标人可以限制其投标（需在招标文件中明确评定方法）</w:t>
      </w:r>
    </w:p>
    <w:p>
      <w:pPr>
        <w:spacing w:line="48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（1）被住房城乡建设行政主管部门在全国建筑市场监管一体化工作平台列入建筑市场主体“黑名单”；</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（2）被发改委、人力资源社会保障、质检总局等有关部门、单位在“信用中国”网站中列入联合惩戒失信黑名单。</w:t>
      </w:r>
      <w:bookmarkEnd w:id="7"/>
    </w:p>
    <w:p>
      <w:pPr>
        <w:pStyle w:val="3"/>
        <w:rPr>
          <w:rFonts w:ascii="宋体" w:hAnsi="宋体" w:cs="宋体"/>
          <w:color w:val="auto"/>
          <w:highlight w:val="none"/>
        </w:rPr>
      </w:pPr>
      <w:r>
        <w:rPr>
          <w:rFonts w:hint="eastAsia" w:ascii="宋体" w:hAnsi="宋体" w:cs="宋体"/>
          <w:color w:val="auto"/>
          <w:sz w:val="24"/>
          <w:highlight w:val="none"/>
        </w:rPr>
        <w:br w:type="page"/>
      </w:r>
      <w:bookmarkStart w:id="16" w:name="_Toc286"/>
      <w:r>
        <w:rPr>
          <w:rFonts w:hint="eastAsia" w:ascii="宋体" w:hAnsi="宋体" w:cs="宋体"/>
          <w:color w:val="auto"/>
          <w:highlight w:val="none"/>
        </w:rPr>
        <w:t>第二章  开标、评标及定标办法</w:t>
      </w:r>
      <w:bookmarkEnd w:id="16"/>
    </w:p>
    <w:p>
      <w:pPr>
        <w:pStyle w:val="7"/>
        <w:rPr>
          <w:rFonts w:ascii="宋体" w:hAnsi="宋体" w:cs="宋体"/>
          <w:color w:val="auto"/>
          <w:highlight w:val="none"/>
        </w:rPr>
      </w:pPr>
      <w:bookmarkStart w:id="17" w:name="_Toc20398"/>
      <w:r>
        <w:rPr>
          <w:rFonts w:hint="eastAsia" w:ascii="宋体" w:hAnsi="宋体" w:cs="宋体"/>
          <w:color w:val="auto"/>
          <w:sz w:val="28"/>
          <w:szCs w:val="28"/>
          <w:highlight w:val="none"/>
        </w:rPr>
        <w:t>一、</w:t>
      </w:r>
      <w:r>
        <w:rPr>
          <w:rFonts w:hint="eastAsia" w:ascii="宋体" w:hAnsi="宋体" w:cs="宋体"/>
          <w:color w:val="auto"/>
          <w:highlight w:val="none"/>
        </w:rPr>
        <w:t>开标、评标及定标办法修改表</w:t>
      </w:r>
      <w:bookmarkEnd w:id="17"/>
    </w:p>
    <w:p>
      <w:pPr>
        <w:pStyle w:val="5"/>
        <w:spacing w:after="0" w:line="360" w:lineRule="auto"/>
        <w:rPr>
          <w:rFonts w:ascii="宋体" w:hAnsi="宋体" w:cs="宋体"/>
          <w:b/>
          <w:color w:val="auto"/>
          <w:szCs w:val="21"/>
          <w:highlight w:val="none"/>
        </w:rPr>
      </w:pPr>
      <w:r>
        <w:rPr>
          <w:rFonts w:hint="eastAsia" w:ascii="宋体" w:hAnsi="宋体" w:cs="宋体"/>
          <w:b/>
          <w:color w:val="auto"/>
          <w:szCs w:val="21"/>
          <w:highlight w:val="none"/>
        </w:rPr>
        <w:t>声明：本</w:t>
      </w:r>
      <w:r>
        <w:rPr>
          <w:rFonts w:hint="eastAsia" w:ascii="宋体" w:hAnsi="宋体" w:cs="宋体"/>
          <w:b/>
          <w:color w:val="auto"/>
          <w:highlight w:val="none"/>
        </w:rPr>
        <w:t>开标、评标及定标办法使用GZZB2018-3招标文件范本的开标、评标及定标办法通用条款，与该通用条款不同之处，均在本表中列明，并以现文为准，原</w:t>
      </w:r>
      <w:r>
        <w:rPr>
          <w:rFonts w:hint="eastAsia" w:ascii="宋体" w:hAnsi="宋体" w:cs="宋体"/>
          <w:b/>
          <w:color w:val="auto"/>
          <w:szCs w:val="21"/>
          <w:highlight w:val="none"/>
        </w:rPr>
        <w:t>文不再有效。本招标文件中不再转录</w:t>
      </w:r>
      <w:r>
        <w:rPr>
          <w:rFonts w:hint="eastAsia" w:ascii="宋体" w:hAnsi="宋体" w:cs="宋体"/>
          <w:b/>
          <w:color w:val="auto"/>
          <w:highlight w:val="none"/>
        </w:rPr>
        <w:t>开标、评标及定标办法</w:t>
      </w:r>
      <w:r>
        <w:rPr>
          <w:rFonts w:hint="eastAsia" w:ascii="宋体" w:hAnsi="宋体" w:cs="宋体"/>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46"/>
          <w:rFonts w:hint="eastAsia" w:ascii="宋体" w:hAnsi="宋体" w:cs="宋体"/>
          <w:b/>
          <w:color w:val="auto"/>
          <w:szCs w:val="21"/>
          <w:highlight w:val="none"/>
          <w:lang w:eastAsia="zh-CN"/>
        </w:rPr>
        <w:t>http://zfcj.gz.gov.cn/</w:t>
      </w:r>
      <w:r>
        <w:rPr>
          <w:rStyle w:val="46"/>
          <w:rFonts w:hint="eastAsia" w:ascii="宋体" w:hAnsi="宋体" w:cs="宋体"/>
          <w:b/>
          <w:color w:val="auto"/>
          <w:szCs w:val="21"/>
          <w:highlight w:val="none"/>
        </w:rPr>
        <w:t>）下载GZZB2018-3</w:t>
      </w:r>
      <w:r>
        <w:rPr>
          <w:rStyle w:val="46"/>
          <w:rFonts w:hint="eastAsia" w:ascii="宋体" w:hAnsi="宋体" w:cs="宋体"/>
          <w:b/>
          <w:color w:val="auto"/>
          <w:szCs w:val="21"/>
          <w:highlight w:val="none"/>
        </w:rPr>
        <w:fldChar w:fldCharType="end"/>
      </w:r>
      <w:r>
        <w:rPr>
          <w:rFonts w:hint="eastAsia" w:ascii="宋体" w:hAnsi="宋体" w:cs="宋体"/>
          <w:b/>
          <w:color w:val="auto"/>
          <w:szCs w:val="21"/>
          <w:highlight w:val="none"/>
        </w:rPr>
        <w:t>范本查阅。</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36.1            </w:t>
      </w:r>
      <w:r>
        <w:rPr>
          <w:rFonts w:hint="eastAsia" w:ascii="宋体" w:hAnsi="宋体" w:cs="宋体"/>
          <w:b/>
          <w:color w:val="auto"/>
          <w:sz w:val="24"/>
          <w:szCs w:val="24"/>
          <w:highlight w:val="none"/>
        </w:rPr>
        <w:t>修改类型：修改</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36.3                </w:t>
      </w:r>
      <w:r>
        <w:rPr>
          <w:rFonts w:hint="eastAsia" w:ascii="宋体" w:hAnsi="宋体" w:cs="宋体"/>
          <w:b/>
          <w:color w:val="auto"/>
          <w:sz w:val="24"/>
          <w:szCs w:val="24"/>
          <w:highlight w:val="none"/>
        </w:rPr>
        <w:t>修改类型：删除</w:t>
      </w:r>
    </w:p>
    <w:p>
      <w:pPr>
        <w:pBdr>
          <w:bottom w:val="single" w:color="auto" w:sz="6" w:space="1"/>
        </w:pBd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条款号：36.4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540" w:firstLineChars="224"/>
        <w:rPr>
          <w:rFonts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36.4若递交投标文件的投标人不足3家，则重新组织招标。</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Cs/>
          <w:color w:val="auto"/>
          <w:sz w:val="24"/>
          <w:szCs w:val="24"/>
          <w:highlight w:val="none"/>
        </w:rPr>
        <w:t xml:space="preserve">36.5.1              </w:t>
      </w:r>
      <w:r>
        <w:rPr>
          <w:rFonts w:hint="eastAsia" w:ascii="宋体" w:hAnsi="宋体" w:cs="宋体"/>
          <w:b/>
          <w:color w:val="auto"/>
          <w:sz w:val="24"/>
          <w:szCs w:val="24"/>
          <w:highlight w:val="none"/>
        </w:rPr>
        <w:t>修改类型：修改</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602" w:firstLineChars="25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36.5.1在投标截止时间后半小时内，投标人通过</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Cs/>
          <w:color w:val="auto"/>
          <w:sz w:val="24"/>
          <w:szCs w:val="24"/>
          <w:highlight w:val="none"/>
        </w:rPr>
        <w:t>36.5.</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 xml:space="preserve">              </w:t>
      </w:r>
      <w:r>
        <w:rPr>
          <w:rFonts w:hint="eastAsia" w:ascii="宋体" w:hAnsi="宋体" w:cs="宋体"/>
          <w:b/>
          <w:color w:val="auto"/>
          <w:sz w:val="24"/>
          <w:szCs w:val="24"/>
          <w:highlight w:val="none"/>
        </w:rPr>
        <w:t>修改类型：修改</w:t>
      </w:r>
    </w:p>
    <w:p>
      <w:pPr>
        <w:pBdr>
          <w:bottom w:val="none" w:color="auto" w:sz="0" w:space="0"/>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36.5.3投标人代表、招标人代表、监标人、记录人等有关人员在开标记录上签字确认；若有关人员不签字的，不影响开标程序；</w:t>
      </w:r>
    </w:p>
    <w:p>
      <w:pPr>
        <w:pBdr>
          <w:bottom w:val="single" w:color="auto" w:sz="6" w:space="1"/>
        </w:pBdr>
        <w:spacing w:line="360" w:lineRule="auto"/>
        <w:ind w:firstLine="482" w:firstLineChars="200"/>
        <w:rPr>
          <w:color w:val="auto"/>
          <w:highlight w:val="none"/>
        </w:rPr>
      </w:pPr>
      <w:r>
        <w:rPr>
          <w:rFonts w:hint="eastAsia" w:ascii="宋体" w:hAnsi="宋体" w:cs="宋体"/>
          <w:b/>
          <w:color w:val="auto"/>
          <w:sz w:val="24"/>
          <w:szCs w:val="24"/>
          <w:highlight w:val="none"/>
        </w:rPr>
        <w:t>现文：</w:t>
      </w:r>
      <w:r>
        <w:rPr>
          <w:rFonts w:hint="eastAsia" w:ascii="宋体" w:hAnsi="宋体" w:cs="宋体"/>
          <w:b w:val="0"/>
          <w:bCs/>
          <w:color w:val="auto"/>
          <w:sz w:val="24"/>
          <w:szCs w:val="24"/>
          <w:highlight w:val="none"/>
        </w:rPr>
        <w:t>36.5.</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投标人代表、招标人代表、监标人、记录人等有关人员在开标记录上签字确认；若有关人员不签字的，不影响开标程序；</w:t>
      </w:r>
      <w:r>
        <w:rPr>
          <w:rFonts w:hint="eastAsia" w:ascii="宋体" w:hAnsi="宋体" w:cs="宋体"/>
          <w:b w:val="0"/>
          <w:bCs/>
          <w:color w:val="auto"/>
          <w:sz w:val="24"/>
          <w:szCs w:val="24"/>
          <w:highlight w:val="none"/>
          <w:u w:val="single"/>
        </w:rPr>
        <w:t>若投标人不参加开标会的，或不签字确认的，视同该投标人认可开标结果。</w:t>
      </w:r>
    </w:p>
    <w:p>
      <w:pPr>
        <w:pStyle w:val="35"/>
        <w:widowControl/>
        <w:spacing w:line="360" w:lineRule="auto"/>
        <w:ind w:firstLine="482" w:firstLineChars="200"/>
        <w:rPr>
          <w:rFonts w:ascii="宋体" w:hAnsi="宋体" w:cs="宋体"/>
          <w:b/>
          <w:bCs/>
          <w:color w:val="auto"/>
          <w:szCs w:val="24"/>
          <w:highlight w:val="none"/>
          <w:shd w:val="clear" w:color="auto" w:fill="FFFFFF"/>
        </w:rPr>
      </w:pPr>
      <w:r>
        <w:rPr>
          <w:rFonts w:hint="eastAsia" w:ascii="宋体" w:hAnsi="宋体" w:cs="宋体"/>
          <w:b/>
          <w:bCs/>
          <w:color w:val="auto"/>
          <w:szCs w:val="24"/>
          <w:highlight w:val="none"/>
          <w:shd w:val="clear" w:color="auto" w:fill="FFFFFF"/>
        </w:rPr>
        <w:t>条款号：39.3                   修改类型：修改</w:t>
      </w:r>
    </w:p>
    <w:p>
      <w:pPr>
        <w:widowControl/>
        <w:spacing w:line="360" w:lineRule="auto"/>
        <w:ind w:firstLine="472" w:firstLineChars="196"/>
        <w:jc w:val="left"/>
        <w:rPr>
          <w:rFonts w:ascii="宋体" w:hAnsi="宋体" w:cs="宋体"/>
          <w:color w:val="auto"/>
          <w:sz w:val="24"/>
          <w:szCs w:val="24"/>
          <w:highlight w:val="none"/>
          <w:shd w:val="clear" w:color="auto" w:fill="FFFFFF"/>
        </w:rPr>
      </w:pPr>
      <w:r>
        <w:rPr>
          <w:rFonts w:hint="eastAsia" w:ascii="宋体" w:hAnsi="宋体" w:cs="宋体"/>
          <w:b/>
          <w:color w:val="auto"/>
          <w:kern w:val="0"/>
          <w:sz w:val="24"/>
          <w:szCs w:val="24"/>
          <w:highlight w:val="none"/>
          <w:shd w:val="clear" w:color="auto" w:fill="FFFFFF"/>
        </w:rPr>
        <w:t>原文：</w:t>
      </w:r>
      <w:r>
        <w:rPr>
          <w:rFonts w:hint="eastAsia" w:ascii="宋体" w:hAnsi="宋体" w:cs="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shd w:val="clear" w:color="auto" w:fill="FFFFFF"/>
        </w:rPr>
        <w:t>现文：</w:t>
      </w:r>
      <w:r>
        <w:rPr>
          <w:rFonts w:hint="eastAsia" w:ascii="宋体" w:hAnsi="宋体" w:cs="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s="宋体"/>
          <w:b/>
          <w:bCs/>
          <w:color w:val="auto"/>
          <w:sz w:val="24"/>
          <w:szCs w:val="24"/>
          <w:highlight w:val="none"/>
          <w:u w:val="single"/>
          <w:shd w:val="clear" w:color="auto" w:fill="FFFFFF"/>
        </w:rPr>
        <w:t>或经核查发现委派的项目负责人已在其他在建项目中担任施工单位项目负责人的，或者被查实存在影响中标结果的违法行为等情形，不符合中标条件的，</w:t>
      </w:r>
      <w:r>
        <w:rPr>
          <w:rFonts w:hint="eastAsia" w:ascii="宋体" w:hAnsi="宋体" w:cs="宋体"/>
          <w:color w:val="auto"/>
          <w:sz w:val="24"/>
          <w:szCs w:val="24"/>
          <w:highlight w:val="none"/>
          <w:u w:val="single"/>
        </w:rPr>
        <w:t>招标人可以确定排名第二的中标候选人为中标人。</w:t>
      </w:r>
    </w:p>
    <w:p>
      <w:pPr>
        <w:adjustRightInd w:val="0"/>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条款号：（二）开标评标办法程序和细则　注       　修改类型：删除</w:t>
      </w:r>
    </w:p>
    <w:p>
      <w:pPr>
        <w:adjustRightIn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原文：</w:t>
      </w:r>
      <w:r>
        <w:rPr>
          <w:rFonts w:hint="eastAsia" w:ascii="宋体" w:hAnsi="宋体" w:cs="宋体"/>
          <w:color w:val="auto"/>
          <w:sz w:val="24"/>
          <w:szCs w:val="24"/>
          <w:highlight w:val="none"/>
        </w:rPr>
        <w:t>（二）开标评标办法程序和细则</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注：以下八种评标办法所述企业综合诚信评价分数即投标截止当日广州市工程招标代理行业协会网站上公布的企业综合诚信评价60日诚信分。</w:t>
      </w:r>
    </w:p>
    <w:p>
      <w:pPr>
        <w:pBdr>
          <w:bottom w:val="single" w:color="auto" w:sz="6" w:space="1"/>
        </w:pBdr>
        <w:adjustRightInd w:val="0"/>
        <w:spacing w:line="360" w:lineRule="auto"/>
        <w:rPr>
          <w:rFonts w:ascii="宋体" w:hAnsi="宋体" w:cs="宋体"/>
          <w:color w:val="auto"/>
          <w:sz w:val="24"/>
          <w:szCs w:val="24"/>
          <w:highlight w:val="none"/>
        </w:rPr>
      </w:pP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 评标办法        修改类型：删除</w:t>
      </w:r>
    </w:p>
    <w:p>
      <w:pPr>
        <w:pBdr>
          <w:bottom w:val="single" w:color="auto" w:sz="6" w:space="1"/>
        </w:pBdr>
        <w:spacing w:line="360" w:lineRule="auto"/>
        <w:ind w:firstLine="602" w:firstLineChars="250"/>
        <w:rPr>
          <w:rStyle w:val="46"/>
          <w:rFonts w:ascii="宋体" w:hAnsi="宋体" w:cs="宋体"/>
          <w:color w:val="auto"/>
          <w:szCs w:val="21"/>
          <w:highlight w:val="none"/>
        </w:rPr>
      </w:pPr>
      <w:r>
        <w:rPr>
          <w:rFonts w:hint="eastAsia" w:ascii="宋体" w:hAnsi="宋体" w:cs="宋体"/>
          <w:b/>
          <w:color w:val="auto"/>
          <w:sz w:val="24"/>
          <w:szCs w:val="24"/>
          <w:highlight w:val="none"/>
        </w:rPr>
        <w:t>原文：</w:t>
      </w:r>
      <w:r>
        <w:rPr>
          <w:rStyle w:val="46"/>
          <w:rFonts w:hint="eastAsia" w:ascii="宋体" w:hAnsi="宋体" w:cs="宋体"/>
          <w:color w:val="auto"/>
          <w:sz w:val="24"/>
          <w:szCs w:val="24"/>
          <w:highlight w:val="none"/>
        </w:rPr>
        <w:t>可选</w:t>
      </w:r>
      <w:r>
        <w:rPr>
          <w:rFonts w:hint="eastAsia" w:ascii="宋体" w:hAnsi="宋体" w:cs="宋体"/>
          <w:color w:val="auto"/>
          <w:sz w:val="24"/>
          <w:szCs w:val="24"/>
          <w:highlight w:val="none"/>
        </w:rPr>
        <w:t>办法</w:t>
      </w:r>
      <w:r>
        <w:rPr>
          <w:rStyle w:val="46"/>
          <w:rFonts w:hint="eastAsia" w:ascii="宋体" w:hAnsi="宋体" w:cs="宋体"/>
          <w:color w:val="auto"/>
          <w:sz w:val="24"/>
          <w:szCs w:val="24"/>
          <w:highlight w:val="none"/>
        </w:rPr>
        <w:t>一（适合</w:t>
      </w:r>
      <w:r>
        <w:rPr>
          <w:rStyle w:val="46"/>
          <w:rFonts w:hint="eastAsia" w:ascii="宋体" w:hAnsi="宋体" w:cs="宋体"/>
          <w:color w:val="auto"/>
          <w:kern w:val="0"/>
          <w:sz w:val="24"/>
          <w:szCs w:val="24"/>
          <w:highlight w:val="none"/>
        </w:rPr>
        <w:t>综合评分法一</w:t>
      </w:r>
      <w:r>
        <w:rPr>
          <w:rStyle w:val="46"/>
          <w:rFonts w:hint="eastAsia" w:ascii="宋体" w:hAnsi="宋体" w:cs="宋体"/>
          <w:color w:val="auto"/>
          <w:sz w:val="24"/>
          <w:szCs w:val="24"/>
          <w:highlight w:val="none"/>
        </w:rPr>
        <w:t>，技术标与经济标先后分别开启）</w:t>
      </w:r>
    </w:p>
    <w:p>
      <w:pPr>
        <w:pBdr>
          <w:bottom w:val="single" w:color="auto" w:sz="6" w:space="1"/>
        </w:pBdr>
        <w:spacing w:line="360" w:lineRule="auto"/>
        <w:ind w:firstLine="1320" w:firstLineChars="550"/>
        <w:rPr>
          <w:rStyle w:val="46"/>
          <w:rFonts w:ascii="宋体" w:hAnsi="宋体" w:cs="宋体"/>
          <w:color w:val="auto"/>
          <w:sz w:val="24"/>
          <w:szCs w:val="24"/>
          <w:highlight w:val="none"/>
        </w:rPr>
      </w:pPr>
      <w:r>
        <w:rPr>
          <w:rStyle w:val="46"/>
          <w:rFonts w:hint="eastAsia" w:ascii="宋体" w:hAnsi="宋体" w:cs="宋体"/>
          <w:color w:val="auto"/>
          <w:sz w:val="24"/>
          <w:szCs w:val="24"/>
          <w:highlight w:val="none"/>
        </w:rPr>
        <w:t>可选</w:t>
      </w:r>
      <w:r>
        <w:rPr>
          <w:rFonts w:hint="eastAsia" w:ascii="宋体" w:hAnsi="宋体" w:cs="宋体"/>
          <w:color w:val="auto"/>
          <w:sz w:val="24"/>
          <w:szCs w:val="24"/>
          <w:highlight w:val="none"/>
        </w:rPr>
        <w:t>办法</w:t>
      </w:r>
      <w:r>
        <w:rPr>
          <w:rStyle w:val="46"/>
          <w:rFonts w:hint="eastAsia" w:ascii="宋体" w:hAnsi="宋体" w:cs="宋体"/>
          <w:color w:val="auto"/>
          <w:sz w:val="24"/>
          <w:szCs w:val="24"/>
          <w:highlight w:val="none"/>
        </w:rPr>
        <w:t>二（适合综合评分法一，技术标与经济标同时开启）</w:t>
      </w:r>
    </w:p>
    <w:p>
      <w:pPr>
        <w:pBdr>
          <w:bottom w:val="single" w:color="auto" w:sz="6" w:space="1"/>
        </w:pBdr>
        <w:spacing w:line="360" w:lineRule="auto"/>
        <w:ind w:firstLine="1320" w:firstLineChars="550"/>
        <w:rPr>
          <w:rStyle w:val="46"/>
          <w:rFonts w:ascii="宋体" w:hAnsi="宋体" w:cs="宋体"/>
          <w:color w:val="auto"/>
          <w:sz w:val="24"/>
          <w:szCs w:val="24"/>
          <w:highlight w:val="none"/>
        </w:rPr>
      </w:pPr>
      <w:r>
        <w:rPr>
          <w:rStyle w:val="46"/>
          <w:rFonts w:hint="eastAsia" w:ascii="宋体" w:hAnsi="宋体" w:cs="宋体"/>
          <w:color w:val="auto"/>
          <w:sz w:val="24"/>
          <w:szCs w:val="24"/>
          <w:highlight w:val="none"/>
        </w:rPr>
        <w:t>可选办法三（适合综合评分法二，技术标与经济标先后分别开启）</w:t>
      </w:r>
    </w:p>
    <w:p>
      <w:pPr>
        <w:pBdr>
          <w:bottom w:val="single" w:color="auto" w:sz="6" w:space="1"/>
        </w:pBdr>
        <w:spacing w:line="360" w:lineRule="auto"/>
        <w:ind w:firstLine="1320" w:firstLineChars="550"/>
        <w:rPr>
          <w:rStyle w:val="46"/>
          <w:rFonts w:ascii="宋体" w:hAnsi="宋体" w:cs="宋体"/>
          <w:color w:val="auto"/>
          <w:sz w:val="24"/>
          <w:szCs w:val="24"/>
          <w:highlight w:val="none"/>
        </w:rPr>
      </w:pPr>
      <w:r>
        <w:rPr>
          <w:rStyle w:val="46"/>
          <w:rFonts w:hint="eastAsia" w:ascii="宋体" w:hAnsi="宋体" w:cs="宋体"/>
          <w:color w:val="auto"/>
          <w:sz w:val="24"/>
          <w:szCs w:val="24"/>
          <w:highlight w:val="none"/>
        </w:rPr>
        <w:t>可选办法四（适合综合评分法二，技术标与经济标同时开启）</w:t>
      </w:r>
    </w:p>
    <w:p>
      <w:pPr>
        <w:pBdr>
          <w:bottom w:val="single" w:color="auto" w:sz="6" w:space="1"/>
        </w:pBdr>
        <w:spacing w:line="360" w:lineRule="auto"/>
        <w:ind w:firstLine="1320" w:firstLineChars="550"/>
        <w:rPr>
          <w:rStyle w:val="46"/>
          <w:rFonts w:ascii="宋体" w:hAnsi="宋体" w:cs="宋体"/>
          <w:color w:val="auto"/>
          <w:sz w:val="24"/>
          <w:szCs w:val="24"/>
          <w:highlight w:val="none"/>
        </w:rPr>
      </w:pPr>
      <w:r>
        <w:rPr>
          <w:rStyle w:val="46"/>
          <w:rFonts w:hint="eastAsia" w:ascii="宋体" w:hAnsi="宋体" w:cs="宋体"/>
          <w:color w:val="auto"/>
          <w:sz w:val="24"/>
          <w:szCs w:val="24"/>
          <w:highlight w:val="none"/>
        </w:rPr>
        <w:t>可选办法五（适合综合评分法三，技术标与经济标先后分别开启）</w:t>
      </w:r>
    </w:p>
    <w:p>
      <w:pPr>
        <w:pBdr>
          <w:bottom w:val="single" w:color="auto" w:sz="6" w:space="1"/>
        </w:pBdr>
        <w:spacing w:line="360" w:lineRule="auto"/>
        <w:ind w:firstLine="1320" w:firstLineChars="550"/>
        <w:rPr>
          <w:rStyle w:val="46"/>
          <w:rFonts w:ascii="宋体" w:hAnsi="宋体" w:cs="宋体"/>
          <w:color w:val="auto"/>
          <w:sz w:val="24"/>
          <w:szCs w:val="24"/>
          <w:highlight w:val="none"/>
        </w:rPr>
      </w:pPr>
      <w:r>
        <w:rPr>
          <w:rStyle w:val="46"/>
          <w:rFonts w:hint="eastAsia" w:ascii="宋体" w:hAnsi="宋体" w:cs="宋体"/>
          <w:color w:val="auto"/>
          <w:sz w:val="24"/>
          <w:szCs w:val="24"/>
          <w:highlight w:val="none"/>
        </w:rPr>
        <w:t>可选办法六（适合综合评分法三，技术标与经济标同时开启）</w:t>
      </w:r>
    </w:p>
    <w:p>
      <w:pPr>
        <w:pBdr>
          <w:bottom w:val="single" w:color="auto" w:sz="6" w:space="1"/>
        </w:pBdr>
        <w:spacing w:line="360" w:lineRule="auto"/>
        <w:ind w:firstLine="1320" w:firstLineChars="550"/>
        <w:rPr>
          <w:rFonts w:ascii="宋体" w:hAnsi="宋体" w:cs="宋体"/>
          <w:b/>
          <w:color w:val="auto"/>
          <w:sz w:val="24"/>
          <w:szCs w:val="24"/>
          <w:highlight w:val="none"/>
        </w:rPr>
      </w:pPr>
      <w:r>
        <w:rPr>
          <w:rStyle w:val="46"/>
          <w:rFonts w:hint="eastAsia" w:ascii="宋体" w:hAnsi="宋体" w:cs="宋体"/>
          <w:color w:val="auto"/>
          <w:sz w:val="24"/>
          <w:szCs w:val="24"/>
          <w:highlight w:val="none"/>
        </w:rPr>
        <w:t>可选办法八（适合经评审的最低投标价法，技术标与经济标同时开启）</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 41.1         修改类型：修改</w:t>
      </w:r>
    </w:p>
    <w:p>
      <w:pPr>
        <w:pBdr>
          <w:bottom w:val="single" w:color="auto" w:sz="6" w:space="1"/>
        </w:pBdr>
        <w:spacing w:line="360" w:lineRule="auto"/>
        <w:ind w:firstLine="602" w:firstLineChars="25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41.1 开标由招标人主持；</w:t>
      </w:r>
    </w:p>
    <w:p>
      <w:pPr>
        <w:pBdr>
          <w:bottom w:val="single" w:color="auto" w:sz="6" w:space="1"/>
        </w:pBdr>
        <w:spacing w:line="360" w:lineRule="auto"/>
        <w:ind w:firstLine="602" w:firstLineChars="250"/>
        <w:rPr>
          <w:rFonts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 xml:space="preserve">41.1 </w:t>
      </w:r>
      <w:r>
        <w:rPr>
          <w:rFonts w:hint="eastAsia" w:ascii="宋体" w:hAnsi="宋体" w:cs="宋体"/>
          <w:color w:val="auto"/>
          <w:sz w:val="24"/>
          <w:szCs w:val="24"/>
          <w:highlight w:val="none"/>
          <w:u w:val="single"/>
        </w:rPr>
        <w:t>开标由招标人或招标代理主持；</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条款号：41.2.1             修改类型：修改</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
          <w:bCs/>
          <w:color w:val="auto"/>
          <w:sz w:val="24"/>
          <w:szCs w:val="24"/>
          <w:highlight w:val="none"/>
        </w:rPr>
        <w:t>41.2.1</w:t>
      </w:r>
      <w:r>
        <w:rPr>
          <w:rFonts w:hint="eastAsia" w:ascii="宋体" w:hAnsi="宋体" w:cs="宋体"/>
          <w:bCs/>
          <w:color w:val="auto"/>
          <w:sz w:val="24"/>
          <w:szCs w:val="24"/>
          <w:highlight w:val="none"/>
        </w:rPr>
        <w:t xml:space="preserve">投标截止期前，各投标人递交投标文件（包括技术标投标文件、经济标投标文件）至交易平台。有关投标文件提交的事项详见第一章投标须知。 </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41.2.1</w:t>
      </w:r>
      <w:r>
        <w:rPr>
          <w:rFonts w:hint="eastAsia" w:ascii="宋体" w:hAnsi="宋体" w:cs="宋体"/>
          <w:bCs/>
          <w:color w:val="auto"/>
          <w:sz w:val="24"/>
          <w:szCs w:val="24"/>
          <w:highlight w:val="none"/>
        </w:rPr>
        <w:t>投标截止期前，各投标人递交投标文件（包括技术标投标文件、经济标投标文件）至</w:t>
      </w:r>
      <w:r>
        <w:rPr>
          <w:rFonts w:hint="eastAsia" w:ascii="宋体" w:hAnsi="宋体" w:cs="宋体"/>
          <w:bCs/>
          <w:color w:val="auto"/>
          <w:sz w:val="24"/>
          <w:szCs w:val="24"/>
          <w:highlight w:val="none"/>
          <w:u w:val="single"/>
        </w:rPr>
        <w:t>广州公共资源交易中心</w:t>
      </w:r>
      <w:r>
        <w:rPr>
          <w:rFonts w:hint="eastAsia" w:ascii="宋体" w:hAnsi="宋体" w:cs="宋体"/>
          <w:bCs/>
          <w:color w:val="auto"/>
          <w:sz w:val="24"/>
          <w:szCs w:val="24"/>
          <w:highlight w:val="none"/>
        </w:rPr>
        <w:t>交易平台。有关投标文件提交的事项详见第一章投标须知。</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条款号：42.2                    修改类型：修改</w:t>
      </w:r>
    </w:p>
    <w:p>
      <w:pPr>
        <w:pStyle w:val="5"/>
        <w:tabs>
          <w:tab w:val="left" w:pos="7380"/>
        </w:tabs>
        <w:snapToGrid w:val="0"/>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42.2评标委员会的组成：方式。</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42.2评标委员会的组成：方式</w:t>
      </w:r>
      <w:r>
        <w:rPr>
          <w:rFonts w:hint="eastAsia" w:ascii="宋体" w:hAnsi="宋体" w:cs="宋体"/>
          <w:color w:val="auto"/>
          <w:sz w:val="24"/>
          <w:szCs w:val="24"/>
          <w:highlight w:val="none"/>
          <w:u w:val="single"/>
        </w:rPr>
        <w:t xml:space="preserve"> 一 </w:t>
      </w:r>
      <w:r>
        <w:rPr>
          <w:rFonts w:hint="eastAsia" w:ascii="宋体" w:hAnsi="宋体" w:cs="宋体"/>
          <w:color w:val="auto"/>
          <w:sz w:val="24"/>
          <w:szCs w:val="24"/>
          <w:highlight w:val="none"/>
        </w:rPr>
        <w:t>。</w:t>
      </w:r>
    </w:p>
    <w:p>
      <w:pPr>
        <w:pBdr>
          <w:bottom w:val="single" w:color="auto" w:sz="6" w:space="1"/>
        </w:pBdr>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条款号：43.6                          修改类型：修改</w:t>
      </w:r>
    </w:p>
    <w:p>
      <w:pPr>
        <w:pBdr>
          <w:bottom w:val="single" w:color="auto" w:sz="6" w:space="1"/>
        </w:pBdr>
        <w:spacing w:line="360" w:lineRule="auto"/>
        <w:ind w:firstLine="540" w:firstLineChars="224"/>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43.6资格审查合格的投标人少于3名的（当N个标段同时招标且不允许兼中时，资格审查合格的投标人少于N+2名），则本项目招标失败。</w:t>
      </w:r>
    </w:p>
    <w:p>
      <w:pPr>
        <w:pBdr>
          <w:bottom w:val="single" w:color="auto" w:sz="6" w:space="1"/>
        </w:pBdr>
        <w:spacing w:line="360" w:lineRule="auto"/>
        <w:ind w:firstLine="540" w:firstLineChars="224"/>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43.6</w:t>
      </w:r>
      <w:r>
        <w:rPr>
          <w:rFonts w:hint="eastAsia" w:ascii="宋体" w:hAnsi="宋体" w:cs="宋体"/>
          <w:color w:val="auto"/>
          <w:sz w:val="24"/>
          <w:szCs w:val="24"/>
          <w:highlight w:val="none"/>
          <w:u w:val="single"/>
        </w:rPr>
        <w:t>资格审查合格的投标人少于3名的，则本项目招标失败</w:t>
      </w:r>
      <w:r>
        <w:rPr>
          <w:rFonts w:hint="eastAsia" w:ascii="宋体" w:hAnsi="宋体" w:cs="宋体"/>
          <w:color w:val="auto"/>
          <w:sz w:val="24"/>
          <w:szCs w:val="24"/>
          <w:highlight w:val="none"/>
        </w:rPr>
        <w:t>。</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条款号：45.1             修改类型：修改</w:t>
      </w:r>
    </w:p>
    <w:p>
      <w:pPr>
        <w:pBdr>
          <w:bottom w:val="single" w:color="auto" w:sz="6" w:space="1"/>
        </w:pBd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若通过技术标有效性审查的投标人中有投标报价均大于等于最高投标限价*D%（D的取值范围为[94,100],由招标人自主确定）的（具体金额为：元），则本项目招标失败，由招标人依法重新招标。</w:t>
      </w:r>
    </w:p>
    <w:p>
      <w:pPr>
        <w:pBdr>
          <w:bottom w:val="single" w:color="auto" w:sz="6" w:space="1"/>
        </w:pBdr>
        <w:spacing w:line="360" w:lineRule="auto"/>
        <w:ind w:firstLine="540" w:firstLineChars="224"/>
        <w:rPr>
          <w:rFonts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u w:val="single"/>
        </w:rPr>
        <w:t>若通过技术标有效性审查的投标人中所有投标报价均大于等于最高投标限价100%的（具体金额为：24198044.56元），则本项目招标失败，由招标人依法重新招标。</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条款号：45.2              修改类型：修改</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45.2按方法计算评标参考价：</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45.2按方法</w:t>
      </w:r>
      <w:r>
        <w:rPr>
          <w:rFonts w:hint="eastAsia" w:ascii="宋体" w:hAnsi="宋体" w:cs="宋体"/>
          <w:color w:val="auto"/>
          <w:sz w:val="24"/>
          <w:szCs w:val="24"/>
          <w:highlight w:val="none"/>
          <w:u w:val="single"/>
        </w:rPr>
        <w:t>一</w:t>
      </w:r>
      <w:r>
        <w:rPr>
          <w:rFonts w:hint="eastAsia" w:ascii="宋体" w:hAnsi="宋体" w:cs="宋体"/>
          <w:color w:val="auto"/>
          <w:sz w:val="24"/>
          <w:szCs w:val="24"/>
          <w:highlight w:val="none"/>
        </w:rPr>
        <w:t xml:space="preserve">计算评标参考价： </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条款号：方法一：加权平均法              修改类型：修改</w:t>
      </w:r>
    </w:p>
    <w:p>
      <w:pPr>
        <w:widowControl/>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color w:val="auto"/>
          <w:sz w:val="24"/>
          <w:szCs w:val="24"/>
          <w:highlight w:val="none"/>
        </w:rPr>
        <w:t>原文：方法一：加权平均法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技术标或技术标加诚信得分（具体由招标人自定）前N名（N≥5，具体由招标人自定）的经济报价加权平均，计算评标参考价。公式如下：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评标参考价=Σ（投标人的投标报价*报价权重）。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其中：报价权重的计算方法为：将N名投标人按技术分由高至低进行排序，第一名投标人的权重为（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114300" distR="114300">
            <wp:extent cx="379730" cy="451485"/>
            <wp:effectExtent l="0" t="0" r="127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79730" cy="451485"/>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114300" distR="114300">
            <wp:extent cx="379730" cy="451485"/>
            <wp:effectExtent l="0" t="0" r="12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79730" cy="451485"/>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），第二名投标人的权重为（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114300" distR="114300">
            <wp:extent cx="320675" cy="403860"/>
            <wp:effectExtent l="0" t="0" r="317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114300" distR="114300">
            <wp:extent cx="320675" cy="403860"/>
            <wp:effectExtent l="0" t="0" r="3175"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），以此类推，最后一名投标人的权重为（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114300" distR="114300">
            <wp:extent cx="320675" cy="403860"/>
            <wp:effectExtent l="0" t="0" r="3175"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114300" distR="114300">
            <wp:extent cx="320675" cy="403860"/>
            <wp:effectExtent l="0" t="0" r="3175"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p>
      <w:pPr>
        <w:widowControl/>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color w:val="auto"/>
          <w:sz w:val="24"/>
          <w:szCs w:val="24"/>
          <w:highlight w:val="none"/>
        </w:rPr>
        <w:t>现文：方法一：加权平均法</w:t>
      </w:r>
    </w:p>
    <w:p>
      <w:pPr>
        <w:pBdr>
          <w:bottom w:val="single" w:color="auto" w:sz="6" w:space="1"/>
        </w:pBdr>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u w:val="single"/>
        </w:rPr>
        <w:t>技术标得分前N名（若通过技术标有效性审查的家数大于等于5家时，N=5；若小于5家时，N=通过技术标有效性审查的家数；技术标得分相同的，以投标报价较低的排前；如仍有相同情况，则由评标会对出现该情况的投标人进行编号，然后通过投票方式依次确定投标人的排序。）</w:t>
      </w:r>
      <w:r>
        <w:rPr>
          <w:rFonts w:hint="eastAsia" w:ascii="宋体" w:hAnsi="宋体" w:cs="宋体"/>
          <w:color w:val="auto"/>
          <w:sz w:val="24"/>
          <w:szCs w:val="24"/>
          <w:highlight w:val="none"/>
        </w:rPr>
        <w:t>的经济报价加权平均，计算评标参考价。公式如下：</w:t>
      </w:r>
    </w:p>
    <w:p>
      <w:pPr>
        <w:pBdr>
          <w:bottom w:val="single" w:color="auto" w:sz="6" w:space="1"/>
        </w:pBdr>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评标参考价=Σ（投标人的投标报价*报价权重）。</w:t>
      </w:r>
    </w:p>
    <w:p>
      <w:pPr>
        <w:pBdr>
          <w:bottom w:val="single" w:color="auto" w:sz="6" w:space="1"/>
        </w:pBdr>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其中：报价权重的计算方法为：将N名投标人按技术分由高至低进行排序，第一名投标人的权重为（</w:t>
      </w:r>
      <w:r>
        <w:rPr>
          <w:rFonts w:hint="eastAsia" w:ascii="宋体" w:hAnsi="宋体" w:cs="宋体"/>
          <w:color w:val="auto"/>
          <w:spacing w:val="-4"/>
          <w:sz w:val="24"/>
          <w:szCs w:val="24"/>
          <w:highlight w:val="none"/>
        </w:rPr>
        <w:drawing>
          <wp:inline distT="0" distB="0" distL="114300" distR="114300">
            <wp:extent cx="237490" cy="285115"/>
            <wp:effectExtent l="0" t="0" r="10160" b="63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237490" cy="285115"/>
                    </a:xfrm>
                    <a:prstGeom prst="rect">
                      <a:avLst/>
                    </a:prstGeom>
                    <a:noFill/>
                    <a:ln>
                      <a:noFill/>
                    </a:ln>
                  </pic:spPr>
                </pic:pic>
              </a:graphicData>
            </a:graphic>
          </wp:inline>
        </w:drawing>
      </w:r>
      <w:r>
        <w:rPr>
          <w:rFonts w:hint="eastAsia" w:ascii="宋体" w:hAnsi="宋体" w:cs="宋体"/>
          <w:color w:val="auto"/>
          <w:sz w:val="24"/>
          <w:szCs w:val="24"/>
          <w:highlight w:val="none"/>
        </w:rPr>
        <w:t>），第二名投标人的权重为（</w:t>
      </w:r>
      <w:r>
        <w:rPr>
          <w:rFonts w:hint="eastAsia" w:ascii="宋体" w:hAnsi="宋体" w:cs="宋体"/>
          <w:color w:val="auto"/>
          <w:spacing w:val="-4"/>
          <w:sz w:val="24"/>
          <w:szCs w:val="24"/>
          <w:highlight w:val="none"/>
        </w:rPr>
        <w:drawing>
          <wp:inline distT="0" distB="0" distL="114300" distR="114300">
            <wp:extent cx="237490" cy="285115"/>
            <wp:effectExtent l="0" t="0" r="10160" b="635"/>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237490" cy="285115"/>
                    </a:xfrm>
                    <a:prstGeom prst="rect">
                      <a:avLst/>
                    </a:prstGeom>
                    <a:noFill/>
                    <a:ln>
                      <a:noFill/>
                    </a:ln>
                  </pic:spPr>
                </pic:pic>
              </a:graphicData>
            </a:graphic>
          </wp:inline>
        </w:drawing>
      </w:r>
      <w:r>
        <w:rPr>
          <w:rFonts w:hint="eastAsia" w:ascii="宋体" w:hAnsi="宋体" w:cs="宋体"/>
          <w:color w:val="auto"/>
          <w:sz w:val="24"/>
          <w:szCs w:val="24"/>
          <w:highlight w:val="none"/>
        </w:rPr>
        <w:t>），以此类推，最后一名投标人的权重为（</w:t>
      </w:r>
      <w:r>
        <w:rPr>
          <w:rFonts w:hint="eastAsia" w:ascii="宋体" w:hAnsi="宋体" w:cs="宋体"/>
          <w:color w:val="auto"/>
          <w:spacing w:val="-4"/>
          <w:sz w:val="24"/>
          <w:szCs w:val="24"/>
          <w:highlight w:val="none"/>
        </w:rPr>
        <w:drawing>
          <wp:inline distT="0" distB="0" distL="114300" distR="114300">
            <wp:extent cx="237490" cy="285115"/>
            <wp:effectExtent l="0" t="0" r="10160" b="63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237490" cy="285115"/>
                    </a:xfrm>
                    <a:prstGeom prst="rect">
                      <a:avLst/>
                    </a:prstGeom>
                    <a:noFill/>
                    <a:ln>
                      <a:noFill/>
                    </a:ln>
                  </pic:spPr>
                </pic:pic>
              </a:graphicData>
            </a:graphic>
          </wp:inline>
        </w:drawing>
      </w:r>
      <w:r>
        <w:rPr>
          <w:rFonts w:hint="eastAsia" w:ascii="宋体" w:hAnsi="宋体" w:cs="宋体"/>
          <w:color w:val="auto"/>
          <w:sz w:val="24"/>
          <w:szCs w:val="24"/>
          <w:highlight w:val="none"/>
        </w:rPr>
        <w:t>）。</w:t>
      </w:r>
    </w:p>
    <w:p>
      <w:pPr>
        <w:adjustRightIn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
          <w:color w:val="auto"/>
          <w:kern w:val="0"/>
          <w:sz w:val="24"/>
          <w:szCs w:val="24"/>
          <w:highlight w:val="none"/>
        </w:rPr>
        <w:t>45.3</w:t>
      </w:r>
      <w:r>
        <w:rPr>
          <w:rFonts w:hint="eastAsia" w:ascii="宋体" w:hAnsi="宋体" w:cs="宋体"/>
          <w:b/>
          <w:color w:val="auto"/>
          <w:sz w:val="24"/>
          <w:szCs w:val="24"/>
          <w:highlight w:val="none"/>
        </w:rPr>
        <w:t xml:space="preserve">           修改类型：修改</w:t>
      </w:r>
    </w:p>
    <w:p>
      <w:pPr>
        <w:adjustRightInd w:val="0"/>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kern w:val="0"/>
          <w:sz w:val="24"/>
          <w:szCs w:val="24"/>
          <w:highlight w:val="none"/>
        </w:rPr>
        <w:t>45.3</w:t>
      </w:r>
      <w:r>
        <w:rPr>
          <w:rFonts w:hint="eastAsia" w:ascii="宋体" w:hAnsi="宋体" w:cs="宋体"/>
          <w:color w:val="auto"/>
          <w:sz w:val="24"/>
          <w:szCs w:val="24"/>
          <w:highlight w:val="none"/>
        </w:rPr>
        <w:t>当标价等于评标参考价时得100分，标价每高于评标参考价1%，扣1.5分，每低于评标参考价1%，扣1分，扣至0分为止，得出经济分，精确到小数点后两位。</w:t>
      </w:r>
    </w:p>
    <w:p>
      <w:pPr>
        <w:pBdr>
          <w:bottom w:val="single" w:color="auto" w:sz="6" w:space="1"/>
        </w:pBdr>
        <w:adjustRightInd w:val="0"/>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45.3</w:t>
      </w:r>
      <w:r>
        <w:rPr>
          <w:rFonts w:hint="eastAsia" w:ascii="宋体" w:hAnsi="宋体" w:cs="宋体"/>
          <w:color w:val="auto"/>
          <w:sz w:val="24"/>
          <w:szCs w:val="24"/>
          <w:highlight w:val="none"/>
        </w:rPr>
        <w:t>当</w:t>
      </w:r>
      <w:r>
        <w:rPr>
          <w:rFonts w:hint="eastAsia" w:ascii="宋体" w:hAnsi="宋体" w:cs="宋体"/>
          <w:color w:val="auto"/>
          <w:sz w:val="24"/>
          <w:szCs w:val="24"/>
          <w:highlight w:val="none"/>
          <w:u w:val="single"/>
        </w:rPr>
        <w:t>投标总报价</w:t>
      </w:r>
      <w:r>
        <w:rPr>
          <w:rFonts w:hint="eastAsia" w:ascii="宋体" w:hAnsi="宋体" w:cs="宋体"/>
          <w:color w:val="auto"/>
          <w:sz w:val="24"/>
          <w:szCs w:val="24"/>
          <w:highlight w:val="none"/>
        </w:rPr>
        <w:t>等于评标参考价时得100分，</w:t>
      </w:r>
      <w:r>
        <w:rPr>
          <w:rFonts w:hint="eastAsia" w:ascii="宋体" w:hAnsi="宋体" w:cs="宋体"/>
          <w:color w:val="auto"/>
          <w:sz w:val="24"/>
          <w:szCs w:val="24"/>
          <w:highlight w:val="none"/>
          <w:u w:val="single"/>
        </w:rPr>
        <w:t>投标总报价</w:t>
      </w:r>
      <w:r>
        <w:rPr>
          <w:rFonts w:hint="eastAsia" w:ascii="宋体" w:hAnsi="宋体" w:cs="宋体"/>
          <w:color w:val="auto"/>
          <w:sz w:val="24"/>
          <w:szCs w:val="24"/>
          <w:highlight w:val="none"/>
        </w:rPr>
        <w:t>每高于评标参考价1%，扣</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分，每低于评标参考价1%，扣</w:t>
      </w:r>
      <w:r>
        <w:rPr>
          <w:rFonts w:ascii="宋体" w:hAnsi="宋体" w:cs="宋体"/>
          <w:color w:val="auto"/>
          <w:sz w:val="24"/>
          <w:szCs w:val="24"/>
          <w:highlight w:val="none"/>
        </w:rPr>
        <w:t>0.5</w:t>
      </w:r>
      <w:r>
        <w:rPr>
          <w:rFonts w:hint="eastAsia" w:ascii="宋体" w:hAnsi="宋体" w:cs="宋体"/>
          <w:color w:val="auto"/>
          <w:sz w:val="24"/>
          <w:szCs w:val="24"/>
          <w:highlight w:val="none"/>
        </w:rPr>
        <w:t>分，扣至0分为止，得出经济分，精确到小数点后两位。</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条款号：45.4修改类型：修改</w:t>
      </w:r>
    </w:p>
    <w:p>
      <w:pPr>
        <w:widowControl/>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计算通过技术标有效性审查的投标人总得分。投标人总得分=技术得分（20分）＋经济得分（100分）×经济得分权重（80%）。技术、经济得分权重按投标须知前附表的规定执行。总得分四舍五入保留两位小数。总分相同的，以技术得分高的排前；总分与技术得分均相同，以投标报价较低的排前；如仍存在相同情况，则对具有相同情况的投标人，按中标候选人数量规定，由评标委员会采用随机抽取方式，确定中标候选人的排序。</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条款号：附表一《资格审查表》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详见附表一《资格审查表》</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条款号：附表二《技术标有效性审查表》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详见附表二《技术标有效性审查表》</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条款号：附表三《经济标有效性审查表》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详见附表三《经济标有效性审查表》</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条款号：附表四《技术标详细审查评分表》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详见附表四《技术标详细审查评分表》</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条款号：附表五《经济标评分表》             修改类型：修改</w:t>
      </w:r>
    </w:p>
    <w:p>
      <w:pPr>
        <w:pBdr>
          <w:bottom w:val="single" w:color="auto" w:sz="6" w:space="1"/>
        </w:pBdr>
        <w:spacing w:line="360" w:lineRule="auto"/>
        <w:ind w:firstLine="540" w:firstLineChars="224"/>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tabs>
          <w:tab w:val="center" w:pos="4535"/>
        </w:tabs>
        <w:spacing w:line="360" w:lineRule="auto"/>
        <w:ind w:firstLine="602" w:firstLineChars="250"/>
        <w:rPr>
          <w:rFonts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详见附表五《经济标评分表》</w:t>
      </w:r>
      <w:r>
        <w:rPr>
          <w:rFonts w:hint="eastAsia" w:ascii="宋体" w:hAnsi="宋体" w:cs="宋体"/>
          <w:bCs/>
          <w:color w:val="auto"/>
          <w:sz w:val="24"/>
          <w:szCs w:val="24"/>
          <w:highlight w:val="none"/>
        </w:rPr>
        <w:tab/>
      </w:r>
    </w:p>
    <w:p>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pPr>
        <w:spacing w:line="360" w:lineRule="auto"/>
        <w:rPr>
          <w:rFonts w:ascii="宋体" w:hAnsi="宋体" w:cs="宋体"/>
          <w:color w:val="auto"/>
          <w:sz w:val="24"/>
          <w:szCs w:val="24"/>
          <w:highlight w:val="none"/>
        </w:rPr>
      </w:pPr>
      <w:r>
        <w:rPr>
          <w:rFonts w:hint="eastAsia" w:ascii="宋体" w:hAnsi="宋体" w:cs="宋体"/>
          <w:b/>
          <w:color w:val="auto"/>
          <w:sz w:val="24"/>
          <w:szCs w:val="24"/>
          <w:highlight w:val="none"/>
        </w:rPr>
        <w:t>（以下无正文）</w:t>
      </w:r>
    </w:p>
    <w:p>
      <w:pPr>
        <w:pStyle w:val="8"/>
        <w:spacing w:line="360" w:lineRule="auto"/>
        <w:rPr>
          <w:rFonts w:ascii="宋体" w:hAnsi="宋体" w:cs="宋体"/>
          <w:color w:val="auto"/>
          <w:highlight w:val="none"/>
        </w:rPr>
      </w:pPr>
    </w:p>
    <w:p>
      <w:pPr>
        <w:pStyle w:val="7"/>
        <w:ind w:firstLine="525"/>
        <w:rPr>
          <w:rFonts w:ascii="宋体" w:hAnsi="宋体" w:cs="宋体"/>
          <w:color w:val="auto"/>
          <w:highlight w:val="none"/>
        </w:rPr>
      </w:pPr>
      <w:r>
        <w:rPr>
          <w:rFonts w:hint="eastAsia" w:ascii="宋体" w:hAnsi="宋体" w:cs="宋体"/>
          <w:color w:val="auto"/>
          <w:highlight w:val="none"/>
        </w:rPr>
        <w:br w:type="page"/>
      </w:r>
      <w:bookmarkStart w:id="18" w:name="_Toc11460"/>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bookmarkEnd w:id="18"/>
    </w:p>
    <w:p>
      <w:pPr>
        <w:pStyle w:val="9"/>
        <w:spacing w:before="156" w:after="156"/>
        <w:ind w:firstLine="540" w:firstLineChars="200"/>
        <w:rPr>
          <w:rFonts w:cs="宋体"/>
          <w:color w:val="auto"/>
          <w:highlight w:val="none"/>
        </w:rPr>
      </w:pPr>
      <w:bookmarkStart w:id="19" w:name="_Toc19940"/>
      <w:r>
        <w:rPr>
          <w:rFonts w:hint="eastAsia" w:cs="宋体"/>
          <w:color w:val="auto"/>
          <w:highlight w:val="none"/>
        </w:rPr>
        <w:t>（一）总则</w:t>
      </w:r>
      <w:bookmarkEnd w:id="19"/>
    </w:p>
    <w:p>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35 开标、评标及定标所依据的规则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35.1《中华人民共和国招标投标法》；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35.2《中华人民共和国招标投标法实施条例》；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35.3《评标委员会和评标方法暂行规定》（七部委第12号令）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35.4《工程建设项目施工招标投标办法》（七部委2003年第30号令）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35.5《广东省实施〈中华人民共和国招标投标法〉办法》；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35.6《房屋建筑和市政基础设施工程施工招标投标管理办法》（建设部令第89号）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35.7《广东省加强建设工程招标投标监督管理的若干规定》（粤发[2004]4号）；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35.8《广州市工程建设项目招标投标管理办法》（穗府办规〔2017〕5号）。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35.9本项目招标文件。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36．开标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36.2 招标人在招标文件要求提交投标文件的截止时间前收到的投标文件，开标时都当众予以解密、公布。</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36.4若递交投标文件的投标人不足3家，则重新组织招标。（当N个标段同时招标且不允许兼中时，若有效投标人不足N+2家，则重新组织招标）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36.5按下列程序进行开标：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36.5.2备用光盘的读取按投标须知前附表第36项的规定执行；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36.5.4开标结束。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37．评标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37.1评标委员会由招标人依法组建。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37.2评标委员会的职责及守则：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37.2.1根据评标细则，对投标文件进行认真评审，完成评审报告；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37.2.2向招标人报告评审意见，推荐合格的中标候选人。</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37.2.3</w:t>
      </w:r>
      <w:r>
        <w:rPr>
          <w:rFonts w:hint="eastAsia" w:ascii="宋体" w:hAnsi="宋体" w:cs="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37.2.4全体参与评标人员：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37.2.4.1 必须遵守评标纪律、不得泄密；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37.2.4.2 必须公正、不得循私；</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37.2.4.3 必须科学、不得草率；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37.2.4.4 必须客观、不得带有成见；</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37.2.4.5 必须平等、不得强加于人；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37.2.4.6 必须严谨、不得随意马虎。</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 评标结束后，评标委员会递交评标报告并依法推荐中标候选人。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38．投标文件的澄清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38.3 评标委员会或评标委员会专业评审组成员均应当阅读投标人的澄清，但应独立参考澄清对投标文件进行评审。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39．定标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39.1 招标人根据评标委员会递交的评标报告，最终审定中标人。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39.2 依法必须进行公开招标的项目，招标人应当确定排名第一的中标候选人为中标人。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9"/>
        <w:spacing w:before="156" w:after="156"/>
        <w:ind w:firstLine="480" w:firstLineChars="200"/>
        <w:rPr>
          <w:rFonts w:cs="宋体"/>
          <w:color w:val="auto"/>
          <w:sz w:val="24"/>
          <w:szCs w:val="24"/>
          <w:highlight w:val="none"/>
        </w:rPr>
      </w:pPr>
      <w:bookmarkStart w:id="20" w:name="_Toc18768"/>
      <w:r>
        <w:rPr>
          <w:rFonts w:hint="eastAsia" w:cs="宋体"/>
          <w:color w:val="auto"/>
          <w:sz w:val="24"/>
          <w:szCs w:val="24"/>
          <w:highlight w:val="none"/>
        </w:rPr>
        <w:t>（二）开标评标办法程序和细则</w:t>
      </w:r>
      <w:bookmarkEnd w:id="2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注：评标办法所述企业综合诚信评价分数即投标截止当日广州市住房和城乡建设局网站上公布的企业综合诚信评价60日诚信分。</w:t>
      </w:r>
    </w:p>
    <w:p>
      <w:pPr>
        <w:pStyle w:val="9"/>
        <w:spacing w:before="156" w:after="156"/>
        <w:ind w:firstLine="540" w:firstLineChars="200"/>
        <w:rPr>
          <w:rFonts w:cs="宋体"/>
          <w:color w:val="auto"/>
          <w:highlight w:val="none"/>
        </w:rPr>
      </w:pPr>
      <w:bookmarkStart w:id="21" w:name="_Toc21525509"/>
      <w:bookmarkStart w:id="22" w:name="_Toc2272564"/>
      <w:bookmarkStart w:id="23" w:name="_Toc25301"/>
      <w:r>
        <w:rPr>
          <w:rFonts w:hint="eastAsia" w:cs="宋体"/>
          <w:color w:val="auto"/>
          <w:highlight w:val="none"/>
        </w:rPr>
        <w:t>可选办法七（适合综合评分法四，技术标与经济标同时开启）</w:t>
      </w:r>
      <w:bookmarkEnd w:id="21"/>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40．开标和评标程序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40.3技术标投标文件有效性审查；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40.4技术标详细审查评分；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40.5经济标详细审查评分；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40.6评标委员会按照投标人总得分由高至低排序；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40.7经济标投标文件有效性审查；</w:t>
      </w:r>
    </w:p>
    <w:p>
      <w:pPr>
        <w:snapToGrid w:val="0"/>
        <w:spacing w:line="360" w:lineRule="auto"/>
        <w:ind w:firstLine="480" w:firstLineChars="200"/>
        <w:rPr>
          <w:rFonts w:ascii="宋体" w:hAnsi="宋体" w:cs="宋体"/>
          <w:color w:val="auto"/>
          <w:szCs w:val="21"/>
          <w:highlight w:val="none"/>
        </w:rPr>
      </w:pPr>
      <w:r>
        <w:rPr>
          <w:rFonts w:hint="eastAsia" w:ascii="宋体" w:hAnsi="宋体" w:cs="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41．开标细则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41.1开标由招标人主持；</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 细则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41.2.1投标截止期前，各投标人递交投标文件（包括技术标投标文件、经济标投标文件）至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交易平台。有关投标文件提交的事项详见第一章投标须知。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41.2.4.1开标时，公布：a、投标人名称；b、</w:t>
      </w:r>
      <w:r>
        <w:rPr>
          <w:rFonts w:hint="eastAsia" w:ascii="宋体" w:hAnsi="宋体" w:cs="宋体"/>
          <w:color w:val="auto"/>
          <w:sz w:val="24"/>
          <w:highlight w:val="none"/>
        </w:rPr>
        <w:t>投标文件</w:t>
      </w:r>
      <w:r>
        <w:rPr>
          <w:rFonts w:hint="eastAsia" w:ascii="宋体" w:hAnsi="宋体" w:cs="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 资格审查及评标细则</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42.2评标委员会的组成：方式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pPr>
        <w:pStyle w:val="5"/>
        <w:tabs>
          <w:tab w:val="left" w:pos="7380"/>
        </w:tabs>
        <w:snapToGrid w:val="0"/>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43．投标人资格审查</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44．技术标评审</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45．经济标评审和得分汇总</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45.1若通过技术标有效性审查的投标人中所有投标报价均大于等于最高投标限价*D%（D的取值范围为[94,100],由招标人自主确定）的（具体金额为：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元），则本项目招标失败，由招标人依法重新招标。</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45.2按方法</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计算评标参考价：</w:t>
      </w:r>
    </w:p>
    <w:p>
      <w:pPr>
        <w:widowControl/>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方法一：加权平均法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技术标或技术标加诚信得分（具体由招标人自定）前N名（N≥5，具体由招标人自定）的经济报价加权平均，计算评标参考价。公式如下：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评标参考价=Σ（投标人的投标报价*报价权重）。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其中：报价权重的计算方法为：将N名投标人按技术分由高至低进行排序，第一名投标人的权重为（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114300" distR="114300">
            <wp:extent cx="379730" cy="451485"/>
            <wp:effectExtent l="0" t="0" r="1270" b="571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79730" cy="451485"/>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114300" distR="114300">
            <wp:extent cx="379730" cy="451485"/>
            <wp:effectExtent l="0" t="0" r="1270" b="57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79730" cy="451485"/>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），第二名投标人的权重为（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position w:val="-23"/>
          <w:sz w:val="24"/>
          <w:szCs w:val="24"/>
          <w:highlight w:val="none"/>
        </w:rPr>
        <w:drawing>
          <wp:inline distT="0" distB="0" distL="114300" distR="114300">
            <wp:extent cx="320675" cy="403860"/>
            <wp:effectExtent l="0" t="0" r="3175" b="1524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position w:val="-23"/>
          <w:sz w:val="24"/>
          <w:szCs w:val="24"/>
          <w:highlight w:val="none"/>
        </w:rPr>
        <w:drawing>
          <wp:inline distT="0" distB="0" distL="114300" distR="114300">
            <wp:extent cx="320675" cy="403860"/>
            <wp:effectExtent l="0" t="0" r="3175" b="1524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），以此类推，最后一名投标人的权重为（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position w:val="-23"/>
          <w:sz w:val="24"/>
          <w:szCs w:val="24"/>
          <w:highlight w:val="none"/>
        </w:rPr>
        <w:drawing>
          <wp:inline distT="0" distB="0" distL="114300" distR="114300">
            <wp:extent cx="320675" cy="403860"/>
            <wp:effectExtent l="0" t="0" r="3175" b="1587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position w:val="-23"/>
          <w:sz w:val="24"/>
          <w:szCs w:val="24"/>
          <w:highlight w:val="none"/>
        </w:rPr>
        <w:drawing>
          <wp:inline distT="0" distB="0" distL="114300" distR="114300">
            <wp:extent cx="320675" cy="403860"/>
            <wp:effectExtent l="0" t="0" r="3175" b="1587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p>
      <w:pPr>
        <w:widowControl/>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方法二：区间抽取法</w:t>
      </w:r>
    </w:p>
    <w:p>
      <w:pPr>
        <w:widowControl/>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s="宋体"/>
          <w:color w:val="auto"/>
          <w:kern w:val="0"/>
          <w:sz w:val="24"/>
          <w:szCs w:val="24"/>
          <w:highlight w:val="none"/>
          <w:vertAlign w:val="subscript"/>
        </w:rPr>
      </w:pPr>
      <w:r>
        <w:rPr>
          <w:rFonts w:hint="eastAsia" w:ascii="宋体" w:hAnsi="宋体" w:cs="宋体"/>
          <w:color w:val="auto"/>
          <w:kern w:val="0"/>
          <w:sz w:val="24"/>
          <w:szCs w:val="24"/>
          <w:highlight w:val="none"/>
        </w:rPr>
        <w:t>评标参考价=（Q</w:t>
      </w:r>
      <w:r>
        <w:rPr>
          <w:rFonts w:hint="eastAsia" w:ascii="宋体" w:hAnsi="宋体" w:cs="宋体"/>
          <w:color w:val="auto"/>
          <w:kern w:val="0"/>
          <w:sz w:val="24"/>
          <w:szCs w:val="24"/>
          <w:highlight w:val="none"/>
          <w:vertAlign w:val="subscript"/>
        </w:rPr>
        <w:t>高</w:t>
      </w: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低</w:t>
      </w:r>
      <w:r>
        <w:rPr>
          <w:rFonts w:hint="eastAsia" w:ascii="宋体" w:hAnsi="宋体" w:cs="宋体"/>
          <w:color w:val="auto"/>
          <w:kern w:val="0"/>
          <w:sz w:val="24"/>
          <w:szCs w:val="24"/>
          <w:highlight w:val="none"/>
        </w:rPr>
        <w:t>）/100*Ｘ+Q</w:t>
      </w:r>
      <w:r>
        <w:rPr>
          <w:rFonts w:hint="eastAsia" w:ascii="宋体" w:hAnsi="宋体" w:cs="宋体"/>
          <w:color w:val="auto"/>
          <w:kern w:val="0"/>
          <w:sz w:val="24"/>
          <w:szCs w:val="24"/>
          <w:highlight w:val="none"/>
          <w:vertAlign w:val="subscript"/>
        </w:rPr>
        <w:t>低</w:t>
      </w:r>
    </w:p>
    <w:p>
      <w:pPr>
        <w:widowControl/>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Q</w:t>
      </w:r>
      <w:r>
        <w:rPr>
          <w:rFonts w:hint="eastAsia" w:ascii="宋体" w:hAnsi="宋体" w:cs="宋体"/>
          <w:color w:val="auto"/>
          <w:sz w:val="24"/>
          <w:szCs w:val="24"/>
          <w:highlight w:val="none"/>
          <w:vertAlign w:val="subscript"/>
        </w:rPr>
        <w:t>低</w:t>
      </w:r>
      <w:r>
        <w:rPr>
          <w:rFonts w:hint="eastAsia" w:ascii="宋体" w:hAnsi="宋体" w:cs="宋体"/>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高</w:t>
      </w:r>
      <w:r>
        <w:rPr>
          <w:rFonts w:hint="eastAsia" w:ascii="宋体" w:hAnsi="宋体" w:cs="宋体"/>
          <w:color w:val="auto"/>
          <w:sz w:val="24"/>
          <w:szCs w:val="24"/>
          <w:highlight w:val="none"/>
        </w:rPr>
        <w:t>：为（最高投标限价*D%）（D的取值范围为[94,100],由招标人自定）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X:为等分点值，在开标前从[0,100]整数中随机抽取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s="宋体"/>
          <w:color w:val="auto"/>
          <w:sz w:val="24"/>
          <w:szCs w:val="24"/>
          <w:highlight w:val="none"/>
        </w:rPr>
        <w:t>当标价等于评标参考价时得100分，标价每高于评标参考价1%，扣1.5分，每低于评标参考价1%，扣1分，扣至0分为止，得出经济分，精确到小数点后两位。</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46.经济标的有效性审查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cs="宋体"/>
          <w:color w:val="auto"/>
          <w:sz w:val="24"/>
          <w:highlight w:val="none"/>
        </w:rPr>
        <w:t>投标文件</w:t>
      </w:r>
      <w:r>
        <w:rPr>
          <w:rFonts w:hint="eastAsia" w:ascii="宋体" w:hAnsi="宋体" w:cs="宋体"/>
          <w:color w:val="auto"/>
          <w:sz w:val="24"/>
          <w:szCs w:val="24"/>
          <w:highlight w:val="none"/>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46.2.1如果数字表示的金额和用文字表示的金额不一致时，应以文字表示的金额为准；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46.2.2经算术复核的投标人报价与其投标报价不一致时，按就低不就高原则确定其最终报价；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46.2.4当合价、金额累加错误时，按就低不就高原则，如果累加修正值小于原累加值，则按累加修正值；如果累加修正值大于原累加值，则按原累加值；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49.若通过经济标有效性审查的投标人不足三家，应当依法重新招标。（当N个标段同时招标且不允许兼中时，若有效投标人不足N+2家，应当依法重新招标）</w:t>
      </w:r>
      <w:bookmarkEnd w:id="22"/>
      <w:bookmarkEnd w:id="23"/>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widowControl/>
        <w:snapToGrid w:val="0"/>
        <w:spacing w:line="360" w:lineRule="auto"/>
        <w:ind w:right="102"/>
        <w:jc w:val="left"/>
        <w:rPr>
          <w:rFonts w:ascii="宋体" w:hAnsi="宋体" w:cs="宋体"/>
          <w:color w:val="auto"/>
          <w:szCs w:val="21"/>
          <w:highlight w:val="none"/>
        </w:rPr>
        <w:sectPr>
          <w:endnotePr>
            <w:numFmt w:val="decimal"/>
          </w:endnotePr>
          <w:pgSz w:w="11906" w:h="16838"/>
          <w:pgMar w:top="1134" w:right="1418" w:bottom="1247" w:left="1418" w:header="851" w:footer="907" w:gutter="0"/>
          <w:cols w:space="720" w:num="1"/>
          <w:titlePg/>
          <w:docGrid w:type="lines" w:linePitch="312" w:charSpace="0"/>
        </w:sectPr>
      </w:pPr>
    </w:p>
    <w:p>
      <w:pPr>
        <w:widowControl/>
        <w:snapToGrid w:val="0"/>
        <w:spacing w:line="360" w:lineRule="auto"/>
        <w:ind w:right="102"/>
        <w:jc w:val="left"/>
        <w:rPr>
          <w:rFonts w:ascii="宋体" w:hAnsi="宋体" w:cs="宋体"/>
          <w:color w:val="auto"/>
          <w:sz w:val="24"/>
          <w:szCs w:val="24"/>
          <w:highlight w:val="none"/>
        </w:rPr>
      </w:pPr>
      <w:r>
        <w:rPr>
          <w:rFonts w:hint="eastAsia" w:ascii="宋体" w:hAnsi="宋体" w:cs="宋体"/>
          <w:color w:val="auto"/>
          <w:sz w:val="24"/>
          <w:szCs w:val="24"/>
          <w:highlight w:val="none"/>
        </w:rPr>
        <w:t>附表一：</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资格审查表</w:t>
      </w:r>
    </w:p>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资质证书及安全生产许可证在广州市住建行业信用管理平台内上传件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Style w:val="140"/>
                <w:rFonts w:hint="eastAsia" w:ascii="宋体" w:hAnsi="宋体"/>
                <w:color w:val="auto"/>
                <w:szCs w:val="21"/>
                <w:highlight w:val="none"/>
              </w:rPr>
            </w:pPr>
            <w:r>
              <w:rPr>
                <w:rStyle w:val="140"/>
                <w:rFonts w:hint="eastAsia" w:ascii="宋体" w:hAnsi="宋体"/>
                <w:color w:val="auto"/>
                <w:szCs w:val="21"/>
                <w:highlight w:val="none"/>
              </w:rPr>
              <w:t>使用有效期内的注册建造师注册证书在广州市住建行业信用平台内上传件。</w:t>
            </w:r>
          </w:p>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（注：打印建造师电子证书后，应在个人签名处手写本人签名再上传广州市住建行业信用平台，上传件未手写签名或与签名图像笔迹不一致的，该电子证书无效。）</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持有项目负责人安全培训考核合格证（B类）或建筑施工企业项目负责人安全生产考核合格证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项目负责人安全培训考核合格证（B证）或建筑施工企业项目负责人安全生产考核合格证在广州市住建行业信用管理平台内上传件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拟委托技术负责人的相关证书</w:t>
            </w:r>
            <w:r>
              <w:rPr>
                <w:rStyle w:val="140"/>
                <w:rFonts w:hint="eastAsia" w:ascii="宋体" w:hAnsi="宋体"/>
                <w:color w:val="auto"/>
                <w:szCs w:val="21"/>
                <w:highlight w:val="none"/>
              </w:rPr>
              <w:t>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Fonts w:ascii="宋体" w:hAnsi="宋体" w:cs="宋体"/>
                <w:color w:val="auto"/>
                <w:sz w:val="21"/>
                <w:szCs w:val="21"/>
                <w:highlight w:val="none"/>
              </w:rPr>
              <w:t>专职安全员须具有在有效期内的安全生产考核合格证</w:t>
            </w:r>
            <w:r>
              <w:rPr>
                <w:rFonts w:ascii="宋体" w:hAnsi="宋体" w:cs="宋体"/>
                <w:color w:val="auto"/>
                <w:sz w:val="21"/>
                <w:szCs w:val="21"/>
                <w:highlight w:val="none"/>
                <w:u w:val="single"/>
              </w:rPr>
              <w:t>（C类）</w:t>
            </w:r>
            <w:r>
              <w:rPr>
                <w:rFonts w:ascii="宋体" w:hAnsi="宋体" w:cs="宋体"/>
                <w:color w:val="auto"/>
                <w:sz w:val="21"/>
                <w:szCs w:val="21"/>
                <w:highlight w:val="none"/>
              </w:rPr>
              <w:t>或建筑施工企业专职安全生产管理人员安全生产考核合格证</w:t>
            </w:r>
            <w:r>
              <w:rPr>
                <w:rFonts w:ascii="宋体" w:hAnsi="宋体" w:cs="宋体"/>
                <w:color w:val="auto"/>
                <w:sz w:val="21"/>
                <w:szCs w:val="21"/>
                <w:highlight w:val="none"/>
                <w:u w:val="single"/>
              </w:rPr>
              <w:t>（C3）</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Fonts w:ascii="宋体" w:hAnsi="宋体" w:cs="宋体"/>
                <w:color w:val="auto"/>
                <w:sz w:val="21"/>
                <w:szCs w:val="21"/>
                <w:highlight w:val="none"/>
              </w:rPr>
              <w:t>专职安全员须具有在有效期内的安全生产考核合格证</w:t>
            </w:r>
            <w:r>
              <w:rPr>
                <w:rFonts w:ascii="宋体" w:hAnsi="宋体" w:cs="宋体"/>
                <w:color w:val="auto"/>
                <w:sz w:val="21"/>
                <w:szCs w:val="21"/>
                <w:highlight w:val="none"/>
                <w:u w:val="single"/>
              </w:rPr>
              <w:t>（C类）</w:t>
            </w:r>
            <w:r>
              <w:rPr>
                <w:rFonts w:ascii="宋体" w:hAnsi="宋体" w:cs="宋体"/>
                <w:color w:val="auto"/>
                <w:sz w:val="21"/>
                <w:szCs w:val="21"/>
                <w:highlight w:val="none"/>
              </w:rPr>
              <w:t>或建筑施工企业专职安全生产管理人员安全生产考核合格证</w:t>
            </w:r>
            <w:r>
              <w:rPr>
                <w:rFonts w:ascii="宋体" w:hAnsi="宋体" w:cs="宋体"/>
                <w:color w:val="auto"/>
                <w:sz w:val="21"/>
                <w:szCs w:val="21"/>
                <w:highlight w:val="none"/>
                <w:u w:val="single"/>
              </w:rPr>
              <w:t>（C3）</w:t>
            </w:r>
            <w:r>
              <w:rPr>
                <w:rFonts w:ascii="宋体" w:hAnsi="宋体" w:cs="宋体"/>
                <w:color w:val="auto"/>
                <w:sz w:val="21"/>
                <w:szCs w:val="21"/>
                <w:highlight w:val="none"/>
              </w:rPr>
              <w:t>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u w:val="single"/>
              </w:rPr>
            </w:pPr>
            <w:r>
              <w:rPr>
                <w:rStyle w:val="140"/>
                <w:rFonts w:ascii="宋体" w:hAnsi="宋体"/>
                <w:color w:val="auto"/>
                <w:szCs w:val="21"/>
                <w:highlight w:val="none"/>
              </w:rPr>
              <w:t>本次招标不接受联合体投标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u w:val="single"/>
              </w:rPr>
            </w:pPr>
            <w:r>
              <w:rPr>
                <w:rStyle w:val="140"/>
                <w:rFonts w:ascii="宋体" w:hAnsi="宋体"/>
                <w:color w:val="auto"/>
                <w:szCs w:val="21"/>
                <w:highlight w:val="none"/>
              </w:rPr>
              <w:t>投标人非联合体投标</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资格审查前，投标人须在广州市住房和城乡建设局建立企业信用档案及拟担任本工程项目负责人、专职安全员须是本企业中的在册人员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投标人未出现以下情形：与其它投标人的单位负责人为同一人或者存在控股、管理关系的</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Fonts w:hint="eastAsia" w:ascii="宋体" w:hAnsi="宋体" w:cs="宋体"/>
                <w:color w:val="auto"/>
                <w:szCs w:val="21"/>
                <w:highlight w:val="none"/>
              </w:rPr>
              <w:t>未被纳入失信联合惩戒名单且被限制参加建设工程投标的（具体名单以递交投标文件截止时间“信用广州”https://credit1.gz.gov.cn/sgs/sgsXkNew公布的“失信黑名单”为准。不包含限制参加财政投资工程或政府投资工程的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bl>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备注：</w:t>
      </w:r>
    </w:p>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 xml:space="preserve">1、每一项目符合的打“○”，不符合的打“×”； </w:t>
      </w:r>
    </w:p>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pPr>
        <w:rPr>
          <w:rFonts w:ascii="宋体" w:hAnsi="宋体" w:cs="宋体"/>
          <w:color w:val="auto"/>
          <w:highlight w:val="none"/>
        </w:rPr>
        <w:sectPr>
          <w:endnotePr>
            <w:numFmt w:val="decimal"/>
          </w:endnotePr>
          <w:pgSz w:w="11906" w:h="16838"/>
          <w:pgMar w:top="1134" w:right="1418" w:bottom="1247" w:left="1418" w:header="851" w:footer="907" w:gutter="0"/>
          <w:cols w:space="720" w:num="1"/>
          <w:titlePg/>
          <w:docGrid w:type="lines" w:linePitch="312" w:charSpace="0"/>
        </w:sectPr>
      </w:pPr>
    </w:p>
    <w:p>
      <w:pPr>
        <w:rPr>
          <w:rFonts w:ascii="宋体" w:hAnsi="宋体" w:cs="宋体"/>
          <w:color w:val="auto"/>
          <w:sz w:val="24"/>
          <w:szCs w:val="24"/>
          <w:highlight w:val="none"/>
        </w:rPr>
      </w:pPr>
      <w:r>
        <w:rPr>
          <w:rFonts w:hint="eastAsia" w:ascii="宋体" w:hAnsi="宋体" w:cs="宋体"/>
          <w:color w:val="auto"/>
          <w:sz w:val="24"/>
          <w:szCs w:val="24"/>
          <w:highlight w:val="none"/>
        </w:rPr>
        <w:t>附表二</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9"/>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4370"/>
        <w:gridCol w:w="1630"/>
        <w:gridCol w:w="1630"/>
        <w:gridCol w:w="1630"/>
        <w:gridCol w:w="1630"/>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序号</w:t>
            </w:r>
          </w:p>
        </w:tc>
        <w:tc>
          <w:tcPr>
            <w:tcW w:w="4370"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s="宋体"/>
                <w:color w:val="auto"/>
                <w:szCs w:val="21"/>
                <w:highlight w:val="none"/>
              </w:rPr>
            </w:pPr>
            <w:r>
              <w:rPr>
                <w:rFonts w:hint="eastAsia" w:ascii="宋体" w:hAnsi="宋体" w:cs="宋体"/>
                <w:color w:val="auto"/>
                <w:szCs w:val="21"/>
                <w:highlight w:val="none"/>
              </w:rPr>
              <w:t xml:space="preserve">               投标人</w:t>
            </w:r>
          </w:p>
          <w:p>
            <w:pPr>
              <w:adjustRightInd w:val="0"/>
              <w:rPr>
                <w:rFonts w:ascii="宋体" w:hAnsi="宋体" w:cs="宋体"/>
                <w:color w:val="auto"/>
                <w:szCs w:val="21"/>
                <w:highlight w:val="none"/>
              </w:rPr>
            </w:pPr>
          </w:p>
          <w:p>
            <w:pPr>
              <w:adjustRightInd w:val="0"/>
              <w:rPr>
                <w:rFonts w:ascii="宋体" w:hAnsi="宋体" w:cs="宋体"/>
                <w:color w:val="auto"/>
                <w:szCs w:val="21"/>
                <w:highlight w:val="none"/>
              </w:rPr>
            </w:pPr>
            <w:r>
              <w:rPr>
                <w:rFonts w:hint="eastAsia" w:ascii="宋体" w:hAnsi="宋体" w:cs="宋体"/>
                <w:color w:val="auto"/>
                <w:szCs w:val="21"/>
                <w:highlight w:val="none"/>
              </w:rPr>
              <w:t>评审内容</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1</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u w:val="single"/>
              </w:rPr>
              <w:t>《广州建设工程施工技术标招标投标书》中的工期不符合招标文件要求的；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strike/>
                <w:color w:val="auto"/>
                <w:szCs w:val="21"/>
                <w:highlight w:val="none"/>
              </w:rPr>
            </w:pPr>
            <w:r>
              <w:rPr>
                <w:rFonts w:hint="eastAsia" w:ascii="宋体" w:hAnsi="宋体" w:cs="宋体"/>
                <w:color w:val="auto"/>
                <w:szCs w:val="21"/>
                <w:highlight w:val="none"/>
              </w:rPr>
              <w:t>2</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strike/>
                <w:color w:val="auto"/>
                <w:szCs w:val="21"/>
                <w:highlight w:val="none"/>
              </w:rPr>
            </w:pPr>
            <w:r>
              <w:rPr>
                <w:rFonts w:hint="eastAsia" w:ascii="宋体" w:hAnsi="宋体" w:cs="宋体"/>
                <w:color w:val="auto"/>
                <w:szCs w:val="21"/>
                <w:highlight w:val="none"/>
                <w:u w:val="single"/>
              </w:rPr>
              <w:t>《广州建设工程施工技术标招标投标书）》中的工程质量标准不符合招标文件要求的；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3</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4</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投标文件未按规定的格式填写，或主要内容不全，或关键字迹模糊、无法辨认的；</w:t>
            </w:r>
            <w:r>
              <w:rPr>
                <w:rFonts w:hint="eastAsia" w:ascii="宋体" w:hAnsi="宋体" w:cs="宋体"/>
                <w:color w:val="auto"/>
                <w:szCs w:val="21"/>
                <w:highlight w:val="none"/>
                <w:u w:val="single"/>
              </w:rPr>
              <w:t>（投标文件规定格式（即参与评审的格式）为技术标部分带★号的格式（即格式3、格式4、格式8、格式</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、格式1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5</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6</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auto"/>
                <w:szCs w:val="21"/>
                <w:highlight w:val="none"/>
                <w:lang w:eastAsia="zh-CN"/>
              </w:rPr>
            </w:pPr>
            <w:r>
              <w:rPr>
                <w:rFonts w:hint="eastAsia" w:ascii="宋体" w:hAnsi="宋体"/>
                <w:color w:val="auto"/>
                <w:szCs w:val="21"/>
                <w:highlight w:val="none"/>
              </w:rPr>
              <w:t>无《参与编制技术标投标文件人员名单》的</w:t>
            </w:r>
            <w:r>
              <w:rPr>
                <w:rFonts w:hint="eastAsia" w:ascii="宋体" w:hAnsi="宋体"/>
                <w:color w:val="auto"/>
                <w:szCs w:val="21"/>
                <w:highlight w:val="none"/>
                <w:lang w:eastAsia="zh-CN"/>
              </w:rPr>
              <w:t>；</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7</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auto"/>
                <w:szCs w:val="21"/>
                <w:highlight w:val="none"/>
                <w:lang w:eastAsia="zh-CN"/>
              </w:rPr>
            </w:pPr>
            <w:r>
              <w:rPr>
                <w:rFonts w:hint="eastAsia" w:ascii="宋体" w:hAnsi="宋体"/>
                <w:strike w:val="0"/>
                <w:color w:val="auto"/>
                <w:szCs w:val="21"/>
                <w:highlight w:val="none"/>
              </w:rPr>
              <w:t>投标人未按要求提交投标保证金的</w:t>
            </w:r>
            <w:r>
              <w:rPr>
                <w:rFonts w:hint="eastAsia" w:ascii="宋体" w:hAnsi="宋体"/>
                <w:strike w:val="0"/>
                <w:color w:val="auto"/>
                <w:szCs w:val="21"/>
                <w:highlight w:val="none"/>
                <w:lang w:eastAsia="zh-CN"/>
              </w:rPr>
              <w:t>；</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8</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auto"/>
                <w:szCs w:val="21"/>
                <w:highlight w:val="none"/>
                <w:lang w:eastAsia="zh-CN"/>
              </w:rPr>
            </w:pPr>
            <w:r>
              <w:rPr>
                <w:rFonts w:hint="eastAsia" w:ascii="宋体" w:hAnsi="宋体"/>
                <w:color w:val="auto"/>
                <w:szCs w:val="21"/>
                <w:highlight w:val="none"/>
              </w:rPr>
              <w:t>投标人与</w:t>
            </w:r>
            <w:r>
              <w:rPr>
                <w:rFonts w:hint="eastAsia" w:ascii="宋体" w:hAnsi="宋体"/>
                <w:color w:val="auto"/>
                <w:szCs w:val="21"/>
                <w:highlight w:val="none"/>
                <w:lang w:eastAsia="zh-CN"/>
              </w:rPr>
              <w:t>本项目</w:t>
            </w:r>
            <w:r>
              <w:rPr>
                <w:rFonts w:hint="eastAsia" w:ascii="宋体" w:hAnsi="宋体"/>
                <w:color w:val="auto"/>
                <w:szCs w:val="21"/>
                <w:highlight w:val="none"/>
              </w:rPr>
              <w:t>其他投标人加密打包投标文件电脑机器特征码一致的(以</w:t>
            </w:r>
            <w:r>
              <w:rPr>
                <w:rFonts w:hint="eastAsia" w:ascii="宋体" w:hAnsi="宋体" w:cs="宋体"/>
                <w:color w:val="auto"/>
                <w:szCs w:val="21"/>
                <w:highlight w:val="none"/>
                <w:u w:val="single"/>
              </w:rPr>
              <w:t>广州公共资源交易中心</w:t>
            </w:r>
            <w:r>
              <w:rPr>
                <w:rFonts w:hint="eastAsia" w:ascii="宋体" w:hAnsi="宋体"/>
                <w:color w:val="auto"/>
                <w:szCs w:val="21"/>
                <w:highlight w:val="none"/>
              </w:rPr>
              <w:t>交易平台评标系统的检索信息为准)</w:t>
            </w:r>
            <w:r>
              <w:rPr>
                <w:rFonts w:hint="eastAsia" w:ascii="宋体" w:hAnsi="宋体"/>
                <w:color w:val="auto"/>
                <w:szCs w:val="21"/>
                <w:highlight w:val="none"/>
                <w:lang w:eastAsia="zh-CN"/>
              </w:rPr>
              <w:t>。</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s="宋体"/>
          <w:color w:val="auto"/>
          <w:szCs w:val="21"/>
          <w:highlight w:val="none"/>
        </w:rPr>
      </w:pPr>
      <w:r>
        <w:rPr>
          <w:rFonts w:hint="eastAsia" w:ascii="宋体" w:hAnsi="宋体" w:cs="宋体"/>
          <w:color w:val="auto"/>
          <w:szCs w:val="21"/>
          <w:highlight w:val="none"/>
        </w:rPr>
        <w:t xml:space="preserve">    2.若出现评标委员会否决投标的，应在评标报告中载明否决投标的具体情形、原因。</w:t>
      </w:r>
    </w:p>
    <w:p>
      <w:pPr>
        <w:rPr>
          <w:rFonts w:ascii="宋体" w:hAnsi="宋体" w:cs="宋体"/>
          <w:color w:val="auto"/>
          <w:szCs w:val="21"/>
          <w:highlight w:val="none"/>
        </w:rPr>
      </w:pPr>
      <w:r>
        <w:rPr>
          <w:rFonts w:hint="eastAsia" w:ascii="宋体" w:hAnsi="宋体" w:cs="宋体"/>
          <w:color w:val="auto"/>
          <w:szCs w:val="21"/>
          <w:highlight w:val="none"/>
        </w:rPr>
        <w:t xml:space="preserve">    3.凡出现以上任何一项情形，结论均为无效，否则就为有效。</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pPr>
        <w:rPr>
          <w:rFonts w:ascii="宋体" w:hAnsi="宋体" w:cs="宋体"/>
          <w:color w:val="auto"/>
          <w:szCs w:val="21"/>
          <w:highlight w:val="none"/>
        </w:rPr>
      </w:pPr>
      <w:r>
        <w:rPr>
          <w:rFonts w:hint="eastAsia" w:ascii="宋体" w:hAnsi="宋体" w:cs="宋体"/>
          <w:color w:val="auto"/>
          <w:szCs w:val="21"/>
          <w:highlight w:val="none"/>
        </w:rPr>
        <w:t>评委签名：</w:t>
      </w:r>
    </w:p>
    <w:p>
      <w:pPr>
        <w:rPr>
          <w:rFonts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附表三</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 xml:space="preserve">               投标人</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s="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投标文件未按规定的格式填写，或主要内容不全，或关键字迹模糊、无法辨认的；</w:t>
            </w:r>
            <w:r>
              <w:rPr>
                <w:rFonts w:hint="eastAsia" w:ascii="宋体" w:hAnsi="宋体" w:cs="宋体"/>
                <w:color w:val="auto"/>
                <w:szCs w:val="21"/>
                <w:highlight w:val="none"/>
                <w:u w:val="single"/>
              </w:rPr>
              <w:t>（投标文件规定格式（即参与评审的格式）为经济标部分带★号的格式（即格式2、格式5））</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9</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lang w:eastAsia="zh-CN"/>
              </w:rPr>
            </w:pPr>
            <w:r>
              <w:rPr>
                <w:rFonts w:hint="eastAsia" w:ascii="宋体" w:hAnsi="宋体"/>
                <w:color w:val="auto"/>
                <w:szCs w:val="21"/>
                <w:highlight w:val="none"/>
              </w:rPr>
              <w:t>无《对投标文件编制的承诺》</w:t>
            </w:r>
            <w:r>
              <w:rPr>
                <w:rFonts w:hint="eastAsia" w:ascii="宋体" w:hAnsi="宋体"/>
                <w:color w:val="auto"/>
                <w:szCs w:val="21"/>
                <w:highlight w:val="none"/>
                <w:lang w:eastAsia="zh-CN"/>
              </w:rPr>
              <w:t>；</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10</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w:t>
            </w:r>
          </w:p>
          <w:p>
            <w:pPr>
              <w:rPr>
                <w:rFonts w:hint="eastAsia" w:ascii="宋体" w:hAnsi="宋体" w:eastAsia="宋体" w:cs="宋体"/>
                <w:color w:val="auto"/>
                <w:szCs w:val="21"/>
                <w:highlight w:val="none"/>
                <w:lang w:eastAsia="zh-CN"/>
              </w:rPr>
            </w:pPr>
            <w:r>
              <w:rPr>
                <w:rFonts w:hint="eastAsia" w:ascii="宋体" w:hAnsi="宋体"/>
                <w:color w:val="auto"/>
                <w:szCs w:val="21"/>
                <w:highlight w:val="none"/>
              </w:rPr>
              <w:t>信息一致的（以</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交易平台评标系统的检索信息为准）</w:t>
            </w:r>
            <w:r>
              <w:rPr>
                <w:rFonts w:hint="eastAsia" w:ascii="宋体" w:hAnsi="宋体"/>
                <w:color w:val="auto"/>
                <w:szCs w:val="21"/>
                <w:highlight w:val="none"/>
                <w:lang w:eastAsia="zh-CN"/>
              </w:rPr>
              <w:t>。</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bl>
    <w:p>
      <w:pPr>
        <w:ind w:firstLine="458"/>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pPr>
        <w:ind w:firstLine="458"/>
        <w:rPr>
          <w:rFonts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pPr>
        <w:ind w:firstLine="458"/>
        <w:rPr>
          <w:rFonts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pPr>
        <w:pStyle w:val="5"/>
        <w:ind w:firstLine="458"/>
        <w:rPr>
          <w:rFonts w:ascii="宋体" w:hAnsi="宋体" w:cs="宋体"/>
          <w:color w:val="auto"/>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s="宋体"/>
          <w:color w:val="auto"/>
          <w:szCs w:val="21"/>
          <w:highlight w:val="none"/>
        </w:rPr>
        <w:t>评委签</w:t>
      </w:r>
    </w:p>
    <w:p>
      <w:pPr>
        <w:rPr>
          <w:rFonts w:ascii="宋体" w:hAnsi="宋体" w:cs="宋体"/>
          <w:color w:val="auto"/>
          <w:sz w:val="24"/>
          <w:szCs w:val="24"/>
          <w:highlight w:val="none"/>
        </w:rPr>
      </w:pPr>
      <w:r>
        <w:rPr>
          <w:rFonts w:hint="eastAsia" w:ascii="宋体" w:hAnsi="宋体" w:cs="宋体"/>
          <w:color w:val="auto"/>
          <w:sz w:val="24"/>
          <w:szCs w:val="24"/>
          <w:highlight w:val="none"/>
        </w:rPr>
        <w:t>附表四</w:t>
      </w:r>
    </w:p>
    <w:p>
      <w:pPr>
        <w:jc w:val="center"/>
        <w:rPr>
          <w:rFonts w:ascii="宋体" w:hAnsi="宋体" w:cs="宋体"/>
          <w:color w:val="auto"/>
          <w:highlight w:val="none"/>
        </w:rPr>
      </w:pPr>
      <w:r>
        <w:rPr>
          <w:rFonts w:hint="eastAsia" w:ascii="宋体" w:hAnsi="宋体" w:cs="宋体"/>
          <w:b/>
          <w:color w:val="auto"/>
          <w:sz w:val="36"/>
          <w:szCs w:val="36"/>
          <w:highlight w:val="none"/>
        </w:rPr>
        <w:t>技术标详细审查评分表</w:t>
      </w:r>
    </w:p>
    <w:p>
      <w:pPr>
        <w:ind w:firstLine="210" w:firstLineChars="100"/>
        <w:rPr>
          <w:rFonts w:ascii="宋体" w:hAnsi="宋体" w:cs="宋体"/>
          <w:color w:val="auto"/>
          <w:szCs w:val="21"/>
          <w:highlight w:val="none"/>
        </w:rPr>
      </w:pPr>
    </w:p>
    <w:tbl>
      <w:tblPr>
        <w:tblStyle w:val="39"/>
        <w:tblW w:w="15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106"/>
        <w:gridCol w:w="900"/>
        <w:gridCol w:w="1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widowControl/>
              <w:spacing w:before="100" w:beforeAutospacing="1" w:after="100" w:afterAutospacing="1"/>
              <w:jc w:val="center"/>
              <w:rPr>
                <w:rFonts w:ascii="宋体" w:hAnsi="宋体" w:cs="宋体"/>
                <w:b/>
                <w:color w:val="auto"/>
                <w:szCs w:val="21"/>
                <w:highlight w:val="none"/>
              </w:rPr>
            </w:pPr>
            <w:r>
              <w:rPr>
                <w:rStyle w:val="139"/>
                <w:rFonts w:hint="eastAsia" w:ascii="宋体" w:hAnsi="宋体" w:cs="宋体"/>
                <w:b/>
                <w:color w:val="auto"/>
                <w:szCs w:val="21"/>
                <w:highlight w:val="none"/>
              </w:rPr>
              <w:t>评分项目</w:t>
            </w:r>
          </w:p>
        </w:tc>
        <w:tc>
          <w:tcPr>
            <w:tcW w:w="1106" w:type="dxa"/>
            <w:vAlign w:val="center"/>
          </w:tcPr>
          <w:p>
            <w:pPr>
              <w:spacing w:before="100" w:beforeAutospacing="1" w:after="100" w:afterAutospacing="1"/>
              <w:jc w:val="center"/>
              <w:rPr>
                <w:rFonts w:ascii="宋体" w:hAnsi="宋体" w:cs="宋体"/>
                <w:b/>
                <w:color w:val="auto"/>
                <w:szCs w:val="21"/>
                <w:highlight w:val="none"/>
              </w:rPr>
            </w:pPr>
            <w:r>
              <w:rPr>
                <w:rStyle w:val="139"/>
                <w:rFonts w:hint="eastAsia" w:ascii="宋体" w:hAnsi="宋体" w:cs="宋体"/>
                <w:b/>
                <w:color w:val="auto"/>
                <w:szCs w:val="21"/>
                <w:highlight w:val="none"/>
              </w:rPr>
              <w:t>评分内容</w:t>
            </w:r>
          </w:p>
        </w:tc>
        <w:tc>
          <w:tcPr>
            <w:tcW w:w="900" w:type="dxa"/>
            <w:vAlign w:val="center"/>
          </w:tcPr>
          <w:p>
            <w:pPr>
              <w:spacing w:before="100" w:beforeAutospacing="1" w:after="100" w:afterAutospacing="1"/>
              <w:jc w:val="center"/>
              <w:rPr>
                <w:rFonts w:ascii="宋体" w:hAnsi="宋体" w:cs="宋体"/>
                <w:b/>
                <w:color w:val="auto"/>
                <w:szCs w:val="21"/>
                <w:highlight w:val="none"/>
              </w:rPr>
            </w:pPr>
            <w:r>
              <w:rPr>
                <w:rStyle w:val="139"/>
                <w:rFonts w:hint="eastAsia" w:ascii="宋体" w:hAnsi="宋体" w:cs="宋体"/>
                <w:b/>
                <w:color w:val="auto"/>
                <w:szCs w:val="21"/>
                <w:highlight w:val="none"/>
              </w:rPr>
              <w:t>分值</w:t>
            </w:r>
          </w:p>
        </w:tc>
        <w:tc>
          <w:tcPr>
            <w:tcW w:w="12717" w:type="dxa"/>
            <w:vAlign w:val="center"/>
          </w:tcPr>
          <w:p>
            <w:pPr>
              <w:spacing w:before="100" w:beforeAutospacing="1" w:after="100" w:afterAutospacing="1"/>
              <w:jc w:val="center"/>
              <w:rPr>
                <w:rFonts w:ascii="宋体" w:hAnsi="宋体" w:cs="宋体"/>
                <w:b/>
                <w:color w:val="auto"/>
                <w:szCs w:val="21"/>
                <w:highlight w:val="none"/>
              </w:rPr>
            </w:pPr>
            <w:r>
              <w:rPr>
                <w:rStyle w:val="139"/>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075" w:type="dxa"/>
            <w:vMerge w:val="restart"/>
            <w:vAlign w:val="center"/>
          </w:tcPr>
          <w:p>
            <w:pPr>
              <w:pStyle w:val="38"/>
              <w:numPr>
                <w:ilvl w:val="0"/>
                <w:numId w:val="4"/>
              </w:numPr>
              <w:ind w:leftChars="0" w:firstLine="0" w:firstLineChars="0"/>
              <w:jc w:val="center"/>
              <w:rPr>
                <w:rFonts w:ascii="宋体" w:hAnsi="宋体"/>
                <w:color w:val="auto"/>
                <w:sz w:val="24"/>
                <w:szCs w:val="24"/>
                <w:highlight w:val="none"/>
              </w:rPr>
            </w:pPr>
          </w:p>
          <w:p>
            <w:pPr>
              <w:pStyle w:val="38"/>
              <w:ind w:left="0" w:leftChars="0" w:firstLine="240" w:firstLineChars="100"/>
              <w:jc w:val="center"/>
              <w:rPr>
                <w:rFonts w:ascii="宋体" w:hAnsi="宋体"/>
                <w:color w:val="auto"/>
                <w:sz w:val="24"/>
                <w:szCs w:val="24"/>
                <w:highlight w:val="none"/>
              </w:rPr>
            </w:pPr>
            <w:r>
              <w:rPr>
                <w:rFonts w:hint="eastAsia" w:ascii="宋体" w:hAnsi="宋体"/>
                <w:color w:val="auto"/>
                <w:sz w:val="24"/>
                <w:szCs w:val="24"/>
                <w:highlight w:val="none"/>
              </w:rPr>
              <w:t>企</w:t>
            </w:r>
            <w:r>
              <w:rPr>
                <w:rFonts w:ascii="宋体" w:hAnsi="宋体"/>
                <w:color w:val="auto"/>
                <w:sz w:val="24"/>
                <w:szCs w:val="24"/>
                <w:highlight w:val="none"/>
              </w:rPr>
              <w:t xml:space="preserve"> </w:t>
            </w:r>
            <w:r>
              <w:rPr>
                <w:rFonts w:hint="eastAsia" w:ascii="宋体" w:hAnsi="宋体"/>
                <w:color w:val="auto"/>
                <w:sz w:val="24"/>
                <w:szCs w:val="24"/>
                <w:highlight w:val="none"/>
              </w:rPr>
              <w:t>业</w:t>
            </w:r>
          </w:p>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资</w:t>
            </w:r>
            <w:r>
              <w:rPr>
                <w:rFonts w:ascii="宋体" w:hAnsi="宋体"/>
                <w:color w:val="auto"/>
                <w:sz w:val="24"/>
                <w:szCs w:val="24"/>
                <w:highlight w:val="none"/>
              </w:rPr>
              <w:t xml:space="preserve"> </w:t>
            </w:r>
            <w:r>
              <w:rPr>
                <w:rFonts w:hint="eastAsia" w:ascii="宋体" w:hAnsi="宋体"/>
                <w:color w:val="auto"/>
                <w:sz w:val="24"/>
                <w:szCs w:val="24"/>
                <w:highlight w:val="none"/>
              </w:rPr>
              <w:t>信</w:t>
            </w:r>
          </w:p>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(6分)</w:t>
            </w:r>
          </w:p>
        </w:tc>
        <w:tc>
          <w:tcPr>
            <w:tcW w:w="1106" w:type="dxa"/>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工程</w:t>
            </w:r>
          </w:p>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获奖</w:t>
            </w:r>
          </w:p>
        </w:tc>
        <w:tc>
          <w:tcPr>
            <w:tcW w:w="900" w:type="dxa"/>
            <w:vAlign w:val="center"/>
          </w:tcPr>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1.8分</w:t>
            </w:r>
          </w:p>
        </w:tc>
        <w:tc>
          <w:tcPr>
            <w:tcW w:w="12717" w:type="dxa"/>
            <w:vAlign w:val="center"/>
          </w:tcPr>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投标人自</w:t>
            </w:r>
            <w:r>
              <w:rPr>
                <w:rFonts w:ascii="宋体" w:hAnsi="宋体"/>
                <w:color w:val="auto"/>
                <w:sz w:val="24"/>
                <w:szCs w:val="24"/>
                <w:highlight w:val="none"/>
              </w:rPr>
              <w:t>2019年1月1日（获奖时间以获奖证书的发证日期为准）至投标截止时间止，独立完成的房建类</w:t>
            </w:r>
            <w:r>
              <w:rPr>
                <w:rFonts w:hint="eastAsia" w:ascii="宋体" w:hAnsi="宋体"/>
                <w:color w:val="auto"/>
                <w:sz w:val="24"/>
                <w:szCs w:val="24"/>
                <w:highlight w:val="none"/>
              </w:rPr>
              <w:t>工程施工总承包业绩获得过市级或以上工程质量奖项的（不包含安全文明、绿色施工、技术创新、</w:t>
            </w:r>
            <w:r>
              <w:rPr>
                <w:rFonts w:ascii="宋体" w:hAnsi="宋体"/>
                <w:color w:val="auto"/>
                <w:sz w:val="24"/>
                <w:szCs w:val="24"/>
                <w:highlight w:val="none"/>
              </w:rPr>
              <w:t xml:space="preserve">QC成果、科技进步及技术应用类等奖项）：获得15项（不含本数）以上的，得1.8分；获得11--15项（含本数）的，得0.9分；获得6--10项（含本数）的，得0.4分； </w:t>
            </w:r>
            <w:r>
              <w:rPr>
                <w:rFonts w:hint="eastAsia" w:ascii="宋体" w:hAnsi="宋体"/>
                <w:color w:val="auto"/>
                <w:sz w:val="24"/>
                <w:szCs w:val="24"/>
                <w:highlight w:val="none"/>
              </w:rPr>
              <w:t>获得</w:t>
            </w:r>
            <w:r>
              <w:rPr>
                <w:rFonts w:ascii="宋体" w:hAnsi="宋体"/>
                <w:color w:val="auto"/>
                <w:sz w:val="24"/>
                <w:szCs w:val="24"/>
                <w:highlight w:val="none"/>
              </w:rPr>
              <w:t>1--5项（含本数）的，得0.1分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注：本项累计最高计</w:t>
            </w:r>
            <w:r>
              <w:rPr>
                <w:rFonts w:ascii="宋体" w:hAnsi="宋体"/>
                <w:color w:val="auto"/>
                <w:sz w:val="24"/>
                <w:szCs w:val="24"/>
                <w:highlight w:val="none"/>
              </w:rPr>
              <w:t>1.8分，</w:t>
            </w:r>
            <w:r>
              <w:rPr>
                <w:rFonts w:hint="eastAsia" w:ascii="宋体" w:hAnsi="宋体"/>
                <w:color w:val="auto"/>
                <w:sz w:val="24"/>
                <w:szCs w:val="24"/>
                <w:highlight w:val="none"/>
              </w:rPr>
              <w:t>获奖项目</w:t>
            </w:r>
            <w:r>
              <w:rPr>
                <w:rFonts w:ascii="宋体" w:hAnsi="宋体"/>
                <w:color w:val="auto"/>
                <w:sz w:val="24"/>
                <w:szCs w:val="24"/>
                <w:highlight w:val="none"/>
              </w:rPr>
              <w:t>按最高级别奖项只计一次得分，</w:t>
            </w:r>
            <w:r>
              <w:rPr>
                <w:rFonts w:hint="eastAsia" w:ascii="宋体" w:hAnsi="宋体"/>
                <w:color w:val="auto"/>
                <w:sz w:val="24"/>
                <w:szCs w:val="24"/>
                <w:highlight w:val="none"/>
              </w:rPr>
              <w:t>提供的资料不齐全或不符合上述条件的，不得分</w:t>
            </w:r>
            <w:r>
              <w:rPr>
                <w:rFonts w:ascii="宋体"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075" w:type="dxa"/>
            <w:vMerge w:val="continue"/>
            <w:vAlign w:val="center"/>
          </w:tcPr>
          <w:p>
            <w:pPr>
              <w:pStyle w:val="38"/>
              <w:ind w:left="0" w:leftChars="0" w:firstLine="0" w:firstLineChars="0"/>
              <w:jc w:val="center"/>
              <w:rPr>
                <w:rFonts w:ascii="宋体" w:hAnsi="宋体"/>
                <w:color w:val="auto"/>
                <w:sz w:val="24"/>
                <w:szCs w:val="24"/>
                <w:highlight w:val="none"/>
              </w:rPr>
            </w:pPr>
          </w:p>
        </w:tc>
        <w:tc>
          <w:tcPr>
            <w:tcW w:w="1106" w:type="dxa"/>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工程研发能力</w:t>
            </w:r>
          </w:p>
        </w:tc>
        <w:tc>
          <w:tcPr>
            <w:tcW w:w="900" w:type="dxa"/>
            <w:vAlign w:val="center"/>
          </w:tcPr>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1.8分</w:t>
            </w:r>
          </w:p>
        </w:tc>
        <w:tc>
          <w:tcPr>
            <w:tcW w:w="12717" w:type="dxa"/>
            <w:vAlign w:val="center"/>
          </w:tcPr>
          <w:p>
            <w:pPr>
              <w:pStyle w:val="38"/>
              <w:spacing w:line="360" w:lineRule="auto"/>
              <w:ind w:left="0" w:leftChars="0" w:firstLine="0" w:firstLineChars="0"/>
              <w:rPr>
                <w:rFonts w:hint="eastAsia" w:ascii="宋体" w:hAnsi="宋体"/>
                <w:color w:val="auto"/>
                <w:sz w:val="24"/>
                <w:szCs w:val="24"/>
                <w:highlight w:val="none"/>
              </w:rPr>
            </w:pPr>
            <w:r>
              <w:rPr>
                <w:rFonts w:hint="eastAsia" w:ascii="宋体" w:hAnsi="宋体"/>
                <w:color w:val="auto"/>
                <w:sz w:val="24"/>
                <w:szCs w:val="24"/>
                <w:highlight w:val="none"/>
              </w:rPr>
              <w:t>投标人自2019年1月1日至今作为完成单位获得过房建类工法证书奖项：</w:t>
            </w:r>
          </w:p>
          <w:p>
            <w:pPr>
              <w:pStyle w:val="38"/>
              <w:spacing w:line="360" w:lineRule="auto"/>
              <w:ind w:left="0" w:leftChars="0" w:firstLine="0" w:firstLineChars="0"/>
              <w:rPr>
                <w:rFonts w:hint="eastAsia" w:ascii="宋体" w:hAnsi="宋体"/>
                <w:color w:val="auto"/>
                <w:sz w:val="24"/>
                <w:szCs w:val="24"/>
                <w:highlight w:val="none"/>
              </w:rPr>
            </w:pPr>
            <w:r>
              <w:rPr>
                <w:rFonts w:hint="eastAsia" w:ascii="宋体" w:hAnsi="宋体"/>
                <w:color w:val="auto"/>
                <w:sz w:val="24"/>
                <w:szCs w:val="24"/>
                <w:highlight w:val="none"/>
              </w:rPr>
              <w:t>1、获得过国家级(含部级)房建类工法证书，每项得0.6分。</w:t>
            </w:r>
          </w:p>
          <w:p>
            <w:pPr>
              <w:pStyle w:val="38"/>
              <w:spacing w:line="360" w:lineRule="auto"/>
              <w:ind w:left="0" w:leftChars="0" w:firstLine="0" w:firstLineChars="0"/>
              <w:rPr>
                <w:rFonts w:hint="eastAsia" w:ascii="宋体" w:hAnsi="宋体"/>
                <w:color w:val="auto"/>
                <w:sz w:val="24"/>
                <w:szCs w:val="24"/>
                <w:highlight w:val="none"/>
              </w:rPr>
            </w:pPr>
            <w:r>
              <w:rPr>
                <w:rFonts w:hint="eastAsia" w:ascii="宋体" w:hAnsi="宋体"/>
                <w:color w:val="auto"/>
                <w:sz w:val="24"/>
                <w:szCs w:val="24"/>
                <w:highlight w:val="none"/>
              </w:rPr>
              <w:t>2、获得过省级房建类工法证书，30项(不含本数)以上的，得1.8分；21～30项(含本数)的，得0.9分；11～20项(含本数)的，得0.6分；1～10项(含本数)的，得0.3分。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本项评分合计最高得1.8分，相同工法按最高级别奖项只计一次得分，提供的资料不齐全或不符合上述条件的，不得分。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continue"/>
            <w:vAlign w:val="center"/>
          </w:tcPr>
          <w:p>
            <w:pPr>
              <w:pStyle w:val="38"/>
              <w:ind w:left="0" w:leftChars="0" w:firstLine="0" w:firstLineChars="0"/>
              <w:jc w:val="center"/>
              <w:rPr>
                <w:rFonts w:ascii="宋体" w:hAnsi="宋体"/>
                <w:color w:val="auto"/>
                <w:sz w:val="24"/>
                <w:szCs w:val="24"/>
                <w:highlight w:val="none"/>
              </w:rPr>
            </w:pPr>
          </w:p>
        </w:tc>
        <w:tc>
          <w:tcPr>
            <w:tcW w:w="1106" w:type="dxa"/>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财务</w:t>
            </w:r>
          </w:p>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指标</w:t>
            </w:r>
          </w:p>
        </w:tc>
        <w:tc>
          <w:tcPr>
            <w:tcW w:w="900" w:type="dxa"/>
            <w:vAlign w:val="center"/>
          </w:tcPr>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1.2分</w:t>
            </w:r>
          </w:p>
        </w:tc>
        <w:tc>
          <w:tcPr>
            <w:tcW w:w="12717" w:type="dxa"/>
            <w:vAlign w:val="center"/>
          </w:tcPr>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投标人近三年（</w:t>
            </w:r>
            <w:r>
              <w:rPr>
                <w:rFonts w:ascii="宋体" w:hAnsi="宋体"/>
                <w:color w:val="auto"/>
                <w:sz w:val="24"/>
                <w:szCs w:val="24"/>
                <w:highlight w:val="none"/>
              </w:rPr>
              <w:t>2019年度至2021年度）的</w:t>
            </w:r>
            <w:r>
              <w:rPr>
                <w:rFonts w:hint="eastAsia" w:ascii="宋体" w:hAnsi="宋体"/>
                <w:color w:val="auto"/>
                <w:sz w:val="24"/>
                <w:szCs w:val="24"/>
                <w:highlight w:val="none"/>
              </w:rPr>
              <w:t>平均资产负债率：</w:t>
            </w:r>
          </w:p>
          <w:p>
            <w:pPr>
              <w:pStyle w:val="38"/>
              <w:numPr>
                <w:ilvl w:val="0"/>
                <w:numId w:val="5"/>
              </w:numPr>
              <w:spacing w:line="360" w:lineRule="auto"/>
              <w:ind w:left="0" w:leftChars="0" w:firstLine="0" w:firstLineChars="0"/>
              <w:rPr>
                <w:rFonts w:ascii="宋体" w:hAnsi="宋体"/>
                <w:color w:val="auto"/>
                <w:sz w:val="24"/>
                <w:szCs w:val="24"/>
                <w:highlight w:val="none"/>
              </w:rPr>
            </w:pPr>
            <w:r>
              <w:rPr>
                <w:rFonts w:ascii="宋体" w:hAnsi="宋体"/>
                <w:color w:val="auto"/>
                <w:sz w:val="24"/>
                <w:szCs w:val="24"/>
                <w:highlight w:val="none"/>
              </w:rPr>
              <w:t>平均资产负债率</w:t>
            </w:r>
            <w:r>
              <w:rPr>
                <w:rFonts w:hint="eastAsia" w:ascii="宋体" w:hAnsi="宋体"/>
                <w:color w:val="auto"/>
                <w:sz w:val="24"/>
                <w:szCs w:val="24"/>
                <w:highlight w:val="none"/>
              </w:rPr>
              <w:t>≤</w:t>
            </w:r>
            <w:r>
              <w:rPr>
                <w:rFonts w:ascii="宋体" w:hAnsi="宋体"/>
                <w:color w:val="auto"/>
                <w:sz w:val="24"/>
                <w:szCs w:val="24"/>
                <w:highlight w:val="none"/>
              </w:rPr>
              <w:t xml:space="preserve">40%的，得1.2分；  </w:t>
            </w:r>
          </w:p>
          <w:p>
            <w:pPr>
              <w:pStyle w:val="38"/>
              <w:numPr>
                <w:ilvl w:val="0"/>
                <w:numId w:val="5"/>
              </w:numPr>
              <w:spacing w:line="360" w:lineRule="auto"/>
              <w:ind w:left="0" w:leftChars="0" w:firstLine="0" w:firstLineChars="0"/>
              <w:rPr>
                <w:rFonts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＜平均资产负债率≤</w:t>
            </w:r>
            <w:r>
              <w:rPr>
                <w:rFonts w:ascii="宋体" w:hAnsi="宋体"/>
                <w:color w:val="auto"/>
                <w:sz w:val="24"/>
                <w:szCs w:val="24"/>
                <w:highlight w:val="none"/>
              </w:rPr>
              <w:t xml:space="preserve">50%的，得0.6分；  </w:t>
            </w:r>
          </w:p>
          <w:p>
            <w:pPr>
              <w:pStyle w:val="38"/>
              <w:numPr>
                <w:ilvl w:val="0"/>
                <w:numId w:val="5"/>
              </w:numPr>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平均资产负债率＞</w:t>
            </w:r>
            <w:r>
              <w:rPr>
                <w:rFonts w:ascii="宋体" w:hAnsi="宋体"/>
                <w:color w:val="auto"/>
                <w:sz w:val="24"/>
                <w:szCs w:val="24"/>
                <w:highlight w:val="none"/>
              </w:rPr>
              <w:t>50%</w:t>
            </w:r>
            <w:r>
              <w:rPr>
                <w:rFonts w:hint="eastAsia" w:ascii="宋体" w:hAnsi="宋体"/>
                <w:color w:val="auto"/>
                <w:sz w:val="24"/>
                <w:szCs w:val="24"/>
                <w:highlight w:val="none"/>
              </w:rPr>
              <w:t>的，得</w:t>
            </w:r>
            <w:r>
              <w:rPr>
                <w:rFonts w:ascii="宋体" w:hAnsi="宋体"/>
                <w:color w:val="auto"/>
                <w:sz w:val="24"/>
                <w:szCs w:val="24"/>
                <w:highlight w:val="none"/>
              </w:rPr>
              <w:t>0.1分；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本项最高得</w:t>
            </w:r>
            <w:r>
              <w:rPr>
                <w:rFonts w:ascii="宋体" w:hAnsi="宋体"/>
                <w:color w:val="auto"/>
                <w:sz w:val="24"/>
                <w:szCs w:val="24"/>
                <w:highlight w:val="none"/>
              </w:rPr>
              <w:t>1.2分，提供的资料不齐全或不符合上述条件的，不得分。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75" w:type="dxa"/>
            <w:vMerge w:val="continue"/>
            <w:vAlign w:val="center"/>
          </w:tcPr>
          <w:p>
            <w:pPr>
              <w:pStyle w:val="38"/>
              <w:ind w:left="0" w:leftChars="0" w:firstLine="0" w:firstLineChars="0"/>
              <w:jc w:val="center"/>
              <w:rPr>
                <w:rFonts w:ascii="宋体" w:hAnsi="宋体"/>
                <w:color w:val="auto"/>
                <w:sz w:val="24"/>
                <w:szCs w:val="24"/>
                <w:highlight w:val="none"/>
              </w:rPr>
            </w:pPr>
          </w:p>
        </w:tc>
        <w:tc>
          <w:tcPr>
            <w:tcW w:w="1106" w:type="dxa"/>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第三方评价</w:t>
            </w:r>
          </w:p>
        </w:tc>
        <w:tc>
          <w:tcPr>
            <w:tcW w:w="900" w:type="dxa"/>
            <w:vAlign w:val="center"/>
          </w:tcPr>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1.2分</w:t>
            </w:r>
          </w:p>
        </w:tc>
        <w:tc>
          <w:tcPr>
            <w:tcW w:w="12717" w:type="dxa"/>
            <w:vAlign w:val="center"/>
          </w:tcPr>
          <w:p>
            <w:pPr>
              <w:pStyle w:val="38"/>
              <w:ind w:left="0" w:leftChars="0" w:firstLine="0" w:firstLineChars="0"/>
              <w:rPr>
                <w:rFonts w:hint="eastAsia" w:ascii="宋体" w:hAnsi="宋体"/>
                <w:color w:val="auto"/>
                <w:sz w:val="24"/>
                <w:highlight w:val="none"/>
              </w:rPr>
            </w:pPr>
            <w:r>
              <w:rPr>
                <w:rFonts w:hint="eastAsia" w:ascii="宋体" w:hAnsi="宋体"/>
                <w:color w:val="auto"/>
                <w:sz w:val="24"/>
                <w:highlight w:val="none"/>
              </w:rPr>
              <w:t>投标人累计连续获得“纳税信用A级”称号情况：</w:t>
            </w:r>
          </w:p>
          <w:p>
            <w:pPr>
              <w:pStyle w:val="38"/>
              <w:ind w:left="0" w:leftChars="0" w:firstLine="0" w:firstLineChars="0"/>
              <w:rPr>
                <w:rFonts w:hint="eastAsia" w:ascii="宋体" w:hAnsi="宋体"/>
                <w:color w:val="auto"/>
                <w:sz w:val="24"/>
                <w:highlight w:val="none"/>
              </w:rPr>
            </w:pPr>
            <w:r>
              <w:rPr>
                <w:rFonts w:hint="eastAsia" w:ascii="宋体" w:hAnsi="宋体"/>
                <w:color w:val="auto"/>
                <w:sz w:val="24"/>
                <w:highlight w:val="none"/>
              </w:rPr>
              <w:t>（1）连续5年或以上（需含2021年度）获得“纳税信用A级”称号的，得1.2分；</w:t>
            </w:r>
          </w:p>
          <w:p>
            <w:pPr>
              <w:pStyle w:val="38"/>
              <w:ind w:left="0" w:leftChars="0" w:firstLine="0" w:firstLineChars="0"/>
              <w:rPr>
                <w:rFonts w:hint="eastAsia" w:ascii="宋体" w:hAnsi="宋体"/>
                <w:color w:val="auto"/>
                <w:sz w:val="24"/>
                <w:highlight w:val="none"/>
              </w:rPr>
            </w:pPr>
            <w:r>
              <w:rPr>
                <w:rFonts w:hint="eastAsia" w:ascii="宋体" w:hAnsi="宋体"/>
                <w:color w:val="auto"/>
                <w:sz w:val="24"/>
                <w:highlight w:val="none"/>
              </w:rPr>
              <w:t>（2）连续3-4年（需含2021年度）获得“纳税信用A级”称号的，得0.6分；</w:t>
            </w:r>
          </w:p>
          <w:p>
            <w:pPr>
              <w:pStyle w:val="38"/>
              <w:ind w:left="0" w:leftChars="0" w:firstLine="0" w:firstLineChars="0"/>
              <w:rPr>
                <w:rFonts w:hint="eastAsia" w:ascii="宋体" w:hAnsi="宋体"/>
                <w:color w:val="auto"/>
                <w:sz w:val="24"/>
                <w:highlight w:val="none"/>
              </w:rPr>
            </w:pPr>
            <w:r>
              <w:rPr>
                <w:rFonts w:hint="eastAsia" w:ascii="宋体" w:hAnsi="宋体"/>
                <w:color w:val="auto"/>
                <w:sz w:val="24"/>
                <w:highlight w:val="none"/>
              </w:rPr>
              <w:t>（3）连续1-2年（需含2021年度）获得“纳税信用A级”称号的，得0.1分；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highlight w:val="none"/>
              </w:rPr>
              <w:t>备注：本项目最高1.2分；不符合上述条件或未获得过“纳税信用A级”称号的不得分。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75" w:type="dxa"/>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二、</w:t>
            </w:r>
          </w:p>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项目管理机构能力</w:t>
            </w:r>
          </w:p>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(14分)</w:t>
            </w:r>
          </w:p>
        </w:tc>
        <w:tc>
          <w:tcPr>
            <w:tcW w:w="1106" w:type="dxa"/>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项目管理机构</w:t>
            </w:r>
          </w:p>
        </w:tc>
        <w:tc>
          <w:tcPr>
            <w:tcW w:w="900" w:type="dxa"/>
            <w:vAlign w:val="center"/>
          </w:tcPr>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14分</w:t>
            </w:r>
          </w:p>
        </w:tc>
        <w:tc>
          <w:tcPr>
            <w:tcW w:w="12717" w:type="dxa"/>
            <w:vAlign w:val="center"/>
          </w:tcPr>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管理人员数量满足工程实施的要求，且满足招标文件附表《投标人投入主要人员基本要求表》的得基础分</w:t>
            </w:r>
            <w:r>
              <w:rPr>
                <w:rFonts w:ascii="宋体" w:hAnsi="宋体"/>
                <w:color w:val="auto"/>
                <w:sz w:val="24"/>
                <w:szCs w:val="24"/>
                <w:highlight w:val="none"/>
              </w:rPr>
              <w:t>10分</w:t>
            </w:r>
            <w:r>
              <w:rPr>
                <w:rFonts w:hint="eastAsia" w:ascii="宋体" w:hAnsi="宋体"/>
                <w:color w:val="auto"/>
                <w:sz w:val="24"/>
                <w:szCs w:val="24"/>
                <w:highlight w:val="none"/>
              </w:rPr>
              <w:t>；不满足</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《项目团队基本要求表》要求的，得</w:t>
            </w:r>
            <w:r>
              <w:rPr>
                <w:rFonts w:ascii="宋体" w:hAnsi="宋体"/>
                <w:color w:val="auto"/>
                <w:sz w:val="24"/>
                <w:szCs w:val="24"/>
                <w:highlight w:val="none"/>
              </w:rPr>
              <w:t>0分。在满足《投标人投入主要人员基本要求表》的基础上：</w:t>
            </w:r>
          </w:p>
          <w:p>
            <w:pPr>
              <w:pStyle w:val="38"/>
              <w:numPr>
                <w:ilvl w:val="255"/>
                <w:numId w:val="0"/>
              </w:numPr>
              <w:spacing w:line="360" w:lineRule="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）质量负责人：</w:t>
            </w:r>
            <w:r>
              <w:rPr>
                <w:rFonts w:ascii="宋体" w:hAnsi="宋体"/>
                <w:color w:val="auto"/>
                <w:sz w:val="24"/>
                <w:szCs w:val="24"/>
                <w:highlight w:val="none"/>
              </w:rPr>
              <w:t>具有建筑工程相关专业高级工程师（或以上）技术职称的，加1分。</w:t>
            </w:r>
          </w:p>
          <w:p>
            <w:pPr>
              <w:pStyle w:val="38"/>
              <w:numPr>
                <w:ilvl w:val="255"/>
                <w:numId w:val="0"/>
              </w:numPr>
              <w:spacing w:line="360" w:lineRule="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）安全负责人：</w:t>
            </w:r>
            <w:r>
              <w:rPr>
                <w:rFonts w:ascii="宋体" w:hAnsi="宋体"/>
                <w:color w:val="auto"/>
                <w:sz w:val="24"/>
                <w:szCs w:val="24"/>
                <w:highlight w:val="none"/>
              </w:rPr>
              <w:t>具有建筑工程相关专业高级工程师（或以上）技术职称的，加1分。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3）造价负责人：</w:t>
            </w:r>
            <w:r>
              <w:rPr>
                <w:rFonts w:hint="eastAsia" w:ascii="宋体" w:hAnsi="宋体"/>
                <w:color w:val="auto"/>
                <w:sz w:val="24"/>
                <w:szCs w:val="24"/>
                <w:highlight w:val="none"/>
              </w:rPr>
              <w:t>具有造价类专业高级工程师（或以上）技术职称的，加</w:t>
            </w:r>
            <w:r>
              <w:rPr>
                <w:rFonts w:ascii="宋体" w:hAnsi="宋体"/>
                <w:color w:val="auto"/>
                <w:sz w:val="24"/>
                <w:szCs w:val="24"/>
                <w:highlight w:val="none"/>
              </w:rPr>
              <w:t>1分。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4）装修工程师：</w:t>
            </w:r>
            <w:r>
              <w:rPr>
                <w:rFonts w:hint="eastAsia" w:ascii="宋体" w:hAnsi="宋体"/>
                <w:color w:val="auto"/>
                <w:sz w:val="24"/>
                <w:szCs w:val="24"/>
                <w:highlight w:val="none"/>
              </w:rPr>
              <w:t>具有建筑装饰装修相关专业高级工程师（或以上）技术职称的，加</w:t>
            </w:r>
            <w:r>
              <w:rPr>
                <w:rFonts w:ascii="宋体" w:hAnsi="宋体"/>
                <w:color w:val="auto"/>
                <w:sz w:val="24"/>
                <w:szCs w:val="24"/>
                <w:highlight w:val="none"/>
              </w:rPr>
              <w:t>1分。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本项最高得得14分，质量负责人、安全负责人、造价负责人、装修工程师需提供对应的职称证书，提供的资料不齐全或不符合上述条件的，不得分。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075" w:type="dxa"/>
            <w:vAlign w:val="center"/>
          </w:tcPr>
          <w:p>
            <w:pPr>
              <w:jc w:val="center"/>
              <w:rPr>
                <w:rFonts w:ascii="宋体" w:hAnsi="宋体" w:cs="宋体"/>
                <w:color w:val="auto"/>
                <w:szCs w:val="21"/>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合计</w:t>
            </w:r>
          </w:p>
        </w:tc>
        <w:tc>
          <w:tcPr>
            <w:tcW w:w="900" w:type="dxa"/>
            <w:tcBorders>
              <w:top w:val="single" w:color="auto" w:sz="4" w:space="0"/>
              <w:left w:val="single" w:color="auto" w:sz="4" w:space="0"/>
              <w:bottom w:val="single" w:color="auto" w:sz="4" w:space="0"/>
              <w:right w:val="single" w:color="auto" w:sz="4" w:space="0"/>
            </w:tcBorders>
            <w:vAlign w:val="center"/>
          </w:tcPr>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20分</w:t>
            </w:r>
          </w:p>
        </w:tc>
        <w:tc>
          <w:tcPr>
            <w:tcW w:w="12717" w:type="dxa"/>
            <w:tcBorders>
              <w:top w:val="single" w:color="auto" w:sz="4" w:space="0"/>
              <w:left w:val="single" w:color="auto" w:sz="4" w:space="0"/>
              <w:bottom w:val="single" w:color="auto" w:sz="4" w:space="0"/>
              <w:right w:val="single" w:color="auto" w:sz="4" w:space="0"/>
            </w:tcBorders>
            <w:vAlign w:val="center"/>
          </w:tcPr>
          <w:p>
            <w:pPr>
              <w:pStyle w:val="38"/>
              <w:ind w:left="0" w:leftChars="0" w:firstLine="0" w:firstLineChars="0"/>
              <w:jc w:val="center"/>
              <w:rPr>
                <w:rFonts w:ascii="宋体" w:hAnsi="宋体"/>
                <w:color w:val="auto"/>
                <w:sz w:val="24"/>
                <w:szCs w:val="24"/>
                <w:highlight w:val="none"/>
              </w:rPr>
            </w:pPr>
          </w:p>
        </w:tc>
      </w:tr>
    </w:tbl>
    <w:p>
      <w:pPr>
        <w:spacing w:line="400" w:lineRule="exact"/>
        <w:ind w:left="-420" w:leftChars="-200" w:firstLine="420" w:firstLineChars="200"/>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zh-CN"/>
        </w:rPr>
        <w:t>企业获奖情况</w:t>
      </w:r>
      <w:r>
        <w:rPr>
          <w:rFonts w:hint="eastAsia" w:ascii="宋体" w:hAnsi="宋体" w:cs="宋体"/>
          <w:color w:val="auto"/>
          <w:szCs w:val="21"/>
          <w:highlight w:val="none"/>
        </w:rPr>
        <w:t>】：</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获得奖项包括但不限于：市级或省级质量奖项指由地级市（或以上）建设主管部门或行业协会颁发的建设工程优质奖、建设工程优质结构奖、优良样板工程奖等奖项以及中国建设工程鲁班奖（国家优质工程）、中国土木工程詹天佑奖、国家优质工程（金质奖）、国家优质工程（原国家优质工程银质奖）、国家优质工程奖（不包含安全文明、绿色施工、技术创新、</w:t>
      </w:r>
      <w:r>
        <w:rPr>
          <w:rFonts w:ascii="宋体" w:hAnsi="宋体" w:cs="宋体"/>
          <w:color w:val="auto"/>
          <w:szCs w:val="21"/>
          <w:highlight w:val="none"/>
        </w:rPr>
        <w:t>QC成果、科技进步及技术应用类等奖项）。</w:t>
      </w:r>
      <w:r>
        <w:rPr>
          <w:rFonts w:hint="eastAsia" w:ascii="宋体" w:hAnsi="宋体" w:cs="宋体"/>
          <w:color w:val="auto"/>
          <w:szCs w:val="21"/>
          <w:highlight w:val="none"/>
        </w:rPr>
        <w:t>投标人须提交获奖证书原件的扫描件、获奖查询网页的信息打印页</w:t>
      </w:r>
      <w:r>
        <w:rPr>
          <w:rFonts w:ascii="宋体" w:hAnsi="宋体" w:cs="宋体"/>
          <w:color w:val="auto"/>
          <w:szCs w:val="21"/>
          <w:highlight w:val="none"/>
        </w:rPr>
        <w:t>(或截图)</w:t>
      </w:r>
      <w:r>
        <w:rPr>
          <w:rFonts w:hint="eastAsia" w:ascii="宋体" w:hAnsi="宋体" w:cs="宋体"/>
          <w:color w:val="auto"/>
          <w:szCs w:val="21"/>
          <w:highlight w:val="none"/>
        </w:rPr>
        <w:t>相关证明资料并加盖投标人电子印章。</w:t>
      </w:r>
      <w:r>
        <w:rPr>
          <w:rFonts w:hint="eastAsia" w:ascii="宋体" w:hAnsi="宋体" w:cs="宋体"/>
          <w:color w:val="auto"/>
          <w:szCs w:val="21"/>
          <w:highlight w:val="none"/>
          <w:lang w:eastAsia="zh-TW"/>
        </w:rPr>
        <w:t>只计算</w:t>
      </w:r>
      <w:r>
        <w:rPr>
          <w:rFonts w:hint="eastAsia" w:ascii="宋体" w:hAnsi="宋体" w:cs="宋体"/>
          <w:color w:val="auto"/>
          <w:szCs w:val="21"/>
          <w:highlight w:val="none"/>
        </w:rPr>
        <w:t>投标人独立承建完成的</w:t>
      </w:r>
      <w:r>
        <w:rPr>
          <w:rFonts w:hint="eastAsia" w:ascii="宋体" w:hAnsi="宋体" w:cs="宋体"/>
          <w:color w:val="auto"/>
          <w:szCs w:val="21"/>
          <w:highlight w:val="none"/>
          <w:lang w:eastAsia="zh-TW"/>
        </w:rPr>
        <w:t>房屋建筑工程</w:t>
      </w:r>
      <w:r>
        <w:rPr>
          <w:rFonts w:hint="eastAsia" w:ascii="宋体" w:hAnsi="宋体" w:cs="宋体"/>
          <w:color w:val="auto"/>
          <w:szCs w:val="21"/>
          <w:highlight w:val="none"/>
          <w:lang w:val="en-US" w:eastAsia="zh-CN"/>
        </w:rPr>
        <w:t>施工总承包</w:t>
      </w:r>
      <w:r>
        <w:rPr>
          <w:rFonts w:hint="eastAsia" w:ascii="宋体" w:hAnsi="宋体" w:cs="宋体"/>
          <w:color w:val="auto"/>
          <w:szCs w:val="21"/>
          <w:highlight w:val="none"/>
          <w:lang w:eastAsia="zh-TW"/>
        </w:rPr>
        <w:t>获奖得分，其他非房建</w:t>
      </w:r>
      <w:r>
        <w:rPr>
          <w:rFonts w:hint="eastAsia" w:ascii="宋体" w:hAnsi="宋体" w:cs="宋体"/>
          <w:color w:val="auto"/>
          <w:szCs w:val="21"/>
          <w:highlight w:val="none"/>
        </w:rPr>
        <w:t>类获奖</w:t>
      </w:r>
      <w:r>
        <w:rPr>
          <w:rFonts w:hint="eastAsia" w:ascii="宋体" w:hAnsi="宋体" w:cs="宋体"/>
          <w:color w:val="auto"/>
          <w:szCs w:val="21"/>
          <w:highlight w:val="none"/>
          <w:lang w:eastAsia="zh-TW"/>
        </w:rPr>
        <w:t>项目</w:t>
      </w:r>
      <w:r>
        <w:rPr>
          <w:rFonts w:hint="eastAsia" w:ascii="宋体" w:hAnsi="宋体" w:cs="宋体"/>
          <w:color w:val="auto"/>
          <w:szCs w:val="21"/>
          <w:highlight w:val="none"/>
        </w:rPr>
        <w:t>（</w:t>
      </w:r>
      <w:r>
        <w:rPr>
          <w:rFonts w:hint="eastAsia" w:ascii="宋体" w:hAnsi="宋体" w:cs="宋体"/>
          <w:color w:val="auto"/>
          <w:szCs w:val="21"/>
          <w:highlight w:val="none"/>
          <w:lang w:eastAsia="zh-TW"/>
        </w:rPr>
        <w:t>如：轨道交通工程</w:t>
      </w:r>
      <w:r>
        <w:rPr>
          <w:rFonts w:hint="eastAsia" w:ascii="宋体" w:hAnsi="宋体" w:cs="宋体"/>
          <w:color w:val="auto"/>
          <w:szCs w:val="21"/>
          <w:highlight w:val="none"/>
        </w:rPr>
        <w:t>、市政</w:t>
      </w:r>
      <w:r>
        <w:rPr>
          <w:rFonts w:hint="eastAsia" w:ascii="宋体" w:hAnsi="宋体" w:cs="宋体"/>
          <w:color w:val="auto"/>
          <w:szCs w:val="21"/>
          <w:highlight w:val="none"/>
          <w:lang w:eastAsia="zh-TW"/>
        </w:rPr>
        <w:t>、铁路</w:t>
      </w:r>
      <w:r>
        <w:rPr>
          <w:rFonts w:hint="eastAsia" w:ascii="宋体" w:hAnsi="宋体" w:cs="宋体"/>
          <w:color w:val="auto"/>
          <w:szCs w:val="21"/>
          <w:highlight w:val="none"/>
        </w:rPr>
        <w:t>、</w:t>
      </w:r>
      <w:r>
        <w:rPr>
          <w:rFonts w:hint="eastAsia" w:ascii="宋体" w:hAnsi="宋体" w:cs="宋体"/>
          <w:color w:val="auto"/>
          <w:szCs w:val="21"/>
          <w:highlight w:val="none"/>
          <w:lang w:eastAsia="zh-TW"/>
        </w:rPr>
        <w:t>水利、电力、化工、冶金及装饰</w:t>
      </w:r>
      <w:r>
        <w:rPr>
          <w:rFonts w:hint="eastAsia" w:ascii="宋体" w:hAnsi="宋体" w:cs="宋体"/>
          <w:color w:val="auto"/>
          <w:szCs w:val="21"/>
          <w:highlight w:val="none"/>
        </w:rPr>
        <w:t>类</w:t>
      </w:r>
      <w:r>
        <w:rPr>
          <w:rFonts w:hint="eastAsia" w:ascii="宋体" w:hAnsi="宋体" w:cs="宋体"/>
          <w:color w:val="auto"/>
          <w:szCs w:val="21"/>
          <w:highlight w:val="none"/>
          <w:lang w:eastAsia="zh-TW"/>
        </w:rPr>
        <w:t>等获奖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不计分</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获奖项目按最高级别奖项只计一次得分，不得重复计算，境外工程不予计算。若发证机构为协会的，须在民政管理部门登记备案并提交其在民政管理部门登记备案查询网页信息打印页</w:t>
      </w:r>
      <w:r>
        <w:rPr>
          <w:rFonts w:ascii="宋体" w:hAnsi="宋体" w:cs="宋体"/>
          <w:color w:val="auto"/>
          <w:szCs w:val="21"/>
          <w:highlight w:val="none"/>
        </w:rPr>
        <w:t>(或截图)的相关证明资料，不符合上述条件或未提供上述资料的</w:t>
      </w:r>
      <w:r>
        <w:rPr>
          <w:rFonts w:hint="eastAsia" w:ascii="宋体" w:hAnsi="宋体" w:cs="宋体"/>
          <w:color w:val="auto"/>
          <w:szCs w:val="21"/>
          <w:highlight w:val="none"/>
        </w:rPr>
        <w:t>或无加盖电子印章的</w:t>
      </w:r>
      <w:r>
        <w:rPr>
          <w:rFonts w:ascii="宋体" w:hAnsi="宋体" w:cs="宋体"/>
          <w:color w:val="auto"/>
          <w:szCs w:val="21"/>
          <w:highlight w:val="none"/>
        </w:rPr>
        <w:t>不得分。</w:t>
      </w:r>
    </w:p>
    <w:p>
      <w:pPr>
        <w:spacing w:line="400" w:lineRule="exact"/>
        <w:rPr>
          <w:rFonts w:ascii="宋体" w:hAnsi="宋体" w:cs="宋体"/>
          <w:color w:val="auto"/>
          <w:szCs w:val="21"/>
          <w:highlight w:val="none"/>
          <w:lang w:eastAsia="zh-TW"/>
        </w:rPr>
      </w:pPr>
      <w:r>
        <w:rPr>
          <w:rFonts w:hint="eastAsia" w:ascii="宋体" w:hAnsi="宋体" w:cs="宋体"/>
          <w:color w:val="auto"/>
          <w:szCs w:val="21"/>
          <w:highlight w:val="none"/>
          <w:lang w:eastAsia="zh-TW"/>
        </w:rPr>
        <w:t>【企业工程研发能力】：</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人需提供省级或以上建设行政主管部门或行业协会或其他工法主管部门官网公布的工法获奖名单查询页、颁发的工法证书扫描件及可反映工法科技成果成功应用在具体房建类工程项目的科学技术成果鉴定证书扫描件，相同工法按最高级别奖项只计一次得分，时间以发证时间为准。发证单位非政府部门的须同时提供该发证单位在“中国社会组织政务服务平台”网站(https://chinanpo.mca.gov.cn)查询截图。提供的资料不齐全或不符合上述条件的不得分。</w:t>
      </w:r>
    </w:p>
    <w:p>
      <w:pPr>
        <w:spacing w:line="400" w:lineRule="exact"/>
        <w:rPr>
          <w:rFonts w:ascii="宋体" w:hAnsi="宋体" w:cs="宋体"/>
          <w:color w:val="auto"/>
          <w:szCs w:val="21"/>
          <w:highlight w:val="none"/>
        </w:rPr>
      </w:pPr>
      <w:bookmarkStart w:id="81" w:name="_GoBack"/>
      <w:bookmarkEnd w:id="81"/>
      <w:r>
        <w:rPr>
          <w:rFonts w:hint="eastAsia" w:ascii="宋体" w:hAnsi="宋体" w:cs="宋体"/>
          <w:color w:val="auto"/>
          <w:szCs w:val="21"/>
          <w:highlight w:val="none"/>
        </w:rPr>
        <w:t>【第三方评价】：①须提供证书扫描件或国家税务总局网站（http://www.chinatax.gov.cn/index.html）“纳税信用A级纳税人名单公布栏”查询结果（查询结果不包括子公司、分公司）的网页截图并加盖投标人电子印章。不符合条件或无加盖投标人电子印章的不计分。②如国家税务总局网站纳税信用A级纳税人名单公布栏2021年度查询未更新的，2021年度须可提供证书扫描件加盖投标人电子印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【财务指标】：</w:t>
      </w:r>
    </w:p>
    <w:p>
      <w:pPr>
        <w:rPr>
          <w:rFonts w:hint="eastAsia" w:ascii="宋体" w:hAnsi="宋体" w:cs="宋体"/>
          <w:color w:val="auto"/>
          <w:szCs w:val="21"/>
          <w:highlight w:val="none"/>
        </w:rPr>
      </w:pPr>
      <w:r>
        <w:rPr>
          <w:rFonts w:hint="eastAsia" w:ascii="宋体" w:hAnsi="宋体" w:cs="宋体"/>
          <w:color w:val="auto"/>
          <w:szCs w:val="21"/>
          <w:highlight w:val="none"/>
        </w:rPr>
        <w:t>投标人需提供</w:t>
      </w:r>
      <w:r>
        <w:rPr>
          <w:rFonts w:ascii="宋体" w:hAnsi="宋体" w:cs="宋体"/>
          <w:color w:val="auto"/>
          <w:szCs w:val="21"/>
          <w:highlight w:val="none"/>
        </w:rPr>
        <w:t>2019年度、2020年度、2021年度经会计事务所审计的审计报告</w:t>
      </w:r>
      <w:r>
        <w:rPr>
          <w:rFonts w:hint="eastAsia" w:ascii="宋体" w:hAnsi="宋体" w:cs="宋体"/>
          <w:color w:val="auto"/>
          <w:szCs w:val="21"/>
          <w:highlight w:val="none"/>
        </w:rPr>
        <w:t>原件的扫描件并加盖投标人电子印章</w:t>
      </w:r>
      <w:r>
        <w:rPr>
          <w:rFonts w:ascii="宋体" w:hAnsi="宋体" w:cs="宋体"/>
          <w:color w:val="auto"/>
          <w:szCs w:val="21"/>
          <w:highlight w:val="none"/>
        </w:rPr>
        <w:t>。</w:t>
      </w:r>
      <w:r>
        <w:rPr>
          <w:rFonts w:hint="eastAsia" w:ascii="宋体" w:hAnsi="宋体" w:cs="宋体"/>
          <w:color w:val="auto"/>
          <w:szCs w:val="21"/>
          <w:highlight w:val="none"/>
        </w:rPr>
        <w:t>企业资产负债率以企业对应年度的财务报表的数据为准，资产负债率计算公式：资产负债率</w:t>
      </w:r>
      <w:r>
        <w:rPr>
          <w:rFonts w:ascii="宋体" w:hAnsi="宋体" w:cs="宋体"/>
          <w:color w:val="auto"/>
          <w:szCs w:val="21"/>
          <w:highlight w:val="none"/>
        </w:rPr>
        <w:t>=期（年）末负债总额/期（年）末资产总额×100%</w:t>
      </w:r>
      <w:r>
        <w:rPr>
          <w:rFonts w:hint="eastAsia" w:ascii="宋体" w:hAnsi="宋体" w:cs="宋体"/>
          <w:color w:val="auto"/>
          <w:szCs w:val="21"/>
          <w:highlight w:val="none"/>
          <w:lang w:eastAsia="zh-CN"/>
        </w:rPr>
        <w:t>，</w:t>
      </w:r>
      <w:r>
        <w:rPr>
          <w:rFonts w:hint="eastAsia" w:ascii="宋体" w:hAnsi="宋体" w:cs="宋体"/>
          <w:color w:val="auto"/>
          <w:szCs w:val="21"/>
          <w:highlight w:val="none"/>
        </w:rPr>
        <w:t>不符合上述条件或</w:t>
      </w:r>
      <w:r>
        <w:rPr>
          <w:rFonts w:hint="eastAsia" w:ascii="宋体" w:hAnsi="宋体" w:cs="宋体"/>
          <w:color w:val="auto"/>
          <w:szCs w:val="21"/>
          <w:highlight w:val="none"/>
          <w:lang w:val="zh-CN"/>
        </w:rPr>
        <w:t>年度审计报告未经会计师事务所审计或</w:t>
      </w:r>
      <w:r>
        <w:rPr>
          <w:rFonts w:hint="eastAsia" w:ascii="宋体" w:hAnsi="宋体" w:cs="宋体"/>
          <w:color w:val="auto"/>
          <w:szCs w:val="21"/>
          <w:highlight w:val="none"/>
        </w:rPr>
        <w:t>未提供上述资料的不得分。</w:t>
      </w:r>
    </w:p>
    <w:p>
      <w:pPr>
        <w:pStyle w:val="22"/>
        <w:rPr>
          <w:rFonts w:hint="eastAsia"/>
          <w:color w:val="auto"/>
          <w:highlight w:val="none"/>
        </w:rPr>
      </w:pPr>
      <w:r>
        <w:rPr>
          <w:rFonts w:hint="eastAsia"/>
          <w:color w:val="auto"/>
          <w:highlight w:val="none"/>
        </w:rPr>
        <w:t>【投标人项目管理机构能力】：</w:t>
      </w:r>
    </w:p>
    <w:p>
      <w:pPr>
        <w:pStyle w:val="22"/>
        <w:rPr>
          <w:rFonts w:hint="eastAsia"/>
          <w:color w:val="auto"/>
          <w:highlight w:val="none"/>
        </w:rPr>
      </w:pPr>
      <w:r>
        <w:rPr>
          <w:rFonts w:hint="eastAsia"/>
          <w:color w:val="auto"/>
          <w:highlight w:val="none"/>
        </w:rPr>
        <w:t>（1）拟投入本项目的上述人员岗位不能相互兼任，须提供《投标人投入主要人员基本要求表》及《技术标详细审查评分表》要求的对应证书原件的扫描件并加盖投标人电子印章，不符合要求的不得分。所有证件需真实有效，中标单位需准备投标文件中涉及的所有原件待查，如原件不齐或与原件不符的，招标人有权取消其中标人资格，并上报建设行政主管部门。</w:t>
      </w:r>
    </w:p>
    <w:p>
      <w:pPr>
        <w:pStyle w:val="22"/>
        <w:rPr>
          <w:rFonts w:hint="eastAsia"/>
          <w:color w:val="auto"/>
          <w:highlight w:val="none"/>
        </w:rPr>
      </w:pPr>
      <w:r>
        <w:rPr>
          <w:rFonts w:hint="eastAsia"/>
          <w:color w:val="auto"/>
          <w:highlight w:val="none"/>
        </w:rPr>
        <w:t>（2）拟投入本项目人员须提供招标公告发布之日起近1个月（2022年</w:t>
      </w:r>
      <w:r>
        <w:rPr>
          <w:rFonts w:hint="eastAsia"/>
          <w:color w:val="auto"/>
          <w:highlight w:val="none"/>
          <w:lang w:val="en-US" w:eastAsia="zh-CN"/>
        </w:rPr>
        <w:t>12</w:t>
      </w:r>
      <w:r>
        <w:rPr>
          <w:rFonts w:hint="eastAsia"/>
          <w:color w:val="auto"/>
          <w:highlight w:val="none"/>
        </w:rPr>
        <w:t>月）的由社保行政主管部门出具连续有效的社保证明资料原件的扫描件并加盖投标人</w:t>
      </w:r>
      <w:r>
        <w:rPr>
          <w:rFonts w:hint="eastAsia"/>
          <w:color w:val="auto"/>
          <w:highlight w:val="none"/>
          <w:lang w:val="en-US" w:eastAsia="zh-CN"/>
        </w:rPr>
        <w:t>电子印章</w:t>
      </w:r>
      <w:r>
        <w:rPr>
          <w:rFonts w:hint="eastAsia"/>
          <w:color w:val="auto"/>
          <w:highlight w:val="none"/>
        </w:rPr>
        <w:t>。若在“新型冠状病毒感染肺炎”疫情期间，当地政府部门允许企业在疫情期间缓缴社会保险费且投标人未缴纳的，投标人可提供当地政府部门允许缓缴社保的相关文件作为缴纳社保的证明；并在中标后，提供后续的社保补缴情况供招标方核实，若发现弄虚作假的，则取消其中标资格并将其行为纳入不诚信名单，招标人保留上报给行政主管部门的权力，不满足上述情况的不得分。</w:t>
      </w:r>
    </w:p>
    <w:p>
      <w:pPr>
        <w:rPr>
          <w:rFonts w:hint="eastAsia"/>
          <w:color w:val="auto"/>
        </w:rPr>
      </w:pPr>
      <w:r>
        <w:rPr>
          <w:rFonts w:hint="eastAsia"/>
          <w:color w:val="auto"/>
        </w:rPr>
        <w:t>（</w:t>
      </w:r>
      <w:r>
        <w:rPr>
          <w:rFonts w:hint="eastAsia"/>
          <w:color w:val="auto"/>
          <w:lang w:val="en-US" w:eastAsia="zh-CN"/>
        </w:rPr>
        <w:t>3</w:t>
      </w:r>
      <w:r>
        <w:rPr>
          <w:rFonts w:hint="eastAsia"/>
          <w:color w:val="auto"/>
        </w:rPr>
        <w:t>）注册造价工程师是指具备一级注册造价工程师执业资格，未实行分级的注册造价工程师自动划分为一级注册造价工程师，注册造价工程师同时提供“http://zaojiasys.jianshe99.com/cecaopsys/queryAndSearch/view.do?op=queryUserInfoInit造价工程师注册信息查询”网页截图，且状态为“正常”的才计分；注册安全工程师需同时提供（http://rmocse.chinasafety.ac.cn/）的查询结果网页打印页，无提交查询结果网页打印页不计分，注册安全工程师专业为（建筑施工安全）。</w:t>
      </w:r>
    </w:p>
    <w:p>
      <w:pPr>
        <w:pStyle w:val="22"/>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）投入主要人员基本要求配置只作为评分标准，不作为废标条件。</w:t>
      </w:r>
    </w:p>
    <w:p>
      <w:pPr>
        <w:pStyle w:val="22"/>
        <w:rPr>
          <w:rFonts w:hint="eastAsia"/>
          <w:color w:val="auto"/>
          <w:highlight w:val="none"/>
        </w:rPr>
      </w:pPr>
      <w:r>
        <w:rPr>
          <w:rFonts w:hint="eastAsia"/>
          <w:color w:val="auto"/>
          <w:highlight w:val="none"/>
        </w:rPr>
        <w:t>投标人提供的网页截图（含网页打印件）或扫描件内容必须清晰可辨，如因网页截图或扫描件内容模糊导致评标时无法判断的，后果由投标人自负，上述资料不提供或提供不完整或提供不符合要求的不得分。</w:t>
      </w:r>
    </w:p>
    <w:p>
      <w:pPr>
        <w:rPr>
          <w:rFonts w:hint="eastAsia"/>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本表按百分制评分，所有评委分数汇总后的算术平均值为投标人的最终得分。分数出现小数点，保留小数点后二位小数，第三位小数四舍五入。投标人满足多个档次的，按最高档得分。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rFonts w:ascii="宋体" w:hAnsi="宋体" w:cs="宋体"/>
          <w:color w:val="auto"/>
          <w:sz w:val="24"/>
          <w:szCs w:val="24"/>
          <w:highlight w:val="none"/>
        </w:rPr>
      </w:pPr>
      <w:r>
        <w:rPr>
          <w:rFonts w:hint="eastAsia" w:ascii="宋体" w:hAnsi="宋体" w:cs="宋体"/>
          <w:color w:val="auto"/>
          <w:sz w:val="24"/>
          <w:szCs w:val="24"/>
          <w:highlight w:val="none"/>
        </w:rPr>
        <w:t>附表四附件</w:t>
      </w:r>
    </w:p>
    <w:p>
      <w:pPr>
        <w:jc w:val="center"/>
        <w:rPr>
          <w:rFonts w:ascii="宋体" w:hAnsi="宋体"/>
          <w:b/>
          <w:color w:val="auto"/>
          <w:sz w:val="30"/>
          <w:szCs w:val="30"/>
          <w:highlight w:val="none"/>
        </w:rPr>
      </w:pPr>
      <w:r>
        <w:rPr>
          <w:rFonts w:hint="eastAsia" w:ascii="宋体" w:hAnsi="宋体"/>
          <w:b/>
          <w:color w:val="auto"/>
          <w:sz w:val="30"/>
          <w:szCs w:val="30"/>
          <w:highlight w:val="none"/>
        </w:rPr>
        <w:t>《投标人投入主要人员基本要求表》</w:t>
      </w:r>
    </w:p>
    <w:p>
      <w:pPr>
        <w:pStyle w:val="22"/>
        <w:rPr>
          <w:color w:val="auto"/>
          <w:highlight w:val="none"/>
        </w:rPr>
      </w:pPr>
    </w:p>
    <w:tbl>
      <w:tblPr>
        <w:tblStyle w:val="39"/>
        <w:tblW w:w="15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217"/>
        <w:gridCol w:w="7727"/>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670" w:type="dxa"/>
            <w:vAlign w:val="center"/>
          </w:tcPr>
          <w:p>
            <w:pPr>
              <w:widowControl/>
              <w:snapToGrid w:val="0"/>
              <w:spacing w:before="62" w:beforeLines="20" w:after="62" w:afterLines="20"/>
              <w:ind w:left="-53" w:leftChars="-25" w:right="-53" w:rightChars="-25"/>
              <w:jc w:val="center"/>
              <w:rPr>
                <w:rFonts w:ascii="宋体" w:hAnsi="宋体" w:cs="宋体"/>
                <w:b/>
                <w:color w:val="auto"/>
                <w:kern w:val="0"/>
                <w:szCs w:val="21"/>
                <w:highlight w:val="none"/>
              </w:rPr>
            </w:pPr>
            <w:r>
              <w:rPr>
                <w:rFonts w:hint="eastAsia" w:ascii="宋体" w:hAnsi="宋体" w:cs="宋体"/>
                <w:b/>
                <w:color w:val="auto"/>
                <w:kern w:val="0"/>
                <w:szCs w:val="21"/>
                <w:highlight w:val="none"/>
              </w:rPr>
              <w:t>项目团队成员</w:t>
            </w:r>
          </w:p>
        </w:tc>
        <w:tc>
          <w:tcPr>
            <w:tcW w:w="1217" w:type="dxa"/>
            <w:vAlign w:val="center"/>
          </w:tcPr>
          <w:p>
            <w:pPr>
              <w:widowControl/>
              <w:snapToGrid w:val="0"/>
              <w:spacing w:before="62" w:beforeLines="20" w:after="62" w:afterLines="20"/>
              <w:ind w:left="-53" w:leftChars="-25" w:right="-53" w:rightChars="-25"/>
              <w:jc w:val="center"/>
              <w:rPr>
                <w:rFonts w:ascii="宋体" w:hAnsi="宋体" w:cs="宋体"/>
                <w:b/>
                <w:color w:val="auto"/>
                <w:kern w:val="0"/>
                <w:szCs w:val="21"/>
                <w:highlight w:val="none"/>
              </w:rPr>
            </w:pPr>
            <w:r>
              <w:rPr>
                <w:rFonts w:hint="eastAsia" w:ascii="宋体" w:hAnsi="宋体" w:cs="宋体"/>
                <w:b/>
                <w:color w:val="auto"/>
                <w:kern w:val="0"/>
                <w:szCs w:val="21"/>
                <w:highlight w:val="none"/>
              </w:rPr>
              <w:t>最低人数</w:t>
            </w:r>
          </w:p>
        </w:tc>
        <w:tc>
          <w:tcPr>
            <w:tcW w:w="7727" w:type="dxa"/>
            <w:vAlign w:val="center"/>
          </w:tcPr>
          <w:p>
            <w:pPr>
              <w:widowControl/>
              <w:snapToGrid w:val="0"/>
              <w:spacing w:before="62" w:beforeLines="20" w:after="62" w:afterLines="20"/>
              <w:ind w:left="-53" w:leftChars="-25" w:right="-53" w:rightChars="-25"/>
              <w:jc w:val="center"/>
              <w:rPr>
                <w:rFonts w:ascii="宋体" w:hAnsi="宋体" w:cs="宋体"/>
                <w:b/>
                <w:color w:val="auto"/>
                <w:kern w:val="0"/>
                <w:szCs w:val="21"/>
                <w:highlight w:val="none"/>
              </w:rPr>
            </w:pPr>
            <w:r>
              <w:rPr>
                <w:rFonts w:hint="eastAsia" w:ascii="宋体" w:hAnsi="宋体" w:cs="宋体"/>
                <w:b/>
                <w:color w:val="auto"/>
                <w:kern w:val="0"/>
                <w:szCs w:val="21"/>
                <w:highlight w:val="none"/>
              </w:rPr>
              <w:t>基本要求</w:t>
            </w:r>
          </w:p>
        </w:tc>
        <w:tc>
          <w:tcPr>
            <w:tcW w:w="3400" w:type="dxa"/>
            <w:vAlign w:val="center"/>
          </w:tcPr>
          <w:p>
            <w:pPr>
              <w:widowControl/>
              <w:snapToGrid w:val="0"/>
              <w:spacing w:before="62" w:beforeLines="20" w:after="62" w:afterLines="20"/>
              <w:ind w:left="-53" w:leftChars="-25" w:right="-53" w:rightChars="-25"/>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项目负责人</w:t>
            </w:r>
          </w:p>
        </w:tc>
        <w:tc>
          <w:tcPr>
            <w:tcW w:w="1217" w:type="dxa"/>
            <w:vAlign w:val="center"/>
          </w:tcPr>
          <w:p>
            <w:pPr>
              <w:widowControl/>
              <w:snapToGrid w:val="0"/>
              <w:spacing w:before="62" w:beforeLines="20" w:after="62" w:afterLines="20"/>
              <w:ind w:left="-53" w:leftChars="-25" w:right="-53" w:rightChars="-25"/>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lang w:val="zh-TW" w:eastAsia="zh-TW"/>
              </w:rPr>
            </w:pPr>
            <w:r>
              <w:rPr>
                <w:rFonts w:hint="eastAsia" w:ascii="宋体" w:hAnsi="宋体"/>
                <w:color w:val="auto"/>
                <w:szCs w:val="21"/>
                <w:highlight w:val="none"/>
              </w:rPr>
              <w:t>按招标公告要求</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须按招标公告要求提供的资料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技术负责人</w:t>
            </w:r>
          </w:p>
        </w:tc>
        <w:tc>
          <w:tcPr>
            <w:tcW w:w="1217" w:type="dxa"/>
            <w:vAlign w:val="center"/>
          </w:tcPr>
          <w:p>
            <w:pPr>
              <w:widowControl/>
              <w:snapToGrid w:val="0"/>
              <w:spacing w:before="62" w:beforeLines="20" w:after="62" w:afterLines="20"/>
              <w:ind w:left="-53" w:leftChars="-25" w:right="-53" w:rightChars="-25"/>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lang w:val="zh-TW" w:eastAsia="zh-TW"/>
              </w:rPr>
            </w:pPr>
            <w:r>
              <w:rPr>
                <w:rFonts w:hint="eastAsia" w:ascii="宋体" w:hAnsi="宋体"/>
                <w:color w:val="auto"/>
                <w:szCs w:val="21"/>
                <w:highlight w:val="none"/>
              </w:rPr>
              <w:t>按招标公告要求</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须按招标公告要求提供的资料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质量负责人</w:t>
            </w:r>
          </w:p>
        </w:tc>
        <w:tc>
          <w:tcPr>
            <w:tcW w:w="1217" w:type="dxa"/>
            <w:vAlign w:val="center"/>
          </w:tcPr>
          <w:p>
            <w:pPr>
              <w:widowControl/>
              <w:snapToGrid w:val="0"/>
              <w:spacing w:before="62" w:beforeLines="20" w:after="62" w:afterLines="20"/>
              <w:ind w:left="-53" w:leftChars="-25" w:right="-53" w:rightChars="-25"/>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具有质量员岗位证书或培训证书；</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须提供相应岗位证书或培训证书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widowControl/>
              <w:jc w:val="center"/>
              <w:rPr>
                <w:rFonts w:ascii="宋体" w:hAnsi="宋体"/>
                <w:color w:val="auto"/>
                <w:szCs w:val="21"/>
                <w:highlight w:val="none"/>
              </w:rPr>
            </w:pPr>
            <w:r>
              <w:rPr>
                <w:rFonts w:hint="eastAsia" w:ascii="宋体" w:hAnsi="宋体" w:cs="仿宋"/>
                <w:color w:val="auto"/>
                <w:kern w:val="0"/>
                <w:szCs w:val="21"/>
                <w:highlight w:val="none"/>
                <w:lang w:val="zh-TW" w:eastAsia="zh-TW" w:bidi="zh-TW"/>
              </w:rPr>
              <w:t>安全负责人</w:t>
            </w:r>
          </w:p>
        </w:tc>
        <w:tc>
          <w:tcPr>
            <w:tcW w:w="1217" w:type="dxa"/>
            <w:vAlign w:val="center"/>
          </w:tcPr>
          <w:p>
            <w:pPr>
              <w:widowControl/>
              <w:jc w:val="center"/>
              <w:rPr>
                <w:rFonts w:ascii="宋体" w:hAnsi="宋体" w:cs="宋体"/>
                <w:color w:val="auto"/>
                <w:kern w:val="0"/>
                <w:szCs w:val="21"/>
                <w:highlight w:val="none"/>
              </w:rPr>
            </w:pPr>
            <w:r>
              <w:rPr>
                <w:rFonts w:ascii="宋体" w:hAnsi="宋体" w:cs="仿宋"/>
                <w:color w:val="auto"/>
                <w:kern w:val="0"/>
                <w:szCs w:val="21"/>
                <w:highlight w:val="none"/>
              </w:rPr>
              <w:t>1</w:t>
            </w:r>
          </w:p>
        </w:tc>
        <w:tc>
          <w:tcPr>
            <w:tcW w:w="7727" w:type="dxa"/>
          </w:tcPr>
          <w:p>
            <w:pPr>
              <w:pStyle w:val="38"/>
              <w:ind w:left="0" w:leftChars="0" w:firstLine="0" w:firstLineChars="0"/>
              <w:rPr>
                <w:rFonts w:ascii="宋体" w:hAnsi="宋体"/>
                <w:color w:val="auto"/>
                <w:szCs w:val="21"/>
                <w:highlight w:val="none"/>
                <w:lang w:val="zh-TW"/>
              </w:rPr>
            </w:pPr>
            <w:r>
              <w:rPr>
                <w:rFonts w:hint="eastAsia" w:ascii="宋体" w:hAnsi="宋体"/>
                <w:color w:val="auto"/>
                <w:szCs w:val="21"/>
                <w:highlight w:val="none"/>
              </w:rPr>
              <w:t>具有</w:t>
            </w:r>
            <w:r>
              <w:rPr>
                <w:rFonts w:hint="eastAsia" w:ascii="宋体" w:hAnsi="宋体" w:cs="宋体"/>
                <w:bCs/>
                <w:color w:val="auto"/>
                <w:szCs w:val="21"/>
                <w:highlight w:val="none"/>
              </w:rPr>
              <w:t>具备有效的安全生产考核合格证（</w:t>
            </w:r>
            <w:r>
              <w:rPr>
                <w:rFonts w:ascii="宋体" w:hAnsi="宋体" w:cs="宋体"/>
                <w:bCs/>
                <w:color w:val="auto"/>
                <w:szCs w:val="21"/>
                <w:highlight w:val="none"/>
              </w:rPr>
              <w:t>C类）或</w:t>
            </w:r>
            <w:r>
              <w:rPr>
                <w:rFonts w:hint="eastAsia" w:ascii="宋体" w:hAnsi="宋体" w:cs="宋体"/>
                <w:bCs/>
                <w:color w:val="auto"/>
                <w:highlight w:val="none"/>
              </w:rPr>
              <w:t>建筑施工企业专职安全生产管理人员安全生产考核合格证书（</w:t>
            </w:r>
            <w:r>
              <w:rPr>
                <w:rFonts w:ascii="宋体" w:hAnsi="宋体" w:cs="宋体"/>
                <w:bCs/>
                <w:color w:val="auto"/>
                <w:szCs w:val="21"/>
                <w:highlight w:val="none"/>
              </w:rPr>
              <w:t>C3</w:t>
            </w:r>
            <w:r>
              <w:rPr>
                <w:rFonts w:hint="eastAsia" w:ascii="宋体" w:hAnsi="宋体" w:cs="宋体"/>
                <w:bCs/>
                <w:color w:val="auto"/>
                <w:szCs w:val="21"/>
                <w:highlight w:val="none"/>
              </w:rPr>
              <w:t>类</w:t>
            </w:r>
            <w:r>
              <w:rPr>
                <w:rFonts w:hint="eastAsia" w:ascii="宋体" w:hAnsi="宋体" w:cs="宋体"/>
                <w:bCs/>
                <w:color w:val="auto"/>
                <w:highlight w:val="none"/>
              </w:rPr>
              <w:t>）</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w:t>
            </w:r>
            <w:r>
              <w:rPr>
                <w:rFonts w:hint="eastAsia" w:ascii="宋体" w:hAnsi="宋体" w:cs="宋体"/>
                <w:bCs/>
                <w:color w:val="auto"/>
                <w:highlight w:val="none"/>
              </w:rPr>
              <w:t>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lang w:val="zh-TW" w:eastAsia="zh-TW"/>
              </w:rPr>
              <w:t>造价负责人</w:t>
            </w:r>
          </w:p>
        </w:tc>
        <w:tc>
          <w:tcPr>
            <w:tcW w:w="1217" w:type="dxa"/>
            <w:vAlign w:val="center"/>
          </w:tcPr>
          <w:p>
            <w:pPr>
              <w:widowControl/>
              <w:spacing w:after="120"/>
              <w:jc w:val="center"/>
              <w:rPr>
                <w:rFonts w:ascii="宋体" w:hAnsi="宋体" w:cs="宋体"/>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lang w:val="zh-TW" w:eastAsia="zh-TW"/>
              </w:rPr>
              <w:t>具有一级注册造价工程师执业资格</w:t>
            </w:r>
            <w:r>
              <w:rPr>
                <w:rFonts w:ascii="宋体" w:hAnsi="宋体"/>
                <w:color w:val="auto"/>
                <w:szCs w:val="21"/>
                <w:highlight w:val="none"/>
                <w:lang w:val="zh-TW" w:eastAsia="zh-TW"/>
              </w:rPr>
              <w:t>且在有效期内</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须提供造价工程师注册证书、注册信息查询网页截图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专职安全员</w:t>
            </w:r>
          </w:p>
        </w:tc>
        <w:tc>
          <w:tcPr>
            <w:tcW w:w="1217" w:type="dxa"/>
            <w:vAlign w:val="center"/>
          </w:tcPr>
          <w:p>
            <w:pPr>
              <w:widowControl/>
              <w:snapToGrid w:val="0"/>
              <w:spacing w:before="62" w:beforeLines="20" w:after="62" w:afterLines="20"/>
              <w:ind w:left="-53" w:leftChars="-25" w:right="-53" w:rightChars="-25"/>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7727"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按招标公告要求</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须按招标公告要求提供的资料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预、结算员</w:t>
            </w:r>
          </w:p>
        </w:tc>
        <w:tc>
          <w:tcPr>
            <w:tcW w:w="1217" w:type="dxa"/>
            <w:vAlign w:val="center"/>
          </w:tcPr>
          <w:p>
            <w:pPr>
              <w:widowControl/>
              <w:jc w:val="center"/>
              <w:rPr>
                <w:rFonts w:ascii="宋体" w:hAnsi="宋体" w:cs="宋体"/>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lang w:val="zh-TW" w:eastAsia="zh-TW"/>
              </w:rPr>
            </w:pPr>
            <w:r>
              <w:rPr>
                <w:rFonts w:hint="eastAsia" w:ascii="宋体" w:hAnsi="宋体"/>
                <w:color w:val="auto"/>
                <w:szCs w:val="21"/>
                <w:highlight w:val="none"/>
                <w:lang w:val="zh-TW" w:eastAsia="zh-TW"/>
              </w:rPr>
              <w:t>具有一级注册造价工程师执业资格</w:t>
            </w:r>
            <w:r>
              <w:rPr>
                <w:rFonts w:ascii="宋体" w:hAnsi="宋体"/>
                <w:color w:val="auto"/>
                <w:szCs w:val="21"/>
                <w:highlight w:val="none"/>
                <w:lang w:val="zh-TW" w:eastAsia="zh-TW"/>
              </w:rPr>
              <w:t>且在有效期内</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须提供造价工程师注册证书、注册信息查询网页截图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0" w:type="dxa"/>
            <w:vAlign w:val="center"/>
          </w:tcPr>
          <w:p>
            <w:pPr>
              <w:widowControl/>
              <w:jc w:val="center"/>
              <w:rPr>
                <w:rFonts w:ascii="宋体" w:hAnsi="宋体"/>
                <w:color w:val="auto"/>
                <w:szCs w:val="21"/>
                <w:highlight w:val="none"/>
              </w:rPr>
            </w:pPr>
            <w:r>
              <w:rPr>
                <w:rFonts w:hint="eastAsia" w:ascii="宋体" w:hAnsi="宋体" w:cs="宋体"/>
                <w:bCs/>
                <w:color w:val="auto"/>
                <w:szCs w:val="21"/>
                <w:highlight w:val="none"/>
              </w:rPr>
              <w:t>装修工程师</w:t>
            </w:r>
          </w:p>
        </w:tc>
        <w:tc>
          <w:tcPr>
            <w:tcW w:w="1217" w:type="dxa"/>
            <w:vAlign w:val="center"/>
          </w:tcPr>
          <w:p>
            <w:pPr>
              <w:widowControl/>
              <w:jc w:val="center"/>
              <w:rPr>
                <w:rFonts w:ascii="宋体" w:hAnsi="宋体" w:cs="仿宋"/>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lang w:val="zh-TW" w:eastAsia="zh-TW"/>
              </w:rPr>
            </w:pPr>
            <w:r>
              <w:rPr>
                <w:rFonts w:hint="eastAsia" w:ascii="宋体" w:hAnsi="宋体" w:cs="宋体"/>
                <w:bCs/>
                <w:color w:val="auto"/>
                <w:szCs w:val="21"/>
                <w:highlight w:val="none"/>
              </w:rPr>
              <w:t>具有建筑装饰装修相关专业中级（或以上）技术职称</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机电安装工程师</w:t>
            </w:r>
          </w:p>
        </w:tc>
        <w:tc>
          <w:tcPr>
            <w:tcW w:w="1217" w:type="dxa"/>
            <w:vAlign w:val="center"/>
          </w:tcPr>
          <w:p>
            <w:pPr>
              <w:widowControl/>
              <w:jc w:val="center"/>
              <w:rPr>
                <w:rFonts w:ascii="宋体" w:hAnsi="宋体" w:cs="仿宋"/>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right="-53" w:rightChars="-25"/>
              <w:jc w:val="left"/>
              <w:rPr>
                <w:rFonts w:ascii="宋体" w:hAnsi="宋体"/>
                <w:color w:val="auto"/>
                <w:szCs w:val="21"/>
                <w:highlight w:val="none"/>
                <w:lang w:val="zh-TW" w:eastAsia="zh-TW"/>
              </w:rPr>
            </w:pPr>
            <w:r>
              <w:rPr>
                <w:rFonts w:hint="eastAsia" w:ascii="宋体" w:hAnsi="宋体" w:cs="宋体"/>
                <w:bCs/>
                <w:color w:val="auto"/>
                <w:szCs w:val="21"/>
                <w:highlight w:val="none"/>
              </w:rPr>
              <w:t>具有机电专业中级（或以上）</w:t>
            </w:r>
            <w:r>
              <w:rPr>
                <w:rFonts w:hint="eastAsia" w:asciiTheme="minorEastAsia" w:hAnsiTheme="minorEastAsia" w:eastAsiaTheme="minorEastAsia" w:cstheme="minorEastAsia"/>
                <w:color w:val="auto"/>
                <w:szCs w:val="21"/>
                <w:highlight w:val="none"/>
              </w:rPr>
              <w:t>技术职称</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给排水施工工程师</w:t>
            </w:r>
          </w:p>
        </w:tc>
        <w:tc>
          <w:tcPr>
            <w:tcW w:w="1217" w:type="dxa"/>
            <w:vAlign w:val="center"/>
          </w:tcPr>
          <w:p>
            <w:pPr>
              <w:widowControl/>
              <w:jc w:val="center"/>
              <w:rPr>
                <w:rFonts w:ascii="宋体" w:hAnsi="宋体" w:cs="仿宋"/>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b/>
                <w:bCs/>
                <w:color w:val="auto"/>
                <w:szCs w:val="21"/>
                <w:highlight w:val="none"/>
                <w:lang w:val="zh-TW" w:eastAsia="zh-TW"/>
              </w:rPr>
            </w:pPr>
            <w:r>
              <w:rPr>
                <w:rFonts w:hint="eastAsia" w:ascii="宋体" w:hAnsi="宋体" w:cs="宋体"/>
                <w:bCs/>
                <w:color w:val="auto"/>
                <w:szCs w:val="21"/>
                <w:highlight w:val="none"/>
              </w:rPr>
              <w:t>具有给水排水专业中级（或以上）</w:t>
            </w:r>
            <w:r>
              <w:rPr>
                <w:rFonts w:hint="eastAsia" w:asciiTheme="minorEastAsia" w:hAnsiTheme="minorEastAsia" w:eastAsiaTheme="minorEastAsia" w:cstheme="minorEastAsia"/>
                <w:color w:val="auto"/>
                <w:szCs w:val="21"/>
                <w:highlight w:val="none"/>
              </w:rPr>
              <w:t>技术职称</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widowControl/>
              <w:jc w:val="center"/>
              <w:rPr>
                <w:rFonts w:ascii="宋体" w:hAnsi="宋体" w:cs="仿宋"/>
                <w:color w:val="auto"/>
                <w:kern w:val="0"/>
                <w:szCs w:val="21"/>
                <w:highlight w:val="none"/>
                <w:lang w:bidi="zh-TW"/>
              </w:rPr>
            </w:pPr>
            <w:r>
              <w:rPr>
                <w:rFonts w:hint="eastAsia" w:ascii="宋体" w:hAnsi="宋体" w:cs="宋体"/>
                <w:bCs/>
                <w:color w:val="auto"/>
                <w:szCs w:val="21"/>
                <w:highlight w:val="none"/>
              </w:rPr>
              <w:t>暖通空调工程师</w:t>
            </w:r>
          </w:p>
        </w:tc>
        <w:tc>
          <w:tcPr>
            <w:tcW w:w="1217" w:type="dxa"/>
            <w:vAlign w:val="center"/>
          </w:tcPr>
          <w:p>
            <w:pPr>
              <w:widowControl/>
              <w:jc w:val="center"/>
              <w:rPr>
                <w:rFonts w:ascii="宋体" w:hAnsi="宋体" w:cs="仿宋"/>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lang w:val="zh-TW" w:eastAsia="zh-TW"/>
              </w:rPr>
            </w:pPr>
            <w:r>
              <w:rPr>
                <w:rFonts w:hint="eastAsia" w:ascii="宋体" w:hAnsi="宋体" w:cs="宋体"/>
                <w:bCs/>
                <w:color w:val="auto"/>
                <w:szCs w:val="21"/>
                <w:highlight w:val="none"/>
              </w:rPr>
              <w:t>具有暖通空调专业中级（或以上）技术职称</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widowControl/>
              <w:jc w:val="center"/>
              <w:rPr>
                <w:rFonts w:ascii="宋体" w:hAnsi="宋体" w:cs="宋体"/>
                <w:bCs/>
                <w:color w:val="auto"/>
                <w:szCs w:val="21"/>
                <w:highlight w:val="none"/>
              </w:rPr>
            </w:pPr>
            <w:r>
              <w:rPr>
                <w:rFonts w:hint="eastAsia" w:ascii="宋体" w:hAnsi="宋体" w:cs="宋体"/>
                <w:bCs/>
                <w:color w:val="auto"/>
                <w:szCs w:val="21"/>
                <w:highlight w:val="none"/>
              </w:rPr>
              <w:t>安全工程师</w:t>
            </w:r>
          </w:p>
        </w:tc>
        <w:tc>
          <w:tcPr>
            <w:tcW w:w="1217" w:type="dxa"/>
            <w:vAlign w:val="center"/>
          </w:tcPr>
          <w:p>
            <w:pPr>
              <w:widowControl/>
              <w:jc w:val="center"/>
              <w:rPr>
                <w:rFonts w:ascii="宋体" w:hAnsi="宋体" w:cs="仿宋"/>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lang w:val="zh-TW" w:eastAsia="zh-TW"/>
              </w:rPr>
            </w:pPr>
            <w:r>
              <w:rPr>
                <w:rFonts w:hint="eastAsia" w:ascii="宋体" w:hAnsi="宋体" w:cs="宋体"/>
                <w:bCs/>
                <w:color w:val="auto"/>
                <w:szCs w:val="21"/>
                <w:highlight w:val="none"/>
              </w:rPr>
              <w:t>具备注册安全工程师执业资格</w:t>
            </w:r>
            <w:r>
              <w:rPr>
                <w:rFonts w:ascii="宋体" w:hAnsi="宋体" w:cs="宋体"/>
                <w:bCs/>
                <w:color w:val="auto"/>
                <w:szCs w:val="21"/>
                <w:highlight w:val="none"/>
              </w:rPr>
              <w:t>(须在有效期内)</w:t>
            </w:r>
          </w:p>
        </w:tc>
        <w:tc>
          <w:tcPr>
            <w:tcW w:w="3400" w:type="dxa"/>
            <w:vAlign w:val="center"/>
          </w:tcPr>
          <w:p>
            <w:pPr>
              <w:widowControl/>
              <w:snapToGrid w:val="0"/>
              <w:spacing w:before="62" w:beforeLines="20" w:after="62" w:afterLines="20"/>
              <w:ind w:left="-53" w:leftChars="-25" w:right="-53" w:rightChars="-25"/>
              <w:jc w:val="left"/>
              <w:rPr>
                <w:rFonts w:hint="eastAsia" w:ascii="宋体" w:hAnsi="宋体" w:eastAsia="宋体"/>
                <w:color w:val="auto"/>
                <w:szCs w:val="21"/>
                <w:highlight w:val="none"/>
                <w:lang w:eastAsia="zh-CN"/>
              </w:rPr>
            </w:pPr>
            <w:r>
              <w:rPr>
                <w:rFonts w:hint="eastAsia" w:ascii="宋体" w:hAnsi="宋体"/>
                <w:color w:val="auto"/>
                <w:szCs w:val="21"/>
                <w:highlight w:val="none"/>
              </w:rPr>
              <w:t>须提</w:t>
            </w:r>
            <w:r>
              <w:rPr>
                <w:rFonts w:hint="eastAsia" w:ascii="宋体" w:hAnsi="宋体"/>
                <w:color w:val="auto"/>
                <w:szCs w:val="21"/>
                <w:highlight w:val="none"/>
                <w:lang w:val="en-US" w:eastAsia="zh-CN"/>
              </w:rPr>
              <w:t>供</w:t>
            </w:r>
            <w:r>
              <w:rPr>
                <w:rFonts w:hint="eastAsia" w:ascii="宋体" w:hAnsi="宋体" w:cs="宋体"/>
                <w:bCs/>
                <w:color w:val="auto"/>
                <w:szCs w:val="21"/>
                <w:highlight w:val="none"/>
              </w:rPr>
              <w:t>注册安全工程师执业资格</w:t>
            </w:r>
            <w:r>
              <w:rPr>
                <w:rFonts w:hint="eastAsia" w:ascii="宋体" w:hAnsi="宋体"/>
                <w:color w:val="auto"/>
                <w:szCs w:val="21"/>
                <w:highlight w:val="none"/>
              </w:rPr>
              <w:t>证书</w:t>
            </w:r>
            <w:r>
              <w:rPr>
                <w:rFonts w:hint="eastAsia" w:ascii="宋体" w:hAnsi="宋体"/>
                <w:color w:val="auto"/>
                <w:szCs w:val="21"/>
                <w:highlight w:val="none"/>
                <w:lang w:eastAsia="zh-CN"/>
              </w:rPr>
              <w:t>、</w:t>
            </w:r>
            <w:r>
              <w:rPr>
                <w:rFonts w:hint="eastAsia"/>
                <w:color w:val="auto"/>
              </w:rPr>
              <w:t>查询结果网页打印页</w:t>
            </w:r>
            <w:r>
              <w:rPr>
                <w:rFonts w:hint="eastAsia"/>
                <w:color w:val="auto"/>
                <w:lang w:eastAsia="zh-CN"/>
              </w:rPr>
              <w:t>（</w:t>
            </w:r>
            <w:r>
              <w:rPr>
                <w:rFonts w:hint="eastAsia"/>
                <w:color w:val="auto"/>
                <w:lang w:val="en-US" w:eastAsia="zh-CN"/>
              </w:rPr>
              <w:t>或截图</w:t>
            </w:r>
            <w:r>
              <w:rPr>
                <w:rFonts w:hint="eastAsia"/>
                <w:color w:val="auto"/>
                <w:lang w:eastAsia="zh-CN"/>
              </w:rPr>
              <w:t>）</w:t>
            </w:r>
          </w:p>
        </w:tc>
      </w:tr>
    </w:tbl>
    <w:p>
      <w:pPr>
        <w:pStyle w:val="136"/>
        <w:ind w:firstLine="422"/>
        <w:rPr>
          <w:rFonts w:ascii="宋体" w:hAnsi="宋体" w:eastAsia="宋体" w:cs="宋体"/>
          <w:b/>
          <w:bCs/>
          <w:color w:val="auto"/>
          <w:szCs w:val="21"/>
          <w:highlight w:val="none"/>
        </w:rPr>
      </w:pPr>
    </w:p>
    <w:p>
      <w:pPr>
        <w:pStyle w:val="136"/>
        <w:ind w:firstLine="422"/>
        <w:rPr>
          <w:rFonts w:ascii="宋体" w:hAnsi="宋体" w:eastAsia="宋体" w:cs="宋体"/>
          <w:b/>
          <w:bCs/>
          <w:color w:val="auto"/>
          <w:szCs w:val="21"/>
          <w:highlight w:val="none"/>
        </w:rPr>
      </w:pPr>
    </w:p>
    <w:p>
      <w:pPr>
        <w:pStyle w:val="136"/>
        <w:ind w:firstLine="422"/>
        <w:rPr>
          <w:rFonts w:ascii="宋体" w:hAnsi="宋体" w:eastAsia="宋体" w:cs="宋体"/>
          <w:b/>
          <w:bCs/>
          <w:color w:val="auto"/>
          <w:szCs w:val="21"/>
          <w:highlight w:val="none"/>
        </w:rPr>
      </w:pPr>
    </w:p>
    <w:p>
      <w:pPr>
        <w:rPr>
          <w:rFonts w:ascii="宋体" w:hAnsi="宋体" w:cs="宋体"/>
          <w:color w:val="auto"/>
          <w:sz w:val="24"/>
          <w:szCs w:val="24"/>
          <w:highlight w:val="none"/>
        </w:rPr>
      </w:pPr>
      <w:r>
        <w:rPr>
          <w:rFonts w:hint="eastAsia" w:ascii="宋体" w:hAnsi="宋体" w:cs="宋体"/>
          <w:color w:val="auto"/>
          <w:szCs w:val="21"/>
          <w:highlight w:val="none"/>
        </w:rPr>
        <w:br w:type="page"/>
      </w:r>
      <w:r>
        <w:rPr>
          <w:rFonts w:hint="eastAsia" w:ascii="宋体" w:hAnsi="宋体" w:cs="宋体"/>
          <w:color w:val="auto"/>
          <w:sz w:val="24"/>
          <w:szCs w:val="24"/>
          <w:highlight w:val="none"/>
        </w:rPr>
        <w:t>附表五</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经济标评分表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投标报价PT（元）</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计算评标参考价的等分点值X</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偏差（（PT-PC）/PC）（%）</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减分（A）</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得分(I=100-A)</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评委签名：</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b/>
          <w:color w:val="auto"/>
          <w:sz w:val="24"/>
          <w:szCs w:val="24"/>
          <w:highlight w:val="none"/>
        </w:rPr>
      </w:pPr>
      <w:r>
        <w:rPr>
          <w:rFonts w:hint="eastAsia" w:ascii="宋体" w:hAnsi="宋体" w:cs="宋体"/>
          <w:color w:val="auto"/>
          <w:sz w:val="24"/>
          <w:szCs w:val="24"/>
          <w:highlight w:val="none"/>
        </w:rPr>
        <w:t>附表六</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ascii="宋体" w:hAnsi="宋体" w:cs="宋体"/>
          <w:color w:val="auto"/>
          <w:kern w:val="0"/>
          <w:szCs w:val="21"/>
          <w:highlight w:val="none"/>
        </w:rPr>
      </w:pPr>
      <w:r>
        <w:rPr>
          <w:rFonts w:hint="eastAsia" w:ascii="宋体" w:hAnsi="宋体" w:cs="宋体"/>
          <w:color w:val="auto"/>
          <w:kern w:val="0"/>
          <w:szCs w:val="21"/>
          <w:highlight w:val="none"/>
        </w:rPr>
        <w:t>工程名称：                                           投标人:                                                  单位：元</w:t>
      </w:r>
    </w:p>
    <w:tbl>
      <w:tblPr>
        <w:tblStyle w:val="39"/>
        <w:tblW w:w="0" w:type="auto"/>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修正前投标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修正后投标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pPr>
        <w:rPr>
          <w:rFonts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pPr>
        <w:rPr>
          <w:rFonts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评委签名：</w:t>
      </w:r>
    </w:p>
    <w:p>
      <w:pPr>
        <w:spacing w:line="360" w:lineRule="auto"/>
        <w:jc w:val="center"/>
        <w:rPr>
          <w:rFonts w:ascii="宋体" w:hAnsi="宋体" w:cs="宋体"/>
          <w:color w:val="auto"/>
          <w:szCs w:val="21"/>
          <w:highlight w:val="none"/>
        </w:rPr>
        <w:sectPr>
          <w:headerReference r:id="rId9" w:type="first"/>
          <w:footerReference r:id="rId11" w:type="first"/>
          <w:headerReference r:id="rId8" w:type="default"/>
          <w:footerReference r:id="rId10" w:type="default"/>
          <w:endnotePr>
            <w:numFmt w:val="decimal"/>
          </w:endnotePr>
          <w:pgSz w:w="16838" w:h="11906" w:orient="landscape"/>
          <w:pgMar w:top="1418" w:right="1247" w:bottom="1418" w:left="1134" w:header="851" w:footer="907" w:gutter="0"/>
          <w:cols w:space="720" w:num="1"/>
          <w:titlePg/>
          <w:docGrid w:type="lines" w:linePitch="312" w:charSpace="0"/>
        </w:sectPr>
      </w:pPr>
    </w:p>
    <w:p>
      <w:pPr>
        <w:pStyle w:val="3"/>
        <w:jc w:val="center"/>
        <w:rPr>
          <w:rFonts w:ascii="宋体" w:hAnsi="宋体" w:cs="宋体"/>
          <w:color w:val="auto"/>
          <w:sz w:val="32"/>
          <w:szCs w:val="32"/>
          <w:highlight w:val="none"/>
        </w:rPr>
      </w:pPr>
      <w:bookmarkStart w:id="24" w:name="_Toc14934"/>
      <w:r>
        <w:rPr>
          <w:rFonts w:hint="eastAsia" w:ascii="宋体" w:hAnsi="宋体" w:cs="宋体"/>
          <w:color w:val="auto"/>
          <w:sz w:val="32"/>
          <w:szCs w:val="32"/>
          <w:highlight w:val="none"/>
        </w:rPr>
        <w:t>第三章  合同条款</w:t>
      </w:r>
      <w:bookmarkEnd w:id="24"/>
    </w:p>
    <w:p>
      <w:pPr>
        <w:jc w:val="center"/>
        <w:rPr>
          <w:rFonts w:ascii="宋体" w:hAnsi="宋体" w:cs="宋体"/>
          <w:b/>
          <w:color w:val="auto"/>
          <w:sz w:val="28"/>
          <w:szCs w:val="28"/>
          <w:highlight w:val="none"/>
        </w:rPr>
      </w:pPr>
      <w:r>
        <w:rPr>
          <w:rFonts w:hint="eastAsia" w:ascii="宋体" w:hAnsi="宋体" w:cs="宋体"/>
          <w:color w:val="auto"/>
          <w:sz w:val="28"/>
          <w:szCs w:val="28"/>
          <w:highlight w:val="none"/>
        </w:rPr>
        <w:t>另册。</w:t>
      </w:r>
    </w:p>
    <w:p>
      <w:pPr>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22"/>
        <w:spacing w:line="360" w:lineRule="auto"/>
        <w:rPr>
          <w:rFonts w:hAnsi="宋体" w:cs="宋体"/>
          <w:color w:val="auto"/>
          <w:sz w:val="24"/>
          <w:szCs w:val="24"/>
          <w:highlight w:val="none"/>
        </w:rPr>
      </w:pPr>
    </w:p>
    <w:p>
      <w:pPr>
        <w:pStyle w:val="22"/>
        <w:spacing w:line="360" w:lineRule="auto"/>
        <w:rPr>
          <w:rFonts w:hAnsi="宋体" w:cs="宋体"/>
          <w:color w:val="auto"/>
          <w:sz w:val="24"/>
          <w:szCs w:val="24"/>
          <w:highlight w:val="none"/>
        </w:rPr>
      </w:pPr>
    </w:p>
    <w:p>
      <w:pPr>
        <w:pStyle w:val="3"/>
        <w:jc w:val="center"/>
        <w:rPr>
          <w:rFonts w:ascii="宋体" w:hAnsi="宋体" w:cs="宋体"/>
          <w:color w:val="auto"/>
          <w:sz w:val="32"/>
          <w:szCs w:val="32"/>
          <w:highlight w:val="none"/>
        </w:rPr>
      </w:pPr>
      <w:bookmarkStart w:id="25" w:name="_Toc12630"/>
      <w:r>
        <w:rPr>
          <w:rFonts w:hint="eastAsia" w:ascii="宋体" w:hAnsi="宋体" w:cs="宋体"/>
          <w:color w:val="auto"/>
          <w:sz w:val="32"/>
          <w:szCs w:val="32"/>
          <w:highlight w:val="none"/>
        </w:rPr>
        <w:t>第四章  投标文件格式</w:t>
      </w:r>
      <w:bookmarkEnd w:id="25"/>
    </w:p>
    <w:p>
      <w:pPr>
        <w:rPr>
          <w:rFonts w:ascii="宋体" w:hAnsi="宋体" w:cs="宋体"/>
          <w:bCs/>
          <w:color w:val="auto"/>
          <w:szCs w:val="21"/>
          <w:highlight w:val="none"/>
        </w:rPr>
      </w:pPr>
    </w:p>
    <w:p>
      <w:pPr>
        <w:autoSpaceDE w:val="0"/>
        <w:autoSpaceDN w:val="0"/>
        <w:adjustRightIn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【本章格式除招标文件中带★号的格式必须按招标文件规定的格式进行编制外，其余格式仅供参考。】</w:t>
      </w: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第一部分  投标文件技术标部分（部分格式）</w:t>
      </w:r>
    </w:p>
    <w:p>
      <w:pPr>
        <w:rPr>
          <w:rFonts w:ascii="宋体" w:hAnsi="宋体" w:cs="宋体"/>
          <w:bCs/>
          <w:color w:val="auto"/>
          <w:szCs w:val="21"/>
          <w:highlight w:val="none"/>
        </w:rPr>
      </w:pPr>
    </w:p>
    <w:p>
      <w:pPr>
        <w:pStyle w:val="8"/>
        <w:ind w:firstLine="0"/>
        <w:rPr>
          <w:rFonts w:ascii="宋体" w:hAnsi="宋体" w:cs="宋体"/>
          <w:color w:val="auto"/>
          <w:highlight w:val="none"/>
        </w:rPr>
      </w:pPr>
    </w:p>
    <w:p>
      <w:pPr>
        <w:pStyle w:val="8"/>
        <w:ind w:firstLine="0"/>
        <w:rPr>
          <w:rFonts w:ascii="宋体" w:hAnsi="宋体" w:cs="宋体"/>
          <w:color w:val="auto"/>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bCs w:val="0"/>
          <w:color w:val="auto"/>
          <w:sz w:val="24"/>
          <w:szCs w:val="24"/>
          <w:highlight w:val="none"/>
        </w:rPr>
        <w:t>技术部分格式1：技术标封面</w:t>
      </w: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133"/>
        <w:rPr>
          <w:rFonts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134"/>
        <w:rPr>
          <w:rFonts w:ascii="宋体" w:hAnsi="宋体" w:eastAsia="宋体" w:cs="宋体"/>
          <w:b w:val="0"/>
          <w:color w:val="auto"/>
          <w:highlight w:val="none"/>
        </w:rPr>
      </w:pPr>
      <w:r>
        <w:rPr>
          <w:rFonts w:hint="eastAsia" w:ascii="宋体" w:hAnsi="宋体" w:eastAsia="宋体" w:cs="宋体"/>
          <w:b w:val="0"/>
          <w:color w:val="auto"/>
          <w:highlight w:val="none"/>
        </w:rPr>
        <w:t>投标文件</w:t>
      </w:r>
    </w:p>
    <w:p>
      <w:pPr>
        <w:pStyle w:val="133"/>
        <w:rPr>
          <w:rFonts w:ascii="宋体" w:hAnsi="宋体" w:eastAsia="宋体" w:cs="宋体"/>
          <w:b w:val="0"/>
          <w:color w:val="auto"/>
          <w:highlight w:val="none"/>
        </w:rPr>
      </w:pPr>
      <w:r>
        <w:rPr>
          <w:rFonts w:hint="eastAsia" w:ascii="宋体" w:hAnsi="宋体" w:eastAsia="宋体" w:cs="宋体"/>
          <w:b w:val="0"/>
          <w:color w:val="auto"/>
          <w:highlight w:val="none"/>
        </w:rPr>
        <w:t>第一册  技术标</w:t>
      </w:r>
      <w:r>
        <w:rPr>
          <w:rFonts w:hint="eastAsia" w:ascii="宋体" w:hAnsi="宋体" w:eastAsia="宋体" w:cs="宋体"/>
          <w:b w:val="0"/>
          <w:color w:val="auto"/>
          <w:highlight w:val="none"/>
          <w:lang w:val="en-US" w:eastAsia="zh-CN"/>
        </w:rPr>
        <w:t>书</w:t>
      </w:r>
      <w:r>
        <w:rPr>
          <w:rFonts w:hint="eastAsia" w:ascii="宋体" w:hAnsi="宋体" w:eastAsia="宋体" w:cs="宋体"/>
          <w:b w:val="0"/>
          <w:color w:val="auto"/>
          <w:highlight w:val="none"/>
        </w:rPr>
        <w:t>（含资格审查文件）</w:t>
      </w: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135"/>
        <w:ind w:firstLine="616"/>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（填写投标人单位名称）    （盖章）</w:t>
      </w:r>
    </w:p>
    <w:p>
      <w:pPr>
        <w:pStyle w:val="135"/>
        <w:ind w:firstLine="616"/>
        <w:rPr>
          <w:rFonts w:ascii="宋体" w:hAnsi="宋体" w:cs="宋体"/>
          <w:color w:val="auto"/>
          <w:highlight w:val="none"/>
        </w:rPr>
      </w:pPr>
    </w:p>
    <w:p>
      <w:pPr>
        <w:pStyle w:val="135"/>
        <w:ind w:firstLine="616"/>
        <w:rPr>
          <w:rFonts w:ascii="宋体" w:hAnsi="宋体" w:cs="宋体"/>
          <w:color w:val="auto"/>
          <w:highlight w:val="none"/>
        </w:rPr>
      </w:pPr>
      <w:r>
        <w:rPr>
          <w:rFonts w:hint="eastAsia" w:ascii="宋体" w:hAnsi="宋体" w:cs="宋体"/>
          <w:color w:val="auto"/>
          <w:highlight w:val="none"/>
        </w:rPr>
        <w:t>法定代表人或</w:t>
      </w:r>
    </w:p>
    <w:p>
      <w:pPr>
        <w:pStyle w:val="135"/>
        <w:ind w:firstLine="616"/>
        <w:rPr>
          <w:rFonts w:ascii="宋体" w:hAnsi="宋体" w:cs="宋体"/>
          <w:color w:val="auto"/>
          <w:highlight w:val="none"/>
        </w:rPr>
      </w:pPr>
      <w:r>
        <w:rPr>
          <w:rFonts w:hint="eastAsia" w:ascii="宋体" w:hAnsi="宋体" w:cs="宋体"/>
          <w:color w:val="auto"/>
          <w:highlight w:val="none"/>
        </w:rPr>
        <w:t>其委托代理人：</w:t>
      </w:r>
      <w:r>
        <w:rPr>
          <w:rFonts w:hint="eastAsia" w:ascii="宋体" w:hAnsi="宋体" w:cs="宋体"/>
          <w:color w:val="auto"/>
          <w:highlight w:val="none"/>
          <w:u w:val="single"/>
        </w:rPr>
        <w:t xml:space="preserve">                        （签名或盖章）</w:t>
      </w:r>
    </w:p>
    <w:p>
      <w:pPr>
        <w:pStyle w:val="135"/>
        <w:ind w:firstLine="616"/>
        <w:rPr>
          <w:rFonts w:ascii="宋体" w:hAnsi="宋体" w:cs="宋体"/>
          <w:color w:val="auto"/>
          <w:sz w:val="24"/>
          <w:szCs w:val="24"/>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pPr>
        <w:rPr>
          <w:rFonts w:ascii="宋体" w:hAnsi="宋体" w:cs="宋体"/>
          <w:bCs/>
          <w:color w:val="auto"/>
          <w:szCs w:val="21"/>
          <w:highlight w:val="none"/>
        </w:rPr>
      </w:pPr>
    </w:p>
    <w:p>
      <w:pPr>
        <w:rPr>
          <w:rFonts w:ascii="宋体" w:hAnsi="宋体" w:cs="宋体"/>
          <w:bCs/>
          <w:color w:val="auto"/>
          <w:szCs w:val="21"/>
          <w:highlight w:val="none"/>
        </w:rPr>
      </w:pPr>
    </w:p>
    <w:p>
      <w:pPr>
        <w:rPr>
          <w:rFonts w:hint="eastAsia" w:ascii="宋体" w:hAnsi="宋体" w:cs="宋体"/>
          <w:b/>
          <w:color w:val="auto"/>
          <w:sz w:val="32"/>
          <w:szCs w:val="32"/>
          <w:highlight w:val="none"/>
        </w:rPr>
      </w:pPr>
      <w:bookmarkStart w:id="26" w:name="_Hlk101451102"/>
      <w:r>
        <w:rPr>
          <w:rFonts w:hint="eastAsia" w:ascii="宋体" w:hAnsi="宋体" w:cs="宋体"/>
          <w:b/>
          <w:color w:val="auto"/>
          <w:sz w:val="32"/>
          <w:szCs w:val="32"/>
          <w:highlight w:val="none"/>
        </w:rPr>
        <w:br w:type="page"/>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bookmarkEnd w:id="26"/>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一、资格审查文件</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二、广州建设工程施工技术标招标投标书</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三、投标人廉洁承诺书</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四、企业资信等相关资料</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五、施工技术承诺书</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、参与编制技术标投标文件人员名单</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、拟投入施工项目管理团队人员信息表</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rPr>
        <w:t>、技术负责人（或其他项目管理机构人员）基本情况表</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九</w:t>
      </w:r>
      <w:r>
        <w:rPr>
          <w:rFonts w:hint="eastAsia" w:ascii="宋体" w:hAnsi="宋体" w:cs="宋体"/>
          <w:color w:val="auto"/>
          <w:sz w:val="24"/>
          <w:szCs w:val="24"/>
          <w:highlight w:val="none"/>
        </w:rPr>
        <w:t>、业绩及获奖情况一览表</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十、危险性较大的分部分项工程清单及超过一定规模的危险性较大的分部分项工程清单</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、其他投标人认为须提交的资料</w:t>
      </w:r>
    </w:p>
    <w:p>
      <w:pPr>
        <w:pStyle w:val="22"/>
        <w:rPr>
          <w:rFonts w:ascii="宋体" w:hAnsi="宋体" w:cs="宋体"/>
          <w:color w:val="auto"/>
          <w:sz w:val="24"/>
          <w:szCs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技术部分格式2：</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资格审查资料</w:t>
      </w: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★技术部分格式3：</w:t>
      </w:r>
    </w:p>
    <w:p>
      <w:pPr>
        <w:spacing w:line="360" w:lineRule="auto"/>
        <w:rPr>
          <w:rFonts w:ascii="宋体" w:hAnsi="宋体" w:cs="宋体"/>
          <w:color w:val="auto"/>
          <w:sz w:val="24"/>
          <w:highlight w:val="none"/>
        </w:rPr>
      </w:pPr>
    </w:p>
    <w:p>
      <w:pPr>
        <w:autoSpaceDE w:val="0"/>
        <w:autoSpaceDN w:val="0"/>
        <w:adjustRightInd w:val="0"/>
        <w:ind w:left="-178" w:leftChars="-85"/>
        <w:jc w:val="center"/>
        <w:rPr>
          <w:rFonts w:ascii="宋体" w:hAnsi="宋体" w:cs="宋体"/>
          <w:b/>
          <w:bCs/>
          <w:color w:val="auto"/>
          <w:sz w:val="52"/>
          <w:szCs w:val="52"/>
          <w:highlight w:val="none"/>
        </w:rPr>
      </w:pPr>
      <w:r>
        <w:rPr>
          <w:rFonts w:hint="eastAsia" w:ascii="宋体" w:hAnsi="宋体" w:cs="宋体"/>
          <w:b/>
          <w:bCs/>
          <w:color w:val="auto"/>
          <w:sz w:val="44"/>
          <w:szCs w:val="44"/>
          <w:highlight w:val="none"/>
          <w:lang w:val="zh-CN"/>
        </w:rPr>
        <w:t>广州建设工程施工技术标招标投标书</w:t>
      </w:r>
    </w:p>
    <w:p>
      <w:pPr>
        <w:ind w:right="560"/>
        <w:jc w:val="center"/>
        <w:rPr>
          <w:rFonts w:ascii="宋体" w:hAnsi="宋体" w:cs="宋体"/>
          <w:b/>
          <w:color w:val="auto"/>
          <w:sz w:val="28"/>
          <w:szCs w:val="28"/>
          <w:highlight w:val="none"/>
          <w:lang w:val="zh-CN"/>
        </w:rPr>
      </w:pPr>
    </w:p>
    <w:tbl>
      <w:tblPr>
        <w:tblStyle w:val="39"/>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2"/>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55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55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55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项目负责人</w:t>
            </w:r>
          </w:p>
        </w:tc>
        <w:tc>
          <w:tcPr>
            <w:tcW w:w="55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安全员</w:t>
            </w:r>
          </w:p>
        </w:tc>
        <w:tc>
          <w:tcPr>
            <w:tcW w:w="55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color w:val="auto"/>
                <w:sz w:val="24"/>
                <w:szCs w:val="24"/>
                <w:highlight w:val="none"/>
                <w:lang w:val="zh-CN"/>
              </w:rPr>
            </w:pPr>
          </w:p>
        </w:tc>
      </w:tr>
    </w:tbl>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360" w:lineRule="auto"/>
        <w:rPr>
          <w:rFonts w:ascii="宋体" w:hAnsi="宋体" w:cs="宋体"/>
          <w:color w:val="auto"/>
          <w:sz w:val="24"/>
          <w:highlight w:val="none"/>
        </w:rPr>
      </w:pPr>
      <w:r>
        <w:rPr>
          <w:rFonts w:hint="eastAsia" w:ascii="宋体" w:hAnsi="宋体" w:cs="宋体"/>
          <w:color w:val="auto"/>
          <w:sz w:val="24"/>
          <w:highlight w:val="none"/>
        </w:rPr>
        <w:t>★技术部分格式4：</w:t>
      </w:r>
    </w:p>
    <w:p>
      <w:pPr>
        <w:spacing w:line="360" w:lineRule="auto"/>
        <w:jc w:val="center"/>
        <w:rPr>
          <w:rFonts w:ascii="宋体" w:hAnsi="宋体" w:cs="宋体"/>
          <w:color w:val="auto"/>
          <w:sz w:val="24"/>
          <w:highlight w:val="none"/>
        </w:rPr>
      </w:pPr>
      <w:r>
        <w:rPr>
          <w:rFonts w:hint="eastAsia" w:ascii="宋体" w:hAnsi="宋体" w:cs="宋体"/>
          <w:b/>
          <w:color w:val="auto"/>
          <w:sz w:val="32"/>
          <w:szCs w:val="32"/>
          <w:highlight w:val="none"/>
        </w:rPr>
        <w:t>投标人廉洁承诺书</w:t>
      </w:r>
    </w:p>
    <w:p>
      <w:pPr>
        <w:widowControl/>
        <w:shd w:val="clear" w:color="auto" w:fill="FFFFFF"/>
        <w:spacing w:after="135"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广州市住房和城乡建设局、本招标项目招标人及招标监管机构：</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本公司参加了</w:t>
      </w:r>
      <w:r>
        <w:rPr>
          <w:rFonts w:hint="eastAsia" w:ascii="宋体" w:hAnsi="宋体" w:cs="宋体"/>
          <w:color w:val="auto"/>
          <w:sz w:val="24"/>
          <w:szCs w:val="24"/>
          <w:highlight w:val="none"/>
          <w:u w:val="single"/>
        </w:rPr>
        <w:t xml:space="preserve"> （项目名称/标段名称） </w:t>
      </w:r>
      <w:r>
        <w:rPr>
          <w:rFonts w:hint="eastAsia" w:ascii="宋体" w:hAnsi="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pPr>
        <w:widowControl/>
        <w:spacing w:line="500" w:lineRule="exact"/>
        <w:ind w:right="42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一、自觉遵守国家有关法律法规及廉洁规定。</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二、不与招标单位工作人员串通投标，损害国家利益、企业利益以及他人的合法利益；</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三、不与其他单位围标、串标，不出让投标资格，不向招标人或评标委员会成员行贿。</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五、不以任何名义为参与招标、评标工作的有关人员装修住房、婚丧嫁取、配偶子女的工作安排以及境内外旅游等提供方便；</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六、不以谋取非正当利益为目的，擅自与参与招标、评标工作的有关人员就业务问题进行私下商谈或者达成利益默契；</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七、按法律规定及合同约定保修合同工程，履行本合同所约定的全部义务。</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九、自觉接受政府有关部门、发包人或其上级主管部门和监理单位等对本工程的监督，并无条件配合政府有关部门、发包人或其上级主管部门指定审计机构开展审计工作。</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pPr>
        <w:widowControl/>
        <w:shd w:val="clear" w:color="auto" w:fill="FFFFFF"/>
        <w:spacing w:after="135" w:line="500" w:lineRule="exact"/>
        <w:ind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本公司违反上述承诺，或本承诺陈述与事实不符，经查实，本公司愿意接受公开通报，承担由此带来的法律后果，并自愿停止参加广州市行政辖区内的招标投标活动三个月。</w:t>
      </w:r>
    </w:p>
    <w:p>
      <w:pPr>
        <w:widowControl/>
        <w:shd w:val="clear" w:color="auto" w:fill="FFFFFF"/>
        <w:spacing w:after="135" w:line="500" w:lineRule="exact"/>
        <w:ind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widowControl/>
        <w:shd w:val="clear" w:color="auto" w:fill="FFFFFF"/>
        <w:spacing w:line="500" w:lineRule="exact"/>
        <w:ind w:right="-58" w:firstLine="2880"/>
        <w:jc w:val="right"/>
        <w:rPr>
          <w:rFonts w:ascii="宋体" w:hAnsi="宋体" w:cs="宋体"/>
          <w:color w:val="auto"/>
          <w:sz w:val="24"/>
          <w:szCs w:val="24"/>
          <w:highlight w:val="none"/>
        </w:rPr>
      </w:pPr>
      <w:r>
        <w:rPr>
          <w:rFonts w:hint="eastAsia" w:ascii="宋体" w:hAnsi="宋体" w:cs="宋体"/>
          <w:color w:val="auto"/>
          <w:sz w:val="24"/>
          <w:szCs w:val="24"/>
          <w:highlight w:val="none"/>
        </w:rPr>
        <w:t>承诺企业：              (企业公章或电子印章)</w:t>
      </w:r>
    </w:p>
    <w:p>
      <w:pPr>
        <w:widowControl/>
        <w:shd w:val="clear" w:color="auto" w:fill="FFFFFF"/>
        <w:spacing w:after="135" w:line="500" w:lineRule="exact"/>
        <w:ind w:firstLine="645"/>
        <w:jc w:val="left"/>
        <w:rPr>
          <w:rFonts w:ascii="宋体" w:hAnsi="宋体" w:cs="宋体"/>
          <w:b/>
          <w:color w:val="auto"/>
          <w:sz w:val="24"/>
          <w:szCs w:val="31"/>
          <w:highlight w:val="none"/>
        </w:rPr>
      </w:pPr>
      <w:r>
        <w:rPr>
          <w:rFonts w:hint="eastAsia" w:ascii="宋体" w:hAnsi="宋体" w:cs="宋体"/>
          <w:color w:val="auto"/>
          <w:sz w:val="24"/>
          <w:szCs w:val="24"/>
          <w:highlight w:val="none"/>
        </w:rPr>
        <w:t xml:space="preserve">                    法定代表人（签字或盖章）： </w:t>
      </w:r>
    </w:p>
    <w:p>
      <w:pPr>
        <w:widowControl/>
        <w:shd w:val="clear" w:color="auto" w:fill="FFFFFF"/>
        <w:spacing w:line="500" w:lineRule="exact"/>
        <w:ind w:right="165" w:firstLine="3770" w:firstLineChars="1571"/>
        <w:jc w:val="both"/>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spacing w:line="360" w:lineRule="auto"/>
        <w:rPr>
          <w:rFonts w:ascii="宋体" w:hAnsi="宋体" w:cs="宋体"/>
          <w:color w:val="auto"/>
          <w:sz w:val="24"/>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4"/>
          <w:highlight w:val="none"/>
        </w:rPr>
        <w:t>技术部分格式5：</w:t>
      </w:r>
    </w:p>
    <w:p>
      <w:pPr>
        <w:topLinePunct/>
        <w:adjustRightInd w:val="0"/>
        <w:snapToGrid w:val="0"/>
        <w:spacing w:line="360" w:lineRule="auto"/>
        <w:ind w:firstLine="498"/>
        <w:jc w:val="center"/>
        <w:rPr>
          <w:rFonts w:ascii="宋体" w:hAnsi="宋体" w:cs="宋体"/>
          <w:b/>
          <w:snapToGrid w:val="0"/>
          <w:color w:val="auto"/>
          <w:spacing w:val="4"/>
          <w:kern w:val="0"/>
          <w:sz w:val="32"/>
          <w:szCs w:val="32"/>
          <w:highlight w:val="none"/>
        </w:rPr>
      </w:pPr>
    </w:p>
    <w:p>
      <w:pPr>
        <w:topLinePunct/>
        <w:adjustRightInd w:val="0"/>
        <w:snapToGrid w:val="0"/>
        <w:spacing w:line="360" w:lineRule="auto"/>
        <w:ind w:firstLine="498"/>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企业资信等相关资料</w:t>
      </w:r>
    </w:p>
    <w:p>
      <w:pPr>
        <w:topLinePunct/>
        <w:adjustRightInd w:val="0"/>
        <w:snapToGrid w:val="0"/>
        <w:spacing w:line="360" w:lineRule="auto"/>
        <w:ind w:firstLine="496" w:firstLineChars="200"/>
        <w:rPr>
          <w:rFonts w:ascii="宋体" w:hAnsi="宋体" w:cs="宋体"/>
          <w:snapToGrid w:val="0"/>
          <w:color w:val="auto"/>
          <w:spacing w:val="4"/>
          <w:kern w:val="0"/>
          <w:sz w:val="24"/>
          <w:szCs w:val="20"/>
          <w:highlight w:val="none"/>
        </w:rPr>
      </w:pPr>
    </w:p>
    <w:p>
      <w:pPr>
        <w:topLinePunct/>
        <w:adjustRightInd w:val="0"/>
        <w:snapToGrid w:val="0"/>
        <w:spacing w:line="360" w:lineRule="auto"/>
        <w:jc w:val="center"/>
        <w:rPr>
          <w:rFonts w:ascii="宋体" w:hAnsi="宋体" w:cs="宋体"/>
          <w:snapToGrid w:val="0"/>
          <w:color w:val="auto"/>
          <w:spacing w:val="4"/>
          <w:kern w:val="0"/>
          <w:sz w:val="24"/>
          <w:szCs w:val="20"/>
          <w:highlight w:val="none"/>
        </w:rPr>
      </w:pPr>
      <w:r>
        <w:rPr>
          <w:rFonts w:hint="eastAsia" w:ascii="宋体" w:hAnsi="宋体" w:cs="宋体"/>
          <w:snapToGrid w:val="0"/>
          <w:color w:val="auto"/>
          <w:spacing w:val="4"/>
          <w:kern w:val="0"/>
          <w:sz w:val="24"/>
          <w:szCs w:val="20"/>
          <w:highlight w:val="none"/>
        </w:rPr>
        <w:t>注：按《技术标详细审查评分表》要求提交</w:t>
      </w:r>
    </w:p>
    <w:p>
      <w:pPr>
        <w:spacing w:line="360" w:lineRule="auto"/>
        <w:rPr>
          <w:rFonts w:ascii="宋体" w:hAnsi="宋体" w:cs="宋体"/>
          <w:color w:val="auto"/>
          <w:sz w:val="24"/>
          <w:highlight w:val="none"/>
        </w:rPr>
      </w:pPr>
      <w:r>
        <w:rPr>
          <w:rFonts w:hint="eastAsia" w:ascii="宋体" w:hAnsi="宋体" w:cs="宋体"/>
          <w:snapToGrid w:val="0"/>
          <w:color w:val="auto"/>
          <w:spacing w:val="4"/>
          <w:kern w:val="0"/>
          <w:sz w:val="24"/>
          <w:szCs w:val="20"/>
          <w:highlight w:val="none"/>
        </w:rPr>
        <w:br w:type="page"/>
      </w:r>
      <w:r>
        <w:rPr>
          <w:rFonts w:hint="eastAsia" w:ascii="宋体" w:hAnsi="宋体" w:cs="宋体"/>
          <w:b/>
          <w:bCs/>
          <w:color w:val="auto"/>
          <w:sz w:val="24"/>
          <w:highlight w:val="none"/>
        </w:rPr>
        <w:t>技术部分格式6：</w:t>
      </w:r>
    </w:p>
    <w:p>
      <w:pPr>
        <w:spacing w:line="360" w:lineRule="auto"/>
        <w:rPr>
          <w:rFonts w:ascii="宋体" w:hAnsi="宋体" w:cs="宋体"/>
          <w:color w:val="auto"/>
          <w:sz w:val="24"/>
          <w:highlight w:val="none"/>
        </w:rPr>
      </w:pPr>
    </w:p>
    <w:p>
      <w:pPr>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施工技术承诺书</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lang w:eastAsia="zh-CN"/>
        </w:rPr>
        <w:t>广东省科学院</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公司已充分阅读了招标文件、图纸等资料并通过现场考察充分了解本工程的全面情况。如若中标，我们承诺将按技术规范、相关技术要求、施工图纸进行施工。本工程所有的施工方案、施工方法、施工工艺等都将满足本工程施工图纸和现行的有关规范、标准要求，且上述施工方案、施工方法和施工工艺等均在取得监理工程师和业主的批准后予以实施，同时声明采用经监理工程师和业主批准的上述施工方案、施工方法、施工工艺等所发生的一切费用均已包含在我方的投标总报价之中，并保证在本项目实施过程中不论何种原因均不会向你方提出任何增加费用或延长工期的要求，否则，视为我方违约，你方有权解除合同并按合同支付违约金，我方应承担由此给你方造成的所有经济损失，并承担其他相应的责任。</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如未履行上述承诺，视为我方违约，你方有权解除合同并按合同支付违约金，我方应承担由此给你方造成的所有经济损失，并承担其他相应的责任。</w:t>
      </w:r>
    </w:p>
    <w:p>
      <w:pPr>
        <w:spacing w:line="400" w:lineRule="exact"/>
        <w:rPr>
          <w:rFonts w:ascii="宋体" w:hAnsi="宋体" w:cs="宋体"/>
          <w:color w:val="auto"/>
          <w:sz w:val="24"/>
          <w:szCs w:val="24"/>
          <w:highlight w:val="none"/>
        </w:rPr>
      </w:pPr>
    </w:p>
    <w:p>
      <w:pPr>
        <w:spacing w:line="400" w:lineRule="exact"/>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法定代表人或其委托代理人：（签字或盖章）</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单位名称：（盖公章或电子印章）</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spacing w:line="400" w:lineRule="exac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施工组织设计：</w:t>
      </w:r>
    </w:p>
    <w:p>
      <w:pPr>
        <w:spacing w:line="400" w:lineRule="exact"/>
        <w:jc w:val="center"/>
        <w:rPr>
          <w:rFonts w:hint="eastAsia" w:ascii="宋体" w:hAnsi="宋体" w:cs="宋体"/>
          <w:b/>
          <w:bCs/>
          <w:color w:val="auto"/>
          <w:sz w:val="30"/>
          <w:szCs w:val="30"/>
          <w:highlight w:val="none"/>
        </w:rPr>
      </w:pPr>
    </w:p>
    <w:p>
      <w:pPr>
        <w:spacing w:line="400" w:lineRule="exact"/>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施工组织设计</w:t>
      </w:r>
    </w:p>
    <w:p>
      <w:pPr>
        <w:spacing w:line="400" w:lineRule="exact"/>
        <w:ind w:firstLine="480" w:firstLineChars="200"/>
        <w:rPr>
          <w:rFonts w:hint="eastAsia" w:ascii="宋体" w:hAnsi="宋体" w:cs="宋体"/>
          <w:color w:val="auto"/>
          <w:sz w:val="24"/>
          <w:szCs w:val="24"/>
          <w:highlight w:val="none"/>
        </w:rPr>
      </w:pP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对本项目特点有深刻认识，组织实施方案计划详细、保证措施合理且切实可行；对本项目的重点、难点，考虑全面，并制定可行的措施；针对本项目特点制定的交通疏解措施切实可行、详细、合理；应急处理措施、安全防护制度和文明操作措施完善；必须提交人员和机械安排计划，计划切实可行、详细、合理。各部分文字直接简炼，不得出现大量宣传性及无实质性意义或直接引用范本照搬照套的文字，并结合图表说明及表示。施工组织设计编制可包括以下内容：</w:t>
      </w:r>
    </w:p>
    <w:p>
      <w:pPr>
        <w:spacing w:line="400" w:lineRule="exact"/>
        <w:ind w:firstLine="480" w:firstLineChars="200"/>
        <w:rPr>
          <w:rFonts w:hint="eastAsia" w:ascii="宋体" w:hAnsi="宋体" w:cs="宋体"/>
          <w:b/>
          <w:bCs/>
          <w:color w:val="auto"/>
          <w:sz w:val="30"/>
          <w:szCs w:val="30"/>
          <w:highlight w:val="none"/>
        </w:rPr>
      </w:pPr>
      <w:r>
        <w:rPr>
          <w:rFonts w:hint="eastAsia" w:ascii="宋体" w:hAnsi="宋体" w:cs="宋体"/>
          <w:color w:val="auto"/>
          <w:sz w:val="24"/>
          <w:szCs w:val="24"/>
          <w:highlight w:val="none"/>
        </w:rPr>
        <w:t>一、文字部分：</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1.工程概况及工程重点、难点</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2.项目组织机构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要求项目负责人、总工程师、施工计划及财务负责人、质检、地质、实验、测量和机械、土建等组织结构配置合理，满足施工要求。</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3.施工总平面布置</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应针对本工程项目场地布置图和现场踏勘的情况进行本工程的施工总平面布置，并结合招标人提供的临时用地位置，合理安排其生活、福利、办公等临时生活设施和材料堆场、仓库、预制场、拌和场及加工场等生产设施的位置，设置完善、高效的临时排水、排污等设施，合理布置场内外交通运输路线。施工现场必须按广州市有关规定设置围蔽结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3.1临设平面布置图；</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3.2临时供水、临时供电；</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3.3临时排水、排污；</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3.4围蔽结构；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3.5施工通道布置；</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3.6投标人认为需补充的内容。</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4.主要分项工程的施工方案、施工方法、施工工艺</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根据本工程施工特点，制定各关键工序的施工方案、施工方法和工艺，要求所采用的施工方案、施工方法和工艺具有针对性、先进性和独创性。并阐述对进场施工后保证实施上述施工方案、施工方法和工艺；</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5.危险性较大的分部分项工程专项施工方案。</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6.工程建设进度计划于措施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6.1总体施工进度计划</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6.2各阶段施工进度计划及控制措施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6.3资源配备计划（工、料、机、资金等的使用计划）</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6.4主要的工艺流程</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 质量管理体系和措施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 环保与文明施工管理体系与措施（包括空气污染、水质污染、噪音控制、施工场地和驻地卫生，以及文明施工等方面控制措施）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9.制订完善的成品保护措施。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10.民工工资支付方案及措施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11.承诺优先使用绿色生产达标企业的混凝土及措施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二、图表部分</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1.项目组织机构图</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2.施工平面布置图</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3.施工进度计划网络图及横道图</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4.劳动力使用计划图（或表）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5.拟投入的主要材料、半成品、设备及品牌计划表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6.拟投入的主要施工机械设备计划表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7.资金使用计划表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8.主要施工工艺的工艺流程图</w:t>
      </w:r>
    </w:p>
    <w:p>
      <w:pPr>
        <w:pStyle w:val="8"/>
        <w:rPr>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技术部分格式</w:t>
      </w:r>
      <w:r>
        <w:rPr>
          <w:rFonts w:ascii="宋体" w:hAnsi="宋体" w:cs="宋体"/>
          <w:b/>
          <w:bCs/>
          <w:color w:val="auto"/>
          <w:sz w:val="24"/>
          <w:highlight w:val="none"/>
        </w:rPr>
        <w:t>7</w:t>
      </w:r>
      <w:r>
        <w:rPr>
          <w:rFonts w:hint="eastAsia" w:ascii="宋体" w:hAnsi="宋体" w:cs="宋体"/>
          <w:b/>
          <w:bCs/>
          <w:color w:val="auto"/>
          <w:sz w:val="24"/>
          <w:highlight w:val="none"/>
        </w:rPr>
        <w:t>：</w:t>
      </w:r>
    </w:p>
    <w:p>
      <w:pPr>
        <w:pStyle w:val="78"/>
        <w:ind w:firstLine="496"/>
        <w:rPr>
          <w:rFonts w:ascii="宋体" w:hAnsi="宋体" w:cs="宋体"/>
          <w:color w:val="auto"/>
          <w:highlight w:val="none"/>
        </w:rPr>
      </w:pPr>
    </w:p>
    <w:p>
      <w:pPr>
        <w:pStyle w:val="121"/>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参与编制技术标投标文件人员名单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848"/>
        <w:gridCol w:w="1849"/>
        <w:gridCol w:w="184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242" w:type="dxa"/>
            <w:gridSpan w:val="5"/>
            <w:noWrap w:val="0"/>
            <w:vAlign w:val="center"/>
          </w:tcPr>
          <w:p>
            <w:pPr>
              <w:pStyle w:val="116"/>
              <w:ind w:firstLine="22"/>
              <w:rPr>
                <w:rFonts w:cs="宋体"/>
                <w:color w:val="auto"/>
                <w:sz w:val="24"/>
                <w:highlight w:val="none"/>
              </w:rPr>
            </w:pPr>
            <w:r>
              <w:rPr>
                <w:rFonts w:hint="eastAsia" w:cs="宋体"/>
                <w:color w:val="auto"/>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rPr>
                <w:rFonts w:cs="宋体"/>
                <w:color w:val="auto"/>
                <w:highlight w:val="none"/>
              </w:rPr>
            </w:pPr>
            <w:r>
              <w:rPr>
                <w:rFonts w:hint="eastAsia" w:cs="宋体"/>
                <w:color w:val="auto"/>
                <w:highlight w:val="none"/>
              </w:rPr>
              <w:t>姓名</w:t>
            </w:r>
          </w:p>
        </w:tc>
        <w:tc>
          <w:tcPr>
            <w:tcW w:w="1848" w:type="dxa"/>
            <w:noWrap w:val="0"/>
            <w:vAlign w:val="center"/>
          </w:tcPr>
          <w:p>
            <w:pPr>
              <w:pStyle w:val="116"/>
              <w:ind w:firstLine="525"/>
              <w:rPr>
                <w:rFonts w:cs="宋体"/>
                <w:color w:val="auto"/>
                <w:highlight w:val="none"/>
              </w:rPr>
            </w:pPr>
            <w:r>
              <w:rPr>
                <w:rFonts w:hint="eastAsia" w:cs="宋体"/>
                <w:color w:val="auto"/>
                <w:highlight w:val="none"/>
              </w:rPr>
              <w:t>职务</w:t>
            </w:r>
          </w:p>
        </w:tc>
        <w:tc>
          <w:tcPr>
            <w:tcW w:w="1849" w:type="dxa"/>
            <w:noWrap w:val="0"/>
            <w:vAlign w:val="center"/>
          </w:tcPr>
          <w:p>
            <w:pPr>
              <w:pStyle w:val="116"/>
              <w:ind w:firstLine="19"/>
              <w:jc w:val="center"/>
              <w:rPr>
                <w:rFonts w:cs="宋体"/>
                <w:color w:val="auto"/>
                <w:highlight w:val="none"/>
              </w:rPr>
            </w:pPr>
            <w:r>
              <w:rPr>
                <w:rFonts w:hint="eastAsia" w:cs="宋体"/>
                <w:color w:val="auto"/>
                <w:highlight w:val="none"/>
              </w:rPr>
              <w:t>所承担工作</w:t>
            </w:r>
          </w:p>
        </w:tc>
        <w:tc>
          <w:tcPr>
            <w:tcW w:w="1849" w:type="dxa"/>
            <w:noWrap w:val="0"/>
            <w:vAlign w:val="center"/>
          </w:tcPr>
          <w:p>
            <w:pPr>
              <w:pStyle w:val="116"/>
              <w:ind w:firstLine="16"/>
              <w:jc w:val="center"/>
              <w:rPr>
                <w:rFonts w:cs="宋体"/>
                <w:color w:val="auto"/>
                <w:highlight w:val="none"/>
              </w:rPr>
            </w:pPr>
            <w:r>
              <w:rPr>
                <w:rFonts w:hint="eastAsia" w:cs="宋体"/>
                <w:color w:val="auto"/>
                <w:highlight w:val="none"/>
              </w:rPr>
              <w:t>身份证号码</w:t>
            </w:r>
          </w:p>
        </w:tc>
        <w:tc>
          <w:tcPr>
            <w:tcW w:w="1849" w:type="dxa"/>
            <w:noWrap w:val="0"/>
            <w:vAlign w:val="center"/>
          </w:tcPr>
          <w:p>
            <w:pPr>
              <w:pStyle w:val="116"/>
              <w:jc w:val="center"/>
              <w:rPr>
                <w:rFonts w:cs="宋体"/>
                <w:color w:val="auto"/>
                <w:highlight w:val="none"/>
              </w:rPr>
            </w:pPr>
            <w:r>
              <w:rPr>
                <w:rFonts w:hint="eastAsia" w:cs="宋体"/>
                <w:color w:val="auto"/>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jc w:val="center"/>
              <w:rPr>
                <w:rFonts w:cs="宋体"/>
                <w:color w:val="auto"/>
                <w:sz w:val="24"/>
                <w:highlight w:val="none"/>
              </w:rPr>
            </w:pPr>
          </w:p>
        </w:tc>
        <w:tc>
          <w:tcPr>
            <w:tcW w:w="1848"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jc w:val="center"/>
              <w:rPr>
                <w:rFonts w:cs="宋体"/>
                <w:color w:val="auto"/>
                <w:sz w:val="24"/>
                <w:highlight w:val="none"/>
              </w:rPr>
            </w:pPr>
          </w:p>
        </w:tc>
        <w:tc>
          <w:tcPr>
            <w:tcW w:w="1848"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jc w:val="center"/>
              <w:rPr>
                <w:rFonts w:cs="宋体"/>
                <w:color w:val="auto"/>
                <w:sz w:val="24"/>
                <w:highlight w:val="none"/>
              </w:rPr>
            </w:pPr>
          </w:p>
        </w:tc>
        <w:tc>
          <w:tcPr>
            <w:tcW w:w="1848"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jc w:val="center"/>
              <w:rPr>
                <w:rFonts w:cs="宋体"/>
                <w:color w:val="auto"/>
                <w:sz w:val="24"/>
                <w:highlight w:val="none"/>
              </w:rPr>
            </w:pPr>
          </w:p>
        </w:tc>
        <w:tc>
          <w:tcPr>
            <w:tcW w:w="1848"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jc w:val="center"/>
              <w:rPr>
                <w:rFonts w:cs="宋体"/>
                <w:color w:val="auto"/>
                <w:sz w:val="24"/>
                <w:highlight w:val="none"/>
              </w:rPr>
            </w:pPr>
          </w:p>
        </w:tc>
        <w:tc>
          <w:tcPr>
            <w:tcW w:w="1848"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jc w:val="center"/>
              <w:rPr>
                <w:rFonts w:cs="宋体"/>
                <w:color w:val="auto"/>
                <w:sz w:val="24"/>
                <w:highlight w:val="none"/>
              </w:rPr>
            </w:pPr>
          </w:p>
        </w:tc>
        <w:tc>
          <w:tcPr>
            <w:tcW w:w="1848"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r>
    </w:tbl>
    <w:p>
      <w:pPr>
        <w:spacing w:line="360" w:lineRule="auto"/>
        <w:rPr>
          <w:rFonts w:ascii="宋体" w:hAnsi="宋体" w:cs="宋体"/>
          <w:color w:val="auto"/>
          <w:highlight w:val="none"/>
        </w:rPr>
      </w:pPr>
      <w:r>
        <w:rPr>
          <w:rFonts w:hint="eastAsia" w:ascii="宋体" w:hAnsi="宋体" w:cs="宋体"/>
          <w:color w:val="auto"/>
          <w:highlight w:val="none"/>
        </w:rPr>
        <w:t>注：参与编制技术标书所有人员名单应包括如编制技术投标方案、负责清样校对、负责打印及复印等所有人员在内的人员名单。</w:t>
      </w:r>
    </w:p>
    <w:p>
      <w:pPr>
        <w:pStyle w:val="8"/>
        <w:rPr>
          <w:rFonts w:ascii="宋体" w:hAnsi="宋体" w:cs="宋体"/>
          <w:color w:val="auto"/>
          <w:highlight w:val="none"/>
        </w:rPr>
      </w:pPr>
    </w:p>
    <w:p>
      <w:pPr>
        <w:spacing w:line="360" w:lineRule="auto"/>
        <w:rPr>
          <w:bCs/>
          <w:color w:val="auto"/>
          <w:szCs w:val="21"/>
          <w:highlight w:val="none"/>
        </w:rPr>
      </w:pPr>
      <w:r>
        <w:rPr>
          <w:bCs/>
          <w:color w:val="auto"/>
          <w:szCs w:val="21"/>
          <w:highlight w:val="none"/>
        </w:rPr>
        <w:br w:type="page"/>
      </w:r>
    </w:p>
    <w:p>
      <w:pPr>
        <w:rPr>
          <w:rFonts w:ascii="宋体" w:hAnsi="宋体" w:cs="宋体"/>
          <w:b/>
          <w:color w:val="auto"/>
          <w:sz w:val="24"/>
          <w:szCs w:val="24"/>
          <w:highlight w:val="none"/>
        </w:rPr>
      </w:pPr>
      <w:r>
        <w:rPr>
          <w:rFonts w:hint="eastAsia" w:ascii="宋体" w:hAnsi="宋体" w:cs="宋体"/>
          <w:color w:val="auto"/>
          <w:sz w:val="24"/>
          <w:highlight w:val="none"/>
        </w:rPr>
        <w:t>★</w:t>
      </w:r>
      <w:r>
        <w:rPr>
          <w:rFonts w:hint="eastAsia" w:ascii="宋体" w:hAnsi="宋体" w:cs="宋体"/>
          <w:b/>
          <w:color w:val="auto"/>
          <w:sz w:val="24"/>
          <w:szCs w:val="24"/>
          <w:highlight w:val="none"/>
        </w:rPr>
        <w:t>技术部分格式</w:t>
      </w:r>
      <w:r>
        <w:rPr>
          <w:rFonts w:hint="eastAsia" w:ascii="宋体" w:hAnsi="宋体" w:cs="宋体"/>
          <w:b/>
          <w:color w:val="auto"/>
          <w:sz w:val="24"/>
          <w:szCs w:val="24"/>
          <w:highlight w:val="none"/>
          <w:lang w:val="en-US" w:eastAsia="zh-CN"/>
        </w:rPr>
        <w:t>8</w:t>
      </w:r>
      <w:r>
        <w:rPr>
          <w:rFonts w:hint="eastAsia" w:ascii="宋体" w:hAnsi="宋体" w:cs="宋体"/>
          <w:b/>
          <w:color w:val="auto"/>
          <w:sz w:val="24"/>
          <w:szCs w:val="24"/>
          <w:highlight w:val="none"/>
        </w:rPr>
        <w:t>：拟投入施工项目管理团队人员信息表</w:t>
      </w:r>
    </w:p>
    <w:p>
      <w:pPr>
        <w:pStyle w:val="121"/>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拟投入施工项目管理团队人员信息表</w:t>
      </w:r>
    </w:p>
    <w:tbl>
      <w:tblPr>
        <w:tblStyle w:val="39"/>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55"/>
        <w:gridCol w:w="1538"/>
        <w:gridCol w:w="709"/>
        <w:gridCol w:w="2409"/>
        <w:gridCol w:w="567"/>
        <w:gridCol w:w="567"/>
        <w:gridCol w:w="709"/>
        <w:gridCol w:w="689"/>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序号</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spacing w:val="-6"/>
                <w:highlight w:val="none"/>
              </w:rPr>
              <w:t>姓名</w:t>
            </w:r>
          </w:p>
        </w:tc>
        <w:tc>
          <w:tcPr>
            <w:tcW w:w="1538"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岗位</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职称</w:t>
            </w:r>
          </w:p>
        </w:tc>
        <w:tc>
          <w:tcPr>
            <w:tcW w:w="24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职称证书或资格证书编号</w:t>
            </w: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性别</w:t>
            </w: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年龄</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专业</w:t>
            </w: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从事工程工作年限</w:t>
            </w: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1</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r>
              <w:rPr>
                <w:rFonts w:hint="eastAsia" w:ascii="宋体" w:hAnsi="宋体"/>
                <w:color w:val="auto"/>
                <w:szCs w:val="21"/>
                <w:highlight w:val="none"/>
              </w:rPr>
              <w:t>技术负责人</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2</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r>
              <w:rPr>
                <w:rFonts w:hint="eastAsia" w:ascii="宋体" w:hAnsi="宋体"/>
                <w:color w:val="auto"/>
                <w:szCs w:val="21"/>
                <w:highlight w:val="none"/>
              </w:rPr>
              <w:t>质量负责人</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3</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r>
              <w:rPr>
                <w:rFonts w:hint="eastAsia" w:ascii="宋体" w:hAnsi="宋体" w:cs="仿宋"/>
                <w:color w:val="auto"/>
                <w:kern w:val="0"/>
                <w:szCs w:val="21"/>
                <w:highlight w:val="none"/>
                <w:lang w:val="zh-TW" w:eastAsia="zh-TW" w:bidi="zh-TW"/>
              </w:rPr>
              <w:t>安全负责人</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4</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r>
              <w:rPr>
                <w:rFonts w:hint="eastAsia" w:ascii="宋体" w:hAnsi="宋体"/>
                <w:color w:val="auto"/>
                <w:szCs w:val="21"/>
                <w:highlight w:val="none"/>
                <w:lang w:val="zh-TW" w:eastAsia="zh-TW"/>
              </w:rPr>
              <w:t>造价负责人</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5</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strike w:val="0"/>
                <w:color w:val="auto"/>
                <w:highlight w:val="none"/>
              </w:rPr>
            </w:pPr>
            <w:r>
              <w:rPr>
                <w:rFonts w:hint="eastAsia" w:ascii="宋体" w:hAnsi="宋体"/>
                <w:color w:val="auto"/>
                <w:szCs w:val="21"/>
                <w:highlight w:val="none"/>
              </w:rPr>
              <w:t>预、结算员</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6</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trike w:val="0"/>
                <w:color w:val="auto"/>
                <w:highlight w:val="none"/>
              </w:rPr>
            </w:pPr>
            <w:r>
              <w:rPr>
                <w:rFonts w:hint="eastAsia" w:ascii="宋体" w:hAnsi="宋体" w:cs="宋体"/>
                <w:bCs/>
                <w:color w:val="auto"/>
                <w:szCs w:val="21"/>
                <w:highlight w:val="none"/>
              </w:rPr>
              <w:t>装修工程师</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7</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strike w:val="0"/>
                <w:color w:val="auto"/>
                <w:highlight w:val="none"/>
              </w:rPr>
            </w:pPr>
            <w:r>
              <w:rPr>
                <w:rFonts w:hint="eastAsia" w:ascii="宋体" w:hAnsi="宋体"/>
                <w:color w:val="auto"/>
                <w:szCs w:val="21"/>
                <w:highlight w:val="none"/>
              </w:rPr>
              <w:t>机电安装工程师</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default" w:eastAsia="宋体" w:cs="宋体"/>
                <w:color w:val="auto"/>
                <w:highlight w:val="none"/>
                <w:lang w:val="en-US" w:eastAsia="zh-CN"/>
              </w:rPr>
            </w:pPr>
            <w:r>
              <w:rPr>
                <w:rFonts w:hint="eastAsia" w:cs="宋体"/>
                <w:color w:val="auto"/>
                <w:highlight w:val="none"/>
                <w:lang w:val="en-US" w:eastAsia="zh-CN"/>
              </w:rPr>
              <w:t>8</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strike w:val="0"/>
                <w:color w:val="auto"/>
                <w:highlight w:val="none"/>
              </w:rPr>
            </w:pPr>
            <w:r>
              <w:rPr>
                <w:rFonts w:hint="eastAsia" w:ascii="宋体" w:hAnsi="宋体"/>
                <w:color w:val="auto"/>
                <w:szCs w:val="21"/>
                <w:highlight w:val="none"/>
              </w:rPr>
              <w:t>给排水施工工程师</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9</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trike w:val="0"/>
                <w:color w:val="auto"/>
                <w:highlight w:val="none"/>
              </w:rPr>
            </w:pPr>
            <w:r>
              <w:rPr>
                <w:rFonts w:hint="eastAsia" w:ascii="宋体" w:hAnsi="宋体" w:cs="宋体"/>
                <w:bCs/>
                <w:color w:val="auto"/>
                <w:szCs w:val="21"/>
                <w:highlight w:val="none"/>
              </w:rPr>
              <w:t>暖通空调工程师</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rPr>
              <w:t>1</w:t>
            </w:r>
            <w:r>
              <w:rPr>
                <w:rFonts w:hint="eastAsia" w:cs="宋体"/>
                <w:color w:val="auto"/>
                <w:highlight w:val="none"/>
                <w:lang w:val="en-US" w:eastAsia="zh-CN"/>
              </w:rPr>
              <w:t>0</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r>
              <w:rPr>
                <w:rFonts w:hint="eastAsia" w:ascii="宋体" w:hAnsi="宋体" w:cs="宋体"/>
                <w:bCs/>
                <w:color w:val="auto"/>
                <w:szCs w:val="21"/>
                <w:highlight w:val="none"/>
              </w:rPr>
              <w:t>安全工程师</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rPr>
              <w:t>1</w:t>
            </w:r>
            <w:r>
              <w:rPr>
                <w:rFonts w:hint="eastAsia" w:cs="宋体"/>
                <w:color w:val="auto"/>
                <w:highlight w:val="none"/>
                <w:lang w:val="en-US" w:eastAsia="zh-CN"/>
              </w:rPr>
              <w:t>1</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rPr>
              <w:t>1</w:t>
            </w:r>
            <w:r>
              <w:rPr>
                <w:rFonts w:hint="eastAsia" w:cs="宋体"/>
                <w:color w:val="auto"/>
                <w:highlight w:val="none"/>
                <w:lang w:val="en-US" w:eastAsia="zh-CN"/>
              </w:rPr>
              <w:t>2</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rPr>
              <w:t>1</w:t>
            </w:r>
            <w:r>
              <w:rPr>
                <w:rFonts w:hint="eastAsia" w:cs="宋体"/>
                <w:color w:val="auto"/>
                <w:highlight w:val="none"/>
                <w:lang w:val="en-US" w:eastAsia="zh-CN"/>
              </w:rPr>
              <w:t>3</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rPr>
              <w:t>1</w:t>
            </w:r>
            <w:r>
              <w:rPr>
                <w:rFonts w:hint="eastAsia" w:cs="宋体"/>
                <w:color w:val="auto"/>
                <w:highlight w:val="none"/>
                <w:lang w:val="en-US" w:eastAsia="zh-CN"/>
              </w:rPr>
              <w:t>4</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78"/>
              <w:ind w:right="-13" w:rightChars="-6" w:firstLine="0" w:firstLineChars="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bl>
    <w:p>
      <w:pPr>
        <w:widowControl/>
        <w:shd w:val="clear" w:color="auto" w:fill="FFFFFF"/>
        <w:adjustRightInd w:val="0"/>
        <w:ind w:firstLine="422" w:firstLineChars="200"/>
        <w:jc w:val="left"/>
        <w:rPr>
          <w:rFonts w:ascii="宋体" w:hAnsi="宋体" w:cs="宋体"/>
          <w:color w:val="auto"/>
          <w:highlight w:val="none"/>
        </w:rPr>
      </w:pPr>
      <w:r>
        <w:rPr>
          <w:rFonts w:hint="eastAsia" w:ascii="宋体" w:hAnsi="宋体" w:cs="宋体"/>
          <w:b/>
          <w:color w:val="auto"/>
          <w:highlight w:val="none"/>
        </w:rPr>
        <w:t>备注：</w:t>
      </w:r>
      <w:r>
        <w:rPr>
          <w:rFonts w:hint="eastAsia" w:ascii="宋体" w:hAnsi="宋体" w:cs="宋体"/>
          <w:color w:val="auto"/>
          <w:highlight w:val="none"/>
        </w:rPr>
        <w:t>1、“岗位”要求（除项目负责人和专职安全员外）由招标人根据项目管理需要在本表备注中明确提出。以上项目管理团队人员信息将由交易系统提取后供各相关单位在履约时比对、查核。</w:t>
      </w:r>
    </w:p>
    <w:p>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4、本表为项目管理团队人员的基本情况汇总，投标人可根据自身情况和招标文件要求配备专业技术管理人员，各岗位人员不得相互兼职。本表中填报的所有人员均需按招标文件第四章《主要人员简历表》格式要求编制并提交个人简历。</w:t>
      </w:r>
    </w:p>
    <w:p>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5、本表项目管理团队人员需提供近一个月（2022年</w:t>
      </w:r>
      <w:r>
        <w:rPr>
          <w:rFonts w:hint="eastAsia" w:ascii="宋体" w:hAnsi="宋体" w:cs="宋体"/>
          <w:color w:val="auto"/>
          <w:highlight w:val="none"/>
          <w:lang w:val="en-US" w:eastAsia="zh-CN"/>
        </w:rPr>
        <w:t>12</w:t>
      </w:r>
      <w:r>
        <w:rPr>
          <w:rFonts w:hint="eastAsia" w:ascii="宋体" w:hAnsi="宋体" w:cs="宋体"/>
          <w:color w:val="auto"/>
          <w:highlight w:val="none"/>
        </w:rPr>
        <w:t>月）社保证明文件原件清晰扫描件（若在“新型冠状病毒感染肺炎”疫情期间，当地政府部门允许企业在疫情期间缓缴社会保险费且投标人未缴纳的，投标人可提供当地政府部门允许缓缴社保的相关文件作为缴纳社保的证明；并在中标后，提供后续的社保补缴情况供招标方核实，若发现弄虚作假的，则将其行为纳入不诚信名单，招标人保留上报给行政主管部门的权力），并按招标公告及招标文件第二章附表四《技术标详细审查评分表》和附表四附件《投标人投入主要人员基本要求表》的评分要求提供相应证明材料，否则相应评分项不得分。所有证明材料要求为原件清晰扫描件。</w:t>
      </w:r>
    </w:p>
    <w:p>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6、人员仅指投标人（不含子公司）自身人员。</w:t>
      </w:r>
    </w:p>
    <w:p>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7、拟投入的项目管理团队人员，未经招标人同意，中标后不得更换，否则按合同约定承担违约责任。</w:t>
      </w:r>
    </w:p>
    <w:p>
      <w:pPr>
        <w:pStyle w:val="78"/>
        <w:ind w:firstLine="3596" w:firstLineChars="1450"/>
        <w:rPr>
          <w:rFonts w:ascii="宋体" w:hAnsi="宋体" w:cs="宋体"/>
          <w:color w:val="auto"/>
          <w:highlight w:val="none"/>
        </w:rPr>
      </w:pPr>
    </w:p>
    <w:p>
      <w:pPr>
        <w:pStyle w:val="78"/>
        <w:ind w:firstLine="3596" w:firstLineChars="1450"/>
        <w:rPr>
          <w:rFonts w:ascii="宋体" w:hAnsi="宋体" w:cs="宋体"/>
          <w:color w:val="auto"/>
          <w:highlight w:val="none"/>
        </w:rPr>
      </w:pPr>
      <w:r>
        <w:rPr>
          <w:rFonts w:hint="eastAsia" w:ascii="宋体" w:hAnsi="宋体" w:cs="宋体"/>
          <w:color w:val="auto"/>
          <w:highlight w:val="none"/>
        </w:rPr>
        <w:t>投标人：　　（盖章）</w:t>
      </w:r>
    </w:p>
    <w:p>
      <w:pPr>
        <w:pStyle w:val="78"/>
        <w:ind w:firstLine="3596" w:firstLineChars="1450"/>
        <w:rPr>
          <w:rFonts w:ascii="宋体" w:hAnsi="宋体" w:cs="宋体"/>
          <w:color w:val="auto"/>
          <w:highlight w:val="none"/>
        </w:rPr>
      </w:pPr>
      <w:r>
        <w:rPr>
          <w:rFonts w:hint="eastAsia" w:ascii="宋体" w:hAnsi="宋体" w:cs="宋体"/>
          <w:color w:val="auto"/>
          <w:highlight w:val="none"/>
        </w:rPr>
        <w:t>法定代表人或授权代理人(签字或盖章)：</w:t>
      </w:r>
    </w:p>
    <w:p>
      <w:pPr>
        <w:ind w:firstLine="3600" w:firstLineChars="1500"/>
        <w:rPr>
          <w:rFonts w:ascii="宋体" w:hAnsi="宋体" w:cs="宋体"/>
          <w:color w:val="auto"/>
          <w:sz w:val="24"/>
          <w:highlight w:val="none"/>
        </w:rPr>
      </w:pPr>
      <w:r>
        <w:rPr>
          <w:rFonts w:hint="eastAsia" w:ascii="宋体" w:hAnsi="宋体" w:cs="宋体"/>
          <w:color w:val="auto"/>
          <w:sz w:val="24"/>
          <w:highlight w:val="none"/>
        </w:rPr>
        <w:t>日   期：    年    月    日</w:t>
      </w:r>
    </w:p>
    <w:p>
      <w:pPr>
        <w:pStyle w:val="78"/>
        <w:ind w:firstLine="496"/>
        <w:rPr>
          <w:rFonts w:ascii="宋体" w:hAnsi="宋体" w:cs="宋体"/>
          <w:color w:val="auto"/>
          <w:highlight w:val="none"/>
        </w:rPr>
      </w:pPr>
    </w:p>
    <w:p>
      <w:pPr>
        <w:autoSpaceDE w:val="0"/>
        <w:autoSpaceDN w:val="0"/>
        <w:adjustRightInd w:val="0"/>
        <w:rPr>
          <w:rFonts w:ascii="宋体" w:hAnsi="宋体" w:cs="宋体"/>
          <w:color w:val="auto"/>
          <w:sz w:val="24"/>
          <w:szCs w:val="24"/>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widowControl/>
        <w:jc w:val="left"/>
        <w:rPr>
          <w:rFonts w:ascii="宋体" w:hAnsi="宋体" w:cs="宋体"/>
          <w:b/>
          <w:bCs w:val="0"/>
          <w:color w:val="auto"/>
          <w:sz w:val="24"/>
          <w:szCs w:val="24"/>
          <w:highlight w:val="none"/>
        </w:rPr>
      </w:pPr>
      <w:r>
        <w:rPr>
          <w:rFonts w:hint="eastAsia" w:ascii="宋体" w:hAnsi="宋体" w:cs="宋体"/>
          <w:color w:val="auto"/>
          <w:sz w:val="24"/>
          <w:highlight w:val="none"/>
        </w:rPr>
        <w:t>★</w:t>
      </w:r>
      <w:r>
        <w:rPr>
          <w:rFonts w:hint="eastAsia" w:ascii="宋体" w:hAnsi="宋体" w:cs="宋体"/>
          <w:b/>
          <w:bCs w:val="0"/>
          <w:color w:val="auto"/>
          <w:sz w:val="24"/>
          <w:szCs w:val="24"/>
          <w:highlight w:val="none"/>
        </w:rPr>
        <w:t>技术部分格式</w:t>
      </w:r>
      <w:r>
        <w:rPr>
          <w:rFonts w:hint="eastAsia" w:ascii="宋体" w:hAnsi="宋体" w:cs="宋体"/>
          <w:b/>
          <w:bCs w:val="0"/>
          <w:color w:val="auto"/>
          <w:sz w:val="24"/>
          <w:szCs w:val="24"/>
          <w:highlight w:val="none"/>
          <w:lang w:val="en-US" w:eastAsia="zh-CN"/>
        </w:rPr>
        <w:t>9</w:t>
      </w:r>
      <w:r>
        <w:rPr>
          <w:rFonts w:hint="eastAsia" w:ascii="宋体" w:hAnsi="宋体" w:cs="宋体"/>
          <w:b/>
          <w:bCs w:val="0"/>
          <w:color w:val="auto"/>
          <w:sz w:val="24"/>
          <w:szCs w:val="24"/>
          <w:highlight w:val="none"/>
        </w:rPr>
        <w:t>：</w:t>
      </w:r>
    </w:p>
    <w:p>
      <w:pPr>
        <w:pStyle w:val="8"/>
        <w:rPr>
          <w:rFonts w:hint="eastAsia" w:ascii="宋体" w:hAnsi="宋体" w:cs="宋体"/>
          <w:color w:val="auto"/>
          <w:highlight w:val="none"/>
        </w:rPr>
      </w:pPr>
      <w:bookmarkStart w:id="27" w:name="_Toc23443"/>
      <w:bookmarkStart w:id="28" w:name="_Toc337720097"/>
      <w:bookmarkStart w:id="29" w:name="_Toc358370584"/>
      <w:bookmarkStart w:id="30" w:name="_Toc515454599"/>
      <w:bookmarkStart w:id="31" w:name="_Toc239216037"/>
      <w:bookmarkStart w:id="32" w:name="_Toc352623427"/>
      <w:bookmarkStart w:id="33" w:name="_Toc239311752"/>
      <w:bookmarkStart w:id="34" w:name="_Toc226209009"/>
      <w:bookmarkStart w:id="35" w:name="_Toc318924501"/>
      <w:bookmarkStart w:id="36" w:name="_Toc449308426"/>
      <w:bookmarkStart w:id="37" w:name="_Toc395261105"/>
      <w:bookmarkStart w:id="38" w:name="_Toc11987"/>
      <w:bookmarkStart w:id="39" w:name="_Toc163337626"/>
      <w:bookmarkStart w:id="40" w:name="_Toc369536776"/>
      <w:bookmarkStart w:id="41" w:name="_Toc464131230"/>
      <w:bookmarkStart w:id="42" w:name="_Toc352240529"/>
    </w:p>
    <w:p>
      <w:pPr>
        <w:pStyle w:val="8"/>
        <w:rPr>
          <w:rFonts w:hint="eastAsia" w:ascii="宋体" w:hAnsi="宋体" w:cs="宋体"/>
          <w:color w:val="auto"/>
          <w:highlight w:val="none"/>
        </w:rPr>
      </w:pPr>
    </w:p>
    <w:p>
      <w:pPr>
        <w:autoSpaceDE w:val="0"/>
        <w:autoSpaceDN w:val="0"/>
        <w:adjustRightInd w:val="0"/>
        <w:snapToGrid w:val="0"/>
        <w:spacing w:line="480" w:lineRule="auto"/>
        <w:jc w:val="center"/>
        <w:rPr>
          <w:rFonts w:hint="eastAsia" w:ascii="宋体" w:hAnsi="宋体" w:cs="宋体"/>
          <w:b/>
          <w:color w:val="auto"/>
          <w:sz w:val="32"/>
          <w:szCs w:val="32"/>
          <w:highlight w:val="none"/>
          <w:lang w:val="zh-CN"/>
        </w:rPr>
      </w:pPr>
      <w:r>
        <w:rPr>
          <w:rFonts w:hint="eastAsia" w:ascii="宋体" w:hAnsi="宋体" w:cs="宋体"/>
          <w:b/>
          <w:color w:val="auto"/>
          <w:sz w:val="32"/>
          <w:szCs w:val="32"/>
          <w:highlight w:val="none"/>
          <w:lang w:val="zh-CN"/>
        </w:rPr>
        <w:t>技术负责人（或其他项目管理机构人员）基本情况表</w:t>
      </w:r>
    </w:p>
    <w:tbl>
      <w:tblPr>
        <w:tblStyle w:val="39"/>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243"/>
        <w:gridCol w:w="2123"/>
        <w:gridCol w:w="2036"/>
        <w:gridCol w:w="1224"/>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c>
          <w:tcPr>
            <w:tcW w:w="21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身份证号</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c>
          <w:tcPr>
            <w:tcW w:w="21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所学专业</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社保号</w:t>
            </w:r>
          </w:p>
        </w:tc>
        <w:tc>
          <w:tcPr>
            <w:tcW w:w="7851"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919"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从业简历</w:t>
            </w:r>
          </w:p>
          <w:p>
            <w:pPr>
              <w:autoSpaceDE w:val="0"/>
              <w:autoSpaceDN w:val="0"/>
              <w:adjustRightInd w:val="0"/>
              <w:jc w:val="center"/>
              <w:rPr>
                <w:rFonts w:hint="eastAsia" w:ascii="宋体" w:hAnsi="宋体" w:cs="宋体"/>
                <w:b/>
                <w:color w:val="auto"/>
                <w:sz w:val="24"/>
                <w:highlight w:val="none"/>
              </w:rPr>
            </w:pPr>
          </w:p>
          <w:p>
            <w:pPr>
              <w:autoSpaceDE w:val="0"/>
              <w:autoSpaceDN w:val="0"/>
              <w:adjustRightInd w:val="0"/>
              <w:jc w:val="center"/>
              <w:rPr>
                <w:rFonts w:hint="eastAsia" w:ascii="宋体" w:hAnsi="宋体" w:cs="宋体"/>
                <w:b/>
                <w:color w:val="auto"/>
                <w:sz w:val="24"/>
                <w:highlight w:val="none"/>
              </w:rPr>
            </w:pPr>
          </w:p>
          <w:p>
            <w:pPr>
              <w:autoSpaceDE w:val="0"/>
              <w:autoSpaceDN w:val="0"/>
              <w:adjustRightInd w:val="0"/>
              <w:jc w:val="center"/>
              <w:rPr>
                <w:rFonts w:hint="eastAsia" w:ascii="宋体" w:hAnsi="宋体" w:cs="宋体"/>
                <w:b/>
                <w:color w:val="auto"/>
                <w:sz w:val="24"/>
                <w:highlight w:val="none"/>
              </w:rPr>
            </w:pPr>
          </w:p>
          <w:p>
            <w:pPr>
              <w:autoSpaceDE w:val="0"/>
              <w:autoSpaceDN w:val="0"/>
              <w:adjustRightInd w:val="0"/>
              <w:jc w:val="center"/>
              <w:rPr>
                <w:rFonts w:hint="eastAsia" w:ascii="宋体" w:hAnsi="宋体" w:cs="宋体"/>
                <w:b/>
                <w:color w:val="auto"/>
                <w:sz w:val="24"/>
                <w:highlight w:val="none"/>
              </w:rPr>
            </w:pPr>
          </w:p>
          <w:p>
            <w:pPr>
              <w:autoSpaceDE w:val="0"/>
              <w:autoSpaceDN w:val="0"/>
              <w:adjustRightInd w:val="0"/>
              <w:jc w:val="center"/>
              <w:rPr>
                <w:rFonts w:hint="eastAsia" w:ascii="宋体" w:hAnsi="宋体" w:cs="宋体"/>
                <w:b/>
                <w:color w:val="auto"/>
                <w:sz w:val="24"/>
                <w:highlight w:val="none"/>
              </w:rPr>
            </w:pPr>
          </w:p>
          <w:p>
            <w:pPr>
              <w:autoSpaceDE w:val="0"/>
              <w:autoSpaceDN w:val="0"/>
              <w:adjustRightInd w:val="0"/>
              <w:jc w:val="center"/>
              <w:rPr>
                <w:rFonts w:hint="eastAsia" w:ascii="宋体" w:hAnsi="宋体" w:cs="宋体"/>
                <w:b/>
                <w:color w:val="auto"/>
                <w:sz w:val="24"/>
                <w:highlight w:val="none"/>
              </w:rPr>
            </w:pPr>
          </w:p>
        </w:tc>
      </w:tr>
    </w:tbl>
    <w:p>
      <w:pPr>
        <w:autoSpaceDE w:val="0"/>
        <w:autoSpaceDN w:val="0"/>
        <w:adjustRightInd w:val="0"/>
        <w:ind w:firstLine="360" w:firstLineChars="150"/>
        <w:rPr>
          <w:rFonts w:hint="eastAsia" w:ascii="宋体" w:hAnsi="宋体" w:cs="宋体"/>
          <w:color w:val="auto"/>
          <w:sz w:val="24"/>
          <w:highlight w:val="none"/>
        </w:rPr>
      </w:pPr>
    </w:p>
    <w:p>
      <w:pPr>
        <w:autoSpaceDE w:val="0"/>
        <w:autoSpaceDN w:val="0"/>
        <w:adjustRightInd w:val="0"/>
        <w:ind w:firstLine="360" w:firstLineChars="150"/>
        <w:rPr>
          <w:rFonts w:hint="eastAsia" w:ascii="宋体" w:hAnsi="宋体" w:cs="宋体"/>
          <w:color w:val="auto"/>
          <w:sz w:val="24"/>
          <w:highlight w:val="none"/>
        </w:rPr>
      </w:pPr>
    </w:p>
    <w:p>
      <w:pPr>
        <w:autoSpaceDE w:val="0"/>
        <w:autoSpaceDN w:val="0"/>
        <w:adjustRightInd w:val="0"/>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本人承诺以上填写内容真实有效。我知道隐瞒有关真实情况和填报虚假信息是严重的违法行为，以上关于我本人的基本信息如有虚假，本人愿接受招标监管主管部门或其他有关部门依法给予的行政处罚并纳入个人诚信记录，除身份证号外，本人同意上述内容在评标后全部公开。</w:t>
      </w:r>
    </w:p>
    <w:p>
      <w:pPr>
        <w:wordWrap w:val="0"/>
        <w:autoSpaceDE w:val="0"/>
        <w:autoSpaceDN w:val="0"/>
        <w:adjustRightInd w:val="0"/>
        <w:ind w:firstLine="240" w:firstLineChars="100"/>
        <w:jc w:val="right"/>
        <w:rPr>
          <w:rFonts w:hint="eastAsia" w:ascii="宋体" w:hAnsi="宋体" w:cs="宋体"/>
          <w:color w:val="auto"/>
          <w:sz w:val="24"/>
          <w:highlight w:val="none"/>
        </w:rPr>
      </w:pPr>
      <w:r>
        <w:rPr>
          <w:rFonts w:hint="eastAsia" w:ascii="宋体" w:hAnsi="宋体" w:cs="宋体"/>
          <w:color w:val="auto"/>
          <w:sz w:val="24"/>
          <w:highlight w:val="none"/>
        </w:rPr>
        <w:t xml:space="preserve">本人签字：      </w:t>
      </w:r>
    </w:p>
    <w:p>
      <w:pPr>
        <w:autoSpaceDE w:val="0"/>
        <w:autoSpaceDN w:val="0"/>
        <w:adjustRightInd w:val="0"/>
        <w:ind w:firstLine="240" w:firstLineChars="10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承诺上述内容真实有效。我公司知道隐瞒有关真实情况和填报虚假信息是严重的违法行为，上述内容如有虚假，我公司愿接受招标监管部门或其他有关部门依法给予的行政处罚，并接受招标人将我公司永久进入黑名单，不参与招标人今后所有项目的投标。</w:t>
      </w:r>
    </w:p>
    <w:p>
      <w:pPr>
        <w:wordWrap w:val="0"/>
        <w:jc w:val="right"/>
        <w:rPr>
          <w:rFonts w:hint="eastAsia" w:ascii="宋体" w:hAnsi="宋体" w:cs="宋体"/>
          <w:color w:val="auto"/>
          <w:sz w:val="24"/>
          <w:highlight w:val="none"/>
        </w:rPr>
      </w:pPr>
      <w:r>
        <w:rPr>
          <w:rFonts w:hint="eastAsia" w:ascii="宋体" w:hAnsi="宋体" w:cs="宋体"/>
          <w:color w:val="auto"/>
          <w:sz w:val="24"/>
          <w:highlight w:val="none"/>
        </w:rPr>
        <w:t>单位盖章或电子印章</w:t>
      </w:r>
    </w:p>
    <w:p>
      <w:pPr>
        <w:spacing w:line="320" w:lineRule="exact"/>
        <w:jc w:val="right"/>
        <w:rPr>
          <w:rFonts w:hint="eastAsia" w:ascii="宋体" w:hAnsi="宋体" w:cs="宋体"/>
          <w:color w:val="auto"/>
          <w:szCs w:val="21"/>
          <w:highlight w:val="none"/>
        </w:rPr>
      </w:pPr>
      <w:r>
        <w:rPr>
          <w:rFonts w:hint="eastAsia" w:ascii="宋体" w:hAnsi="宋体" w:cs="宋体"/>
          <w:color w:val="auto"/>
          <w:sz w:val="24"/>
          <w:highlight w:val="none"/>
        </w:rPr>
        <w:t>年  月  日</w:t>
      </w:r>
    </w:p>
    <w:p>
      <w:pPr>
        <w:pStyle w:val="8"/>
        <w:rPr>
          <w:rFonts w:hint="eastAsia" w:ascii="宋体" w:hAnsi="宋体" w:cs="宋体"/>
          <w:color w:val="auto"/>
          <w:highlight w:val="none"/>
        </w:rPr>
      </w:pP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Pr>
        <w:topLinePunct/>
        <w:adjustRightInd w:val="0"/>
        <w:snapToGrid w:val="0"/>
        <w:spacing w:line="360" w:lineRule="auto"/>
        <w:ind w:firstLine="168" w:firstLineChars="80"/>
        <w:rPr>
          <w:rFonts w:ascii="宋体" w:hAnsi="宋体" w:cs="宋体"/>
          <w:color w:val="auto"/>
          <w:szCs w:val="21"/>
          <w:highlight w:val="none"/>
        </w:rPr>
      </w:pPr>
      <w:r>
        <w:rPr>
          <w:rFonts w:hint="eastAsia" w:ascii="宋体" w:hAnsi="宋体" w:cs="宋体"/>
          <w:color w:val="auto"/>
          <w:szCs w:val="21"/>
          <w:highlight w:val="none"/>
        </w:rPr>
        <w:br w:type="page"/>
      </w:r>
    </w:p>
    <w:p>
      <w:pPr>
        <w:tabs>
          <w:tab w:val="left" w:pos="720"/>
        </w:tabs>
        <w:snapToGrid w:val="0"/>
        <w:spacing w:line="360" w:lineRule="auto"/>
        <w:rPr>
          <w:rFonts w:ascii="宋体" w:hAnsi="宋体" w:cs="宋体"/>
          <w:b/>
          <w:bCs/>
          <w:color w:val="auto"/>
          <w:sz w:val="24"/>
          <w:szCs w:val="24"/>
          <w:highlight w:val="none"/>
        </w:rPr>
      </w:pPr>
      <w:r>
        <w:rPr>
          <w:rFonts w:hint="eastAsia" w:ascii="宋体" w:hAnsi="宋体" w:cs="宋体"/>
          <w:b/>
          <w:bCs w:val="0"/>
          <w:color w:val="auto"/>
          <w:sz w:val="24"/>
          <w:szCs w:val="24"/>
          <w:highlight w:val="none"/>
        </w:rPr>
        <w:t>技术部分格式</w:t>
      </w:r>
      <w:r>
        <w:rPr>
          <w:rFonts w:hint="eastAsia" w:ascii="宋体" w:hAnsi="宋体" w:cs="宋体"/>
          <w:b/>
          <w:bCs w:val="0"/>
          <w:color w:val="auto"/>
          <w:sz w:val="24"/>
          <w:szCs w:val="24"/>
          <w:highlight w:val="none"/>
          <w:lang w:val="en-US" w:eastAsia="zh-CN"/>
        </w:rPr>
        <w:t>10</w:t>
      </w:r>
      <w:r>
        <w:rPr>
          <w:rFonts w:hint="eastAsia" w:ascii="宋体" w:hAnsi="宋体" w:cs="宋体"/>
          <w:b/>
          <w:bCs/>
          <w:color w:val="auto"/>
          <w:sz w:val="24"/>
          <w:szCs w:val="24"/>
          <w:highlight w:val="none"/>
        </w:rPr>
        <w:t>：业绩及获奖情况一览表</w:t>
      </w:r>
    </w:p>
    <w:p>
      <w:pPr>
        <w:tabs>
          <w:tab w:val="left" w:pos="720"/>
        </w:tabs>
        <w:snapToGrid w:val="0"/>
        <w:spacing w:line="360" w:lineRule="auto"/>
        <w:jc w:val="center"/>
        <w:rPr>
          <w:rFonts w:ascii="宋体" w:hAnsi="宋体" w:cs="宋体"/>
          <w:color w:val="auto"/>
          <w:sz w:val="24"/>
          <w:szCs w:val="24"/>
          <w:highlight w:val="none"/>
        </w:rPr>
      </w:pPr>
    </w:p>
    <w:p>
      <w:pPr>
        <w:tabs>
          <w:tab w:val="left" w:pos="720"/>
        </w:tabs>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业绩及获奖情况一览表</w:t>
      </w:r>
    </w:p>
    <w:p>
      <w:pPr>
        <w:tabs>
          <w:tab w:val="left" w:pos="720"/>
        </w:tabs>
        <w:snapToGrid w:val="0"/>
        <w:spacing w:line="360" w:lineRule="auto"/>
        <w:ind w:firstLine="1200" w:firstLineChars="500"/>
        <w:rPr>
          <w:rFonts w:ascii="宋体" w:hAnsi="宋体" w:cs="宋体"/>
          <w:color w:val="auto"/>
          <w:sz w:val="24"/>
          <w:szCs w:val="24"/>
          <w:highlight w:val="none"/>
        </w:rPr>
      </w:pP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39"/>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14"/>
        <w:gridCol w:w="1227"/>
        <w:gridCol w:w="2073"/>
        <w:gridCol w:w="1214"/>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tabs>
                <w:tab w:val="left" w:pos="720"/>
              </w:tabs>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214" w:type="dxa"/>
            <w:vAlign w:val="center"/>
          </w:tcPr>
          <w:p>
            <w:pPr>
              <w:tabs>
                <w:tab w:val="left" w:pos="720"/>
              </w:tabs>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1227" w:type="dxa"/>
            <w:vAlign w:val="center"/>
          </w:tcPr>
          <w:p>
            <w:pPr>
              <w:tabs>
                <w:tab w:val="left" w:pos="720"/>
              </w:tabs>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2073" w:type="dxa"/>
            <w:vAlign w:val="center"/>
          </w:tcPr>
          <w:p>
            <w:pPr>
              <w:tabs>
                <w:tab w:val="left" w:pos="720"/>
              </w:tabs>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合同总价（万元）</w:t>
            </w:r>
          </w:p>
        </w:tc>
        <w:tc>
          <w:tcPr>
            <w:tcW w:w="1214" w:type="dxa"/>
            <w:vAlign w:val="center"/>
          </w:tcPr>
          <w:p>
            <w:pPr>
              <w:tabs>
                <w:tab w:val="left" w:pos="720"/>
              </w:tabs>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获奖情况</w:t>
            </w:r>
          </w:p>
        </w:tc>
        <w:tc>
          <w:tcPr>
            <w:tcW w:w="2413" w:type="dxa"/>
            <w:vAlign w:val="center"/>
          </w:tcPr>
          <w:p>
            <w:pPr>
              <w:tabs>
                <w:tab w:val="left" w:pos="720"/>
              </w:tabs>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tabs>
                <w:tab w:val="left" w:pos="720"/>
              </w:tabs>
              <w:snapToGrid w:val="0"/>
              <w:spacing w:line="360" w:lineRule="auto"/>
              <w:rPr>
                <w:rFonts w:ascii="宋体" w:hAnsi="宋体" w:cs="宋体"/>
                <w:color w:val="auto"/>
                <w:sz w:val="24"/>
                <w:szCs w:val="24"/>
                <w:highlight w:val="none"/>
              </w:rPr>
            </w:pPr>
          </w:p>
        </w:tc>
        <w:tc>
          <w:tcPr>
            <w:tcW w:w="1214" w:type="dxa"/>
          </w:tcPr>
          <w:p>
            <w:pPr>
              <w:tabs>
                <w:tab w:val="left" w:pos="720"/>
              </w:tabs>
              <w:snapToGrid w:val="0"/>
              <w:spacing w:line="360" w:lineRule="auto"/>
              <w:rPr>
                <w:rFonts w:ascii="宋体" w:hAnsi="宋体" w:cs="宋体"/>
                <w:color w:val="auto"/>
                <w:sz w:val="24"/>
                <w:szCs w:val="24"/>
                <w:highlight w:val="none"/>
              </w:rPr>
            </w:pPr>
          </w:p>
        </w:tc>
        <w:tc>
          <w:tcPr>
            <w:tcW w:w="1227" w:type="dxa"/>
          </w:tcPr>
          <w:p>
            <w:pPr>
              <w:tabs>
                <w:tab w:val="left" w:pos="720"/>
              </w:tabs>
              <w:snapToGrid w:val="0"/>
              <w:spacing w:line="360" w:lineRule="auto"/>
              <w:rPr>
                <w:rFonts w:ascii="宋体" w:hAnsi="宋体" w:cs="宋体"/>
                <w:color w:val="auto"/>
                <w:sz w:val="24"/>
                <w:szCs w:val="24"/>
                <w:highlight w:val="none"/>
              </w:rPr>
            </w:pPr>
          </w:p>
        </w:tc>
        <w:tc>
          <w:tcPr>
            <w:tcW w:w="2073" w:type="dxa"/>
          </w:tcPr>
          <w:p>
            <w:pPr>
              <w:tabs>
                <w:tab w:val="left" w:pos="720"/>
              </w:tabs>
              <w:snapToGrid w:val="0"/>
              <w:spacing w:line="360" w:lineRule="auto"/>
              <w:rPr>
                <w:rFonts w:ascii="宋体" w:hAnsi="宋体" w:cs="宋体"/>
                <w:color w:val="auto"/>
                <w:sz w:val="24"/>
                <w:szCs w:val="24"/>
                <w:highlight w:val="none"/>
              </w:rPr>
            </w:pPr>
          </w:p>
        </w:tc>
        <w:tc>
          <w:tcPr>
            <w:tcW w:w="1214" w:type="dxa"/>
          </w:tcPr>
          <w:p>
            <w:pPr>
              <w:tabs>
                <w:tab w:val="left" w:pos="720"/>
              </w:tabs>
              <w:snapToGrid w:val="0"/>
              <w:spacing w:line="360" w:lineRule="auto"/>
              <w:rPr>
                <w:rFonts w:ascii="宋体" w:hAnsi="宋体" w:cs="宋体"/>
                <w:color w:val="auto"/>
                <w:sz w:val="24"/>
                <w:szCs w:val="24"/>
                <w:highlight w:val="none"/>
              </w:rPr>
            </w:pPr>
          </w:p>
        </w:tc>
        <w:tc>
          <w:tcPr>
            <w:tcW w:w="2413" w:type="dxa"/>
          </w:tcPr>
          <w:p>
            <w:pPr>
              <w:tabs>
                <w:tab w:val="left" w:pos="720"/>
              </w:tabs>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tabs>
                <w:tab w:val="left" w:pos="720"/>
              </w:tabs>
              <w:snapToGrid w:val="0"/>
              <w:spacing w:line="360" w:lineRule="auto"/>
              <w:rPr>
                <w:rFonts w:ascii="宋体" w:hAnsi="宋体" w:cs="宋体"/>
                <w:color w:val="auto"/>
                <w:sz w:val="24"/>
                <w:szCs w:val="24"/>
                <w:highlight w:val="none"/>
              </w:rPr>
            </w:pPr>
          </w:p>
        </w:tc>
        <w:tc>
          <w:tcPr>
            <w:tcW w:w="1214" w:type="dxa"/>
          </w:tcPr>
          <w:p>
            <w:pPr>
              <w:tabs>
                <w:tab w:val="left" w:pos="720"/>
              </w:tabs>
              <w:snapToGrid w:val="0"/>
              <w:spacing w:line="360" w:lineRule="auto"/>
              <w:rPr>
                <w:rFonts w:ascii="宋体" w:hAnsi="宋体" w:cs="宋体"/>
                <w:color w:val="auto"/>
                <w:sz w:val="24"/>
                <w:szCs w:val="24"/>
                <w:highlight w:val="none"/>
              </w:rPr>
            </w:pPr>
          </w:p>
        </w:tc>
        <w:tc>
          <w:tcPr>
            <w:tcW w:w="1227" w:type="dxa"/>
          </w:tcPr>
          <w:p>
            <w:pPr>
              <w:tabs>
                <w:tab w:val="left" w:pos="720"/>
              </w:tabs>
              <w:snapToGrid w:val="0"/>
              <w:spacing w:line="360" w:lineRule="auto"/>
              <w:rPr>
                <w:rFonts w:ascii="宋体" w:hAnsi="宋体" w:cs="宋体"/>
                <w:color w:val="auto"/>
                <w:sz w:val="24"/>
                <w:szCs w:val="24"/>
                <w:highlight w:val="none"/>
              </w:rPr>
            </w:pPr>
          </w:p>
        </w:tc>
        <w:tc>
          <w:tcPr>
            <w:tcW w:w="2073" w:type="dxa"/>
          </w:tcPr>
          <w:p>
            <w:pPr>
              <w:tabs>
                <w:tab w:val="left" w:pos="720"/>
              </w:tabs>
              <w:snapToGrid w:val="0"/>
              <w:spacing w:line="360" w:lineRule="auto"/>
              <w:rPr>
                <w:rFonts w:ascii="宋体" w:hAnsi="宋体" w:cs="宋体"/>
                <w:color w:val="auto"/>
                <w:sz w:val="24"/>
                <w:szCs w:val="24"/>
                <w:highlight w:val="none"/>
              </w:rPr>
            </w:pPr>
          </w:p>
        </w:tc>
        <w:tc>
          <w:tcPr>
            <w:tcW w:w="1214" w:type="dxa"/>
          </w:tcPr>
          <w:p>
            <w:pPr>
              <w:tabs>
                <w:tab w:val="left" w:pos="720"/>
              </w:tabs>
              <w:snapToGrid w:val="0"/>
              <w:spacing w:line="360" w:lineRule="auto"/>
              <w:rPr>
                <w:rFonts w:ascii="宋体" w:hAnsi="宋体" w:cs="宋体"/>
                <w:color w:val="auto"/>
                <w:sz w:val="24"/>
                <w:szCs w:val="24"/>
                <w:highlight w:val="none"/>
              </w:rPr>
            </w:pPr>
          </w:p>
        </w:tc>
        <w:tc>
          <w:tcPr>
            <w:tcW w:w="2413" w:type="dxa"/>
          </w:tcPr>
          <w:p>
            <w:pPr>
              <w:tabs>
                <w:tab w:val="left" w:pos="720"/>
              </w:tabs>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tabs>
                <w:tab w:val="left" w:pos="720"/>
              </w:tabs>
              <w:snapToGrid w:val="0"/>
              <w:spacing w:line="360" w:lineRule="auto"/>
              <w:rPr>
                <w:rFonts w:ascii="宋体" w:hAnsi="宋体" w:cs="宋体"/>
                <w:color w:val="auto"/>
                <w:sz w:val="24"/>
                <w:szCs w:val="24"/>
                <w:highlight w:val="none"/>
              </w:rPr>
            </w:pPr>
          </w:p>
        </w:tc>
        <w:tc>
          <w:tcPr>
            <w:tcW w:w="1214" w:type="dxa"/>
          </w:tcPr>
          <w:p>
            <w:pPr>
              <w:tabs>
                <w:tab w:val="left" w:pos="720"/>
              </w:tabs>
              <w:snapToGrid w:val="0"/>
              <w:spacing w:line="360" w:lineRule="auto"/>
              <w:rPr>
                <w:rFonts w:ascii="宋体" w:hAnsi="宋体" w:cs="宋体"/>
                <w:color w:val="auto"/>
                <w:sz w:val="24"/>
                <w:szCs w:val="24"/>
                <w:highlight w:val="none"/>
              </w:rPr>
            </w:pPr>
          </w:p>
        </w:tc>
        <w:tc>
          <w:tcPr>
            <w:tcW w:w="1227" w:type="dxa"/>
          </w:tcPr>
          <w:p>
            <w:pPr>
              <w:tabs>
                <w:tab w:val="left" w:pos="720"/>
              </w:tabs>
              <w:snapToGrid w:val="0"/>
              <w:spacing w:line="360" w:lineRule="auto"/>
              <w:rPr>
                <w:rFonts w:ascii="宋体" w:hAnsi="宋体" w:cs="宋体"/>
                <w:color w:val="auto"/>
                <w:sz w:val="24"/>
                <w:szCs w:val="24"/>
                <w:highlight w:val="none"/>
              </w:rPr>
            </w:pPr>
          </w:p>
        </w:tc>
        <w:tc>
          <w:tcPr>
            <w:tcW w:w="2073" w:type="dxa"/>
          </w:tcPr>
          <w:p>
            <w:pPr>
              <w:tabs>
                <w:tab w:val="left" w:pos="720"/>
              </w:tabs>
              <w:snapToGrid w:val="0"/>
              <w:spacing w:line="360" w:lineRule="auto"/>
              <w:rPr>
                <w:rFonts w:ascii="宋体" w:hAnsi="宋体" w:cs="宋体"/>
                <w:color w:val="auto"/>
                <w:sz w:val="24"/>
                <w:szCs w:val="24"/>
                <w:highlight w:val="none"/>
              </w:rPr>
            </w:pPr>
          </w:p>
        </w:tc>
        <w:tc>
          <w:tcPr>
            <w:tcW w:w="1214" w:type="dxa"/>
          </w:tcPr>
          <w:p>
            <w:pPr>
              <w:tabs>
                <w:tab w:val="left" w:pos="720"/>
              </w:tabs>
              <w:snapToGrid w:val="0"/>
              <w:spacing w:line="360" w:lineRule="auto"/>
              <w:rPr>
                <w:rFonts w:ascii="宋体" w:hAnsi="宋体" w:cs="宋体"/>
                <w:color w:val="auto"/>
                <w:sz w:val="24"/>
                <w:szCs w:val="24"/>
                <w:highlight w:val="none"/>
              </w:rPr>
            </w:pPr>
          </w:p>
        </w:tc>
        <w:tc>
          <w:tcPr>
            <w:tcW w:w="2413" w:type="dxa"/>
          </w:tcPr>
          <w:p>
            <w:pPr>
              <w:tabs>
                <w:tab w:val="left" w:pos="720"/>
              </w:tabs>
              <w:snapToGrid w:val="0"/>
              <w:spacing w:line="360" w:lineRule="auto"/>
              <w:rPr>
                <w:rFonts w:ascii="宋体" w:hAnsi="宋体" w:cs="宋体"/>
                <w:color w:val="auto"/>
                <w:sz w:val="24"/>
                <w:szCs w:val="24"/>
                <w:highlight w:val="none"/>
              </w:rPr>
            </w:pPr>
          </w:p>
        </w:tc>
      </w:tr>
    </w:tbl>
    <w:p>
      <w:pPr>
        <w:tabs>
          <w:tab w:val="left" w:pos="720"/>
        </w:tabs>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按照《技术标详细审查评分表》的要求后附相关的证明材料。</w:t>
      </w:r>
    </w:p>
    <w:p>
      <w:pPr>
        <w:tabs>
          <w:tab w:val="left" w:pos="720"/>
        </w:tabs>
        <w:snapToGrid w:val="0"/>
        <w:spacing w:line="360" w:lineRule="auto"/>
        <w:rPr>
          <w:rFonts w:ascii="宋体" w:hAnsi="宋体" w:cs="宋体"/>
          <w:color w:val="auto"/>
          <w:szCs w:val="20"/>
          <w:highlight w:val="none"/>
        </w:rPr>
      </w:pPr>
    </w:p>
    <w:p>
      <w:pPr>
        <w:tabs>
          <w:tab w:val="left" w:pos="72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投标人名称：（盖章）</w:t>
      </w:r>
    </w:p>
    <w:p>
      <w:pPr>
        <w:tabs>
          <w:tab w:val="left" w:pos="72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投标人授权代表：（签字或盖章）</w:t>
      </w:r>
    </w:p>
    <w:p>
      <w:pPr>
        <w:rPr>
          <w:rFonts w:ascii="宋体" w:hAnsi="宋体" w:cs="宋体"/>
          <w:b/>
          <w:color w:val="auto"/>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rPr>
          <w:rFonts w:ascii="宋体" w:hAnsi="宋体" w:cs="宋体"/>
          <w:b/>
          <w:color w:val="auto"/>
          <w:sz w:val="24"/>
          <w:szCs w:val="24"/>
          <w:highlight w:val="none"/>
        </w:rPr>
      </w:pPr>
      <w:r>
        <w:rPr>
          <w:rFonts w:hint="eastAsia" w:ascii="宋体" w:hAnsi="宋体" w:cs="宋体"/>
          <w:color w:val="auto"/>
          <w:sz w:val="24"/>
          <w:highlight w:val="none"/>
        </w:rPr>
        <w:t>★</w:t>
      </w:r>
      <w:r>
        <w:rPr>
          <w:rFonts w:hint="eastAsia" w:ascii="宋体" w:hAnsi="宋体" w:cs="宋体"/>
          <w:b/>
          <w:bCs w:val="0"/>
          <w:color w:val="auto"/>
          <w:sz w:val="24"/>
          <w:szCs w:val="24"/>
          <w:highlight w:val="none"/>
        </w:rPr>
        <w:t>技术部分格式</w:t>
      </w:r>
      <w:r>
        <w:rPr>
          <w:rFonts w:hint="eastAsia" w:ascii="宋体" w:hAnsi="宋体" w:cs="宋体"/>
          <w:b/>
          <w:bCs w:val="0"/>
          <w:color w:val="auto"/>
          <w:sz w:val="24"/>
          <w:szCs w:val="24"/>
          <w:highlight w:val="none"/>
          <w:lang w:val="en-US" w:eastAsia="zh-CN"/>
        </w:rPr>
        <w:t>11</w:t>
      </w:r>
      <w:r>
        <w:rPr>
          <w:rFonts w:hint="eastAsia" w:ascii="宋体" w:hAnsi="宋体" w:cs="宋体"/>
          <w:b/>
          <w:bCs/>
          <w:color w:val="auto"/>
          <w:sz w:val="24"/>
          <w:szCs w:val="24"/>
          <w:highlight w:val="none"/>
        </w:rPr>
        <w:t>：</w:t>
      </w:r>
    </w:p>
    <w:p>
      <w:pPr>
        <w:pStyle w:val="121"/>
        <w:spacing w:before="100" w:beforeAutospacing="1" w:after="100" w:afterAutospacing="1"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危险性较大的分部分项工程清单及</w:t>
      </w:r>
    </w:p>
    <w:p>
      <w:pPr>
        <w:pStyle w:val="121"/>
        <w:spacing w:before="100" w:beforeAutospacing="1" w:after="100" w:afterAutospacing="1" w:line="24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超过一定规模的危险性较大的分部分项工程清单</w:t>
      </w:r>
    </w:p>
    <w:p>
      <w:pPr>
        <w:widowControl/>
        <w:numPr>
          <w:ilvl w:val="0"/>
          <w:numId w:val="6"/>
        </w:numPr>
        <w:autoSpaceDE w:val="0"/>
        <w:autoSpaceDN w:val="0"/>
        <w:adjustRightInd w:val="0"/>
        <w:spacing w:line="360" w:lineRule="auto"/>
        <w:jc w:val="left"/>
        <w:rPr>
          <w:rFonts w:ascii="宋体" w:hAnsi="宋体" w:cs="宋体"/>
          <w:snapToGrid w:val="0"/>
          <w:color w:val="auto"/>
          <w:spacing w:val="4"/>
          <w:kern w:val="0"/>
          <w:sz w:val="24"/>
          <w:szCs w:val="24"/>
          <w:highlight w:val="none"/>
        </w:rPr>
      </w:pPr>
      <w:r>
        <w:rPr>
          <w:rFonts w:hint="eastAsia" w:ascii="宋体" w:hAnsi="宋体" w:cs="宋体"/>
          <w:color w:val="auto"/>
          <w:kern w:val="0"/>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widowControl/>
        <w:numPr>
          <w:ilvl w:val="0"/>
          <w:numId w:val="6"/>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cs="宋体"/>
          <w:color w:val="auto"/>
          <w:kern w:val="0"/>
          <w:sz w:val="24"/>
          <w:szCs w:val="36"/>
          <w:highlight w:val="none"/>
        </w:rPr>
        <w:t>√”标识。</w:t>
      </w:r>
    </w:p>
    <w:p>
      <w:pPr>
        <w:widowControl/>
        <w:numPr>
          <w:ilvl w:val="0"/>
          <w:numId w:val="7"/>
        </w:numPr>
        <w:autoSpaceDE w:val="0"/>
        <w:autoSpaceDN w:val="0"/>
        <w:adjustRightInd w:val="0"/>
        <w:spacing w:line="360" w:lineRule="auto"/>
        <w:jc w:val="left"/>
        <w:rPr>
          <w:rFonts w:ascii="宋体" w:hAnsi="宋体" w:cs="宋体"/>
          <w:color w:val="auto"/>
          <w:kern w:val="0"/>
          <w:sz w:val="24"/>
          <w:szCs w:val="36"/>
          <w:highlight w:val="none"/>
        </w:rPr>
      </w:pPr>
      <w:r>
        <w:rPr>
          <w:rFonts w:hint="eastAsia" w:ascii="宋体" w:hAnsi="宋体" w:cs="宋体"/>
          <w:color w:val="auto"/>
          <w:kern w:val="0"/>
          <w:sz w:val="24"/>
          <w:szCs w:val="28"/>
          <w:highlight w:val="none"/>
        </w:rPr>
        <w:t>投标人同意招标人在清单中标识的该项请在对应项打“</w:t>
      </w:r>
      <w:r>
        <w:rPr>
          <w:rFonts w:hint="eastAsia" w:ascii="宋体" w:hAnsi="宋体" w:cs="宋体"/>
          <w:color w:val="auto"/>
          <w:kern w:val="0"/>
          <w:sz w:val="24"/>
          <w:szCs w:val="36"/>
          <w:highlight w:val="none"/>
        </w:rPr>
        <w:t>√”标识，并在投标文件中提供相应的安全管理措施。</w:t>
      </w:r>
    </w:p>
    <w:p>
      <w:pPr>
        <w:widowControl/>
        <w:numPr>
          <w:ilvl w:val="0"/>
          <w:numId w:val="7"/>
        </w:numPr>
        <w:autoSpaceDE w:val="0"/>
        <w:autoSpaceDN w:val="0"/>
        <w:adjustRightInd w:val="0"/>
        <w:spacing w:line="360" w:lineRule="auto"/>
        <w:jc w:val="left"/>
        <w:rPr>
          <w:rFonts w:ascii="宋体" w:hAnsi="宋体" w:cs="宋体"/>
          <w:color w:val="auto"/>
          <w:kern w:val="0"/>
          <w:sz w:val="24"/>
          <w:szCs w:val="36"/>
          <w:highlight w:val="none"/>
        </w:rPr>
      </w:pPr>
      <w:r>
        <w:rPr>
          <w:rFonts w:hint="eastAsia" w:ascii="宋体" w:hAnsi="宋体" w:cs="宋体"/>
          <w:color w:val="auto"/>
          <w:kern w:val="0"/>
          <w:sz w:val="24"/>
          <w:szCs w:val="28"/>
          <w:highlight w:val="none"/>
        </w:rPr>
        <w:t>投标人对清单中认为需要补充的该项请在对应项打“</w:t>
      </w:r>
      <w:r>
        <w:rPr>
          <w:rFonts w:hint="eastAsia" w:ascii="宋体" w:hAnsi="宋体" w:cs="宋体"/>
          <w:color w:val="auto"/>
          <w:kern w:val="0"/>
          <w:sz w:val="24"/>
          <w:szCs w:val="36"/>
          <w:highlight w:val="none"/>
        </w:rPr>
        <w:t>√”标识，并在投标文件中提供相应的安全管理措施。</w:t>
      </w:r>
    </w:p>
    <w:p>
      <w:pPr>
        <w:widowControl/>
        <w:numPr>
          <w:ilvl w:val="0"/>
          <w:numId w:val="7"/>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36"/>
          <w:highlight w:val="none"/>
        </w:rPr>
        <w:t>投标人不同意招标人</w:t>
      </w:r>
      <w:r>
        <w:rPr>
          <w:rFonts w:hint="eastAsia" w:ascii="宋体" w:hAnsi="宋体" w:cs="宋体"/>
          <w:color w:val="auto"/>
          <w:kern w:val="0"/>
          <w:sz w:val="24"/>
          <w:szCs w:val="28"/>
          <w:highlight w:val="none"/>
        </w:rPr>
        <w:t>在清单中标识的该项</w:t>
      </w:r>
      <w:r>
        <w:rPr>
          <w:rFonts w:hint="eastAsia" w:ascii="宋体" w:hAnsi="宋体" w:cs="宋体"/>
          <w:color w:val="auto"/>
          <w:kern w:val="0"/>
          <w:sz w:val="24"/>
          <w:szCs w:val="36"/>
          <w:highlight w:val="none"/>
        </w:rPr>
        <w:t>请在对应项打“×”标识，并在备注栏填上相关说明。</w:t>
      </w:r>
    </w:p>
    <w:p>
      <w:pPr>
        <w:widowControl/>
        <w:numPr>
          <w:ilvl w:val="0"/>
          <w:numId w:val="6"/>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投标人应当在投标时根据招标人提供的下述第5点清单，在投标文件中编制专项施工方案。</w:t>
      </w:r>
    </w:p>
    <w:p>
      <w:pPr>
        <w:widowControl/>
        <w:numPr>
          <w:ilvl w:val="0"/>
          <w:numId w:val="6"/>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widowControl/>
        <w:numPr>
          <w:ilvl w:val="0"/>
          <w:numId w:val="6"/>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危险性较大的分部分项工程清单及超过一定规模的危险性较大的分部分项工程清单：</w:t>
      </w:r>
    </w:p>
    <w:p>
      <w:pPr>
        <w:widowControl/>
        <w:autoSpaceDE w:val="0"/>
        <w:autoSpaceDN w:val="0"/>
        <w:adjustRightInd w:val="0"/>
        <w:spacing w:line="360" w:lineRule="auto"/>
        <w:jc w:val="left"/>
        <w:rPr>
          <w:rFonts w:ascii="宋体" w:hAnsi="宋体" w:cs="宋体"/>
          <w:color w:val="auto"/>
          <w:kern w:val="0"/>
          <w:sz w:val="24"/>
          <w:szCs w:val="28"/>
          <w:highlight w:val="none"/>
        </w:rPr>
        <w:sectPr>
          <w:pgSz w:w="11907" w:h="16840"/>
          <w:pgMar w:top="1440" w:right="1797" w:bottom="1440" w:left="1797" w:header="720" w:footer="720" w:gutter="0"/>
          <w:cols w:space="720" w:num="1"/>
        </w:sect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53"/>
        <w:gridCol w:w="135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vAlign w:val="center"/>
          </w:tcPr>
          <w:p>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第一部分、危险性较大的分部分项工程清单</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招标人</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投标人</w:t>
            </w:r>
          </w:p>
        </w:tc>
        <w:tc>
          <w:tcPr>
            <w:tcW w:w="105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一、基坑工程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（一）开挖深度超过3m（含3m）的基坑（槽）的土方开挖、支护、降水工程。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spacing w:line="36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（二）开挖深度虽未超过3m，但地质条件、周围环境和地下管线复杂，或影响毗邻建、构筑物安全的基坑（槽）的土方开挖、支护、降水工程。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二、模板工程及支撑体系</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（一）各类工具式模板工程：包括滑模、爬模、飞模、隧道模等工程。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（三）承重支撑体系：用于钢结构安装等满堂支撑体系。</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三、起重吊装及起重机械安装拆卸工程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（一）采用非常规起重设备、方法，且单件起吊重量在10kN及以上的起重吊装工程。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（二）采用起重机械进行安装的工程。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（三）起重机械安装和拆卸工程。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四、脚手架工程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（一）搭设高度24m及以上的落地式钢管脚手架工程（包括采光井、电梯井脚手架）。</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（二）附着式升降脚手架工程。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（三）悬挑式脚手架工程。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（四）高处作业吊篮。</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（五）卸料平台、操作平台工程。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（六）异型脚手架工程。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五、拆除工程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可能影响行人、交通、电力设施、通讯设施或其它建、构筑物安全的拆除工程。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六、暗挖工程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采用矿山法、盾构法、顶管法施工的隧道、洞室工程。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七、其它</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（一）建筑幕墙安装工程。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（二）钢结构、网架和索膜结构安装工程。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（三）人工挖孔桩工程。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（四）水下作业工程。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（五）装配式建筑混凝土预制构件安装工程。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（六）采用新技术、新工艺、新材料、新设备可能影响工程施工安全，尚无国家、行业及地方技术标准的分部分项工程。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第二部分、超过一定规模的危险性较大的分部分项工程清单</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招标人</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投标人</w:t>
            </w:r>
          </w:p>
        </w:tc>
        <w:tc>
          <w:tcPr>
            <w:tcW w:w="105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一、深基坑工程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开挖深度超过5m（含5m）的基坑（槽）的土方开挖、支护、降水工程。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二、模板工程及支撑体系</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（一）各类工具式模板工程：包括滑模、爬模、飞模、隧道模等工程。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（二）混凝土模板支撑工程：搭设高度8m及以上，或搭设跨度18m及以上，或施工总荷载（设计值）15kN/m2及以上，或集中线荷载（设计值）20kN/m及以上。</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（三）承重支撑体系：用于钢结构安装等满堂支撑体系，承受单点集中荷载7kN及以上。</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三、起重吊装及起重机械安装拆卸工程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（一）采用非常规起重设备、方法，且单件起吊重量在100kN及以上的起重吊装工程。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（二）起重量300kN及以上，或搭设总高度200m及以上，或搭设基础标高在200m及以上的起重机械安装和拆卸工程。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四、脚手架工程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（一）搭设高度50m及以上的落地式钢管脚手架工程。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（二）提升高度在150m及以上的附着式升降脚手架工程或附着式升降操作平台工程。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（三）分段架体搭设高度20m及以上的悬挑式脚手架工程。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五、拆除工程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（一）码头、桥梁、高架、烟囱、水塔或拆除中容易引起有毒有害气（液）体或粉尘扩散、易燃易爆事故发生的特殊建、构筑物的拆除工程。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（二）文物保护建筑、优秀历史建筑或历史文化风貌区影响范围内的拆除工程。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六、暗挖工程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采用矿山法、盾构法、顶管法施工的隧道、洞室工程。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七、其它</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（一）施工高度50m及以上的建筑幕墙安装工程。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（二）跨度36m及以上的钢结构安装工程，或跨度60m及以上的网架和索膜结构安装工程。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（三）开挖深度16m及以上的人工挖孔桩工程。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（四）水下作业工程。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（五）重量1000kN及以上的大型结构整体顶升、平移、转体等施工工艺。</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（六）采用新技术、新工艺、新材料、新设备可能影响工程施工安全，尚无国家、行业及地方技术标准的分部分项工程。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bl>
    <w:p>
      <w:pPr>
        <w:rPr>
          <w:rFonts w:ascii="宋体" w:hAnsi="宋体" w:cs="宋体"/>
          <w:color w:val="auto"/>
          <w:highlight w:val="none"/>
        </w:rPr>
      </w:pPr>
    </w:p>
    <w:p>
      <w:pPr>
        <w:widowControl/>
        <w:topLinePunct/>
        <w:adjustRightInd w:val="0"/>
        <w:snapToGrid w:val="0"/>
        <w:spacing w:line="360" w:lineRule="auto"/>
        <w:ind w:firstLine="496" w:firstLineChars="200"/>
        <w:jc w:val="left"/>
        <w:rPr>
          <w:rFonts w:ascii="宋体" w:hAnsi="宋体" w:cs="宋体"/>
          <w:color w:val="auto"/>
          <w:spacing w:val="4"/>
          <w:kern w:val="0"/>
          <w:sz w:val="24"/>
          <w:szCs w:val="24"/>
          <w:highlight w:val="none"/>
        </w:rPr>
      </w:pPr>
    </w:p>
    <w:p>
      <w:pPr>
        <w:pStyle w:val="78"/>
        <w:ind w:right="2480" w:firstLine="3543" w:firstLineChars="1429"/>
        <w:jc w:val="left"/>
        <w:rPr>
          <w:rFonts w:ascii="宋体" w:hAnsi="宋体" w:cs="宋体"/>
          <w:color w:val="auto"/>
          <w:szCs w:val="20"/>
          <w:highlight w:val="none"/>
        </w:rPr>
      </w:pPr>
      <w:r>
        <w:rPr>
          <w:rFonts w:hint="eastAsia" w:ascii="宋体" w:hAnsi="宋体" w:cs="宋体"/>
          <w:color w:val="auto"/>
          <w:szCs w:val="20"/>
          <w:highlight w:val="none"/>
        </w:rPr>
        <w:t>投标人：　　（盖章）</w:t>
      </w:r>
    </w:p>
    <w:p>
      <w:pPr>
        <w:pStyle w:val="78"/>
        <w:ind w:right="248" w:firstLine="3543" w:firstLineChars="1429"/>
        <w:jc w:val="left"/>
        <w:rPr>
          <w:rFonts w:ascii="宋体" w:hAnsi="宋体" w:cs="宋体"/>
          <w:color w:val="auto"/>
          <w:szCs w:val="20"/>
          <w:highlight w:val="none"/>
        </w:rPr>
      </w:pPr>
      <w:r>
        <w:rPr>
          <w:rFonts w:hint="eastAsia" w:ascii="宋体" w:hAnsi="宋体" w:cs="宋体"/>
          <w:color w:val="auto"/>
          <w:szCs w:val="20"/>
          <w:highlight w:val="none"/>
        </w:rPr>
        <w:t>法定代表人或授权代理人(签字或盖章)：</w:t>
      </w:r>
    </w:p>
    <w:p>
      <w:pPr>
        <w:pStyle w:val="78"/>
        <w:ind w:right="992" w:firstLine="3543" w:firstLineChars="1429"/>
        <w:rPr>
          <w:rFonts w:ascii="宋体" w:hAnsi="宋体" w:cs="宋体"/>
          <w:color w:val="auto"/>
          <w:szCs w:val="20"/>
          <w:highlight w:val="none"/>
        </w:rPr>
      </w:pPr>
      <w:r>
        <w:rPr>
          <w:rFonts w:hint="eastAsia" w:ascii="宋体" w:hAnsi="宋体" w:cs="宋体"/>
          <w:color w:val="auto"/>
          <w:szCs w:val="20"/>
          <w:highlight w:val="none"/>
        </w:rPr>
        <w:t>日期：　　　年　　月　　日</w:t>
      </w:r>
    </w:p>
    <w:p>
      <w:pPr>
        <w:pStyle w:val="78"/>
        <w:ind w:right="992" w:firstLine="3543" w:firstLineChars="1429"/>
        <w:rPr>
          <w:rFonts w:ascii="宋体" w:hAnsi="宋体" w:cs="宋体"/>
          <w:color w:val="auto"/>
          <w:szCs w:val="20"/>
          <w:highlight w:val="none"/>
        </w:rPr>
      </w:pPr>
    </w:p>
    <w:p>
      <w:pPr>
        <w:pStyle w:val="78"/>
        <w:ind w:right="992" w:firstLine="3543" w:firstLineChars="1429"/>
        <w:rPr>
          <w:rFonts w:ascii="宋体" w:hAnsi="宋体" w:cs="宋体"/>
          <w:color w:val="auto"/>
          <w:szCs w:val="20"/>
          <w:highlight w:val="none"/>
        </w:rPr>
      </w:pPr>
    </w:p>
    <w:p>
      <w:pPr>
        <w:pStyle w:val="78"/>
        <w:ind w:right="992" w:firstLine="3543" w:firstLineChars="1429"/>
        <w:rPr>
          <w:rFonts w:ascii="宋体" w:hAnsi="宋体" w:cs="宋体"/>
          <w:color w:val="auto"/>
          <w:szCs w:val="20"/>
          <w:highlight w:val="none"/>
        </w:rPr>
      </w:pPr>
    </w:p>
    <w:p>
      <w:pPr>
        <w:pStyle w:val="78"/>
        <w:ind w:right="992" w:firstLine="3543" w:firstLineChars="1429"/>
        <w:rPr>
          <w:rFonts w:ascii="宋体" w:hAnsi="宋体" w:cs="宋体"/>
          <w:color w:val="auto"/>
          <w:szCs w:val="20"/>
          <w:highlight w:val="none"/>
        </w:rPr>
      </w:pPr>
    </w:p>
    <w:p>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pPr>
        <w:pStyle w:val="78"/>
        <w:ind w:firstLine="899"/>
        <w:rPr>
          <w:rFonts w:ascii="宋体" w:hAnsi="宋体" w:cs="宋体"/>
          <w:b/>
          <w:bCs/>
          <w:color w:val="auto"/>
          <w:sz w:val="44"/>
          <w:szCs w:val="44"/>
          <w:highlight w:val="none"/>
        </w:rPr>
      </w:pPr>
    </w:p>
    <w:p>
      <w:pPr>
        <w:pStyle w:val="78"/>
        <w:ind w:firstLine="899"/>
        <w:rPr>
          <w:rFonts w:ascii="宋体" w:hAnsi="宋体" w:cs="宋体"/>
          <w:b/>
          <w:bCs/>
          <w:color w:val="auto"/>
          <w:sz w:val="44"/>
          <w:szCs w:val="44"/>
          <w:highlight w:val="none"/>
        </w:rPr>
      </w:pPr>
    </w:p>
    <w:p>
      <w:pPr>
        <w:rPr>
          <w:rFonts w:ascii="宋体" w:hAnsi="宋体" w:cs="宋体"/>
          <w:b/>
          <w:color w:val="auto"/>
          <w:sz w:val="24"/>
          <w:szCs w:val="24"/>
          <w:highlight w:val="none"/>
        </w:rPr>
      </w:pPr>
      <w:r>
        <w:rPr>
          <w:rFonts w:hint="eastAsia" w:ascii="宋体" w:hAnsi="宋体" w:cs="宋体"/>
          <w:b/>
          <w:bCs/>
          <w:color w:val="auto"/>
          <w:sz w:val="44"/>
          <w:szCs w:val="44"/>
          <w:highlight w:val="none"/>
        </w:rPr>
        <w:t>第二部分  投标文件经济标部分（部分格式）</w:t>
      </w:r>
      <w:r>
        <w:rPr>
          <w:rFonts w:hint="eastAsia" w:ascii="宋体" w:hAnsi="宋体" w:cs="宋体"/>
          <w:b/>
          <w:color w:val="auto"/>
          <w:highlight w:val="none"/>
        </w:rPr>
        <w:br w:type="page"/>
      </w:r>
      <w:r>
        <w:rPr>
          <w:rFonts w:hint="eastAsia" w:ascii="宋体" w:hAnsi="宋体" w:cs="宋体"/>
          <w:b/>
          <w:color w:val="auto"/>
          <w:sz w:val="24"/>
          <w:szCs w:val="24"/>
          <w:highlight w:val="none"/>
        </w:rPr>
        <w:t>经济部分格式1：经济标封面</w:t>
      </w: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133"/>
        <w:rPr>
          <w:rFonts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134"/>
        <w:rPr>
          <w:rFonts w:ascii="宋体" w:hAnsi="宋体" w:eastAsia="宋体" w:cs="宋体"/>
          <w:b w:val="0"/>
          <w:color w:val="auto"/>
          <w:highlight w:val="none"/>
        </w:rPr>
      </w:pPr>
      <w:r>
        <w:rPr>
          <w:rFonts w:hint="eastAsia" w:ascii="宋体" w:hAnsi="宋体" w:eastAsia="宋体" w:cs="宋体"/>
          <w:b w:val="0"/>
          <w:color w:val="auto"/>
          <w:highlight w:val="none"/>
        </w:rPr>
        <w:t>投标文件</w:t>
      </w:r>
    </w:p>
    <w:p>
      <w:pPr>
        <w:pStyle w:val="133"/>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第二册 经济标</w:t>
      </w:r>
      <w:r>
        <w:rPr>
          <w:rFonts w:hint="eastAsia" w:ascii="宋体" w:hAnsi="宋体" w:eastAsia="宋体" w:cs="宋体"/>
          <w:b w:val="0"/>
          <w:color w:val="auto"/>
          <w:highlight w:val="none"/>
          <w:lang w:val="en-US" w:eastAsia="zh-CN"/>
        </w:rPr>
        <w:t>书</w:t>
      </w:r>
    </w:p>
    <w:p>
      <w:pPr>
        <w:pStyle w:val="78"/>
        <w:ind w:firstLine="496"/>
        <w:rPr>
          <w:rFonts w:ascii="宋体" w:hAnsi="宋体" w:cs="宋体"/>
          <w:color w:val="auto"/>
          <w:highlight w:val="none"/>
        </w:rPr>
      </w:pPr>
      <w:r>
        <w:rPr>
          <w:rFonts w:hint="eastAsia" w:ascii="宋体" w:hAnsi="宋体" w:cs="宋体"/>
          <w:color w:val="auto"/>
          <w:highlight w:val="none"/>
        </w:rPr>
        <w:t xml:space="preserve">   </w:t>
      </w: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135"/>
        <w:ind w:firstLine="616"/>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（填写投标人单位名称）       （盖章）</w:t>
      </w:r>
    </w:p>
    <w:p>
      <w:pPr>
        <w:pStyle w:val="135"/>
        <w:ind w:firstLine="616"/>
        <w:rPr>
          <w:rFonts w:ascii="宋体" w:hAnsi="宋体" w:cs="宋体"/>
          <w:color w:val="auto"/>
          <w:highlight w:val="none"/>
        </w:rPr>
      </w:pPr>
    </w:p>
    <w:p>
      <w:pPr>
        <w:pStyle w:val="135"/>
        <w:ind w:firstLine="616"/>
        <w:rPr>
          <w:rFonts w:ascii="宋体" w:hAnsi="宋体" w:cs="宋体"/>
          <w:color w:val="auto"/>
          <w:highlight w:val="none"/>
        </w:rPr>
      </w:pPr>
      <w:r>
        <w:rPr>
          <w:rFonts w:hint="eastAsia" w:ascii="宋体" w:hAnsi="宋体" w:cs="宋体"/>
          <w:color w:val="auto"/>
          <w:highlight w:val="none"/>
        </w:rPr>
        <w:t>法定代表人或</w:t>
      </w:r>
    </w:p>
    <w:p>
      <w:pPr>
        <w:pStyle w:val="135"/>
        <w:ind w:firstLine="616"/>
        <w:rPr>
          <w:rFonts w:ascii="宋体" w:hAnsi="宋体" w:cs="宋体"/>
          <w:color w:val="auto"/>
          <w:highlight w:val="none"/>
        </w:rPr>
      </w:pPr>
      <w:r>
        <w:rPr>
          <w:rFonts w:hint="eastAsia" w:ascii="宋体" w:hAnsi="宋体" w:cs="宋体"/>
          <w:color w:val="auto"/>
          <w:highlight w:val="none"/>
        </w:rPr>
        <w:t>其委托代理人：</w:t>
      </w:r>
      <w:r>
        <w:rPr>
          <w:rFonts w:hint="eastAsia" w:ascii="宋体" w:hAnsi="宋体" w:cs="宋体"/>
          <w:color w:val="auto"/>
          <w:highlight w:val="none"/>
          <w:u w:val="single"/>
        </w:rPr>
        <w:t xml:space="preserve">                        （签字或盖章）</w:t>
      </w:r>
    </w:p>
    <w:p>
      <w:pPr>
        <w:pStyle w:val="135"/>
        <w:ind w:firstLine="616"/>
        <w:rPr>
          <w:rFonts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一、广州建设工程施工招标投标书</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二、工程量清单计价表</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三、参与编制经济标投标文件人员名单</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四、对投标文件编制的承诺</w:t>
      </w:r>
    </w:p>
    <w:p>
      <w:pPr>
        <w:pStyle w:val="22"/>
        <w:rPr>
          <w:rFonts w:hint="eastAsia" w:eastAsia="宋体"/>
          <w:color w:val="auto"/>
          <w:highlight w:val="none"/>
          <w:lang w:eastAsia="zh-CN"/>
        </w:rPr>
      </w:pPr>
      <w:r>
        <w:rPr>
          <w:rFonts w:hint="eastAsia" w:hAnsi="宋体" w:cs="宋体"/>
          <w:color w:val="auto"/>
          <w:sz w:val="24"/>
          <w:szCs w:val="24"/>
          <w:highlight w:val="none"/>
          <w:lang w:eastAsia="zh-CN"/>
        </w:rPr>
        <w:t>五、</w:t>
      </w:r>
      <w:r>
        <w:rPr>
          <w:rFonts w:hint="eastAsia" w:ascii="宋体" w:hAnsi="宋体" w:eastAsia="宋体" w:cs="宋体"/>
          <w:color w:val="auto"/>
          <w:kern w:val="2"/>
          <w:sz w:val="24"/>
          <w:szCs w:val="24"/>
          <w:highlight w:val="none"/>
          <w:lang w:val="en-US" w:eastAsia="zh-CN" w:bidi="ar-SA"/>
        </w:rPr>
        <w:t>其他投标人认为须提交的资料</w:t>
      </w:r>
    </w:p>
    <w:p>
      <w:pPr>
        <w:rPr>
          <w:rFonts w:hint="eastAsia"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autoSpaceDE w:val="0"/>
        <w:autoSpaceDN w:val="0"/>
        <w:adjustRightInd w:val="0"/>
        <w:ind w:left="-540" w:leftChars="-257" w:firstLine="616" w:firstLineChars="257"/>
        <w:jc w:val="left"/>
        <w:rPr>
          <w:rFonts w:ascii="宋体" w:hAnsi="宋体" w:cs="宋体"/>
          <w:b/>
          <w:bCs/>
          <w:color w:val="auto"/>
          <w:sz w:val="24"/>
          <w:szCs w:val="24"/>
          <w:highlight w:val="none"/>
          <w:lang w:val="zh-CN"/>
        </w:rPr>
      </w:pPr>
      <w:r>
        <w:rPr>
          <w:rFonts w:hint="eastAsia" w:ascii="宋体" w:hAnsi="宋体" w:cs="宋体"/>
          <w:bCs/>
          <w:color w:val="auto"/>
          <w:sz w:val="24"/>
          <w:szCs w:val="24"/>
          <w:highlight w:val="none"/>
        </w:rPr>
        <w:t>★经济部分格式2：广州建设工程施工招标投标书</w:t>
      </w:r>
    </w:p>
    <w:p>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pPr>
        <w:autoSpaceDE w:val="0"/>
        <w:autoSpaceDN w:val="0"/>
        <w:adjustRightInd w:val="0"/>
        <w:ind w:left="-540" w:leftChars="-257" w:firstLine="1135" w:firstLineChars="257"/>
        <w:jc w:val="center"/>
        <w:rPr>
          <w:rFonts w:ascii="宋体" w:hAnsi="宋体" w:cs="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39"/>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1"/>
        <w:gridCol w:w="4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工 程 名 称</w:t>
            </w:r>
          </w:p>
        </w:tc>
        <w:tc>
          <w:tcPr>
            <w:tcW w:w="454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4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4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4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 标 总工 期</w:t>
            </w:r>
          </w:p>
        </w:tc>
        <w:tc>
          <w:tcPr>
            <w:tcW w:w="454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lang w:val="zh-CN"/>
              </w:rPr>
              <w:t>工程质量标准</w:t>
            </w:r>
          </w:p>
        </w:tc>
        <w:tc>
          <w:tcPr>
            <w:tcW w:w="454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保 修 期 限</w:t>
            </w:r>
          </w:p>
        </w:tc>
        <w:tc>
          <w:tcPr>
            <w:tcW w:w="454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bl>
    <w:p>
      <w:pPr>
        <w:rPr>
          <w:rFonts w:ascii="宋体" w:hAnsi="宋体" w:cs="宋体"/>
          <w:color w:val="auto"/>
          <w:highlight w:val="none"/>
        </w:rPr>
      </w:pPr>
    </w:p>
    <w:p>
      <w:pPr>
        <w:pStyle w:val="38"/>
        <w:ind w:left="420" w:firstLine="420"/>
        <w:rPr>
          <w:rFonts w:ascii="宋体" w:hAnsi="宋体" w:cs="宋体"/>
          <w:color w:val="auto"/>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经济部分格式</w:t>
      </w:r>
      <w:r>
        <w:rPr>
          <w:rFonts w:hint="eastAsia" w:ascii="宋体" w:hAnsi="宋体" w:cs="宋体"/>
          <w:b/>
          <w:bCs w:val="0"/>
          <w:color w:val="auto"/>
          <w:sz w:val="24"/>
          <w:szCs w:val="24"/>
          <w:highlight w:val="none"/>
          <w:lang w:val="en-US" w:eastAsia="zh-CN"/>
        </w:rPr>
        <w:t>3</w:t>
      </w:r>
      <w:r>
        <w:rPr>
          <w:rFonts w:hint="eastAsia" w:ascii="宋体" w:hAnsi="宋体" w:cs="宋体"/>
          <w:b/>
          <w:bCs w:val="0"/>
          <w:color w:val="auto"/>
          <w:sz w:val="24"/>
          <w:szCs w:val="24"/>
          <w:highlight w:val="none"/>
        </w:rPr>
        <w:t>：工程量清单计价表</w:t>
      </w:r>
    </w:p>
    <w:p>
      <w:pPr>
        <w:pStyle w:val="121"/>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工程量清单计价表</w:t>
      </w:r>
    </w:p>
    <w:p>
      <w:pPr>
        <w:pStyle w:val="78"/>
        <w:ind w:firstLine="0" w:firstLineChars="0"/>
        <w:jc w:val="center"/>
        <w:rPr>
          <w:rFonts w:ascii="宋体" w:hAnsi="宋体" w:cs="宋体"/>
          <w:b/>
          <w:color w:val="auto"/>
          <w:highlight w:val="none"/>
        </w:rPr>
      </w:pPr>
      <w:r>
        <w:rPr>
          <w:rFonts w:hint="eastAsia" w:ascii="宋体" w:hAnsi="宋体" w:cs="宋体"/>
          <w:b/>
          <w:color w:val="auto"/>
          <w:highlight w:val="none"/>
        </w:rPr>
        <w:t>本部分内容详见招标文件第七章工程量清单。</w:t>
      </w:r>
    </w:p>
    <w:p>
      <w:pPr>
        <w:pStyle w:val="78"/>
        <w:ind w:firstLine="496"/>
        <w:rPr>
          <w:rFonts w:ascii="宋体" w:hAnsi="宋体" w:cs="宋体"/>
          <w:color w:val="auto"/>
          <w:highlight w:val="none"/>
        </w:rPr>
      </w:pPr>
    </w:p>
    <w:p>
      <w:pPr>
        <w:rPr>
          <w:rFonts w:ascii="宋体" w:hAnsi="宋体" w:cs="宋体"/>
          <w:b/>
          <w:color w:val="auto"/>
          <w:sz w:val="24"/>
          <w:szCs w:val="24"/>
          <w:highlight w:val="none"/>
        </w:rPr>
      </w:pPr>
      <w:r>
        <w:rPr>
          <w:rFonts w:hint="eastAsia" w:ascii="宋体" w:hAnsi="宋体" w:cs="宋体"/>
          <w:color w:val="auto"/>
          <w:highlight w:val="none"/>
        </w:rPr>
        <w:br w:type="page"/>
      </w:r>
      <w:r>
        <w:rPr>
          <w:rFonts w:hint="eastAsia" w:ascii="宋体" w:hAnsi="宋体" w:cs="宋体"/>
          <w:b/>
          <w:bCs w:val="0"/>
          <w:color w:val="auto"/>
          <w:sz w:val="24"/>
          <w:szCs w:val="24"/>
          <w:highlight w:val="none"/>
        </w:rPr>
        <w:t>经济部分格式</w:t>
      </w:r>
      <w:r>
        <w:rPr>
          <w:rFonts w:hint="eastAsia" w:ascii="宋体" w:hAnsi="宋体" w:cs="宋体"/>
          <w:b/>
          <w:bCs w:val="0"/>
          <w:color w:val="auto"/>
          <w:sz w:val="24"/>
          <w:szCs w:val="24"/>
          <w:highlight w:val="none"/>
          <w:lang w:val="en-US" w:eastAsia="zh-CN"/>
        </w:rPr>
        <w:t>4</w:t>
      </w:r>
      <w:r>
        <w:rPr>
          <w:rFonts w:hint="eastAsia" w:ascii="宋体" w:hAnsi="宋体" w:cs="宋体"/>
          <w:b/>
          <w:bCs w:val="0"/>
          <w:color w:val="auto"/>
          <w:sz w:val="24"/>
          <w:szCs w:val="24"/>
          <w:highlight w:val="none"/>
        </w:rPr>
        <w:t>：</w:t>
      </w:r>
      <w:r>
        <w:rPr>
          <w:rFonts w:hint="eastAsia" w:ascii="宋体" w:hAnsi="宋体" w:cs="宋体"/>
          <w:b/>
          <w:color w:val="auto"/>
          <w:sz w:val="24"/>
          <w:szCs w:val="24"/>
          <w:highlight w:val="none"/>
        </w:rPr>
        <w:t>参与编制经济标投标文件人员名单</w:t>
      </w:r>
    </w:p>
    <w:p>
      <w:pPr>
        <w:pStyle w:val="121"/>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参与编制经济标投标文件人员名单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464" w:type="dxa"/>
            <w:gridSpan w:val="5"/>
            <w:vAlign w:val="center"/>
          </w:tcPr>
          <w:p>
            <w:pPr>
              <w:tabs>
                <w:tab w:val="left" w:pos="720"/>
              </w:tabs>
              <w:snapToGrid w:val="0"/>
              <w:jc w:val="center"/>
              <w:rPr>
                <w:rFonts w:ascii="宋体" w:hAnsi="宋体" w:cs="宋体"/>
                <w:color w:val="auto"/>
                <w:sz w:val="24"/>
                <w:highlight w:val="none"/>
              </w:rPr>
            </w:pPr>
            <w:r>
              <w:rPr>
                <w:rFonts w:hint="eastAsia" w:ascii="宋体" w:hAnsi="宋体" w:cs="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382"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341"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245"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2304"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bl>
    <w:p>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highlight w:val="none"/>
        </w:rPr>
        <w:t>注：参与编制经济标书所有人员名单应包括如编制各种专业工程量清单投标报价、负责清样校对、负责打印及复印等所有人员在内的人员名单。</w:t>
      </w:r>
      <w:r>
        <w:rPr>
          <w:rFonts w:hint="eastAsia" w:ascii="宋体" w:hAnsi="宋体" w:cs="宋体"/>
          <w:bCs/>
          <w:color w:val="auto"/>
          <w:sz w:val="24"/>
          <w:highlight w:val="none"/>
        </w:rPr>
        <w:t xml:space="preserve"> </w:t>
      </w:r>
    </w:p>
    <w:p>
      <w:pPr>
        <w:pStyle w:val="5"/>
        <w:spacing w:after="0" w:line="360" w:lineRule="auto"/>
        <w:ind w:firstLine="0"/>
        <w:jc w:val="left"/>
        <w:rPr>
          <w:rFonts w:ascii="宋体" w:hAnsi="宋体" w:cs="宋体"/>
          <w:b/>
          <w:color w:val="auto"/>
          <w:sz w:val="24"/>
          <w:szCs w:val="24"/>
          <w:highlight w:val="none"/>
        </w:rPr>
      </w:pPr>
      <w:r>
        <w:rPr>
          <w:rFonts w:hint="eastAsia" w:ascii="宋体" w:hAnsi="宋体" w:cs="宋体"/>
          <w:color w:val="auto"/>
          <w:sz w:val="24"/>
          <w:highlight w:val="none"/>
        </w:rPr>
        <w:br w:type="page"/>
      </w:r>
      <w:r>
        <w:rPr>
          <w:rFonts w:hint="eastAsia" w:ascii="宋体" w:hAnsi="宋体" w:cs="宋体"/>
          <w:b/>
          <w:color w:val="auto"/>
          <w:sz w:val="24"/>
          <w:szCs w:val="24"/>
          <w:highlight w:val="none"/>
        </w:rPr>
        <w:t>★经济部分格式5：对投标文件编制的承诺</w:t>
      </w:r>
    </w:p>
    <w:p>
      <w:pPr>
        <w:pStyle w:val="121"/>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对投标文件编制的承诺</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本公司授权</w:t>
      </w:r>
      <w:r>
        <w:rPr>
          <w:rFonts w:hint="eastAsia" w:ascii="宋体" w:hAnsi="宋体" w:cs="宋体"/>
          <w:color w:val="auto"/>
          <w:sz w:val="24"/>
          <w:highlight w:val="none"/>
          <w:u w:val="single"/>
        </w:rPr>
        <w:t xml:space="preserve">         （身份证号：               ）</w:t>
      </w:r>
      <w:r>
        <w:rPr>
          <w:rFonts w:hint="eastAsia" w:ascii="宋体" w:hAnsi="宋体" w:cs="宋体"/>
          <w:color w:val="auto"/>
          <w:sz w:val="24"/>
          <w:highlight w:val="none"/>
        </w:rPr>
        <w:t>负责对投标文件的编制及内容进行解释、说明，并承诺以下事项：</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2.在本项目开标至评标结束前，努力确保被授权人在项目评标所在地附近；</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3.从评标委员会要求澄清起二小时内，被授权人应如实地书面澄清。</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 </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附件：《投标文件编制情况》</w:t>
      </w:r>
    </w:p>
    <w:p>
      <w:pPr>
        <w:spacing w:line="360" w:lineRule="auto"/>
        <w:ind w:right="90" w:firstLine="3240" w:firstLineChars="135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投标人名称（盖法人公章）：</w:t>
      </w:r>
      <w:r>
        <w:rPr>
          <w:rFonts w:hint="eastAsia" w:ascii="宋体" w:hAnsi="宋体" w:cs="宋体"/>
          <w:color w:val="auto"/>
          <w:sz w:val="24"/>
          <w:szCs w:val="24"/>
          <w:highlight w:val="none"/>
          <w:u w:val="single"/>
        </w:rPr>
        <w:t xml:space="preserve">                  </w:t>
      </w:r>
    </w:p>
    <w:p>
      <w:pPr>
        <w:spacing w:line="360" w:lineRule="auto"/>
        <w:ind w:firstLine="2160" w:firstLineChars="9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法定代表人或被授权人（签字或盖章）：</w:t>
      </w:r>
      <w:r>
        <w:rPr>
          <w:rFonts w:hint="eastAsia" w:ascii="宋体" w:hAnsi="宋体" w:cs="宋体"/>
          <w:color w:val="auto"/>
          <w:sz w:val="24"/>
          <w:szCs w:val="24"/>
          <w:highlight w:val="none"/>
          <w:u w:val="single"/>
        </w:rPr>
        <w:t xml:space="preserve">                  </w:t>
      </w:r>
    </w:p>
    <w:p>
      <w:pPr>
        <w:spacing w:line="360" w:lineRule="auto"/>
        <w:ind w:firstLine="4440" w:firstLineChars="185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日期：      年   月   日 </w:t>
      </w:r>
      <w:r>
        <w:rPr>
          <w:rFonts w:hint="eastAsia" w:ascii="宋体" w:hAnsi="宋体" w:cs="宋体"/>
          <w:color w:val="auto"/>
          <w:sz w:val="18"/>
          <w:szCs w:val="18"/>
          <w:highlight w:val="none"/>
        </w:rPr>
        <w:t xml:space="preserve"> </w:t>
      </w:r>
      <w:r>
        <w:rPr>
          <w:rFonts w:hint="eastAsia" w:ascii="宋体" w:hAnsi="宋体" w:cs="宋体"/>
          <w:color w:val="auto"/>
          <w:sz w:val="24"/>
          <w:szCs w:val="24"/>
          <w:highlight w:val="none"/>
        </w:rPr>
        <w:t xml:space="preserve">    </w:t>
      </w:r>
    </w:p>
    <w:p>
      <w:pPr>
        <w:pStyle w:val="121"/>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投标文件编制情况</w:t>
      </w:r>
    </w:p>
    <w:tbl>
      <w:tblPr>
        <w:tblStyle w:val="39"/>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pStyle w:val="5"/>
              <w:spacing w:after="0"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1.投标文件报价编制方式: □自行编制的，编制的负责人：</w:t>
            </w:r>
            <w:r>
              <w:rPr>
                <w:rFonts w:hint="eastAsia" w:ascii="宋体" w:hAnsi="宋体" w:cs="宋体"/>
                <w:color w:val="auto"/>
                <w:kern w:val="2"/>
                <w:sz w:val="24"/>
                <w:highlight w:val="none"/>
                <w:u w:val="single"/>
              </w:rPr>
              <w:t xml:space="preserve"> （盖造价工程师执业专用章或全国建设工程造价员章，执业单位应与投标人一致） </w:t>
            </w:r>
            <w:r>
              <w:rPr>
                <w:rFonts w:hint="eastAsia" w:ascii="宋体" w:hAnsi="宋体" w:cs="宋体"/>
                <w:color w:val="auto"/>
                <w:kern w:val="2"/>
                <w:sz w:val="24"/>
                <w:highlight w:val="none"/>
              </w:rPr>
              <w:t>。□委托编制的，受委托单位</w:t>
            </w:r>
            <w:r>
              <w:rPr>
                <w:rFonts w:hint="eastAsia" w:ascii="宋体" w:hAnsi="宋体" w:cs="宋体"/>
                <w:color w:val="auto"/>
                <w:kern w:val="2"/>
                <w:sz w:val="24"/>
                <w:highlight w:val="none"/>
                <w:u w:val="single"/>
              </w:rPr>
              <w:t xml:space="preserve">                    </w:t>
            </w:r>
            <w:r>
              <w:rPr>
                <w:rFonts w:hint="eastAsia" w:ascii="宋体" w:hAnsi="宋体" w:cs="宋体"/>
                <w:color w:val="auto"/>
                <w:kern w:val="2"/>
                <w:sz w:val="24"/>
                <w:highlight w:val="none"/>
              </w:rPr>
              <w:t>，编制的负责人：</w:t>
            </w:r>
            <w:r>
              <w:rPr>
                <w:rFonts w:hint="eastAsia" w:ascii="宋体" w:hAnsi="宋体" w:cs="宋体"/>
                <w:color w:val="auto"/>
                <w:kern w:val="2"/>
                <w:sz w:val="24"/>
                <w:highlight w:val="none"/>
                <w:u w:val="single"/>
              </w:rPr>
              <w:t xml:space="preserve"> （盖造价工程师执业专用章或全国建设工程造价员章，执业单位应与受委托单位一致） </w:t>
            </w:r>
            <w:r>
              <w:rPr>
                <w:rFonts w:hint="eastAsia" w:ascii="宋体" w:hAnsi="宋体" w:cs="宋体"/>
                <w:color w:val="auto"/>
                <w:kern w:val="2"/>
                <w:sz w:val="24"/>
                <w:highlight w:val="none"/>
              </w:rPr>
              <w:t>。</w:t>
            </w:r>
          </w:p>
          <w:p>
            <w:pPr>
              <w:pStyle w:val="5"/>
              <w:spacing w:after="0"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2.投标文件加密打包的电脑情况</w:t>
            </w:r>
          </w:p>
          <w:p>
            <w:pPr>
              <w:pStyle w:val="5"/>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投标文件加密打包的电脑     自有    □      外包    □     其他    □</w:t>
            </w:r>
          </w:p>
          <w:p>
            <w:pPr>
              <w:pStyle w:val="5"/>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电脑类型</w:t>
            </w:r>
          </w:p>
          <w:p>
            <w:pPr>
              <w:pStyle w:val="5"/>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电脑所属单位</w:t>
            </w:r>
          </w:p>
          <w:p>
            <w:pPr>
              <w:pStyle w:val="5"/>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电脑所在地址     （如××市××区(县) ××街（路）××号××大厦××房）</w:t>
            </w:r>
          </w:p>
        </w:tc>
      </w:tr>
    </w:tbl>
    <w:p>
      <w:pPr>
        <w:pStyle w:val="3"/>
        <w:jc w:val="center"/>
        <w:rPr>
          <w:rFonts w:ascii="宋体" w:hAnsi="宋体" w:cs="宋体"/>
          <w:color w:val="auto"/>
          <w:sz w:val="44"/>
          <w:szCs w:val="44"/>
          <w:highlight w:val="none"/>
        </w:rPr>
      </w:pPr>
      <w:r>
        <w:rPr>
          <w:rFonts w:hint="eastAsia" w:ascii="宋体" w:hAnsi="宋体" w:cs="宋体"/>
          <w:b w:val="0"/>
          <w:color w:val="auto"/>
          <w:kern w:val="2"/>
          <w:sz w:val="24"/>
          <w:szCs w:val="24"/>
          <w:highlight w:val="none"/>
        </w:rPr>
        <w:br w:type="page"/>
      </w:r>
      <w:bookmarkStart w:id="43" w:name="_Toc22889"/>
      <w:r>
        <w:rPr>
          <w:rFonts w:hint="eastAsia" w:ascii="宋体" w:hAnsi="宋体" w:cs="宋体"/>
          <w:bCs/>
          <w:color w:val="auto"/>
          <w:kern w:val="2"/>
          <w:sz w:val="32"/>
          <w:szCs w:val="32"/>
          <w:highlight w:val="none"/>
        </w:rPr>
        <w:t>第五章</w:t>
      </w:r>
      <w:r>
        <w:rPr>
          <w:rFonts w:hint="eastAsia" w:ascii="宋体" w:hAnsi="宋体" w:cs="宋体"/>
          <w:bCs/>
          <w:color w:val="auto"/>
          <w:sz w:val="32"/>
          <w:szCs w:val="32"/>
          <w:highlight w:val="none"/>
        </w:rPr>
        <w:t>.技术条件（工程建设标准）</w:t>
      </w:r>
      <w:bookmarkEnd w:id="43"/>
    </w:p>
    <w:p>
      <w:pPr>
        <w:tabs>
          <w:tab w:val="left" w:pos="2105"/>
        </w:tabs>
        <w:spacing w:line="460" w:lineRule="exact"/>
        <w:ind w:firstLine="480" w:firstLineChars="200"/>
        <w:rPr>
          <w:rFonts w:ascii="宋体" w:hAnsi="宋体" w:cs="宋体"/>
          <w:color w:val="auto"/>
          <w:sz w:val="24"/>
          <w:szCs w:val="24"/>
          <w:highlight w:val="none"/>
        </w:rPr>
      </w:pPr>
      <w:bookmarkStart w:id="44" w:name="_Toc42392986"/>
      <w:bookmarkStart w:id="45" w:name="_Toc291172704"/>
      <w:bookmarkStart w:id="46" w:name="_Toc162252729"/>
      <w:bookmarkStart w:id="47" w:name="_Toc162269370"/>
      <w:bookmarkStart w:id="48" w:name="_Toc162253569"/>
    </w:p>
    <w:p>
      <w:pPr>
        <w:topLinePunct/>
        <w:adjustRightIn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下列文件应被认为是组成本章内容的一部分，并互为补充和解释，如各文件存在冲突之处，以如下排列次序在前者优先适用：</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1、遵照招标人相关管理规定要求；</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2、采用图纸中规定的其它技术和验收标准；</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3、采用中华人民共和国现行技术和验收规范。</w:t>
      </w:r>
    </w:p>
    <w:p>
      <w:pPr>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一、项目管理目标</w:t>
      </w:r>
    </w:p>
    <w:p>
      <w:pPr>
        <w:topLinePunct/>
        <w:adjustRightInd w:val="0"/>
        <w:spacing w:line="360" w:lineRule="auto"/>
        <w:ind w:firstLine="498" w:firstLineChars="200"/>
        <w:rPr>
          <w:rFonts w:ascii="宋体" w:hAnsi="宋体" w:cs="宋体"/>
          <w:b/>
          <w:color w:val="auto"/>
          <w:spacing w:val="4"/>
          <w:kern w:val="0"/>
          <w:sz w:val="24"/>
          <w:szCs w:val="24"/>
          <w:highlight w:val="none"/>
        </w:rPr>
      </w:pPr>
      <w:bookmarkStart w:id="49" w:name="_Toc392692104"/>
      <w:bookmarkStart w:id="50" w:name="_Toc392863103"/>
      <w:r>
        <w:rPr>
          <w:rFonts w:hint="eastAsia" w:ascii="宋体" w:hAnsi="宋体" w:cs="宋体"/>
          <w:b/>
          <w:color w:val="auto"/>
          <w:spacing w:val="4"/>
          <w:kern w:val="0"/>
          <w:sz w:val="24"/>
          <w:szCs w:val="24"/>
          <w:highlight w:val="none"/>
        </w:rPr>
        <w:t>（一）工期进度目标</w:t>
      </w:r>
      <w:bookmarkEnd w:id="49"/>
      <w:bookmarkEnd w:id="50"/>
    </w:p>
    <w:p>
      <w:pPr>
        <w:topLinePunct/>
        <w:adjustRightIn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本项目的总工期 </w:t>
      </w:r>
      <w:r>
        <w:rPr>
          <w:rFonts w:hint="eastAsia" w:ascii="宋体" w:hAnsi="宋体" w:cs="宋体"/>
          <w:color w:val="auto"/>
          <w:spacing w:val="4"/>
          <w:kern w:val="0"/>
          <w:sz w:val="24"/>
          <w:szCs w:val="24"/>
          <w:highlight w:val="none"/>
          <w:lang w:val="en-US" w:eastAsia="zh-CN"/>
        </w:rPr>
        <w:t>350</w:t>
      </w:r>
      <w:r>
        <w:rPr>
          <w:rFonts w:hint="eastAsia" w:ascii="宋体" w:hAnsi="宋体" w:cs="宋体"/>
          <w:color w:val="auto"/>
          <w:spacing w:val="4"/>
          <w:kern w:val="0"/>
          <w:sz w:val="24"/>
          <w:szCs w:val="24"/>
          <w:highlight w:val="none"/>
        </w:rPr>
        <w:t xml:space="preserve"> 日历天（具体开工日期以总监理工程师发出的开工令为准），总工期以总监理工程师发出的开工令开始至完成竣工验收及移交工作为止。</w:t>
      </w:r>
    </w:p>
    <w:p>
      <w:pPr>
        <w:topLinePunct/>
        <w:adjustRightInd w:val="0"/>
        <w:spacing w:line="360" w:lineRule="auto"/>
        <w:ind w:firstLine="498" w:firstLineChars="200"/>
        <w:rPr>
          <w:rFonts w:ascii="宋体" w:hAnsi="宋体" w:cs="宋体"/>
          <w:b/>
          <w:color w:val="auto"/>
          <w:spacing w:val="4"/>
          <w:kern w:val="0"/>
          <w:sz w:val="24"/>
          <w:szCs w:val="24"/>
          <w:highlight w:val="none"/>
        </w:rPr>
      </w:pPr>
      <w:bookmarkStart w:id="51" w:name="_Toc392863104"/>
      <w:bookmarkStart w:id="52" w:name="_Toc392692105"/>
      <w:r>
        <w:rPr>
          <w:rFonts w:hint="eastAsia" w:ascii="宋体" w:hAnsi="宋体" w:cs="宋体"/>
          <w:b/>
          <w:color w:val="auto"/>
          <w:spacing w:val="4"/>
          <w:kern w:val="0"/>
          <w:sz w:val="24"/>
          <w:szCs w:val="24"/>
          <w:highlight w:val="none"/>
        </w:rPr>
        <w:t>（二）质量目标</w:t>
      </w:r>
      <w:bookmarkEnd w:id="51"/>
      <w:bookmarkEnd w:id="52"/>
    </w:p>
    <w:p>
      <w:pPr>
        <w:topLinePunct/>
        <w:adjustRightIn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一次竣工验收合格。</w:t>
      </w:r>
    </w:p>
    <w:p>
      <w:pPr>
        <w:topLinePunct/>
        <w:adjustRightInd w:val="0"/>
        <w:spacing w:line="360" w:lineRule="auto"/>
        <w:ind w:firstLine="498" w:firstLineChars="200"/>
        <w:rPr>
          <w:rFonts w:ascii="宋体" w:hAnsi="宋体" w:cs="宋体"/>
          <w:b/>
          <w:bCs/>
          <w:color w:val="auto"/>
          <w:spacing w:val="4"/>
          <w:kern w:val="0"/>
          <w:sz w:val="24"/>
          <w:szCs w:val="24"/>
          <w:highlight w:val="none"/>
        </w:rPr>
      </w:pPr>
      <w:bookmarkStart w:id="53" w:name="_Toc403566280"/>
      <w:r>
        <w:rPr>
          <w:rFonts w:hint="eastAsia" w:ascii="宋体" w:hAnsi="宋体" w:cs="宋体"/>
          <w:b/>
          <w:bCs/>
          <w:color w:val="auto"/>
          <w:spacing w:val="4"/>
          <w:kern w:val="0"/>
          <w:sz w:val="24"/>
          <w:szCs w:val="24"/>
          <w:highlight w:val="none"/>
        </w:rPr>
        <w:t>（三）安全、文明施工目标</w:t>
      </w:r>
      <w:bookmarkEnd w:id="53"/>
    </w:p>
    <w:p>
      <w:pPr>
        <w:topLinePunct/>
        <w:adjustRightInd w:val="0"/>
        <w:spacing w:line="360" w:lineRule="auto"/>
        <w:ind w:firstLine="496" w:firstLineChars="200"/>
        <w:rPr>
          <w:rFonts w:ascii="宋体" w:hAnsi="宋体" w:cs="宋体"/>
          <w:color w:val="auto"/>
          <w:spacing w:val="4"/>
          <w:kern w:val="0"/>
          <w:sz w:val="24"/>
          <w:szCs w:val="24"/>
          <w:highlight w:val="none"/>
        </w:rPr>
      </w:pPr>
      <w:bookmarkStart w:id="54" w:name="_Toc392863106"/>
      <w:bookmarkStart w:id="55" w:name="_Toc415070052"/>
      <w:bookmarkStart w:id="56" w:name="_Toc459022429"/>
      <w:bookmarkStart w:id="57" w:name="_Toc459297587"/>
      <w:bookmarkStart w:id="58" w:name="_Toc459382303"/>
      <w:bookmarkStart w:id="59" w:name="_Toc459297646"/>
      <w:r>
        <w:rPr>
          <w:rFonts w:hint="eastAsia" w:ascii="宋体" w:hAnsi="宋体" w:cs="宋体"/>
          <w:color w:val="auto"/>
          <w:spacing w:val="4"/>
          <w:kern w:val="0"/>
          <w:sz w:val="24"/>
          <w:szCs w:val="24"/>
          <w:highlight w:val="none"/>
        </w:rPr>
        <w:t>杜绝一般事故等级以上的伤亡事故且工伤责任事故死亡人数为零。</w:t>
      </w:r>
      <w:bookmarkEnd w:id="54"/>
      <w:bookmarkEnd w:id="55"/>
      <w:bookmarkEnd w:id="56"/>
      <w:bookmarkEnd w:id="57"/>
      <w:bookmarkEnd w:id="58"/>
      <w:bookmarkEnd w:id="59"/>
    </w:p>
    <w:p>
      <w:pPr>
        <w:adjustRightInd w:val="0"/>
        <w:snapToGrid w:val="0"/>
        <w:spacing w:line="360" w:lineRule="auto"/>
        <w:ind w:right="11" w:firstLine="498" w:firstLineChars="200"/>
        <w:rPr>
          <w:rFonts w:ascii="宋体" w:hAnsi="宋体" w:cs="宋体"/>
          <w:b/>
          <w:bCs/>
          <w:color w:val="auto"/>
          <w:spacing w:val="4"/>
          <w:kern w:val="0"/>
          <w:sz w:val="24"/>
          <w:szCs w:val="24"/>
          <w:highlight w:val="none"/>
        </w:rPr>
      </w:pPr>
      <w:r>
        <w:rPr>
          <w:rFonts w:hint="eastAsia" w:ascii="宋体" w:hAnsi="宋体" w:cs="宋体"/>
          <w:b/>
          <w:bCs/>
          <w:color w:val="auto"/>
          <w:spacing w:val="4"/>
          <w:kern w:val="0"/>
          <w:sz w:val="24"/>
          <w:szCs w:val="24"/>
          <w:highlight w:val="none"/>
        </w:rPr>
        <w:t>（四）环境管理目标：</w:t>
      </w:r>
    </w:p>
    <w:p>
      <w:pPr>
        <w:topLinePunct/>
        <w:adjustRightIn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严格执行《广州市建设工程现场文明施工管理办法》（穗建质〔2008〕937号）、《广州市城乡建设委员会关于印发广州市加强建筑工地环保管理工作方案的通知》(穗建质〔2014〕754号) 、《广州市提升建设工程安全文明施工管理水平的工作指引》（穗建质〔2017〕815号）、《危险性较大的分部分项工程安全管理规定》(中华人民共和国住房和城乡建设部令第37号)、《关于加强建设工程安全生产管理 落实建设各方主体责任的暂行规定》（穗建规字〔2017〕21号）、《广州市住房和城乡建设委员会关于印发建设工程扬尘防治“6个100%”管理标准细化措施的通知》（穗建质〔2018〕1394号）、《广州市住房和城乡建设局关于印发广州市房屋建筑工程安全防护指导图集（防高坠篇）的通知》和《广州市建设工程绿色施工围蔽指导图集（V2.0版）》（穗建质〔2020〕1号）等国家、省、市现行标准、规定和文件要求。</w:t>
      </w:r>
    </w:p>
    <w:p>
      <w:pPr>
        <w:spacing w:line="360" w:lineRule="auto"/>
        <w:rPr>
          <w:rFonts w:ascii="宋体" w:hAnsi="宋体" w:cs="宋体"/>
          <w:color w:val="auto"/>
          <w:sz w:val="24"/>
          <w:szCs w:val="24"/>
          <w:highlight w:val="none"/>
        </w:rPr>
      </w:pPr>
    </w:p>
    <w:p>
      <w:pPr>
        <w:spacing w:line="360" w:lineRule="auto"/>
        <w:rPr>
          <w:rFonts w:ascii="宋体" w:hAnsi="宋体" w:cs="宋体"/>
          <w:b/>
          <w:color w:val="auto"/>
          <w:kern w:val="0"/>
          <w:sz w:val="28"/>
          <w:szCs w:val="28"/>
          <w:highlight w:val="none"/>
        </w:rPr>
      </w:pPr>
      <w:bookmarkStart w:id="60" w:name="_Toc14697673"/>
      <w:r>
        <w:rPr>
          <w:rFonts w:hint="eastAsia" w:ascii="宋体" w:hAnsi="宋体" w:cs="宋体"/>
          <w:b/>
          <w:color w:val="auto"/>
          <w:kern w:val="0"/>
          <w:sz w:val="28"/>
          <w:szCs w:val="28"/>
          <w:highlight w:val="none"/>
        </w:rPr>
        <w:t>二、</w:t>
      </w:r>
      <w:bookmarkEnd w:id="60"/>
      <w:bookmarkStart w:id="61" w:name="_Toc14697674"/>
      <w:r>
        <w:rPr>
          <w:rFonts w:hint="eastAsia" w:ascii="宋体" w:hAnsi="宋体" w:cs="宋体"/>
          <w:b/>
          <w:color w:val="auto"/>
          <w:kern w:val="0"/>
          <w:sz w:val="28"/>
          <w:szCs w:val="28"/>
          <w:highlight w:val="none"/>
        </w:rPr>
        <w:t>项目管理要求</w:t>
      </w:r>
      <w:bookmarkEnd w:id="61"/>
    </w:p>
    <w:p>
      <w:pPr>
        <w:keepNext/>
        <w:keepLines/>
        <w:spacing w:before="156" w:beforeLines="50" w:line="360" w:lineRule="auto"/>
        <w:jc w:val="left"/>
        <w:rPr>
          <w:rFonts w:ascii="宋体" w:hAnsi="宋体" w:cs="宋体"/>
          <w:b/>
          <w:snapToGrid w:val="0"/>
          <w:color w:val="auto"/>
          <w:spacing w:val="4"/>
          <w:kern w:val="0"/>
          <w:sz w:val="24"/>
          <w:szCs w:val="24"/>
          <w:highlight w:val="none"/>
        </w:rPr>
      </w:pPr>
      <w:r>
        <w:rPr>
          <w:rFonts w:hint="eastAsia" w:ascii="宋体" w:hAnsi="宋体" w:cs="宋体"/>
          <w:b/>
          <w:snapToGrid w:val="0"/>
          <w:color w:val="auto"/>
          <w:spacing w:val="4"/>
          <w:kern w:val="0"/>
          <w:sz w:val="24"/>
          <w:szCs w:val="24"/>
          <w:highlight w:val="none"/>
        </w:rPr>
        <w:t>（一）专业工程实施能力要求</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中标人应具备完成本项目专业工程的能力,包括但不限于：土溶洞地基处理、高支模、大跨度预应力混凝土结构、钢结构等。对于主体、关键性的工作，中标人不得分包。对于非主体的工程、非关键性工作，中标人可结合项目情况，根据国家、住房和城乡建设部和省市相关规定，委托给具备相应专业资质及承包能力且经招标人、监理单位共同认可的专业承包单位实施。</w:t>
      </w:r>
    </w:p>
    <w:p>
      <w:pPr>
        <w:keepNext/>
        <w:keepLines/>
        <w:spacing w:before="156" w:beforeLines="50" w:line="360" w:lineRule="auto"/>
        <w:jc w:val="left"/>
        <w:rPr>
          <w:rFonts w:ascii="宋体" w:hAnsi="宋体" w:cs="宋体"/>
          <w:b/>
          <w:snapToGrid w:val="0"/>
          <w:color w:val="auto"/>
          <w:spacing w:val="4"/>
          <w:sz w:val="24"/>
          <w:szCs w:val="24"/>
          <w:highlight w:val="none"/>
        </w:rPr>
      </w:pPr>
      <w:bookmarkStart w:id="62" w:name="_Toc14697675"/>
      <w:r>
        <w:rPr>
          <w:rFonts w:hint="eastAsia" w:ascii="宋体" w:hAnsi="宋体" w:cs="宋体"/>
          <w:b/>
          <w:snapToGrid w:val="0"/>
          <w:color w:val="auto"/>
          <w:spacing w:val="4"/>
          <w:kern w:val="0"/>
          <w:sz w:val="24"/>
          <w:szCs w:val="24"/>
          <w:highlight w:val="none"/>
        </w:rPr>
        <w:t>（二）</w:t>
      </w:r>
      <w:bookmarkEnd w:id="62"/>
      <w:r>
        <w:rPr>
          <w:rFonts w:hint="eastAsia" w:ascii="宋体" w:hAnsi="宋体" w:cs="宋体"/>
          <w:b/>
          <w:snapToGrid w:val="0"/>
          <w:color w:val="auto"/>
          <w:spacing w:val="4"/>
          <w:kern w:val="0"/>
          <w:sz w:val="24"/>
          <w:szCs w:val="24"/>
          <w:highlight w:val="none"/>
        </w:rPr>
        <w:t>进度管理要求</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1、施工单位进场5天内根据合同工期要求，并结合工期节点要求、施工图纸和现场实际情况编制切实可行的实施进度计划。</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2、做好过程中的进度控制，按照PDCA循环的要求动态管理，定期对进度计划执行情况进行检查并及时纠偏，确保现场施工能够按照计划推进。</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3、施工单位需严格按照总控计划完成施工任务。</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4、施工单位应根据施工任务做好工期分析工作，按工期节点要求进行人料机的安排，及时根据计划的实施情况调整人料机的投入。</w:t>
      </w:r>
    </w:p>
    <w:p>
      <w:pPr>
        <w:tabs>
          <w:tab w:val="left" w:pos="900"/>
          <w:tab w:val="left" w:pos="1288"/>
          <w:tab w:val="left" w:pos="1429"/>
          <w:tab w:val="left" w:pos="1980"/>
        </w:tabs>
        <w:adjustRightInd w:val="0"/>
        <w:snapToGrid w:val="0"/>
        <w:spacing w:line="360" w:lineRule="auto"/>
        <w:ind w:left="19" w:firstLine="619" w:firstLineChars="258"/>
        <w:rPr>
          <w:rFonts w:ascii="宋体" w:hAnsi="宋体" w:cs="宋体"/>
          <w:color w:val="auto"/>
          <w:sz w:val="24"/>
          <w:szCs w:val="24"/>
          <w:highlight w:val="none"/>
        </w:rPr>
      </w:pPr>
      <w:r>
        <w:rPr>
          <w:rFonts w:hint="eastAsia" w:ascii="宋体" w:hAnsi="宋体" w:cs="宋体"/>
          <w:color w:val="auto"/>
          <w:sz w:val="24"/>
          <w:szCs w:val="24"/>
          <w:highlight w:val="none"/>
        </w:rPr>
        <w:t>承包人必须在收到发包人进场通知后，对开工条件进行全面摸查、分析，作出全面开工、或局部开工、或不具备开工条件的判断，并书面向监理人、招标人报告。如工程具备开工条件，承包人应就全面开工或局部开工的实际条件，合理安排相匹配的人员、材料、机械设备进场，对于大型机械设备还须报监理人、发包人批准进场方案后方能进场；如工程不具备开工条件，承包人应在收到发包人进场通知后5天内以书面形式向发包人提出延期进场的要求并说明理由，报监理单位和发包人批准后方可延期进场，否则发包人不承担由此造成承包人的损失。</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5、本工程工期紧，承包人须及时办理好施工许可证、夜间延长施工时间许可证、余泥排放证等相关审批手续。</w:t>
      </w:r>
    </w:p>
    <w:p>
      <w:pPr>
        <w:keepNext/>
        <w:keepLines/>
        <w:spacing w:before="156" w:beforeLines="50" w:line="360" w:lineRule="auto"/>
        <w:jc w:val="left"/>
        <w:rPr>
          <w:rFonts w:ascii="宋体" w:hAnsi="宋体" w:cs="宋体"/>
          <w:b/>
          <w:snapToGrid w:val="0"/>
          <w:color w:val="auto"/>
          <w:spacing w:val="4"/>
          <w:kern w:val="0"/>
          <w:sz w:val="24"/>
          <w:szCs w:val="24"/>
          <w:highlight w:val="none"/>
        </w:rPr>
      </w:pPr>
      <w:bookmarkStart w:id="63" w:name="_Toc14697677"/>
      <w:r>
        <w:rPr>
          <w:rFonts w:hint="eastAsia" w:ascii="宋体" w:hAnsi="宋体" w:cs="宋体"/>
          <w:b/>
          <w:snapToGrid w:val="0"/>
          <w:color w:val="auto"/>
          <w:spacing w:val="4"/>
          <w:kern w:val="0"/>
          <w:sz w:val="24"/>
          <w:szCs w:val="24"/>
          <w:highlight w:val="none"/>
        </w:rPr>
        <w:t>（三）质量管理要求</w:t>
      </w:r>
      <w:bookmarkEnd w:id="63"/>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1、要求施工单位建立和健全管理体系，设立质量管理专职机构，配备满足规定要求的专职管理人员。</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2、施工单位严格遵照招标人的看样定板制度，保证施工所用材料、设备的质量，从源头上控制质量隐患。</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3、要求施工单位严格建立工序质量样板，在工序样板引路的基础上，实施分项分部子单位样板引路。</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4、承包人投入的施工作业人员必须具备相应的上岗证，如特种人员，还须具备特种人员作业证书，以确保施工质量。所有人员必须带证上岗，随时接受发包人、监理人检查，否则按合同约定承担违约责任。</w:t>
      </w:r>
    </w:p>
    <w:p>
      <w:pPr>
        <w:keepNext/>
        <w:keepLines/>
        <w:spacing w:before="156" w:beforeLines="50" w:line="360" w:lineRule="auto"/>
        <w:jc w:val="left"/>
        <w:rPr>
          <w:rFonts w:ascii="宋体" w:hAnsi="宋体" w:cs="宋体"/>
          <w:b/>
          <w:snapToGrid w:val="0"/>
          <w:color w:val="auto"/>
          <w:spacing w:val="4"/>
          <w:kern w:val="0"/>
          <w:sz w:val="24"/>
          <w:szCs w:val="24"/>
          <w:highlight w:val="none"/>
        </w:rPr>
      </w:pPr>
      <w:r>
        <w:rPr>
          <w:rFonts w:hint="eastAsia" w:ascii="宋体" w:hAnsi="宋体" w:cs="宋体"/>
          <w:b/>
          <w:snapToGrid w:val="0"/>
          <w:color w:val="auto"/>
          <w:spacing w:val="4"/>
          <w:kern w:val="0"/>
          <w:sz w:val="24"/>
          <w:szCs w:val="24"/>
          <w:highlight w:val="none"/>
        </w:rPr>
        <w:t>（四）深化设计管理要求</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（1）深化设计能力要求。承包人应具备相应的专业工程深化设计能力及深化设计业绩，如承包人不具备，则应经发包人同意依法委托给具有相应能力的单位实施。</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（2）深化设计工作要点</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①深化设计是在不改变原施工图设计功能、结构体系和设计意图的前提下，以提高施工图的可操作性和便于施工为目的，对施工图（包括但不限于钢结构、预应力混凝土、发电机房等）进行深化、优化和完善、力求节约投资的技术工作。有关费用已包含在合同总价中。</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②承包人进行深化设计时，应以设计院出的设计图纸为依据，如没有合理的原因，不能进行改动；深化设计图纸报经监理单位、和发包人同意批准后，报经设计单位及施工图审查单位进行审核同意后方可实施，没有以上2个单位的盖章，所出深化设计图纸不能作为施工图纸。如承包人的深化设计图纸达不到要求，发包人有权要求承包人对深化设计人员进行调整更换或另委托深化设计单位。</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③深化设计选用的材料厂家及品牌应是承包人根据招标文件《主要设备材料品牌/生产厂家推荐表》规定提交的投标文件上列明的材料厂家及品牌。如经考察，投标人选用的材料不满足工程需要，发包人有权在《主要设备材料品牌/生产厂家推荐表》中选择其他满足规定的材料厂家及品牌，合同价款不作调整。</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④深化设计须结合施工工艺要求，与各相关专业工程充分沟通，不得影响其他专业或系统的结构体系和使用功能等。</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⑤除节点设计和装配损耗之外，任何影响主要材料用量的设计变更或深化设计，承包人只有建议权，承包人有责任提出包括安全性、稳定性、合理性的设计调整方案，报设计单位审核，最后报发包人批准后由设计单位出具正式的优化设计图纸和设计变更，否则由此引起的增加造价由承包人承担。为方便施工的节点设计和装配损耗等导致的材料用量增加等由承包人承担，发包人不另行增加费用。</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⑥深化设计的计量计价原则：在满足招标技术要求（包括强制性条款、推荐品牌要求）的前提下，深化设计引起的材质、参数（含规格、型号等)的调整均不作为调价的依据。</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（3）深化设计工作流程</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①深化设计工作方案报审：中标后，深化设计工作开展前，承包人须报深化设计工作方案给监理单位、发包人审核，审核通过后方可正式开展深化设计工作。深化设计工作方案包括但不限于深化设计人员（含驻场设计人员）、深化设计的工作计划及具体的深化设计管理实施方案、工作流程。</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②专家评审会：进场2-3天内，组织一次专家评审会，对其所提交的投标文件（包括图纸、技术方案、设备清单等）进行认真、详细、严格的评审，作为深化设计的指导意见。</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③深化设计工作开展：深化设计须由承包人深化设计负责人统筹安排各项工作，并随时接受监理单位、发包人及设计单位的监督检查。</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④深化设计文件审核：深化设计图纸（含造价文件）完成后，报主体设计单位(原设计单位)、监理单位、发包人审核，并根据修改意见相应调整深化设计图纸。</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⑤施工图报审：经发包人同意后，按规定报施工图审查单位审查并办理施工图审查备案手续。</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⑥深化设计图纸审批：施工图审查合格并经发包人及项目业主审批同意后，作为施工图实施。深化设计图纸份数为20份。</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⑦技术交底及图纸会审：深化设计图纸和文件经过审核确认后，应进行相应技术交底及图纸会审。</w:t>
      </w:r>
    </w:p>
    <w:p>
      <w:pPr>
        <w:keepNext/>
        <w:keepLines/>
        <w:spacing w:before="156" w:beforeLines="50" w:line="360" w:lineRule="auto"/>
        <w:jc w:val="left"/>
        <w:rPr>
          <w:rFonts w:ascii="宋体" w:hAnsi="宋体" w:cs="宋体"/>
          <w:b/>
          <w:snapToGrid w:val="0"/>
          <w:color w:val="auto"/>
          <w:spacing w:val="4"/>
          <w:kern w:val="0"/>
          <w:sz w:val="24"/>
          <w:szCs w:val="24"/>
          <w:highlight w:val="none"/>
        </w:rPr>
      </w:pPr>
      <w:bookmarkStart w:id="64" w:name="_Toc14697678"/>
      <w:r>
        <w:rPr>
          <w:rFonts w:hint="eastAsia" w:ascii="宋体" w:hAnsi="宋体" w:cs="宋体"/>
          <w:b/>
          <w:snapToGrid w:val="0"/>
          <w:color w:val="auto"/>
          <w:spacing w:val="4"/>
          <w:kern w:val="0"/>
          <w:sz w:val="24"/>
          <w:szCs w:val="24"/>
          <w:highlight w:val="none"/>
        </w:rPr>
        <w:t>（五）工人工资及预付款支付管理要求</w:t>
      </w:r>
      <w:bookmarkEnd w:id="64"/>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中标后，承包人必须建设主管部门要求设立工人工资支付专用账户，通过工人工资支付专用账户，依法按时足额将工人工资直接支付到工人的工资个人账户，并按月将工人工资支付明细表报发包人备案，作为次月工程进度款的支付条件之一。承包人应当建立用工管理台账，真实、准确记录工人名册、劳动合同、劳务合同、工程进度、工时、劳务承包款和工人工资支付情况等信息，并保存两年以上备查。</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承包人在收到发包人工程预付款后，应及时向作业班组、分包单位、供应商支付备料款等相关费用。承包人如挪用预付款，或未及时向作业班组、分包单位、供应商支付备料款导致工期延误的，发包人一经查实，将对承包人按合同约定处严重违约责任。</w:t>
      </w:r>
    </w:p>
    <w:p>
      <w:pPr>
        <w:spacing w:line="360" w:lineRule="auto"/>
        <w:rPr>
          <w:rFonts w:ascii="宋体" w:hAnsi="宋体" w:cs="宋体"/>
          <w:b/>
          <w:snapToGrid w:val="0"/>
          <w:color w:val="auto"/>
          <w:spacing w:val="4"/>
          <w:sz w:val="24"/>
          <w:szCs w:val="24"/>
          <w:highlight w:val="none"/>
        </w:rPr>
      </w:pPr>
      <w:bookmarkStart w:id="65" w:name="_Toc14697679"/>
      <w:r>
        <w:rPr>
          <w:rFonts w:hint="eastAsia" w:ascii="宋体" w:hAnsi="宋体" w:cs="宋体"/>
          <w:b/>
          <w:snapToGrid w:val="0"/>
          <w:color w:val="auto"/>
          <w:spacing w:val="4"/>
          <w:kern w:val="0"/>
          <w:sz w:val="24"/>
          <w:szCs w:val="24"/>
          <w:highlight w:val="none"/>
        </w:rPr>
        <w:t>（六）</w:t>
      </w:r>
      <w:bookmarkEnd w:id="65"/>
      <w:bookmarkStart w:id="66" w:name="_Toc14697680"/>
      <w:r>
        <w:rPr>
          <w:rFonts w:hint="eastAsia" w:ascii="宋体" w:hAnsi="宋体" w:cs="宋体"/>
          <w:b/>
          <w:snapToGrid w:val="0"/>
          <w:color w:val="auto"/>
          <w:spacing w:val="4"/>
          <w:sz w:val="24"/>
          <w:szCs w:val="24"/>
          <w:highlight w:val="none"/>
        </w:rPr>
        <w:t>安全文明、职业健康与环境管理施工要求</w:t>
      </w:r>
      <w:bookmarkEnd w:id="66"/>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1、要求施工单位制定环境管理计划及应急处理预案，做到不因施工而影响周边环境。</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针对本项目的特点，施工单位必须对危险性较大的分部分项工程进行重点管理，编制专项施工方案报监理单位审批，并按批准的方案施工。在施工过程中如发现异常情况，必须能有效启动紧急预案，确保人员的安全。</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4、要求施工单位进场后严格遵守发包人的现场总平面管理，按经审批的总平面布置进行临时设施的施工。</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在工程实施期间，施工单位对经发包人移交的施工场地负有全过程、全面的管理责任，必须对施工场地范围内的治安秩序、安全保卫、环境卫生以及周围房屋、市政设施等全面负责，对施工场地范围内的交通道路、用水、用电、场地内的施工协调负责，确保不对周边环境、道路、行人和相邻施工现场造成不利影响，不得干扰周围居民的正常生活。</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5、施工单位在施工过程中必须严格执行安全文明施工方案，做到安全防护、文明施工措施费专款专用，严禁挪用。</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监理单位、发包人或监督部门在安全文明施工检查过程中，如发现施工现场不满足国家、省、市关于安全文明生产的相关规定和发包人对本工程安全文明施工的相关要求，且不按监理单位要求在限定时间内整改完毕的，发包人可以自行或委托他人实施整改，所发生的费用从安全防护、文明施工措施费款项中扣除，不足部分从施工单位的合同价款中扣除。</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7、施工单位需按国家、省市相关规定做好扬尘、噪音控制等文明环保保证工作，在施工中需做好对周边企事业、居民的投诉解释工作。</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8、施工单位需落实土方开挖运输过程中的文明施工管理工作，并负责做好运输路线及工程现场周边的保洁工作，由于污染周边路面产生的投诉及行政处罚由施工单位承担责任。</w:t>
      </w:r>
    </w:p>
    <w:p>
      <w:pPr>
        <w:keepNext/>
        <w:keepLines/>
        <w:spacing w:before="156" w:beforeLines="50" w:line="360" w:lineRule="auto"/>
        <w:jc w:val="left"/>
        <w:rPr>
          <w:rFonts w:ascii="宋体" w:hAnsi="宋体" w:cs="宋体"/>
          <w:b/>
          <w:snapToGrid w:val="0"/>
          <w:color w:val="auto"/>
          <w:spacing w:val="4"/>
          <w:kern w:val="0"/>
          <w:sz w:val="24"/>
          <w:szCs w:val="24"/>
          <w:highlight w:val="none"/>
        </w:rPr>
      </w:pPr>
      <w:bookmarkStart w:id="67" w:name="_Toc14697681"/>
      <w:r>
        <w:rPr>
          <w:rFonts w:hint="eastAsia" w:ascii="宋体" w:hAnsi="宋体" w:cs="宋体"/>
          <w:b/>
          <w:snapToGrid w:val="0"/>
          <w:color w:val="auto"/>
          <w:spacing w:val="4"/>
          <w:kern w:val="0"/>
          <w:sz w:val="24"/>
          <w:szCs w:val="24"/>
          <w:highlight w:val="none"/>
        </w:rPr>
        <w:t>（七）投资控制要求</w:t>
      </w:r>
      <w:bookmarkEnd w:id="67"/>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1、承包人复核清单</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（1）投标单位应在招标阶段核对招标清单及图纸，在招标答疑中提出问题，确保工程过程中不漏项、不少量。</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（2）承包人须在中标后1个月内根据施工图纸编制施工图预算，提出施工图预算工程量与招标清单工程量之间的差异，并报监理单位和发包人审核备案，但不得因此而影响工程进度。</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（3）承包人在施工过程中必须严格执行发包人有关变更和签证的管理规定，遵循先审批后执行的原则。</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（4）对承包范围内需要深化设计图纸的，要求中标单位委托有相关资质的设计单位进行深化设计，造价不因图纸深化情况而调整，图纸需经过主体设计单位确认，深化设计费已包含在投标报价中；</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（5）对地质条件变化、地下障碍物的处理及排除风险作为施工风险由中标方承担。</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（6）投标单位需自行勘察现场，对施工现场与施工图纸的差异引起的工程量及施工技术措施承担风险。</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2、进度款支付申请准确性要求</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须协助发包人加强投资控制，每期申请进度款的计量计价应准确，进度款的申请应与主要材料设备采购计划相匹配，严禁虚报计量（承包人申报的进度款金额超出经监理人、发包人核实金额的10%，视为承包人虚报计量）或超前计量，否则严格按合同约定承担违约责任。</w:t>
      </w:r>
    </w:p>
    <w:p>
      <w:pPr>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在施工过程中发生的工程变更、工程签证等引起合同价款调增事件后，承包人未按合同约定办理变更工程预算审批的，则发包人有权根据实际情况决定是否调整合同价款以及调整的金额。</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3、对承包人劳务工资、分包工程款、材料设备款支付的审核及限制</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果发包人有要求，承包人应向发包人提供其对雇员劳务工资、分包人已完工程款以及材料和工程设备供应商贷款的支付凭证。如果承包人未能提供上述凭证，视为承包人未向雇员、分包人、供应商支付相关款项。</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发包人或监理人书面通知改正后的7 天内，承包人仍未采取措施补救的，发包人可实施下列工作：</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（1）立即停止向承包人支付应付的款项；</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（2）在相应支付期应付的工程款范围内，直接向雇员、分包人和材料设备供应商支付承包人应付的款项。发包人在实施上述工作后的 14 天内应以书面形式通知承包人，抄送监理人。监理人在签发下期进度款支付证书时，应扣除已由发包人直接支付的款项。由于上述工作原因发生的费用由承包人承担；给发包人造成损失的，承包人应予赔偿。</w:t>
      </w:r>
    </w:p>
    <w:p>
      <w:pPr>
        <w:keepNext/>
        <w:keepLines/>
        <w:spacing w:before="156" w:beforeLines="50" w:line="360" w:lineRule="auto"/>
        <w:jc w:val="left"/>
        <w:rPr>
          <w:rFonts w:ascii="宋体" w:hAnsi="宋体" w:cs="宋体"/>
          <w:b/>
          <w:snapToGrid w:val="0"/>
          <w:color w:val="auto"/>
          <w:spacing w:val="4"/>
          <w:kern w:val="0"/>
          <w:sz w:val="24"/>
          <w:szCs w:val="24"/>
          <w:highlight w:val="none"/>
        </w:rPr>
      </w:pPr>
      <w:bookmarkStart w:id="68" w:name="_Toc14697682"/>
      <w:r>
        <w:rPr>
          <w:rFonts w:hint="eastAsia" w:ascii="宋体" w:hAnsi="宋体" w:cs="宋体"/>
          <w:b/>
          <w:snapToGrid w:val="0"/>
          <w:color w:val="auto"/>
          <w:spacing w:val="4"/>
          <w:kern w:val="0"/>
          <w:sz w:val="24"/>
          <w:szCs w:val="24"/>
          <w:highlight w:val="none"/>
        </w:rPr>
        <w:t>（八）</w:t>
      </w:r>
      <w:bookmarkEnd w:id="68"/>
      <w:r>
        <w:rPr>
          <w:rFonts w:hint="eastAsia" w:ascii="宋体" w:hAnsi="宋体" w:cs="宋体"/>
          <w:b/>
          <w:snapToGrid w:val="0"/>
          <w:color w:val="auto"/>
          <w:spacing w:val="4"/>
          <w:kern w:val="0"/>
          <w:sz w:val="24"/>
          <w:szCs w:val="24"/>
          <w:highlight w:val="none"/>
        </w:rPr>
        <w:t>材料管理要求</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承包人在进场后21天内根据设计图纸及施工进度计划制定主要材料（钢材、商品砼等）设备采购计划，及时签订采购合同（签订供货合同的时间必须至少比第一批货物计划进场的时间提前两个月+备货期）。影响工程造价较大的大批量材料设备，承包人必须提前定制或锁定价格，否则由此引起的工期调整或价格调整，发包人有权不予批准。其中：</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（1）承包人及时编制原材料、设备的采购计划，落实原材料、设备采购协议，作为第一期工程进度款的支付条件之一；</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（2）主要材料设备的采购合同必须报发包人备案（具体需要备案的材料设备采购合同种类由发包人根据项目实际需要确定），作为涉及相应材料设备当期计量进度款的支付条件之一。</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2、承包人必确保在满足或优于招标文件（包括招标文件各专业主要设备材料技术参数）、招标图纸和相关规范要求的条件下采购主要材料设备。其中：</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（1）招标文件有推荐品牌范围的主要材料设备，原则上必须在推荐品牌范围内选用（具体见《主要设备材料品牌/生产厂家推荐表》）。承包人在中标后选用推荐品牌中的任一品牌，均不予调整其投标价。</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若承包人选用同等或优于推荐品牌的，在采购前必须经发包人审批同意，同时在看样定板前须提供同等或优于推荐品牌档次的证明材料报发包人审核，否则视为承包人自行更换品牌，按招标文件和合同规定承担违约责任。</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（3）招标文件没有推荐品牌范围的主要材料设备，承包人按中国名牌、国家免检产品、省知名品牌的顺序选定，同时须严格按照发包人看样定板的相关规定执行。</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无论发包人是否推荐品牌范围，所有用于本工程的材料设备必须严格按合同条款的约定进行检验、试验，确保材料设备质量。材料进场批次要与见证取样检测批次一致，否则，多出批次的检测费由承包人承担。本项目应进行节能、室内环境检测，需委托具有相应资质检测机构实施的相关工作。</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为加强本工程所使用的乙供材料设备的质量管理，确保承包人所选购的材料设备的质量、技术性能、款式、效果等方面满足设计和使用需求，所有主要材料设备在看样定板之前，发包人、使用业主、监理单位、设计单位有权对乙供材料设备厂家的生产能力、制造水平、生产工艺等方面进行综合考察评估，考核评估合格的方能采购。如经综合考察评估不合格，发包人有权在《主要设备材料品牌/生产厂家推荐表》中选择其他满足规定的材料厂家及品牌，经考核评估合格后予以选用，合同价款不作调整。</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承包人应在确定主要乙供材料设备供应商的7个工作日内，将供应商的清单明细（包括供应商的名称、联系人、联系电话、联系地址等）报监理单位和发包人备案。供应商须服从监理单位和发包人的管理，并按要求参加相关工作例会。</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6、承包人运入施工现场的材料、工程设备、施工设备以及在施工场地建设的临时设施，包括备品备件、安装工具与资料，必须专用于工程。未经发包人批准不得运出施工现场或挪作他用。</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深化设计图纸经主体设计单位(原设计单位)、监理人、发包人审核同意后，承包人应在10天内向监理人及发包人提出材料设备看样定板申请，并提供材料样板及相应的文件资料。发包人收到看样定板申请7天内，组织主体设计单位、监理人、承包人开会确定样板；开会确定样板后5天内，承包人组织主体设计单位、监理人、发包人对审批同意的乙供材料生产企业开展调查，调查的主要内容包括不限于企业的规模、企业的性质、企业的生产保证能力、企业的产品质量保证能力、材料生产工艺、原材料采购等相关内容，并最终确定厂家和实物样板。施工时承包人按样板采购使用材料(对装修装饰效果有重大影响，先进行样板间（段）的施工)。</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承包人应在深化设计图纸取得发包人审核确认后15天内向监理人、发包人报送所有材料的采购计划，并相应落实主要材料的采购合同，作为第一期工程进度款的支付条件之一。</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本招标项目材料设备严格执行国家及广东省、广州市关于材料设备见证抽检的各项规定。如出现某批次材料设备见证抽检不合格，承包人应将该批次材料设备全部清理出现场，已安装部分也须全部拆除、清理；每发生一次前述情形，承包人须按合同规定承担一次严重违约责任，并支付相关的违约金；对该类型材料设备在后续见证抽样检测时，将在规定的见证抽样数量、频率的基础上加倍，所需增加的检测费用由承包人自行承担。</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9、承包人进场14天内梳理需看样定板材料并编制材料看样定板计划，每一种材料提供不少于于三种品牌的质量证明材料，并提供实物样板。</w:t>
      </w:r>
    </w:p>
    <w:p>
      <w:pPr>
        <w:tabs>
          <w:tab w:val="left" w:pos="1320"/>
        </w:tabs>
        <w:spacing w:line="360" w:lineRule="auto"/>
        <w:ind w:firstLine="480" w:firstLineChars="200"/>
        <w:jc w:val="left"/>
        <w:rPr>
          <w:rFonts w:ascii="宋体" w:hAnsi="宋体" w:cs="宋体"/>
          <w:snapToGrid w:val="0"/>
          <w:color w:val="auto"/>
          <w:spacing w:val="4"/>
          <w:kern w:val="0"/>
          <w:sz w:val="24"/>
          <w:szCs w:val="24"/>
          <w:highlight w:val="none"/>
        </w:rPr>
      </w:pPr>
      <w:r>
        <w:rPr>
          <w:rFonts w:hint="eastAsia" w:ascii="宋体" w:hAnsi="宋体" w:cs="宋体"/>
          <w:color w:val="auto"/>
          <w:kern w:val="0"/>
          <w:sz w:val="24"/>
          <w:szCs w:val="24"/>
          <w:highlight w:val="none"/>
        </w:rPr>
        <w:t>10、承包人进场后立即根据设计文件要求对本工程施工所需的钢材、水泥、混凝土等先行进行资质申报。</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11、本项目主要设备材料品牌/生产厂家推荐表详见下表：</w:t>
      </w:r>
    </w:p>
    <w:p>
      <w:pPr>
        <w:spacing w:line="360" w:lineRule="auto"/>
        <w:jc w:val="center"/>
        <w:rPr>
          <w:rFonts w:ascii="宋体" w:hAnsi="宋体" w:cs="宋体"/>
          <w:b/>
          <w:bCs/>
          <w:snapToGrid w:val="0"/>
          <w:color w:val="auto"/>
          <w:spacing w:val="4"/>
          <w:sz w:val="24"/>
          <w:szCs w:val="24"/>
          <w:highlight w:val="none"/>
        </w:rPr>
      </w:pPr>
      <w:r>
        <w:rPr>
          <w:rFonts w:hint="eastAsia" w:ascii="宋体" w:hAnsi="宋体" w:cs="宋体"/>
          <w:b/>
          <w:bCs/>
          <w:snapToGrid w:val="0"/>
          <w:color w:val="auto"/>
          <w:spacing w:val="4"/>
          <w:sz w:val="24"/>
          <w:szCs w:val="24"/>
          <w:highlight w:val="none"/>
        </w:rPr>
        <w:t>主要设备材料品牌/生产厂家推荐表</w:t>
      </w:r>
    </w:p>
    <w:tbl>
      <w:tblPr>
        <w:tblStyle w:val="39"/>
        <w:tblpPr w:vertAnchor="text"/>
        <w:tblW w:w="82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36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序号</w:t>
            </w:r>
          </w:p>
        </w:tc>
        <w:tc>
          <w:tcPr>
            <w:tcW w:w="36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材料名称</w:t>
            </w:r>
          </w:p>
        </w:tc>
        <w:tc>
          <w:tcPr>
            <w:tcW w:w="360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厂家或品牌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一</w:t>
            </w:r>
          </w:p>
        </w:tc>
        <w:tc>
          <w:tcPr>
            <w:tcW w:w="36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土建与装饰材料</w:t>
            </w:r>
          </w:p>
        </w:tc>
        <w:tc>
          <w:tcPr>
            <w:tcW w:w="3600"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钢材</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广钢、韶钢、宝钢等同档次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地面瓷砖</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鹰牌、东鹏、马可波罗等同档次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墙面瓷砖</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白兔等同档次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366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环氧自流平、金钢砂</w:t>
            </w:r>
          </w:p>
        </w:tc>
        <w:tc>
          <w:tcPr>
            <w:tcW w:w="360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秀珀等同档次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防水卷材</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深圳卓宝、科顺、秀珀等同档次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滑升门</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上海北建、阔福(亚萨合莱)等同档次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铝合金门窗</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广铝、亚铝、凤铝+南玻＋白云胶等同档次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366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油漆</w:t>
            </w:r>
          </w:p>
        </w:tc>
        <w:tc>
          <w:tcPr>
            <w:tcW w:w="360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立邦、绅琪、多乐士等同档次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366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开窗机（电动）</w:t>
            </w:r>
          </w:p>
        </w:tc>
        <w:tc>
          <w:tcPr>
            <w:tcW w:w="360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创明、杜亚、威导等同档次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366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水泥</w:t>
            </w:r>
          </w:p>
        </w:tc>
        <w:tc>
          <w:tcPr>
            <w:tcW w:w="360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海螺、华润等同档次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钢质防火门</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蓝盾、南粤、宇宙等同档次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二</w:t>
            </w:r>
          </w:p>
        </w:tc>
        <w:tc>
          <w:tcPr>
            <w:tcW w:w="36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安装设备</w:t>
            </w:r>
          </w:p>
        </w:tc>
        <w:tc>
          <w:tcPr>
            <w:tcW w:w="3600"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高压配电柜开关元件</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ABB、施耐德、西门子等同档次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低压配电柜、配电箱开关元件</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ABB、施耐德、西门子等同档次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干式变压器</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海鸿等同档次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LED灯具</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雷士、西顿、TCL等同档次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插座、开关</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TCL、奇胜、施耐德等同档次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电气电缆、电线</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广州电缆厂、广东电缆厂、广州番禺电缆等同档次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网络线、弱电线缆</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TCL、天诚、安普等同档次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桥架、线槽、电气配管</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宏际、联塑、深联等同档次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钢管、钢塑复合管</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广钢、华捷、珠江等同档次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塑料给排水管</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联塑、日丰等同档次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虹吸雨水专用管</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汇通、圣腾等同档次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阀门、管件、法兰</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广州翔云、天津塘沽、越海等同档次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14</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消防水泵、潜水泵</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广一、白云泵业、上海熊猫等同档次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卫生器具</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鹰卫浴、箭牌、东鹏等同档次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17</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消防器材</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广东胜捷、川消、泰昌等同档次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18</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通风风机</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康美风、上虞风机、科风等同档次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19</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百叶、防火阀</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科创、耀安、上虞等同档次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20</w:t>
            </w:r>
          </w:p>
        </w:tc>
        <w:tc>
          <w:tcPr>
            <w:tcW w:w="366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发电机</w:t>
            </w:r>
          </w:p>
        </w:tc>
        <w:tc>
          <w:tcPr>
            <w:tcW w:w="360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康明斯等同档次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21</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货梯</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广日等同档次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8220" w:type="dxa"/>
            <w:gridSpan w:val="3"/>
            <w:vAlign w:val="center"/>
          </w:tcPr>
          <w:p>
            <w:pP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lang w:bidi="ar"/>
              </w:rPr>
              <w:tab/>
            </w:r>
            <w:r>
              <w:rPr>
                <w:rFonts w:hint="eastAsia" w:ascii="宋体" w:hAnsi="宋体" w:cs="宋体"/>
                <w:color w:val="auto"/>
                <w:sz w:val="24"/>
                <w:szCs w:val="24"/>
                <w:highlight w:val="none"/>
              </w:rPr>
              <w:t>以上品牌为参考品牌，可采用同档次更优产品</w:t>
            </w:r>
          </w:p>
          <w:p>
            <w:pPr>
              <w:widowControl/>
              <w:tabs>
                <w:tab w:val="left" w:pos="715"/>
              </w:tabs>
              <w:spacing w:line="360" w:lineRule="auto"/>
              <w:jc w:val="left"/>
              <w:textAlignment w:val="center"/>
              <w:rPr>
                <w:rFonts w:ascii="宋体" w:hAnsi="宋体" w:cs="宋体"/>
                <w:color w:val="auto"/>
                <w:kern w:val="0"/>
                <w:sz w:val="24"/>
                <w:szCs w:val="24"/>
                <w:highlight w:val="none"/>
                <w:lang w:bidi="ar"/>
              </w:rPr>
            </w:pPr>
          </w:p>
        </w:tc>
      </w:tr>
    </w:tbl>
    <w:p>
      <w:pPr>
        <w:topLinePunct/>
        <w:adjustRightInd w:val="0"/>
        <w:snapToGrid w:val="0"/>
        <w:spacing w:line="360" w:lineRule="auto"/>
        <w:ind w:firstLine="496" w:firstLineChars="20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12、材料采购的其他要求，详见合同条款相关约定。</w:t>
      </w:r>
    </w:p>
    <w:p>
      <w:pPr>
        <w:topLinePunct/>
        <w:adjustRightInd w:val="0"/>
        <w:snapToGrid w:val="0"/>
        <w:spacing w:line="360" w:lineRule="auto"/>
        <w:ind w:firstLine="496" w:firstLineChars="20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13、承包人及时提供材料检测数量，配合完成第三方检测方案。</w:t>
      </w:r>
    </w:p>
    <w:p>
      <w:pPr>
        <w:topLinePunct/>
        <w:adjustRightInd w:val="0"/>
        <w:snapToGrid w:val="0"/>
        <w:spacing w:line="360" w:lineRule="auto"/>
        <w:ind w:firstLine="496" w:firstLineChars="20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14、对重要工程材料、构配件、设备，承包人安排专人驻场跟踪，督促加工制作进度、质量，参与工序验收和出厂调试。</w:t>
      </w:r>
    </w:p>
    <w:p>
      <w:pPr>
        <w:keepNext/>
        <w:keepLines/>
        <w:spacing w:before="156" w:beforeLines="50" w:line="360" w:lineRule="auto"/>
        <w:jc w:val="left"/>
        <w:rPr>
          <w:rFonts w:ascii="宋体" w:hAnsi="宋体" w:cs="宋体"/>
          <w:b/>
          <w:snapToGrid w:val="0"/>
          <w:color w:val="auto"/>
          <w:spacing w:val="4"/>
          <w:kern w:val="0"/>
          <w:sz w:val="24"/>
          <w:szCs w:val="24"/>
          <w:highlight w:val="none"/>
        </w:rPr>
      </w:pPr>
      <w:bookmarkStart w:id="69" w:name="_Toc14697683"/>
      <w:r>
        <w:rPr>
          <w:rFonts w:hint="eastAsia" w:ascii="宋体" w:hAnsi="宋体" w:cs="宋体"/>
          <w:b/>
          <w:snapToGrid w:val="0"/>
          <w:color w:val="auto"/>
          <w:spacing w:val="4"/>
          <w:kern w:val="0"/>
          <w:sz w:val="24"/>
          <w:szCs w:val="24"/>
          <w:highlight w:val="none"/>
        </w:rPr>
        <w:t>（九）人员配置要求</w:t>
      </w:r>
      <w:bookmarkEnd w:id="69"/>
    </w:p>
    <w:p>
      <w:pPr>
        <w:topLinePunct/>
        <w:adjustRightInd w:val="0"/>
        <w:snapToGrid w:val="0"/>
        <w:spacing w:line="360" w:lineRule="auto"/>
        <w:ind w:firstLine="496" w:firstLineChars="20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1、要求施工单位进场即成立项目管理部负责工程现场施工管理工作。同时，为了确保在多单位交叉施工期间各专业施工队伍合理配合，有条不紊地开展施工，要求施工单位专门成立专职的团队负责履行施工总承包配合服务工作。</w:t>
      </w:r>
    </w:p>
    <w:p>
      <w:pPr>
        <w:topLinePunct/>
        <w:adjustRightInd w:val="0"/>
        <w:snapToGrid w:val="0"/>
        <w:spacing w:line="360" w:lineRule="auto"/>
        <w:ind w:firstLine="496" w:firstLineChars="20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2、要求组织对施工单位派驻现场的项目经理（项目负责人）的业务水平和技术水平进行面试考核。</w:t>
      </w:r>
    </w:p>
    <w:p>
      <w:pPr>
        <w:topLinePunct/>
        <w:adjustRightInd w:val="0"/>
        <w:snapToGrid w:val="0"/>
        <w:spacing w:line="360" w:lineRule="auto"/>
        <w:ind w:firstLine="496" w:firstLineChars="20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3、施工进场后1周之内，根据合同要求及现场实际情况，报审项目组织架构及项目人员组织实施计划。项目管理架构如需调整，需书面报监理单位及建设单位审核。</w:t>
      </w:r>
    </w:p>
    <w:p>
      <w:pPr>
        <w:topLinePunct/>
        <w:adjustRightIn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4、项目管理人员必须满足项目的配备要求，但根据工程的实施情况，如发现现场实施目标滞后于合同要求时，发包人可提出承包人增加相应的管理人员。</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5、承包人依法分包项目的分包负责人、材料设备供应商负责人应按监理人、发包人要求，参加工程例会。如无故缺席，应按合同约定承担违约责任。</w:t>
      </w:r>
    </w:p>
    <w:p>
      <w:pPr>
        <w:topLinePunct/>
        <w:adjustRightInd w:val="0"/>
        <w:spacing w:line="360" w:lineRule="auto"/>
        <w:ind w:firstLine="199" w:firstLineChars="80"/>
        <w:rPr>
          <w:rFonts w:ascii="宋体" w:hAnsi="宋体" w:cs="宋体"/>
          <w:b/>
          <w:snapToGrid w:val="0"/>
          <w:color w:val="auto"/>
          <w:spacing w:val="4"/>
          <w:sz w:val="24"/>
          <w:szCs w:val="24"/>
          <w:highlight w:val="none"/>
        </w:rPr>
      </w:pPr>
      <w:bookmarkStart w:id="70" w:name="_Toc14697684"/>
      <w:r>
        <w:rPr>
          <w:rFonts w:hint="eastAsia" w:ascii="宋体" w:hAnsi="宋体" w:cs="宋体"/>
          <w:b/>
          <w:snapToGrid w:val="0"/>
          <w:color w:val="auto"/>
          <w:spacing w:val="4"/>
          <w:kern w:val="0"/>
          <w:sz w:val="24"/>
          <w:szCs w:val="24"/>
          <w:highlight w:val="none"/>
        </w:rPr>
        <w:t>（十）</w:t>
      </w:r>
      <w:bookmarkEnd w:id="70"/>
      <w:r>
        <w:rPr>
          <w:rFonts w:hint="eastAsia" w:ascii="宋体" w:hAnsi="宋体" w:cs="宋体"/>
          <w:b/>
          <w:snapToGrid w:val="0"/>
          <w:color w:val="auto"/>
          <w:spacing w:val="4"/>
          <w:kern w:val="0"/>
          <w:sz w:val="24"/>
          <w:szCs w:val="24"/>
          <w:highlight w:val="none"/>
        </w:rPr>
        <w:t>主要机械设备配置及</w:t>
      </w:r>
      <w:bookmarkStart w:id="71" w:name="_Toc426030459"/>
      <w:bookmarkStart w:id="72" w:name="_Toc464131263"/>
      <w:bookmarkStart w:id="73" w:name="_Toc403566292"/>
      <w:r>
        <w:rPr>
          <w:rFonts w:hint="eastAsia" w:ascii="宋体" w:hAnsi="宋体" w:cs="宋体"/>
          <w:b/>
          <w:snapToGrid w:val="0"/>
          <w:color w:val="auto"/>
          <w:spacing w:val="4"/>
          <w:kern w:val="0"/>
          <w:sz w:val="24"/>
          <w:szCs w:val="24"/>
          <w:highlight w:val="none"/>
        </w:rPr>
        <w:t>管理要求</w:t>
      </w:r>
    </w:p>
    <w:bookmarkEnd w:id="71"/>
    <w:bookmarkEnd w:id="72"/>
    <w:bookmarkEnd w:id="73"/>
    <w:p>
      <w:pPr>
        <w:topLinePunct/>
        <w:adjustRightInd w:val="0"/>
        <w:spacing w:line="360" w:lineRule="auto"/>
        <w:ind w:firstLine="496" w:firstLineChars="200"/>
        <w:rPr>
          <w:rFonts w:ascii="宋体" w:hAnsi="宋体" w:cs="宋体"/>
          <w:snapToGrid w:val="0"/>
          <w:color w:val="auto"/>
          <w:spacing w:val="4"/>
          <w:sz w:val="24"/>
          <w:szCs w:val="24"/>
          <w:highlight w:val="none"/>
        </w:rPr>
      </w:pPr>
      <w:bookmarkStart w:id="74" w:name="_Hlk507788989"/>
      <w:r>
        <w:rPr>
          <w:rFonts w:hint="eastAsia" w:ascii="宋体" w:hAnsi="宋体" w:cs="宋体"/>
          <w:snapToGrid w:val="0"/>
          <w:color w:val="auto"/>
          <w:spacing w:val="4"/>
          <w:sz w:val="24"/>
          <w:szCs w:val="24"/>
          <w:highlight w:val="none"/>
        </w:rPr>
        <w:t>1、</w:t>
      </w:r>
      <w:bookmarkEnd w:id="74"/>
      <w:r>
        <w:rPr>
          <w:rFonts w:hint="eastAsia" w:ascii="宋体" w:hAnsi="宋体" w:cs="宋体"/>
          <w:snapToGrid w:val="0"/>
          <w:color w:val="auto"/>
          <w:spacing w:val="4"/>
          <w:sz w:val="24"/>
          <w:szCs w:val="24"/>
          <w:highlight w:val="none"/>
        </w:rPr>
        <w:t>投标人根据本项目工程的特点，结合本企业的实力和资源情况配备。</w:t>
      </w:r>
    </w:p>
    <w:p>
      <w:pPr>
        <w:topLinePunct/>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2、管理基本要求</w:t>
      </w:r>
    </w:p>
    <w:p>
      <w:pPr>
        <w:topLinePunct/>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（1）承包人进场后必须按合同约定时间提交机械设备进场计划，确保机械设备来源可靠，按期进场。</w:t>
      </w:r>
    </w:p>
    <w:p>
      <w:pPr>
        <w:topLinePunct/>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（2）承包人必须确保机械设备的性能良好，可正常使用。对于影响工程进度较大的主要机械设备，必须有一定备用量，确保在机械设备检修或维护期间，现场仍能正常施工，确保进度。</w:t>
      </w:r>
    </w:p>
    <w:p>
      <w:pPr>
        <w:topLinePunct/>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（3）为确保工程进度，承包人必须无条件增加机械设备的投入，除合同约定有赶工措施费外，发包人不另行增加相关费用。</w:t>
      </w:r>
    </w:p>
    <w:p>
      <w:pPr>
        <w:topLinePunct/>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（4）</w:t>
      </w:r>
      <w:r>
        <w:rPr>
          <w:rFonts w:hint="eastAsia" w:ascii="宋体" w:hAnsi="宋体" w:cs="宋体"/>
          <w:color w:val="auto"/>
          <w:sz w:val="24"/>
          <w:szCs w:val="24"/>
          <w:highlight w:val="none"/>
        </w:rPr>
        <w:t>为确保工程进度，承包人必须无条件增加机械设备的投入，除合同约定有赶工措施费外，发包人不另行增加相关费用。</w:t>
      </w:r>
    </w:p>
    <w:p>
      <w:pPr>
        <w:topLinePunct/>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（5）</w:t>
      </w:r>
      <w:r>
        <w:rPr>
          <w:rFonts w:hint="eastAsia" w:ascii="宋体" w:hAnsi="宋体" w:cs="宋体"/>
          <w:color w:val="auto"/>
          <w:sz w:val="24"/>
          <w:szCs w:val="24"/>
          <w:highlight w:val="none"/>
        </w:rPr>
        <w:t>根据市相关行政主管部门要求，工地扬尘及噪音控制必须配备相应的设备措施，承包人应根据具体施工组织方案确保投入。</w:t>
      </w:r>
    </w:p>
    <w:p>
      <w:pPr>
        <w:keepNext/>
        <w:keepLines/>
        <w:spacing w:line="360" w:lineRule="auto"/>
        <w:rPr>
          <w:rFonts w:ascii="宋体" w:hAnsi="宋体" w:cs="宋体"/>
          <w:b/>
          <w:snapToGrid w:val="0"/>
          <w:color w:val="auto"/>
          <w:spacing w:val="4"/>
          <w:kern w:val="0"/>
          <w:sz w:val="24"/>
          <w:szCs w:val="24"/>
          <w:highlight w:val="none"/>
        </w:rPr>
      </w:pPr>
      <w:bookmarkStart w:id="75" w:name="_Toc519689935"/>
      <w:bookmarkStart w:id="76" w:name="_Toc523742908"/>
      <w:r>
        <w:rPr>
          <w:rFonts w:hint="eastAsia" w:ascii="宋体" w:hAnsi="宋体" w:cs="宋体"/>
          <w:b/>
          <w:snapToGrid w:val="0"/>
          <w:color w:val="auto"/>
          <w:spacing w:val="4"/>
          <w:kern w:val="0"/>
          <w:sz w:val="24"/>
          <w:szCs w:val="24"/>
          <w:highlight w:val="none"/>
        </w:rPr>
        <w:t>（</w:t>
      </w:r>
      <w:bookmarkStart w:id="77" w:name="_Toc415757306"/>
      <w:r>
        <w:rPr>
          <w:rFonts w:hint="eastAsia" w:ascii="宋体" w:hAnsi="宋体" w:cs="宋体"/>
          <w:b/>
          <w:snapToGrid w:val="0"/>
          <w:color w:val="auto"/>
          <w:spacing w:val="4"/>
          <w:kern w:val="0"/>
          <w:sz w:val="24"/>
          <w:szCs w:val="24"/>
          <w:highlight w:val="none"/>
        </w:rPr>
        <w:t>十一）</w:t>
      </w:r>
      <w:bookmarkEnd w:id="75"/>
      <w:bookmarkEnd w:id="76"/>
      <w:bookmarkEnd w:id="77"/>
      <w:r>
        <w:rPr>
          <w:rFonts w:hint="eastAsia" w:ascii="宋体" w:hAnsi="宋体" w:cs="宋体"/>
          <w:b/>
          <w:snapToGrid w:val="0"/>
          <w:color w:val="auto"/>
          <w:spacing w:val="4"/>
          <w:kern w:val="0"/>
          <w:sz w:val="24"/>
          <w:szCs w:val="24"/>
          <w:highlight w:val="none"/>
        </w:rPr>
        <w:t>工程造价（结算）管理要求</w:t>
      </w:r>
    </w:p>
    <w:p>
      <w:pPr>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承包人应按发包人要求派出足够的、有能力的造价人员负责结算工作。若派出的造价人员不足或不能胜任结算工作，承包人应按发包人的要求及时更换，直至满足发包人要求为止。</w:t>
      </w:r>
    </w:p>
    <w:p>
      <w:pPr>
        <w:keepNext/>
        <w:keepLines/>
        <w:spacing w:line="360" w:lineRule="auto"/>
        <w:rPr>
          <w:rFonts w:ascii="宋体" w:hAnsi="宋体" w:cs="宋体"/>
          <w:b/>
          <w:snapToGrid w:val="0"/>
          <w:color w:val="auto"/>
          <w:spacing w:val="4"/>
          <w:kern w:val="0"/>
          <w:sz w:val="24"/>
          <w:szCs w:val="24"/>
          <w:highlight w:val="none"/>
        </w:rPr>
      </w:pPr>
      <w:r>
        <w:rPr>
          <w:rFonts w:hint="eastAsia" w:ascii="宋体" w:hAnsi="宋体" w:cs="宋体"/>
          <w:b/>
          <w:snapToGrid w:val="0"/>
          <w:color w:val="auto"/>
          <w:spacing w:val="4"/>
          <w:kern w:val="0"/>
          <w:sz w:val="24"/>
          <w:szCs w:val="24"/>
          <w:highlight w:val="none"/>
        </w:rPr>
        <w:t>（十二）其它要求及相关提示</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（一）施工期间承包人需确保设计、监理等单位办公生活区的正常办公及生活需求。</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（二）本工程完工后至房建施工单位进场前，本工程承包人应委派专人负责施工场地内的安保、监测、抽水、排水及日常维护等相关工作，相关的费用投标时综合考虑，不再另行计量、支付。</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（三）施工现场临设布置及配合服务主要内容</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临建搭设：承包人根据发包人的相关要求进行临设的布置，具体安排由监理单位管理、协调。承包人应在工程实施期间为发包人（含监理人）驻现场办公提供办公用房及相应配套设施的改造（配套设施应满足项目的实际需要）。实施前，承包人应编制施工方案报发包人审核，发包人审核同意后方可实施。</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承包人负责办理工程施工开工及验收所涉及报批报建、报装、报监、报验等各项手续的办理。包括但不限于施工许可、质量监督、安全监督、临时施工给排水、施工废弃物排放、特种设备安装告知和准用登记等许可手续施工许可证（或临时施工许可证）、占用（挖掘、移动、改建）城市市政设施的许可审批（包括新开或改建出入道路路口）、交通疏解及安全论证、余泥排放证、排污手续、给排水接驳、排水许可证、排污口规范化等，并承担办理上述手续的相关费用。</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3、材料堆场设置：承包人根据工程设计总平面布置图进行材料堆场的布置，具体安排由监理单位管理、协调。</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4、承包人负责现场安全保卫（包括且不限于办公区、生活区、现场门禁、视频监控等）、社区周边关系（包括且不限于环保、环卫、城管、街道、安监、公安、交警等部门）协调等现场综合管理；</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5、承包人负责现场公共临时设施（包括且不限于应急发电机、施工临时消防设施、施工临时排水等）、公共安全防护和文明施工设施的管理及维护。</w:t>
      </w:r>
    </w:p>
    <w:p>
      <w:pPr>
        <w:spacing w:line="360" w:lineRule="auto"/>
        <w:rPr>
          <w:rFonts w:ascii="宋体" w:hAnsi="宋体" w:cs="宋体"/>
          <w:color w:val="auto"/>
          <w:sz w:val="24"/>
          <w:szCs w:val="24"/>
          <w:highlight w:val="none"/>
        </w:rPr>
      </w:pPr>
    </w:p>
    <w:p>
      <w:pPr>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三、施工组织设计要点</w:t>
      </w:r>
    </w:p>
    <w:p>
      <w:pPr>
        <w:topLinePunct/>
        <w:adjustRightInd w:val="0"/>
        <w:snapToGrid w:val="0"/>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由承包人有针对性的描述，各部分文字直接简炼，不得出现大量宣传性及无实质性意义或直接引用范本照搬照套的文字。</w:t>
      </w:r>
    </w:p>
    <w:p>
      <w:pPr>
        <w:topLinePunct/>
        <w:adjustRightInd w:val="0"/>
        <w:snapToGrid w:val="0"/>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施工组织设计包括但不限于以下方面内容：</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（一）工程概况</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（二）项目实施条件分析</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（三）项目管理目标</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（四）项目组织结构</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（五）现场管理和施工总平面图</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（六）施工部署和施工准备工作</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1、项目管理总体安排；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2、施工和管理人员的准备和拟投入的最高人数和平均人数；</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3、施工现场准备和施工程序；</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4、施工准备工作组织和时间安排。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（七）专项施工方案</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（八）施工技术组织措施计划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1、施工总进度计划和单项工程施工进度计划。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2、保证进度的措施；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3、保证质量的措施；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4、安全文明施工保证措施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5、保证环境的措施；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6、成品保护措施。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以上各项措施应包括技术措施、组织措施、经济措施及合同措施。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（九）资源供应保障计划；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1、劳动力需求计划；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2、主要材料和周转材料需求计划；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3、主要机械设备及大型工具、器具需求计划；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4、资金使用计划；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5、材料设备供应保障措施。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（十）应急预案</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结合项目特点，分析辨识危险源（包括安全风险、因不可抗力影响进度的风险等），预测可能出现的险情及紧急情况，并有针对性的提出相应的应急预案，该应急预案应明确应急领导小组成员名单及分工，应急抢险材料、物资、机械设备（包括备品、备件等）的准备和保证措施等。</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（十一）信息管理</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1、与项目组织相适应的信息流通系统；</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2、与招标人的项目信息管理处理系统软硬件相配套的资源配置；</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3、信息管理实施规划。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（十二）竣工验收组织方案、竣工资料整理移交及竣工备案工作方案、竣工结算组织方案。</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（十三）分包管理方案</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包括分包方案（分包资质、业绩、人员、本地化服务能力）、分包管理（质量管理、进度管理、安全文明施工管理、材料设备管理、工程档案管理等）</w:t>
      </w:r>
    </w:p>
    <w:p>
      <w:pPr>
        <w:spacing w:line="360" w:lineRule="auto"/>
        <w:rPr>
          <w:rFonts w:ascii="宋体" w:hAnsi="宋体" w:cs="宋体"/>
          <w:color w:val="auto"/>
          <w:sz w:val="24"/>
          <w:szCs w:val="24"/>
          <w:highlight w:val="none"/>
        </w:rPr>
      </w:pPr>
      <w:r>
        <w:rPr>
          <w:rFonts w:hint="eastAsia" w:ascii="宋体" w:hAnsi="宋体" w:cs="宋体"/>
          <w:snapToGrid w:val="0"/>
          <w:color w:val="auto"/>
          <w:spacing w:val="4"/>
          <w:sz w:val="24"/>
          <w:szCs w:val="24"/>
          <w:highlight w:val="none"/>
        </w:rPr>
        <w:t>（十四）其他。</w:t>
      </w:r>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p>
    <w:p>
      <w:pPr>
        <w:pStyle w:val="132"/>
        <w:widowControl/>
        <w:ind w:firstLineChars="0"/>
        <w:jc w:val="left"/>
        <w:rPr>
          <w:rFonts w:ascii="宋体" w:hAnsi="宋体" w:cs="宋体"/>
          <w:color w:val="auto"/>
          <w:highlight w:val="none"/>
        </w:rPr>
      </w:pPr>
    </w:p>
    <w:p>
      <w:pPr>
        <w:pStyle w:val="132"/>
        <w:widowControl/>
        <w:ind w:firstLineChars="0"/>
        <w:jc w:val="left"/>
        <w:rPr>
          <w:rFonts w:ascii="宋体" w:hAnsi="宋体" w:cs="宋体"/>
          <w:color w:val="auto"/>
          <w:highlight w:val="none"/>
        </w:rPr>
      </w:pPr>
    </w:p>
    <w:p>
      <w:pPr>
        <w:pStyle w:val="132"/>
        <w:widowControl/>
        <w:tabs>
          <w:tab w:val="left" w:pos="6105"/>
        </w:tabs>
        <w:ind w:firstLineChars="0"/>
        <w:jc w:val="left"/>
        <w:rPr>
          <w:rFonts w:ascii="宋体" w:hAnsi="宋体" w:cs="宋体"/>
          <w:color w:val="auto"/>
          <w:highlight w:val="none"/>
        </w:rPr>
      </w:pPr>
      <w:r>
        <w:rPr>
          <w:rFonts w:hint="eastAsia" w:ascii="宋体" w:hAnsi="宋体" w:cs="宋体"/>
          <w:color w:val="auto"/>
          <w:highlight w:val="none"/>
        </w:rPr>
        <w:tab/>
      </w:r>
    </w:p>
    <w:p>
      <w:pPr>
        <w:pStyle w:val="3"/>
        <w:jc w:val="center"/>
        <w:rPr>
          <w:rFonts w:ascii="宋体" w:hAnsi="宋体" w:cs="宋体"/>
          <w:color w:val="auto"/>
          <w:highlight w:val="none"/>
        </w:rPr>
      </w:pPr>
      <w:r>
        <w:rPr>
          <w:rFonts w:hint="eastAsia" w:ascii="宋体" w:hAnsi="宋体" w:cs="宋体"/>
          <w:color w:val="auto"/>
          <w:highlight w:val="none"/>
        </w:rPr>
        <w:br w:type="page"/>
      </w:r>
      <w:bookmarkEnd w:id="44"/>
      <w:bookmarkEnd w:id="45"/>
      <w:bookmarkEnd w:id="46"/>
      <w:bookmarkEnd w:id="47"/>
      <w:bookmarkEnd w:id="48"/>
      <w:bookmarkStart w:id="78" w:name="_Toc17006"/>
      <w:r>
        <w:rPr>
          <w:rFonts w:hint="eastAsia" w:ascii="宋体" w:hAnsi="宋体" w:cs="宋体"/>
          <w:color w:val="auto"/>
          <w:sz w:val="32"/>
          <w:szCs w:val="32"/>
          <w:highlight w:val="none"/>
        </w:rPr>
        <w:t>第六章  图纸及勘察资料</w:t>
      </w:r>
      <w:bookmarkEnd w:id="78"/>
    </w:p>
    <w:p>
      <w:pPr>
        <w:jc w:val="center"/>
        <w:rPr>
          <w:rFonts w:ascii="宋体" w:hAnsi="宋体" w:cs="宋体"/>
          <w:b/>
          <w:color w:val="auto"/>
          <w:sz w:val="28"/>
          <w:szCs w:val="28"/>
          <w:highlight w:val="none"/>
        </w:rPr>
      </w:pPr>
      <w:r>
        <w:rPr>
          <w:rFonts w:hint="eastAsia" w:ascii="宋体" w:hAnsi="宋体" w:cs="宋体"/>
          <w:color w:val="auto"/>
          <w:sz w:val="28"/>
          <w:szCs w:val="28"/>
          <w:highlight w:val="none"/>
        </w:rPr>
        <w:t>另册。</w:t>
      </w:r>
    </w:p>
    <w:p>
      <w:pPr>
        <w:pStyle w:val="3"/>
        <w:jc w:val="center"/>
        <w:rPr>
          <w:rFonts w:ascii="宋体" w:hAnsi="宋体" w:cs="宋体"/>
          <w:color w:val="auto"/>
          <w:highlight w:val="none"/>
        </w:rPr>
      </w:pPr>
      <w:r>
        <w:rPr>
          <w:rFonts w:hint="eastAsia" w:ascii="宋体" w:hAnsi="宋体" w:cs="宋体"/>
          <w:color w:val="auto"/>
          <w:sz w:val="24"/>
          <w:szCs w:val="24"/>
          <w:highlight w:val="none"/>
        </w:rPr>
        <w:br w:type="page"/>
      </w:r>
      <w:bookmarkStart w:id="79" w:name="_Toc2247"/>
      <w:r>
        <w:rPr>
          <w:rFonts w:hint="eastAsia" w:ascii="宋体" w:hAnsi="宋体" w:cs="宋体"/>
          <w:color w:val="auto"/>
          <w:sz w:val="32"/>
          <w:szCs w:val="32"/>
          <w:highlight w:val="none"/>
        </w:rPr>
        <w:t>第七章  工程量清单</w:t>
      </w:r>
      <w:bookmarkEnd w:id="79"/>
    </w:p>
    <w:p>
      <w:pPr>
        <w:jc w:val="center"/>
        <w:rPr>
          <w:rFonts w:ascii="宋体" w:hAnsi="宋体" w:cs="宋体"/>
          <w:b/>
          <w:color w:val="auto"/>
          <w:sz w:val="28"/>
          <w:szCs w:val="28"/>
          <w:highlight w:val="none"/>
        </w:rPr>
      </w:pPr>
      <w:r>
        <w:rPr>
          <w:rFonts w:hint="eastAsia" w:ascii="宋体" w:hAnsi="宋体" w:cs="宋体"/>
          <w:color w:val="auto"/>
          <w:sz w:val="28"/>
          <w:szCs w:val="28"/>
          <w:highlight w:val="none"/>
        </w:rPr>
        <w:t>另册。</w:t>
      </w:r>
    </w:p>
    <w:p>
      <w:pPr>
        <w:rPr>
          <w:rFonts w:ascii="宋体" w:hAnsi="宋体" w:cs="宋体"/>
          <w:color w:val="auto"/>
          <w:sz w:val="24"/>
          <w:highlight w:val="none"/>
        </w:rPr>
      </w:pPr>
      <w:r>
        <w:rPr>
          <w:rFonts w:hint="eastAsia" w:ascii="宋体" w:hAnsi="宋体" w:cs="宋体"/>
          <w:color w:val="auto"/>
          <w:sz w:val="24"/>
          <w:highlight w:val="none"/>
        </w:rPr>
        <w:br w:type="page"/>
      </w:r>
    </w:p>
    <w:p>
      <w:pPr>
        <w:pStyle w:val="5"/>
        <w:spacing w:after="0" w:line="360" w:lineRule="auto"/>
        <w:ind w:left="-2" w:leftChars="-1" w:firstLine="960" w:firstLineChars="400"/>
        <w:rPr>
          <w:rFonts w:ascii="宋体" w:hAnsi="宋体" w:cs="宋体"/>
          <w:color w:val="auto"/>
          <w:sz w:val="24"/>
          <w:highlight w:val="none"/>
        </w:rPr>
      </w:pPr>
    </w:p>
    <w:p>
      <w:pPr>
        <w:pStyle w:val="3"/>
        <w:jc w:val="center"/>
        <w:rPr>
          <w:rFonts w:ascii="宋体" w:hAnsi="宋体" w:cs="宋体"/>
          <w:color w:val="auto"/>
          <w:sz w:val="32"/>
          <w:szCs w:val="32"/>
          <w:highlight w:val="none"/>
        </w:rPr>
      </w:pPr>
      <w:bookmarkStart w:id="80" w:name="_Toc10163"/>
      <w:r>
        <w:rPr>
          <w:rFonts w:hint="eastAsia" w:ascii="宋体" w:hAnsi="宋体" w:cs="宋体"/>
          <w:color w:val="auto"/>
          <w:sz w:val="32"/>
          <w:szCs w:val="32"/>
          <w:highlight w:val="none"/>
        </w:rPr>
        <w:t>第八章  最高投标限价</w:t>
      </w:r>
      <w:bookmarkEnd w:id="80"/>
    </w:p>
    <w:p>
      <w:pPr>
        <w:jc w:val="center"/>
        <w:rPr>
          <w:rFonts w:ascii="宋体" w:hAnsi="宋体" w:cs="宋体"/>
          <w:b/>
          <w:color w:val="auto"/>
          <w:sz w:val="28"/>
          <w:szCs w:val="28"/>
          <w:highlight w:val="none"/>
        </w:rPr>
      </w:pPr>
      <w:r>
        <w:rPr>
          <w:rFonts w:hint="eastAsia" w:ascii="宋体" w:hAnsi="宋体" w:cs="宋体"/>
          <w:color w:val="auto"/>
          <w:sz w:val="28"/>
          <w:szCs w:val="28"/>
          <w:highlight w:val="none"/>
        </w:rPr>
        <w:t>另册。</w:t>
      </w:r>
    </w:p>
    <w:p>
      <w:pPr>
        <w:rPr>
          <w:rFonts w:ascii="宋体" w:hAnsi="宋体" w:cs="宋体"/>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alisto MT">
    <w:panose1 w:val="02040603050505030304"/>
    <w:charset w:val="00"/>
    <w:family w:val="roman"/>
    <w:pitch w:val="default"/>
    <w:sig w:usb0="00000003" w:usb1="00000000" w:usb2="00000000" w:usb3="00000000" w:csb0="20000001" w:csb1="00000000"/>
  </w:font>
  <w:font w:name="方正书宋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jc w:val="right"/>
      <w:rPr>
        <w:rStyle w:val="44"/>
      </w:rPr>
    </w:pPr>
    <w:r>
      <w:fldChar w:fldCharType="begin"/>
    </w:r>
    <w:r>
      <w:rPr>
        <w:rStyle w:val="44"/>
      </w:rPr>
      <w:instrText xml:space="preserve">PAGE  </w:instrText>
    </w:r>
    <w:r>
      <w:fldChar w:fldCharType="separate"/>
    </w:r>
    <w:r>
      <w:rPr>
        <w:rStyle w:val="44"/>
      </w:rPr>
      <w:t>50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rPr>
        <w:rStyle w:val="44"/>
      </w:rPr>
    </w:pPr>
    <w:r>
      <w:fldChar w:fldCharType="begin"/>
    </w:r>
    <w:r>
      <w:rPr>
        <w:rStyle w:val="44"/>
      </w:rPr>
      <w:instrText xml:space="preserve">PAGE  </w:instrText>
    </w:r>
    <w:r>
      <w:fldChar w:fldCharType="separate"/>
    </w:r>
    <w:r>
      <w:rPr>
        <w:rStyle w:val="44"/>
        <w:rFonts w:hint="eastAsia"/>
      </w:rPr>
      <w:t>一</w:t>
    </w:r>
    <w:r>
      <w:rPr>
        <w:rStyle w:val="44"/>
      </w:rPr>
      <w:t>–2</w:t>
    </w:r>
    <w:r>
      <w:fldChar w:fldCharType="end"/>
    </w:r>
  </w:p>
  <w:p>
    <w:pPr>
      <w:pStyle w:val="27"/>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pPr>
    <w:r>
      <w:fldChar w:fldCharType="begin"/>
    </w:r>
    <w:r>
      <w:rPr>
        <w:rStyle w:val="44"/>
      </w:rPr>
      <w:instrText xml:space="preserve"> PAGE </w:instrText>
    </w:r>
    <w:r>
      <w:fldChar w:fldCharType="separate"/>
    </w:r>
    <w:r>
      <w:rPr>
        <w:rStyle w:val="44"/>
      </w:rPr>
      <w:t>48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jc w:val="center"/>
      <w:rPr>
        <w:rStyle w:val="44"/>
      </w:rPr>
    </w:pPr>
    <w:r>
      <w:fldChar w:fldCharType="begin"/>
    </w:r>
    <w:r>
      <w:rPr>
        <w:rStyle w:val="44"/>
      </w:rPr>
      <w:instrText xml:space="preserve">PAGE  </w:instrText>
    </w:r>
    <w:r>
      <w:fldChar w:fldCharType="separate"/>
    </w:r>
    <w:r>
      <w:rPr>
        <w:rStyle w:val="44"/>
      </w:rPr>
      <w:t>69</w:t>
    </w:r>
    <w:r>
      <w:fldChar w:fldCharType="end"/>
    </w:r>
  </w:p>
  <w:p>
    <w:pPr>
      <w:pStyle w:val="27"/>
      <w:framePr w:wrap="around" w:vAnchor="text" w:hAnchor="margin" w:xAlign="outside" w:y="1"/>
      <w:ind w:left="-4410" w:leftChars="-2100" w:right="-4439" w:rightChars="-2114"/>
      <w:rPr>
        <w:rStyle w:val="44"/>
      </w:rPr>
    </w:pPr>
  </w:p>
  <w:p>
    <w:pPr>
      <w:pStyle w:val="27"/>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rPr>
        <w:rStyle w:val="44"/>
      </w:rPr>
      <w:instrText xml:space="preserve"> PAGE </w:instrText>
    </w:r>
    <w:r>
      <w:fldChar w:fldCharType="separate"/>
    </w:r>
    <w:r>
      <w:rPr>
        <w:rStyle w:val="44"/>
      </w:rPr>
      <w:t>51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0DE5A"/>
    <w:multiLevelType w:val="singleLevel"/>
    <w:tmpl w:val="83F0DE5A"/>
    <w:lvl w:ilvl="0" w:tentative="0">
      <w:start w:val="1"/>
      <w:numFmt w:val="decimal"/>
      <w:suff w:val="nothing"/>
      <w:lvlText w:val="（%1）"/>
      <w:lvlJc w:val="left"/>
    </w:lvl>
  </w:abstractNum>
  <w:abstractNum w:abstractNumId="1">
    <w:nsid w:val="E9D2CB9F"/>
    <w:multiLevelType w:val="singleLevel"/>
    <w:tmpl w:val="E9D2CB9F"/>
    <w:lvl w:ilvl="0" w:tentative="0">
      <w:start w:val="2"/>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259905B5"/>
    <w:multiLevelType w:val="multilevel"/>
    <w:tmpl w:val="259905B5"/>
    <w:lvl w:ilvl="0" w:tentative="0">
      <w:start w:val="1"/>
      <w:numFmt w:val="chineseCountingThousand"/>
      <w:pStyle w:val="11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10"/>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5">
    <w:nsid w:val="5DBF4C3C"/>
    <w:multiLevelType w:val="singleLevel"/>
    <w:tmpl w:val="5DBF4C3C"/>
    <w:lvl w:ilvl="0" w:tentative="0">
      <w:start w:val="1"/>
      <w:numFmt w:val="chineseCounting"/>
      <w:suff w:val="space"/>
      <w:lvlText w:val="%1、"/>
      <w:lvlJc w:val="left"/>
      <w:pPr>
        <w:ind w:left="210"/>
      </w:pPr>
      <w:rPr>
        <w:rFonts w:hint="eastAsia"/>
      </w:rPr>
    </w:lvl>
  </w:abstractNum>
  <w:abstractNum w:abstractNumId="6">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ZDdhYmVjZTVmYjE1NWI1NWJiMWVjNjNhNDZiOTAifQ=="/>
  </w:docVars>
  <w:rsids>
    <w:rsidRoot w:val="00172A27"/>
    <w:rsid w:val="00005D13"/>
    <w:rsid w:val="0001289E"/>
    <w:rsid w:val="00015EC9"/>
    <w:rsid w:val="00020941"/>
    <w:rsid w:val="00026495"/>
    <w:rsid w:val="00030D9C"/>
    <w:rsid w:val="00041F74"/>
    <w:rsid w:val="000759EE"/>
    <w:rsid w:val="00076695"/>
    <w:rsid w:val="00085996"/>
    <w:rsid w:val="00094870"/>
    <w:rsid w:val="000A7196"/>
    <w:rsid w:val="000B7EB3"/>
    <w:rsid w:val="000C024B"/>
    <w:rsid w:val="000C5828"/>
    <w:rsid w:val="000D4EA9"/>
    <w:rsid w:val="000E2149"/>
    <w:rsid w:val="00100D96"/>
    <w:rsid w:val="00107946"/>
    <w:rsid w:val="00113A64"/>
    <w:rsid w:val="00117AE4"/>
    <w:rsid w:val="00135762"/>
    <w:rsid w:val="00135891"/>
    <w:rsid w:val="00153E1B"/>
    <w:rsid w:val="00172A27"/>
    <w:rsid w:val="00184CD6"/>
    <w:rsid w:val="00192113"/>
    <w:rsid w:val="001A3A7C"/>
    <w:rsid w:val="001B1978"/>
    <w:rsid w:val="001C1F9B"/>
    <w:rsid w:val="001C5C3C"/>
    <w:rsid w:val="001D2863"/>
    <w:rsid w:val="001E4DCF"/>
    <w:rsid w:val="002025B5"/>
    <w:rsid w:val="00224B37"/>
    <w:rsid w:val="002411B9"/>
    <w:rsid w:val="00261BD4"/>
    <w:rsid w:val="00274290"/>
    <w:rsid w:val="002961F1"/>
    <w:rsid w:val="002A65EC"/>
    <w:rsid w:val="002E5C2F"/>
    <w:rsid w:val="002E5ECA"/>
    <w:rsid w:val="00315A54"/>
    <w:rsid w:val="00324B89"/>
    <w:rsid w:val="0032745C"/>
    <w:rsid w:val="0033362B"/>
    <w:rsid w:val="00341969"/>
    <w:rsid w:val="0034431F"/>
    <w:rsid w:val="0038792B"/>
    <w:rsid w:val="003907F7"/>
    <w:rsid w:val="00393E76"/>
    <w:rsid w:val="003951C5"/>
    <w:rsid w:val="003C1C8E"/>
    <w:rsid w:val="003E0A8F"/>
    <w:rsid w:val="004306DE"/>
    <w:rsid w:val="00434B33"/>
    <w:rsid w:val="00462D80"/>
    <w:rsid w:val="00492BCF"/>
    <w:rsid w:val="004A2237"/>
    <w:rsid w:val="004A7C38"/>
    <w:rsid w:val="004B1BD5"/>
    <w:rsid w:val="004E1274"/>
    <w:rsid w:val="004E3FE5"/>
    <w:rsid w:val="00523CF8"/>
    <w:rsid w:val="00534947"/>
    <w:rsid w:val="0055109D"/>
    <w:rsid w:val="00591DB5"/>
    <w:rsid w:val="0059302E"/>
    <w:rsid w:val="005A0693"/>
    <w:rsid w:val="005B579D"/>
    <w:rsid w:val="005C489A"/>
    <w:rsid w:val="005D2EE2"/>
    <w:rsid w:val="00604E15"/>
    <w:rsid w:val="00605397"/>
    <w:rsid w:val="0063155F"/>
    <w:rsid w:val="006335E3"/>
    <w:rsid w:val="0063385C"/>
    <w:rsid w:val="006508AB"/>
    <w:rsid w:val="00675E5C"/>
    <w:rsid w:val="006B6B0D"/>
    <w:rsid w:val="00700508"/>
    <w:rsid w:val="00704AB7"/>
    <w:rsid w:val="00713FB4"/>
    <w:rsid w:val="007262C3"/>
    <w:rsid w:val="00735360"/>
    <w:rsid w:val="007443D5"/>
    <w:rsid w:val="007632B6"/>
    <w:rsid w:val="007646C8"/>
    <w:rsid w:val="00775409"/>
    <w:rsid w:val="007756C4"/>
    <w:rsid w:val="007807D9"/>
    <w:rsid w:val="007B0B3C"/>
    <w:rsid w:val="007B41BE"/>
    <w:rsid w:val="007D6A53"/>
    <w:rsid w:val="0080488F"/>
    <w:rsid w:val="00805998"/>
    <w:rsid w:val="00824E3E"/>
    <w:rsid w:val="00831E6E"/>
    <w:rsid w:val="00834F89"/>
    <w:rsid w:val="008457C9"/>
    <w:rsid w:val="0085034F"/>
    <w:rsid w:val="008635D8"/>
    <w:rsid w:val="008836D8"/>
    <w:rsid w:val="008A67E2"/>
    <w:rsid w:val="008D39D0"/>
    <w:rsid w:val="008F4AB4"/>
    <w:rsid w:val="00900FF4"/>
    <w:rsid w:val="00905BAA"/>
    <w:rsid w:val="0090600B"/>
    <w:rsid w:val="009234FB"/>
    <w:rsid w:val="00944D5C"/>
    <w:rsid w:val="00957A32"/>
    <w:rsid w:val="009871C3"/>
    <w:rsid w:val="009B2D84"/>
    <w:rsid w:val="009C2C75"/>
    <w:rsid w:val="009C56C0"/>
    <w:rsid w:val="009D2D51"/>
    <w:rsid w:val="009D66E1"/>
    <w:rsid w:val="00A16E0F"/>
    <w:rsid w:val="00A73120"/>
    <w:rsid w:val="00A86462"/>
    <w:rsid w:val="00AB6AAA"/>
    <w:rsid w:val="00AC2B3B"/>
    <w:rsid w:val="00AC37D5"/>
    <w:rsid w:val="00AE160C"/>
    <w:rsid w:val="00AE1AC3"/>
    <w:rsid w:val="00AE1D40"/>
    <w:rsid w:val="00AE3BAB"/>
    <w:rsid w:val="00AF2557"/>
    <w:rsid w:val="00B01DB6"/>
    <w:rsid w:val="00B144AC"/>
    <w:rsid w:val="00B210BE"/>
    <w:rsid w:val="00B236C9"/>
    <w:rsid w:val="00B23E5D"/>
    <w:rsid w:val="00B37967"/>
    <w:rsid w:val="00B429B2"/>
    <w:rsid w:val="00B73135"/>
    <w:rsid w:val="00B7711F"/>
    <w:rsid w:val="00B85EB6"/>
    <w:rsid w:val="00B86FDC"/>
    <w:rsid w:val="00BA1FE0"/>
    <w:rsid w:val="00BC2B4D"/>
    <w:rsid w:val="00BC6A43"/>
    <w:rsid w:val="00C27837"/>
    <w:rsid w:val="00C408D3"/>
    <w:rsid w:val="00C44F2E"/>
    <w:rsid w:val="00C53C2F"/>
    <w:rsid w:val="00C62A97"/>
    <w:rsid w:val="00C8237C"/>
    <w:rsid w:val="00C95251"/>
    <w:rsid w:val="00C96388"/>
    <w:rsid w:val="00CA3057"/>
    <w:rsid w:val="00CA48AA"/>
    <w:rsid w:val="00CA6851"/>
    <w:rsid w:val="00D50F19"/>
    <w:rsid w:val="00D7074B"/>
    <w:rsid w:val="00D72F7B"/>
    <w:rsid w:val="00D9177E"/>
    <w:rsid w:val="00DB774A"/>
    <w:rsid w:val="00DE0E55"/>
    <w:rsid w:val="00E14F29"/>
    <w:rsid w:val="00E15E33"/>
    <w:rsid w:val="00E36CB2"/>
    <w:rsid w:val="00E56493"/>
    <w:rsid w:val="00E64487"/>
    <w:rsid w:val="00E6639E"/>
    <w:rsid w:val="00E94D22"/>
    <w:rsid w:val="00EB0F85"/>
    <w:rsid w:val="00EF2B3A"/>
    <w:rsid w:val="00EF2C5A"/>
    <w:rsid w:val="00F053A1"/>
    <w:rsid w:val="00F136F3"/>
    <w:rsid w:val="00F16648"/>
    <w:rsid w:val="00F16847"/>
    <w:rsid w:val="00F22375"/>
    <w:rsid w:val="00F24BE4"/>
    <w:rsid w:val="00F50B3D"/>
    <w:rsid w:val="00F73E07"/>
    <w:rsid w:val="00F82701"/>
    <w:rsid w:val="00F840D3"/>
    <w:rsid w:val="00F871EC"/>
    <w:rsid w:val="00F967BD"/>
    <w:rsid w:val="00F9704C"/>
    <w:rsid w:val="00FA77DD"/>
    <w:rsid w:val="00FD2749"/>
    <w:rsid w:val="00FD3F21"/>
    <w:rsid w:val="00FD60F6"/>
    <w:rsid w:val="00FE2126"/>
    <w:rsid w:val="00FF2A13"/>
    <w:rsid w:val="00FF4B98"/>
    <w:rsid w:val="010074D2"/>
    <w:rsid w:val="010F3B4F"/>
    <w:rsid w:val="013A16E3"/>
    <w:rsid w:val="016E1B67"/>
    <w:rsid w:val="01904305"/>
    <w:rsid w:val="019127B6"/>
    <w:rsid w:val="019A0A09"/>
    <w:rsid w:val="01A0487B"/>
    <w:rsid w:val="01AC056F"/>
    <w:rsid w:val="01BF523B"/>
    <w:rsid w:val="01C268D3"/>
    <w:rsid w:val="01CB67AC"/>
    <w:rsid w:val="01EA1FC0"/>
    <w:rsid w:val="01EF572E"/>
    <w:rsid w:val="02130FD6"/>
    <w:rsid w:val="02220C44"/>
    <w:rsid w:val="022E6257"/>
    <w:rsid w:val="023E3B2A"/>
    <w:rsid w:val="024209B9"/>
    <w:rsid w:val="024E62CB"/>
    <w:rsid w:val="02536E58"/>
    <w:rsid w:val="026A065D"/>
    <w:rsid w:val="02701A1B"/>
    <w:rsid w:val="02717394"/>
    <w:rsid w:val="02735C7D"/>
    <w:rsid w:val="02AE5769"/>
    <w:rsid w:val="02B212CA"/>
    <w:rsid w:val="02C7348C"/>
    <w:rsid w:val="02CE72B4"/>
    <w:rsid w:val="02D15574"/>
    <w:rsid w:val="02D23086"/>
    <w:rsid w:val="02D40EFC"/>
    <w:rsid w:val="02DC5CB3"/>
    <w:rsid w:val="02E10537"/>
    <w:rsid w:val="02E15364"/>
    <w:rsid w:val="02E75FB9"/>
    <w:rsid w:val="02EB5511"/>
    <w:rsid w:val="02F230FA"/>
    <w:rsid w:val="02F95075"/>
    <w:rsid w:val="031A2FE6"/>
    <w:rsid w:val="03274EAB"/>
    <w:rsid w:val="032F672A"/>
    <w:rsid w:val="032F7263"/>
    <w:rsid w:val="033D4F2C"/>
    <w:rsid w:val="033F3C93"/>
    <w:rsid w:val="035903FF"/>
    <w:rsid w:val="0361440A"/>
    <w:rsid w:val="03670C13"/>
    <w:rsid w:val="03685798"/>
    <w:rsid w:val="038044A7"/>
    <w:rsid w:val="03816883"/>
    <w:rsid w:val="038679A8"/>
    <w:rsid w:val="03867F85"/>
    <w:rsid w:val="03A260C2"/>
    <w:rsid w:val="03AA7B5F"/>
    <w:rsid w:val="03BC20CC"/>
    <w:rsid w:val="03C541E5"/>
    <w:rsid w:val="03DD6494"/>
    <w:rsid w:val="03E10905"/>
    <w:rsid w:val="03E14C64"/>
    <w:rsid w:val="03E4503E"/>
    <w:rsid w:val="0413601A"/>
    <w:rsid w:val="041969DB"/>
    <w:rsid w:val="0424086D"/>
    <w:rsid w:val="042518DB"/>
    <w:rsid w:val="042F62B6"/>
    <w:rsid w:val="04405D9B"/>
    <w:rsid w:val="044503BF"/>
    <w:rsid w:val="045A77D7"/>
    <w:rsid w:val="045E1129"/>
    <w:rsid w:val="04690F65"/>
    <w:rsid w:val="046A686F"/>
    <w:rsid w:val="046E5030"/>
    <w:rsid w:val="047153A5"/>
    <w:rsid w:val="0479465A"/>
    <w:rsid w:val="04A21E6A"/>
    <w:rsid w:val="04AB5A2A"/>
    <w:rsid w:val="04B0389B"/>
    <w:rsid w:val="04B7004B"/>
    <w:rsid w:val="04C35ED3"/>
    <w:rsid w:val="04CA2892"/>
    <w:rsid w:val="04E377CC"/>
    <w:rsid w:val="04F419D9"/>
    <w:rsid w:val="05021E26"/>
    <w:rsid w:val="050545C8"/>
    <w:rsid w:val="050D4170"/>
    <w:rsid w:val="051C4A8C"/>
    <w:rsid w:val="0549284E"/>
    <w:rsid w:val="0563090D"/>
    <w:rsid w:val="056C1967"/>
    <w:rsid w:val="056F3B9B"/>
    <w:rsid w:val="057667D6"/>
    <w:rsid w:val="058A162D"/>
    <w:rsid w:val="058B7615"/>
    <w:rsid w:val="05965BC8"/>
    <w:rsid w:val="059A40DB"/>
    <w:rsid w:val="059D30B6"/>
    <w:rsid w:val="05A86320"/>
    <w:rsid w:val="05AF15F9"/>
    <w:rsid w:val="05B64EE1"/>
    <w:rsid w:val="05C86BBC"/>
    <w:rsid w:val="05FC76AB"/>
    <w:rsid w:val="05FF3094"/>
    <w:rsid w:val="060D2627"/>
    <w:rsid w:val="06181408"/>
    <w:rsid w:val="061A5DE6"/>
    <w:rsid w:val="0627667A"/>
    <w:rsid w:val="062C0CFF"/>
    <w:rsid w:val="062E2B49"/>
    <w:rsid w:val="06326C4C"/>
    <w:rsid w:val="063473E1"/>
    <w:rsid w:val="06471FDD"/>
    <w:rsid w:val="06492E89"/>
    <w:rsid w:val="06557E95"/>
    <w:rsid w:val="065F2C53"/>
    <w:rsid w:val="06681E71"/>
    <w:rsid w:val="06732DD2"/>
    <w:rsid w:val="0675368A"/>
    <w:rsid w:val="06753B14"/>
    <w:rsid w:val="06840B3B"/>
    <w:rsid w:val="06955753"/>
    <w:rsid w:val="06996AFE"/>
    <w:rsid w:val="06A738C8"/>
    <w:rsid w:val="06BE36DD"/>
    <w:rsid w:val="06C00178"/>
    <w:rsid w:val="070018B2"/>
    <w:rsid w:val="07076189"/>
    <w:rsid w:val="0710675B"/>
    <w:rsid w:val="071365F6"/>
    <w:rsid w:val="07372051"/>
    <w:rsid w:val="073B727B"/>
    <w:rsid w:val="073E518E"/>
    <w:rsid w:val="07405C23"/>
    <w:rsid w:val="07414C7E"/>
    <w:rsid w:val="074C4D53"/>
    <w:rsid w:val="07510ABE"/>
    <w:rsid w:val="0755780B"/>
    <w:rsid w:val="07577FFE"/>
    <w:rsid w:val="077C0B51"/>
    <w:rsid w:val="078826EE"/>
    <w:rsid w:val="078F65C3"/>
    <w:rsid w:val="079B28D1"/>
    <w:rsid w:val="07A5520D"/>
    <w:rsid w:val="07AA753B"/>
    <w:rsid w:val="07B165BA"/>
    <w:rsid w:val="07B34F1F"/>
    <w:rsid w:val="07B611C8"/>
    <w:rsid w:val="07DB3EBD"/>
    <w:rsid w:val="07E56D86"/>
    <w:rsid w:val="07EA70C4"/>
    <w:rsid w:val="07F30CD9"/>
    <w:rsid w:val="07F47A44"/>
    <w:rsid w:val="07F647A3"/>
    <w:rsid w:val="07F81966"/>
    <w:rsid w:val="081418AD"/>
    <w:rsid w:val="08415EBD"/>
    <w:rsid w:val="08475DBA"/>
    <w:rsid w:val="084C2F3A"/>
    <w:rsid w:val="084D5140"/>
    <w:rsid w:val="08591B53"/>
    <w:rsid w:val="087F4C1E"/>
    <w:rsid w:val="08A00CAC"/>
    <w:rsid w:val="08A11AA0"/>
    <w:rsid w:val="08C32DBB"/>
    <w:rsid w:val="08F9013A"/>
    <w:rsid w:val="0908581E"/>
    <w:rsid w:val="090C3022"/>
    <w:rsid w:val="091F0FEF"/>
    <w:rsid w:val="09293C1C"/>
    <w:rsid w:val="093C7BDC"/>
    <w:rsid w:val="094422F5"/>
    <w:rsid w:val="09501632"/>
    <w:rsid w:val="09541F4B"/>
    <w:rsid w:val="0955056D"/>
    <w:rsid w:val="09670FF5"/>
    <w:rsid w:val="09671F09"/>
    <w:rsid w:val="09821A8A"/>
    <w:rsid w:val="09957574"/>
    <w:rsid w:val="099C0CDE"/>
    <w:rsid w:val="09A01AC7"/>
    <w:rsid w:val="09A07E44"/>
    <w:rsid w:val="09A3752A"/>
    <w:rsid w:val="09A729C9"/>
    <w:rsid w:val="09A80656"/>
    <w:rsid w:val="09AE133E"/>
    <w:rsid w:val="09BB6D63"/>
    <w:rsid w:val="09BF766A"/>
    <w:rsid w:val="09C12A91"/>
    <w:rsid w:val="09D41E3F"/>
    <w:rsid w:val="09D7525B"/>
    <w:rsid w:val="09E33DCA"/>
    <w:rsid w:val="09FA113C"/>
    <w:rsid w:val="09FB0CDF"/>
    <w:rsid w:val="09FB1114"/>
    <w:rsid w:val="09FD67E9"/>
    <w:rsid w:val="0A0041E2"/>
    <w:rsid w:val="0A0424B8"/>
    <w:rsid w:val="0A0B5121"/>
    <w:rsid w:val="0A11655F"/>
    <w:rsid w:val="0A167A7F"/>
    <w:rsid w:val="0A1E7A99"/>
    <w:rsid w:val="0A1E7C70"/>
    <w:rsid w:val="0A342878"/>
    <w:rsid w:val="0A344626"/>
    <w:rsid w:val="0A3F6C18"/>
    <w:rsid w:val="0A4B7BB6"/>
    <w:rsid w:val="0A626216"/>
    <w:rsid w:val="0A6D0F03"/>
    <w:rsid w:val="0A726EFC"/>
    <w:rsid w:val="0A733F58"/>
    <w:rsid w:val="0A765E32"/>
    <w:rsid w:val="0A7A4F9A"/>
    <w:rsid w:val="0A7D421F"/>
    <w:rsid w:val="0A813A44"/>
    <w:rsid w:val="0A870BFA"/>
    <w:rsid w:val="0A924985"/>
    <w:rsid w:val="0AA2673C"/>
    <w:rsid w:val="0ACC2AB1"/>
    <w:rsid w:val="0ADE529F"/>
    <w:rsid w:val="0AE150CC"/>
    <w:rsid w:val="0AE80E7C"/>
    <w:rsid w:val="0AEB7418"/>
    <w:rsid w:val="0B05532B"/>
    <w:rsid w:val="0B093D05"/>
    <w:rsid w:val="0B0E2A78"/>
    <w:rsid w:val="0B0F0330"/>
    <w:rsid w:val="0B111AA5"/>
    <w:rsid w:val="0B1B51A9"/>
    <w:rsid w:val="0B1D330C"/>
    <w:rsid w:val="0B25207A"/>
    <w:rsid w:val="0B2E6C33"/>
    <w:rsid w:val="0B442158"/>
    <w:rsid w:val="0B4C6E5E"/>
    <w:rsid w:val="0B4D1E43"/>
    <w:rsid w:val="0B4E5BBB"/>
    <w:rsid w:val="0B4F1B41"/>
    <w:rsid w:val="0B535FAE"/>
    <w:rsid w:val="0B552AA6"/>
    <w:rsid w:val="0B5F56D3"/>
    <w:rsid w:val="0B837CD0"/>
    <w:rsid w:val="0B884C29"/>
    <w:rsid w:val="0BA03C2D"/>
    <w:rsid w:val="0BAE21B6"/>
    <w:rsid w:val="0BAE588C"/>
    <w:rsid w:val="0BB41559"/>
    <w:rsid w:val="0BBF724F"/>
    <w:rsid w:val="0BC375B5"/>
    <w:rsid w:val="0BC63955"/>
    <w:rsid w:val="0BD36B95"/>
    <w:rsid w:val="0BDC2B05"/>
    <w:rsid w:val="0BED7AC3"/>
    <w:rsid w:val="0BF16634"/>
    <w:rsid w:val="0C0270B0"/>
    <w:rsid w:val="0C0D3381"/>
    <w:rsid w:val="0C0D7A99"/>
    <w:rsid w:val="0C1F0599"/>
    <w:rsid w:val="0C264442"/>
    <w:rsid w:val="0C316A63"/>
    <w:rsid w:val="0C3D5A96"/>
    <w:rsid w:val="0C4444D5"/>
    <w:rsid w:val="0C465FA0"/>
    <w:rsid w:val="0C474574"/>
    <w:rsid w:val="0C5065DE"/>
    <w:rsid w:val="0C511C1F"/>
    <w:rsid w:val="0C5E47D1"/>
    <w:rsid w:val="0C61547A"/>
    <w:rsid w:val="0C626150"/>
    <w:rsid w:val="0C6671C3"/>
    <w:rsid w:val="0C6B374D"/>
    <w:rsid w:val="0C6F7B97"/>
    <w:rsid w:val="0C776777"/>
    <w:rsid w:val="0C782EF0"/>
    <w:rsid w:val="0C7A3FBD"/>
    <w:rsid w:val="0C85528E"/>
    <w:rsid w:val="0C874EE1"/>
    <w:rsid w:val="0C9470B7"/>
    <w:rsid w:val="0C9B08B8"/>
    <w:rsid w:val="0C9C6F10"/>
    <w:rsid w:val="0CA27F6D"/>
    <w:rsid w:val="0CE031F7"/>
    <w:rsid w:val="0CE42333"/>
    <w:rsid w:val="0CF031B7"/>
    <w:rsid w:val="0D011D3C"/>
    <w:rsid w:val="0D0C53E6"/>
    <w:rsid w:val="0D116EA1"/>
    <w:rsid w:val="0D16240A"/>
    <w:rsid w:val="0D36491F"/>
    <w:rsid w:val="0D3F561A"/>
    <w:rsid w:val="0D4848A0"/>
    <w:rsid w:val="0D5D3682"/>
    <w:rsid w:val="0D6D057B"/>
    <w:rsid w:val="0D713AAF"/>
    <w:rsid w:val="0D7A67F4"/>
    <w:rsid w:val="0D7C53D8"/>
    <w:rsid w:val="0D827467"/>
    <w:rsid w:val="0D840F6C"/>
    <w:rsid w:val="0D896853"/>
    <w:rsid w:val="0D8E386E"/>
    <w:rsid w:val="0D957AD2"/>
    <w:rsid w:val="0D9A756D"/>
    <w:rsid w:val="0DA45757"/>
    <w:rsid w:val="0DB708B7"/>
    <w:rsid w:val="0DB83A46"/>
    <w:rsid w:val="0DC12675"/>
    <w:rsid w:val="0DC254D2"/>
    <w:rsid w:val="0DCB3E19"/>
    <w:rsid w:val="0DCF1DAD"/>
    <w:rsid w:val="0DE14AC5"/>
    <w:rsid w:val="0DF6090C"/>
    <w:rsid w:val="0DFC39FC"/>
    <w:rsid w:val="0DFE5BC4"/>
    <w:rsid w:val="0E06335B"/>
    <w:rsid w:val="0E1339E0"/>
    <w:rsid w:val="0E1A722C"/>
    <w:rsid w:val="0E4678D6"/>
    <w:rsid w:val="0E511C4A"/>
    <w:rsid w:val="0E590AFF"/>
    <w:rsid w:val="0E76520D"/>
    <w:rsid w:val="0E7B0A75"/>
    <w:rsid w:val="0E855986"/>
    <w:rsid w:val="0E8801FF"/>
    <w:rsid w:val="0E927A52"/>
    <w:rsid w:val="0EAC08BC"/>
    <w:rsid w:val="0EB62A25"/>
    <w:rsid w:val="0EC00B7E"/>
    <w:rsid w:val="0ECB4A99"/>
    <w:rsid w:val="0ECC35D9"/>
    <w:rsid w:val="0ED16285"/>
    <w:rsid w:val="0ED458F2"/>
    <w:rsid w:val="0ED4693B"/>
    <w:rsid w:val="0ED62150"/>
    <w:rsid w:val="0EE37204"/>
    <w:rsid w:val="0EE4486D"/>
    <w:rsid w:val="0EF058FB"/>
    <w:rsid w:val="0EF2523B"/>
    <w:rsid w:val="0EF60AB7"/>
    <w:rsid w:val="0EFA7B59"/>
    <w:rsid w:val="0EFD76DC"/>
    <w:rsid w:val="0F0563A0"/>
    <w:rsid w:val="0F185413"/>
    <w:rsid w:val="0F1D38DB"/>
    <w:rsid w:val="0F2B5050"/>
    <w:rsid w:val="0F384BB8"/>
    <w:rsid w:val="0F3B5EF1"/>
    <w:rsid w:val="0F3E3322"/>
    <w:rsid w:val="0F456BFE"/>
    <w:rsid w:val="0F4946D0"/>
    <w:rsid w:val="0F4C2740"/>
    <w:rsid w:val="0F563291"/>
    <w:rsid w:val="0F5B24A1"/>
    <w:rsid w:val="0F635A4C"/>
    <w:rsid w:val="0F6931C8"/>
    <w:rsid w:val="0F977B31"/>
    <w:rsid w:val="0FA51DD8"/>
    <w:rsid w:val="0FA533AF"/>
    <w:rsid w:val="0FB676E2"/>
    <w:rsid w:val="0FC14BAE"/>
    <w:rsid w:val="0FD17044"/>
    <w:rsid w:val="0FD75899"/>
    <w:rsid w:val="0FFA1E6E"/>
    <w:rsid w:val="1005368D"/>
    <w:rsid w:val="10084FF9"/>
    <w:rsid w:val="10164E3D"/>
    <w:rsid w:val="10235934"/>
    <w:rsid w:val="10286AF6"/>
    <w:rsid w:val="102A1F5D"/>
    <w:rsid w:val="104100E8"/>
    <w:rsid w:val="10464C43"/>
    <w:rsid w:val="10547DD8"/>
    <w:rsid w:val="105744E8"/>
    <w:rsid w:val="106B4B1A"/>
    <w:rsid w:val="107734BE"/>
    <w:rsid w:val="107E2A9F"/>
    <w:rsid w:val="10833C11"/>
    <w:rsid w:val="108A4FA0"/>
    <w:rsid w:val="10955B2F"/>
    <w:rsid w:val="10B70033"/>
    <w:rsid w:val="10BE7AAC"/>
    <w:rsid w:val="10C9787B"/>
    <w:rsid w:val="10D77991"/>
    <w:rsid w:val="10EC4218"/>
    <w:rsid w:val="10ED3781"/>
    <w:rsid w:val="10F93ED3"/>
    <w:rsid w:val="11036B00"/>
    <w:rsid w:val="110A00C6"/>
    <w:rsid w:val="11203B56"/>
    <w:rsid w:val="112C1969"/>
    <w:rsid w:val="1142587A"/>
    <w:rsid w:val="114C007F"/>
    <w:rsid w:val="114D329F"/>
    <w:rsid w:val="11921749"/>
    <w:rsid w:val="11965869"/>
    <w:rsid w:val="11992AC1"/>
    <w:rsid w:val="119F6630"/>
    <w:rsid w:val="11AB38BE"/>
    <w:rsid w:val="11AB78C4"/>
    <w:rsid w:val="11B61270"/>
    <w:rsid w:val="11C65384"/>
    <w:rsid w:val="11D95C36"/>
    <w:rsid w:val="11DA047F"/>
    <w:rsid w:val="11F0184F"/>
    <w:rsid w:val="12094350"/>
    <w:rsid w:val="12134C2A"/>
    <w:rsid w:val="12183CC4"/>
    <w:rsid w:val="121F5BBC"/>
    <w:rsid w:val="122338FE"/>
    <w:rsid w:val="12303925"/>
    <w:rsid w:val="12386C7D"/>
    <w:rsid w:val="12501C41"/>
    <w:rsid w:val="125957A1"/>
    <w:rsid w:val="12644A7C"/>
    <w:rsid w:val="12705F50"/>
    <w:rsid w:val="12797A0B"/>
    <w:rsid w:val="127C75DE"/>
    <w:rsid w:val="12901631"/>
    <w:rsid w:val="129F1D9B"/>
    <w:rsid w:val="12A2347A"/>
    <w:rsid w:val="12A65A60"/>
    <w:rsid w:val="12A80D3A"/>
    <w:rsid w:val="12B46304"/>
    <w:rsid w:val="12B51E98"/>
    <w:rsid w:val="12C603DA"/>
    <w:rsid w:val="12C85ACD"/>
    <w:rsid w:val="12CB0F05"/>
    <w:rsid w:val="12DF4148"/>
    <w:rsid w:val="12DF5787"/>
    <w:rsid w:val="12F26E2C"/>
    <w:rsid w:val="13001549"/>
    <w:rsid w:val="130C4392"/>
    <w:rsid w:val="13135720"/>
    <w:rsid w:val="1332640D"/>
    <w:rsid w:val="133501ED"/>
    <w:rsid w:val="133767A4"/>
    <w:rsid w:val="133B07BF"/>
    <w:rsid w:val="13427E55"/>
    <w:rsid w:val="134379B3"/>
    <w:rsid w:val="13766BE3"/>
    <w:rsid w:val="137B4F51"/>
    <w:rsid w:val="138228A6"/>
    <w:rsid w:val="138A7508"/>
    <w:rsid w:val="13985C26"/>
    <w:rsid w:val="139D4FEA"/>
    <w:rsid w:val="13A14FBF"/>
    <w:rsid w:val="13A96016"/>
    <w:rsid w:val="13AC57F8"/>
    <w:rsid w:val="13AF2762"/>
    <w:rsid w:val="13B14F39"/>
    <w:rsid w:val="13B97EE4"/>
    <w:rsid w:val="13DF2DA3"/>
    <w:rsid w:val="13E470BD"/>
    <w:rsid w:val="13E84D18"/>
    <w:rsid w:val="13F310AE"/>
    <w:rsid w:val="13FD357C"/>
    <w:rsid w:val="1403099A"/>
    <w:rsid w:val="14033C6A"/>
    <w:rsid w:val="14072DAB"/>
    <w:rsid w:val="14195FFB"/>
    <w:rsid w:val="142376D5"/>
    <w:rsid w:val="144E0982"/>
    <w:rsid w:val="1463784D"/>
    <w:rsid w:val="146F2E2A"/>
    <w:rsid w:val="148443FC"/>
    <w:rsid w:val="14894222"/>
    <w:rsid w:val="148B6803"/>
    <w:rsid w:val="14956609"/>
    <w:rsid w:val="14BB6070"/>
    <w:rsid w:val="14C8253B"/>
    <w:rsid w:val="14D26F15"/>
    <w:rsid w:val="14E0580D"/>
    <w:rsid w:val="14ED4913"/>
    <w:rsid w:val="15107A3E"/>
    <w:rsid w:val="151326FF"/>
    <w:rsid w:val="15191A6E"/>
    <w:rsid w:val="1520289B"/>
    <w:rsid w:val="15372817"/>
    <w:rsid w:val="15507658"/>
    <w:rsid w:val="15574A5F"/>
    <w:rsid w:val="155B7B8E"/>
    <w:rsid w:val="15771381"/>
    <w:rsid w:val="1582731D"/>
    <w:rsid w:val="15880362"/>
    <w:rsid w:val="158A3C94"/>
    <w:rsid w:val="15AE7982"/>
    <w:rsid w:val="15BA6327"/>
    <w:rsid w:val="15C64414"/>
    <w:rsid w:val="15CA2E6E"/>
    <w:rsid w:val="15CF16A7"/>
    <w:rsid w:val="15DB1323"/>
    <w:rsid w:val="15E06E6A"/>
    <w:rsid w:val="15E149F4"/>
    <w:rsid w:val="15EC3FC3"/>
    <w:rsid w:val="15FC72EA"/>
    <w:rsid w:val="160838A2"/>
    <w:rsid w:val="16111CBF"/>
    <w:rsid w:val="161C4039"/>
    <w:rsid w:val="1620060F"/>
    <w:rsid w:val="16270A78"/>
    <w:rsid w:val="16531299"/>
    <w:rsid w:val="165C5741"/>
    <w:rsid w:val="165E218F"/>
    <w:rsid w:val="16610AB7"/>
    <w:rsid w:val="168263A6"/>
    <w:rsid w:val="16877CA9"/>
    <w:rsid w:val="16912848"/>
    <w:rsid w:val="1699418F"/>
    <w:rsid w:val="169E79F7"/>
    <w:rsid w:val="169F4260"/>
    <w:rsid w:val="16A0450C"/>
    <w:rsid w:val="16B6220D"/>
    <w:rsid w:val="16BA2B3B"/>
    <w:rsid w:val="16BF4870"/>
    <w:rsid w:val="16C3745D"/>
    <w:rsid w:val="16CF2FE2"/>
    <w:rsid w:val="16CF678A"/>
    <w:rsid w:val="16D375ED"/>
    <w:rsid w:val="16DB3E22"/>
    <w:rsid w:val="16DC407B"/>
    <w:rsid w:val="16E01C07"/>
    <w:rsid w:val="16EC2F91"/>
    <w:rsid w:val="16F615E1"/>
    <w:rsid w:val="16F921CD"/>
    <w:rsid w:val="17196F8C"/>
    <w:rsid w:val="173358D0"/>
    <w:rsid w:val="17365E81"/>
    <w:rsid w:val="173C434C"/>
    <w:rsid w:val="173E7A8F"/>
    <w:rsid w:val="174B6B68"/>
    <w:rsid w:val="175C0B85"/>
    <w:rsid w:val="175E2CE2"/>
    <w:rsid w:val="17602AE3"/>
    <w:rsid w:val="1761070A"/>
    <w:rsid w:val="176D4945"/>
    <w:rsid w:val="17721D0F"/>
    <w:rsid w:val="1776627E"/>
    <w:rsid w:val="177702D8"/>
    <w:rsid w:val="178A2E03"/>
    <w:rsid w:val="178C372E"/>
    <w:rsid w:val="17A0413C"/>
    <w:rsid w:val="17A771A4"/>
    <w:rsid w:val="17AE3C6A"/>
    <w:rsid w:val="17B36DE7"/>
    <w:rsid w:val="17B40B54"/>
    <w:rsid w:val="17BE19D3"/>
    <w:rsid w:val="17C756E4"/>
    <w:rsid w:val="17D45786"/>
    <w:rsid w:val="17DB0714"/>
    <w:rsid w:val="17E51656"/>
    <w:rsid w:val="17FC17DF"/>
    <w:rsid w:val="17FE566D"/>
    <w:rsid w:val="181D5D28"/>
    <w:rsid w:val="1820029D"/>
    <w:rsid w:val="182069E9"/>
    <w:rsid w:val="18234574"/>
    <w:rsid w:val="182F3296"/>
    <w:rsid w:val="18351C95"/>
    <w:rsid w:val="18354E66"/>
    <w:rsid w:val="18381785"/>
    <w:rsid w:val="18381E73"/>
    <w:rsid w:val="18386ED8"/>
    <w:rsid w:val="183F2B14"/>
    <w:rsid w:val="184E7FCE"/>
    <w:rsid w:val="1864257A"/>
    <w:rsid w:val="18655B7C"/>
    <w:rsid w:val="18656DB1"/>
    <w:rsid w:val="18BE4634"/>
    <w:rsid w:val="18BE55E5"/>
    <w:rsid w:val="18CD4E78"/>
    <w:rsid w:val="18DF06AB"/>
    <w:rsid w:val="19065A91"/>
    <w:rsid w:val="19120228"/>
    <w:rsid w:val="192F2B88"/>
    <w:rsid w:val="19477ABA"/>
    <w:rsid w:val="194859F8"/>
    <w:rsid w:val="194F204E"/>
    <w:rsid w:val="19532596"/>
    <w:rsid w:val="19560BD8"/>
    <w:rsid w:val="195E521C"/>
    <w:rsid w:val="195F2D42"/>
    <w:rsid w:val="19654926"/>
    <w:rsid w:val="196C5488"/>
    <w:rsid w:val="196C7118"/>
    <w:rsid w:val="1970491C"/>
    <w:rsid w:val="19856C4C"/>
    <w:rsid w:val="198D3D53"/>
    <w:rsid w:val="19A14F2D"/>
    <w:rsid w:val="19BB61C6"/>
    <w:rsid w:val="19CC0666"/>
    <w:rsid w:val="19DF21D8"/>
    <w:rsid w:val="19ED659F"/>
    <w:rsid w:val="19F636A6"/>
    <w:rsid w:val="19F952E2"/>
    <w:rsid w:val="1A1678A4"/>
    <w:rsid w:val="1A203EF2"/>
    <w:rsid w:val="1A257008"/>
    <w:rsid w:val="1A292DD4"/>
    <w:rsid w:val="1A2B456B"/>
    <w:rsid w:val="1A537115"/>
    <w:rsid w:val="1A612A1C"/>
    <w:rsid w:val="1A75281D"/>
    <w:rsid w:val="1A846CB9"/>
    <w:rsid w:val="1A883F8C"/>
    <w:rsid w:val="1A8E7D82"/>
    <w:rsid w:val="1A947DBD"/>
    <w:rsid w:val="1A9C7BAA"/>
    <w:rsid w:val="1AA80E44"/>
    <w:rsid w:val="1AB428BA"/>
    <w:rsid w:val="1AB937DF"/>
    <w:rsid w:val="1AC40B3F"/>
    <w:rsid w:val="1ACA4736"/>
    <w:rsid w:val="1ACE6812"/>
    <w:rsid w:val="1AE6528E"/>
    <w:rsid w:val="1AF56462"/>
    <w:rsid w:val="1AF87270"/>
    <w:rsid w:val="1AFD5D26"/>
    <w:rsid w:val="1B05203B"/>
    <w:rsid w:val="1B284797"/>
    <w:rsid w:val="1B3161C8"/>
    <w:rsid w:val="1B4D6483"/>
    <w:rsid w:val="1B6A2598"/>
    <w:rsid w:val="1B7F2725"/>
    <w:rsid w:val="1B7F7416"/>
    <w:rsid w:val="1B8342A5"/>
    <w:rsid w:val="1B835F0C"/>
    <w:rsid w:val="1B836D49"/>
    <w:rsid w:val="1B8C12F5"/>
    <w:rsid w:val="1B972169"/>
    <w:rsid w:val="1BBD091F"/>
    <w:rsid w:val="1BC33C07"/>
    <w:rsid w:val="1BDF1618"/>
    <w:rsid w:val="1BE2796C"/>
    <w:rsid w:val="1BE51A7E"/>
    <w:rsid w:val="1BF22477"/>
    <w:rsid w:val="1BF65BBD"/>
    <w:rsid w:val="1BFA092C"/>
    <w:rsid w:val="1BFA0C5D"/>
    <w:rsid w:val="1BFB1448"/>
    <w:rsid w:val="1C0A2D4E"/>
    <w:rsid w:val="1C2B3706"/>
    <w:rsid w:val="1C357D1B"/>
    <w:rsid w:val="1C3E79C8"/>
    <w:rsid w:val="1C47643B"/>
    <w:rsid w:val="1C4D0737"/>
    <w:rsid w:val="1C4E1577"/>
    <w:rsid w:val="1C4F3541"/>
    <w:rsid w:val="1C5555C3"/>
    <w:rsid w:val="1C6D7908"/>
    <w:rsid w:val="1C7142BF"/>
    <w:rsid w:val="1C721804"/>
    <w:rsid w:val="1C7B60E4"/>
    <w:rsid w:val="1C8F233F"/>
    <w:rsid w:val="1C953DEA"/>
    <w:rsid w:val="1CB3003D"/>
    <w:rsid w:val="1CB54BB4"/>
    <w:rsid w:val="1CCB0B3D"/>
    <w:rsid w:val="1CCB0E1A"/>
    <w:rsid w:val="1CD82543"/>
    <w:rsid w:val="1CE558F5"/>
    <w:rsid w:val="1CE95744"/>
    <w:rsid w:val="1CEE2F53"/>
    <w:rsid w:val="1CF00880"/>
    <w:rsid w:val="1CFE580E"/>
    <w:rsid w:val="1D034873"/>
    <w:rsid w:val="1D050FAB"/>
    <w:rsid w:val="1D067072"/>
    <w:rsid w:val="1D0B56BA"/>
    <w:rsid w:val="1D1931C2"/>
    <w:rsid w:val="1D1A5933"/>
    <w:rsid w:val="1D277E8F"/>
    <w:rsid w:val="1D2E76EA"/>
    <w:rsid w:val="1D2F75FB"/>
    <w:rsid w:val="1D4C45D1"/>
    <w:rsid w:val="1D4F5270"/>
    <w:rsid w:val="1D697473"/>
    <w:rsid w:val="1D9E32D9"/>
    <w:rsid w:val="1DAC0B1D"/>
    <w:rsid w:val="1DAC0C4B"/>
    <w:rsid w:val="1DCF61E0"/>
    <w:rsid w:val="1DD41F50"/>
    <w:rsid w:val="1DEA449D"/>
    <w:rsid w:val="1DF45212"/>
    <w:rsid w:val="1DF919B7"/>
    <w:rsid w:val="1E031A4F"/>
    <w:rsid w:val="1E0518D3"/>
    <w:rsid w:val="1E0839A8"/>
    <w:rsid w:val="1E1660C5"/>
    <w:rsid w:val="1E3033EF"/>
    <w:rsid w:val="1E32375F"/>
    <w:rsid w:val="1E326739"/>
    <w:rsid w:val="1E4924FE"/>
    <w:rsid w:val="1E4C2987"/>
    <w:rsid w:val="1E5B03BF"/>
    <w:rsid w:val="1E5E181A"/>
    <w:rsid w:val="1E611FF0"/>
    <w:rsid w:val="1E7419C1"/>
    <w:rsid w:val="1E82375A"/>
    <w:rsid w:val="1EAA7D2F"/>
    <w:rsid w:val="1EB4768C"/>
    <w:rsid w:val="1EB756DE"/>
    <w:rsid w:val="1EDD1368"/>
    <w:rsid w:val="1EEC01C4"/>
    <w:rsid w:val="1F004F75"/>
    <w:rsid w:val="1F02489B"/>
    <w:rsid w:val="1F046865"/>
    <w:rsid w:val="1F215C8B"/>
    <w:rsid w:val="1F301408"/>
    <w:rsid w:val="1F3702EE"/>
    <w:rsid w:val="1F3B2567"/>
    <w:rsid w:val="1F404366"/>
    <w:rsid w:val="1F4271E7"/>
    <w:rsid w:val="1F474F76"/>
    <w:rsid w:val="1F49661C"/>
    <w:rsid w:val="1F9429D6"/>
    <w:rsid w:val="1FA6791C"/>
    <w:rsid w:val="1FA80624"/>
    <w:rsid w:val="1FB14BE7"/>
    <w:rsid w:val="1FCE33A5"/>
    <w:rsid w:val="1FCF0C21"/>
    <w:rsid w:val="1FD076F3"/>
    <w:rsid w:val="1FD20711"/>
    <w:rsid w:val="1FD77AD6"/>
    <w:rsid w:val="1FDE70B6"/>
    <w:rsid w:val="1FEA66CE"/>
    <w:rsid w:val="1FEB4313"/>
    <w:rsid w:val="1FEE5A47"/>
    <w:rsid w:val="1FF40909"/>
    <w:rsid w:val="2007660D"/>
    <w:rsid w:val="200C3197"/>
    <w:rsid w:val="200E4011"/>
    <w:rsid w:val="201523AC"/>
    <w:rsid w:val="20166252"/>
    <w:rsid w:val="201B2E55"/>
    <w:rsid w:val="201C57D3"/>
    <w:rsid w:val="20384A18"/>
    <w:rsid w:val="204B4BB2"/>
    <w:rsid w:val="205100F2"/>
    <w:rsid w:val="205B0B85"/>
    <w:rsid w:val="20744B90"/>
    <w:rsid w:val="20857532"/>
    <w:rsid w:val="20872A54"/>
    <w:rsid w:val="208E0C7B"/>
    <w:rsid w:val="209303AC"/>
    <w:rsid w:val="209D2ACD"/>
    <w:rsid w:val="20B40849"/>
    <w:rsid w:val="20BB5253"/>
    <w:rsid w:val="20CE2C87"/>
    <w:rsid w:val="20CF4A6E"/>
    <w:rsid w:val="20E53B86"/>
    <w:rsid w:val="20ED01BD"/>
    <w:rsid w:val="20F122CF"/>
    <w:rsid w:val="20FA6951"/>
    <w:rsid w:val="21036593"/>
    <w:rsid w:val="211865F8"/>
    <w:rsid w:val="212C60E2"/>
    <w:rsid w:val="212E3AEF"/>
    <w:rsid w:val="213C49BF"/>
    <w:rsid w:val="214E003C"/>
    <w:rsid w:val="217105E2"/>
    <w:rsid w:val="217F6677"/>
    <w:rsid w:val="218A22AE"/>
    <w:rsid w:val="21A260CC"/>
    <w:rsid w:val="21A97250"/>
    <w:rsid w:val="21B856E5"/>
    <w:rsid w:val="21C26972"/>
    <w:rsid w:val="21C747A7"/>
    <w:rsid w:val="21D75751"/>
    <w:rsid w:val="21DB2C70"/>
    <w:rsid w:val="21E962A7"/>
    <w:rsid w:val="21EA5582"/>
    <w:rsid w:val="21FF7E06"/>
    <w:rsid w:val="2209790D"/>
    <w:rsid w:val="2210107D"/>
    <w:rsid w:val="221C5C74"/>
    <w:rsid w:val="222E45A7"/>
    <w:rsid w:val="223034CD"/>
    <w:rsid w:val="22306E3A"/>
    <w:rsid w:val="2258337D"/>
    <w:rsid w:val="226159F3"/>
    <w:rsid w:val="22681F0D"/>
    <w:rsid w:val="226F2EA9"/>
    <w:rsid w:val="22714F68"/>
    <w:rsid w:val="227B0F9B"/>
    <w:rsid w:val="227E692E"/>
    <w:rsid w:val="228A7D35"/>
    <w:rsid w:val="22B478FE"/>
    <w:rsid w:val="22BB60FF"/>
    <w:rsid w:val="22BE1816"/>
    <w:rsid w:val="22D33394"/>
    <w:rsid w:val="22D66196"/>
    <w:rsid w:val="22DE47AF"/>
    <w:rsid w:val="22EB547A"/>
    <w:rsid w:val="22F10EAE"/>
    <w:rsid w:val="22F8335B"/>
    <w:rsid w:val="230074E7"/>
    <w:rsid w:val="23055EEC"/>
    <w:rsid w:val="23076316"/>
    <w:rsid w:val="23091E70"/>
    <w:rsid w:val="230F25DD"/>
    <w:rsid w:val="23103A2A"/>
    <w:rsid w:val="231144E4"/>
    <w:rsid w:val="2320398D"/>
    <w:rsid w:val="232804AB"/>
    <w:rsid w:val="23294CBD"/>
    <w:rsid w:val="232C4727"/>
    <w:rsid w:val="2342410B"/>
    <w:rsid w:val="234C6F3D"/>
    <w:rsid w:val="23606162"/>
    <w:rsid w:val="23654070"/>
    <w:rsid w:val="23654586"/>
    <w:rsid w:val="237C4C1C"/>
    <w:rsid w:val="23817044"/>
    <w:rsid w:val="238275E5"/>
    <w:rsid w:val="238647DA"/>
    <w:rsid w:val="23B0187E"/>
    <w:rsid w:val="23B732D3"/>
    <w:rsid w:val="23B97B95"/>
    <w:rsid w:val="23BD23FC"/>
    <w:rsid w:val="23BD4BAD"/>
    <w:rsid w:val="23CA24BD"/>
    <w:rsid w:val="23D2181F"/>
    <w:rsid w:val="23EB7FF4"/>
    <w:rsid w:val="24027F80"/>
    <w:rsid w:val="24061C63"/>
    <w:rsid w:val="2419690F"/>
    <w:rsid w:val="241C2D00"/>
    <w:rsid w:val="2422030A"/>
    <w:rsid w:val="242749C2"/>
    <w:rsid w:val="24415FF3"/>
    <w:rsid w:val="244B1945"/>
    <w:rsid w:val="245B6F27"/>
    <w:rsid w:val="245C4332"/>
    <w:rsid w:val="247F4DE3"/>
    <w:rsid w:val="2481649F"/>
    <w:rsid w:val="2487655B"/>
    <w:rsid w:val="24A42887"/>
    <w:rsid w:val="24C6093E"/>
    <w:rsid w:val="24C85C3F"/>
    <w:rsid w:val="24DA1DD2"/>
    <w:rsid w:val="24DE078D"/>
    <w:rsid w:val="24E0065E"/>
    <w:rsid w:val="24FA0E8C"/>
    <w:rsid w:val="25022907"/>
    <w:rsid w:val="2523607B"/>
    <w:rsid w:val="25246D8F"/>
    <w:rsid w:val="252C6CAA"/>
    <w:rsid w:val="252D0109"/>
    <w:rsid w:val="253A554B"/>
    <w:rsid w:val="25506360"/>
    <w:rsid w:val="25563DDE"/>
    <w:rsid w:val="25565941"/>
    <w:rsid w:val="25711304"/>
    <w:rsid w:val="257638ED"/>
    <w:rsid w:val="257B5644"/>
    <w:rsid w:val="25873D4C"/>
    <w:rsid w:val="25AB4DE7"/>
    <w:rsid w:val="25CD5C03"/>
    <w:rsid w:val="25D732A6"/>
    <w:rsid w:val="25E1751A"/>
    <w:rsid w:val="25E51036"/>
    <w:rsid w:val="260B5D15"/>
    <w:rsid w:val="260F2A3B"/>
    <w:rsid w:val="26153106"/>
    <w:rsid w:val="261B099F"/>
    <w:rsid w:val="26217DF1"/>
    <w:rsid w:val="265479E5"/>
    <w:rsid w:val="26594E46"/>
    <w:rsid w:val="265A2354"/>
    <w:rsid w:val="265D7353"/>
    <w:rsid w:val="26791D03"/>
    <w:rsid w:val="267C2264"/>
    <w:rsid w:val="268E2890"/>
    <w:rsid w:val="26B57584"/>
    <w:rsid w:val="26B65607"/>
    <w:rsid w:val="26B714A3"/>
    <w:rsid w:val="26B878C6"/>
    <w:rsid w:val="26BB60A2"/>
    <w:rsid w:val="26CB02AF"/>
    <w:rsid w:val="26D477AB"/>
    <w:rsid w:val="26DA4C5A"/>
    <w:rsid w:val="26DC3B65"/>
    <w:rsid w:val="26E760D0"/>
    <w:rsid w:val="26EE7226"/>
    <w:rsid w:val="26EF15AD"/>
    <w:rsid w:val="26F62F37"/>
    <w:rsid w:val="26F96B36"/>
    <w:rsid w:val="271055D7"/>
    <w:rsid w:val="271B39F9"/>
    <w:rsid w:val="2722563E"/>
    <w:rsid w:val="272F6ACE"/>
    <w:rsid w:val="275859A0"/>
    <w:rsid w:val="275D1456"/>
    <w:rsid w:val="2760453C"/>
    <w:rsid w:val="27677EE8"/>
    <w:rsid w:val="276B300F"/>
    <w:rsid w:val="277327DA"/>
    <w:rsid w:val="277B4DBB"/>
    <w:rsid w:val="277D265E"/>
    <w:rsid w:val="278542BB"/>
    <w:rsid w:val="27870033"/>
    <w:rsid w:val="278A3680"/>
    <w:rsid w:val="279354DD"/>
    <w:rsid w:val="279D2657"/>
    <w:rsid w:val="27A86180"/>
    <w:rsid w:val="27B76119"/>
    <w:rsid w:val="27BA11FB"/>
    <w:rsid w:val="27C03587"/>
    <w:rsid w:val="27C6290A"/>
    <w:rsid w:val="27CF665E"/>
    <w:rsid w:val="27D96A21"/>
    <w:rsid w:val="27DD7361"/>
    <w:rsid w:val="27E267D5"/>
    <w:rsid w:val="27E67C02"/>
    <w:rsid w:val="27F0321E"/>
    <w:rsid w:val="27F27E01"/>
    <w:rsid w:val="27FC27CF"/>
    <w:rsid w:val="27FC4C3E"/>
    <w:rsid w:val="28033E7D"/>
    <w:rsid w:val="28053D2F"/>
    <w:rsid w:val="280B47C0"/>
    <w:rsid w:val="280C63A8"/>
    <w:rsid w:val="280D0956"/>
    <w:rsid w:val="280E2B80"/>
    <w:rsid w:val="281A15F3"/>
    <w:rsid w:val="281D61F8"/>
    <w:rsid w:val="28243D9D"/>
    <w:rsid w:val="282E29D2"/>
    <w:rsid w:val="28302775"/>
    <w:rsid w:val="283074A0"/>
    <w:rsid w:val="283F4D75"/>
    <w:rsid w:val="284A533C"/>
    <w:rsid w:val="284F1421"/>
    <w:rsid w:val="285717B4"/>
    <w:rsid w:val="28575C58"/>
    <w:rsid w:val="28577A06"/>
    <w:rsid w:val="28697739"/>
    <w:rsid w:val="286B525F"/>
    <w:rsid w:val="287A27B0"/>
    <w:rsid w:val="2880161A"/>
    <w:rsid w:val="28846321"/>
    <w:rsid w:val="28865461"/>
    <w:rsid w:val="288E196F"/>
    <w:rsid w:val="28920A3E"/>
    <w:rsid w:val="289A0FFA"/>
    <w:rsid w:val="289B5394"/>
    <w:rsid w:val="28A928BB"/>
    <w:rsid w:val="28AA2E6A"/>
    <w:rsid w:val="28B210AB"/>
    <w:rsid w:val="28CB615E"/>
    <w:rsid w:val="28DA4193"/>
    <w:rsid w:val="28F00BAC"/>
    <w:rsid w:val="28F45255"/>
    <w:rsid w:val="28F72F97"/>
    <w:rsid w:val="28FF2AE6"/>
    <w:rsid w:val="290045B0"/>
    <w:rsid w:val="291F052E"/>
    <w:rsid w:val="292A511A"/>
    <w:rsid w:val="292F479B"/>
    <w:rsid w:val="294E4F1F"/>
    <w:rsid w:val="29564DCA"/>
    <w:rsid w:val="297317D3"/>
    <w:rsid w:val="297E7214"/>
    <w:rsid w:val="29814577"/>
    <w:rsid w:val="298370C8"/>
    <w:rsid w:val="29856872"/>
    <w:rsid w:val="298621D9"/>
    <w:rsid w:val="29874822"/>
    <w:rsid w:val="298D57C7"/>
    <w:rsid w:val="299A2DD8"/>
    <w:rsid w:val="29AE1C97"/>
    <w:rsid w:val="29B1315D"/>
    <w:rsid w:val="29B83E8B"/>
    <w:rsid w:val="29BD1846"/>
    <w:rsid w:val="29CF181E"/>
    <w:rsid w:val="29EA3ABC"/>
    <w:rsid w:val="29EF1312"/>
    <w:rsid w:val="29F04FCA"/>
    <w:rsid w:val="29F5733B"/>
    <w:rsid w:val="29FA0633"/>
    <w:rsid w:val="29FE7B47"/>
    <w:rsid w:val="2A0840E6"/>
    <w:rsid w:val="2A142CA0"/>
    <w:rsid w:val="2A200AAF"/>
    <w:rsid w:val="2A297180"/>
    <w:rsid w:val="2A2E160B"/>
    <w:rsid w:val="2A3049B2"/>
    <w:rsid w:val="2A355B25"/>
    <w:rsid w:val="2A392F30"/>
    <w:rsid w:val="2A40080A"/>
    <w:rsid w:val="2A4018B0"/>
    <w:rsid w:val="2A456BC6"/>
    <w:rsid w:val="2A4917F3"/>
    <w:rsid w:val="2A4D6D7B"/>
    <w:rsid w:val="2A5E6A18"/>
    <w:rsid w:val="2A87171A"/>
    <w:rsid w:val="2A893A72"/>
    <w:rsid w:val="2A8964D8"/>
    <w:rsid w:val="2A8A6E1E"/>
    <w:rsid w:val="2A94496D"/>
    <w:rsid w:val="2A9C737E"/>
    <w:rsid w:val="2AA607D0"/>
    <w:rsid w:val="2AAE45D1"/>
    <w:rsid w:val="2AC73582"/>
    <w:rsid w:val="2AD509DD"/>
    <w:rsid w:val="2ADA69F3"/>
    <w:rsid w:val="2ADD1B45"/>
    <w:rsid w:val="2ADF03DE"/>
    <w:rsid w:val="2AE13EFE"/>
    <w:rsid w:val="2AFD4458"/>
    <w:rsid w:val="2B1E0CAF"/>
    <w:rsid w:val="2B2700E3"/>
    <w:rsid w:val="2B33701E"/>
    <w:rsid w:val="2B3F46DF"/>
    <w:rsid w:val="2B411C10"/>
    <w:rsid w:val="2B686F10"/>
    <w:rsid w:val="2B6D3C2D"/>
    <w:rsid w:val="2B794137"/>
    <w:rsid w:val="2B8054C5"/>
    <w:rsid w:val="2B881574"/>
    <w:rsid w:val="2B961E48"/>
    <w:rsid w:val="2BAE2033"/>
    <w:rsid w:val="2BB10E19"/>
    <w:rsid w:val="2BBA0D78"/>
    <w:rsid w:val="2BBD3EBE"/>
    <w:rsid w:val="2BBD4403"/>
    <w:rsid w:val="2BC52FD9"/>
    <w:rsid w:val="2BC80E7E"/>
    <w:rsid w:val="2BD001FB"/>
    <w:rsid w:val="2BD41EAC"/>
    <w:rsid w:val="2BE377ED"/>
    <w:rsid w:val="2BE42BAA"/>
    <w:rsid w:val="2BE72C37"/>
    <w:rsid w:val="2BF01D9B"/>
    <w:rsid w:val="2BF37A45"/>
    <w:rsid w:val="2C125B1F"/>
    <w:rsid w:val="2C1637CE"/>
    <w:rsid w:val="2C1F0378"/>
    <w:rsid w:val="2C7A7731"/>
    <w:rsid w:val="2C956603"/>
    <w:rsid w:val="2CA27357"/>
    <w:rsid w:val="2CA83832"/>
    <w:rsid w:val="2CAA441E"/>
    <w:rsid w:val="2CAC0C68"/>
    <w:rsid w:val="2CBE38FD"/>
    <w:rsid w:val="2CCA4A56"/>
    <w:rsid w:val="2CCB5B45"/>
    <w:rsid w:val="2CDC010A"/>
    <w:rsid w:val="2CE5374C"/>
    <w:rsid w:val="2CF77681"/>
    <w:rsid w:val="2CFD3981"/>
    <w:rsid w:val="2D1C431A"/>
    <w:rsid w:val="2D1C4D7A"/>
    <w:rsid w:val="2D2C51EC"/>
    <w:rsid w:val="2D4935AC"/>
    <w:rsid w:val="2D493DCD"/>
    <w:rsid w:val="2D670CE2"/>
    <w:rsid w:val="2D697326"/>
    <w:rsid w:val="2D6C09B2"/>
    <w:rsid w:val="2D7566D8"/>
    <w:rsid w:val="2D8017AD"/>
    <w:rsid w:val="2DBB0FB2"/>
    <w:rsid w:val="2DCE7BCA"/>
    <w:rsid w:val="2DF3628F"/>
    <w:rsid w:val="2DFF6B75"/>
    <w:rsid w:val="2E2F6D2F"/>
    <w:rsid w:val="2E330430"/>
    <w:rsid w:val="2E446745"/>
    <w:rsid w:val="2E5454F9"/>
    <w:rsid w:val="2E575727"/>
    <w:rsid w:val="2E5B2891"/>
    <w:rsid w:val="2E627104"/>
    <w:rsid w:val="2E632C3A"/>
    <w:rsid w:val="2E76495E"/>
    <w:rsid w:val="2E813A38"/>
    <w:rsid w:val="2E840E29"/>
    <w:rsid w:val="2E9164D7"/>
    <w:rsid w:val="2E947BD2"/>
    <w:rsid w:val="2E9C6B58"/>
    <w:rsid w:val="2EA17C2D"/>
    <w:rsid w:val="2EBE4744"/>
    <w:rsid w:val="2EC851B9"/>
    <w:rsid w:val="2ED25570"/>
    <w:rsid w:val="2EDF143F"/>
    <w:rsid w:val="2EE639D5"/>
    <w:rsid w:val="2EE97C78"/>
    <w:rsid w:val="2EED6B95"/>
    <w:rsid w:val="2EEF5074"/>
    <w:rsid w:val="2EFA3040"/>
    <w:rsid w:val="2F000DF7"/>
    <w:rsid w:val="2F005D90"/>
    <w:rsid w:val="2F11041D"/>
    <w:rsid w:val="2F1A79DF"/>
    <w:rsid w:val="2F282AF7"/>
    <w:rsid w:val="2F2A7EBA"/>
    <w:rsid w:val="2F2C087C"/>
    <w:rsid w:val="2F2D7712"/>
    <w:rsid w:val="2F2E761D"/>
    <w:rsid w:val="2F3A3BDD"/>
    <w:rsid w:val="2F4607D4"/>
    <w:rsid w:val="2F585448"/>
    <w:rsid w:val="2F886361"/>
    <w:rsid w:val="2F8A6913"/>
    <w:rsid w:val="2F92185E"/>
    <w:rsid w:val="2FA26195"/>
    <w:rsid w:val="2FB142D6"/>
    <w:rsid w:val="2FCA7304"/>
    <w:rsid w:val="2FD22068"/>
    <w:rsid w:val="2FD50BA6"/>
    <w:rsid w:val="2FE065FC"/>
    <w:rsid w:val="2FE7751E"/>
    <w:rsid w:val="2FE97D6D"/>
    <w:rsid w:val="2FEA5603"/>
    <w:rsid w:val="2FF67E7C"/>
    <w:rsid w:val="2FFA53A6"/>
    <w:rsid w:val="2FFC0C14"/>
    <w:rsid w:val="30111B75"/>
    <w:rsid w:val="301E7C66"/>
    <w:rsid w:val="303838E5"/>
    <w:rsid w:val="303E3D77"/>
    <w:rsid w:val="305051F8"/>
    <w:rsid w:val="30641298"/>
    <w:rsid w:val="3065794D"/>
    <w:rsid w:val="30667749"/>
    <w:rsid w:val="307E2994"/>
    <w:rsid w:val="30867736"/>
    <w:rsid w:val="308D2386"/>
    <w:rsid w:val="30A1347E"/>
    <w:rsid w:val="30A530BB"/>
    <w:rsid w:val="30AD3885"/>
    <w:rsid w:val="30BC6725"/>
    <w:rsid w:val="30E33659"/>
    <w:rsid w:val="30FA7A74"/>
    <w:rsid w:val="310D7F1E"/>
    <w:rsid w:val="310E43BD"/>
    <w:rsid w:val="31236CCA"/>
    <w:rsid w:val="31280191"/>
    <w:rsid w:val="312A74A0"/>
    <w:rsid w:val="312D4941"/>
    <w:rsid w:val="3141717F"/>
    <w:rsid w:val="314E45CF"/>
    <w:rsid w:val="315A5C79"/>
    <w:rsid w:val="315B6A09"/>
    <w:rsid w:val="315B7C22"/>
    <w:rsid w:val="316F1F3B"/>
    <w:rsid w:val="31AE3E57"/>
    <w:rsid w:val="31BE2C9D"/>
    <w:rsid w:val="31BF526D"/>
    <w:rsid w:val="31C17736"/>
    <w:rsid w:val="31C34AB9"/>
    <w:rsid w:val="31CB0F43"/>
    <w:rsid w:val="31D976DD"/>
    <w:rsid w:val="31E3055C"/>
    <w:rsid w:val="31E83DC4"/>
    <w:rsid w:val="31F6471F"/>
    <w:rsid w:val="32011947"/>
    <w:rsid w:val="321327E8"/>
    <w:rsid w:val="323668DE"/>
    <w:rsid w:val="323731E2"/>
    <w:rsid w:val="323963CE"/>
    <w:rsid w:val="324B1034"/>
    <w:rsid w:val="324E1191"/>
    <w:rsid w:val="324E7B8F"/>
    <w:rsid w:val="325E5DAA"/>
    <w:rsid w:val="32600B35"/>
    <w:rsid w:val="326E63CC"/>
    <w:rsid w:val="327E1A1D"/>
    <w:rsid w:val="32874F81"/>
    <w:rsid w:val="32892CC9"/>
    <w:rsid w:val="328F7F00"/>
    <w:rsid w:val="329506D0"/>
    <w:rsid w:val="329830F5"/>
    <w:rsid w:val="32F629B0"/>
    <w:rsid w:val="33060B25"/>
    <w:rsid w:val="33093B71"/>
    <w:rsid w:val="33116F58"/>
    <w:rsid w:val="332E3A59"/>
    <w:rsid w:val="333D1567"/>
    <w:rsid w:val="334528CA"/>
    <w:rsid w:val="335A33AB"/>
    <w:rsid w:val="3364747B"/>
    <w:rsid w:val="33680D19"/>
    <w:rsid w:val="33730036"/>
    <w:rsid w:val="33843679"/>
    <w:rsid w:val="33B43F5E"/>
    <w:rsid w:val="33B95385"/>
    <w:rsid w:val="33C04270"/>
    <w:rsid w:val="33C63CA9"/>
    <w:rsid w:val="33C93D5B"/>
    <w:rsid w:val="33CA2D93"/>
    <w:rsid w:val="33CC539B"/>
    <w:rsid w:val="33D60378"/>
    <w:rsid w:val="33DF4D54"/>
    <w:rsid w:val="33E660E2"/>
    <w:rsid w:val="33E70D43"/>
    <w:rsid w:val="34055EEA"/>
    <w:rsid w:val="340C5B48"/>
    <w:rsid w:val="341509B2"/>
    <w:rsid w:val="341E42FC"/>
    <w:rsid w:val="34326364"/>
    <w:rsid w:val="344076B3"/>
    <w:rsid w:val="3444151B"/>
    <w:rsid w:val="344E25CC"/>
    <w:rsid w:val="34690523"/>
    <w:rsid w:val="346A0AC1"/>
    <w:rsid w:val="347171DF"/>
    <w:rsid w:val="347D4D87"/>
    <w:rsid w:val="348B4F98"/>
    <w:rsid w:val="349519D6"/>
    <w:rsid w:val="34AF776F"/>
    <w:rsid w:val="34B81243"/>
    <w:rsid w:val="34BA1A48"/>
    <w:rsid w:val="34BF1622"/>
    <w:rsid w:val="34C96C44"/>
    <w:rsid w:val="34E33FD9"/>
    <w:rsid w:val="34E46AC5"/>
    <w:rsid w:val="34EF0FE3"/>
    <w:rsid w:val="34EF2EF3"/>
    <w:rsid w:val="34F43741"/>
    <w:rsid w:val="34F62354"/>
    <w:rsid w:val="350C4EE6"/>
    <w:rsid w:val="350E6E5D"/>
    <w:rsid w:val="35152BAF"/>
    <w:rsid w:val="3515527C"/>
    <w:rsid w:val="351917AF"/>
    <w:rsid w:val="352813DC"/>
    <w:rsid w:val="35352E7D"/>
    <w:rsid w:val="354558B8"/>
    <w:rsid w:val="35605664"/>
    <w:rsid w:val="35646059"/>
    <w:rsid w:val="3566664D"/>
    <w:rsid w:val="35683AF9"/>
    <w:rsid w:val="356B4BBD"/>
    <w:rsid w:val="35782713"/>
    <w:rsid w:val="35816D2B"/>
    <w:rsid w:val="358C7174"/>
    <w:rsid w:val="35956011"/>
    <w:rsid w:val="35B2056F"/>
    <w:rsid w:val="35B47C93"/>
    <w:rsid w:val="35BE2E72"/>
    <w:rsid w:val="35CA6AEE"/>
    <w:rsid w:val="35D96B49"/>
    <w:rsid w:val="35FD0483"/>
    <w:rsid w:val="360B7296"/>
    <w:rsid w:val="361A00DF"/>
    <w:rsid w:val="36296547"/>
    <w:rsid w:val="363B44C3"/>
    <w:rsid w:val="363D3F98"/>
    <w:rsid w:val="364C3AAE"/>
    <w:rsid w:val="36592A97"/>
    <w:rsid w:val="36602BB6"/>
    <w:rsid w:val="36740AF6"/>
    <w:rsid w:val="367B5207"/>
    <w:rsid w:val="368B6F70"/>
    <w:rsid w:val="369622A4"/>
    <w:rsid w:val="369F5E70"/>
    <w:rsid w:val="36AD058E"/>
    <w:rsid w:val="36C16AAB"/>
    <w:rsid w:val="36C20D84"/>
    <w:rsid w:val="36E50144"/>
    <w:rsid w:val="36EA7C97"/>
    <w:rsid w:val="36F21067"/>
    <w:rsid w:val="36F75FD1"/>
    <w:rsid w:val="37084D57"/>
    <w:rsid w:val="373553B6"/>
    <w:rsid w:val="374B2E2B"/>
    <w:rsid w:val="37545091"/>
    <w:rsid w:val="37546640"/>
    <w:rsid w:val="37582F5A"/>
    <w:rsid w:val="375C22EB"/>
    <w:rsid w:val="375D2B5F"/>
    <w:rsid w:val="376419E9"/>
    <w:rsid w:val="37654B44"/>
    <w:rsid w:val="377A1D27"/>
    <w:rsid w:val="377F2AD5"/>
    <w:rsid w:val="378C0D4E"/>
    <w:rsid w:val="37A02766"/>
    <w:rsid w:val="37BD53AB"/>
    <w:rsid w:val="37C56718"/>
    <w:rsid w:val="37C74E88"/>
    <w:rsid w:val="37DD15AA"/>
    <w:rsid w:val="3803716D"/>
    <w:rsid w:val="38043092"/>
    <w:rsid w:val="38187167"/>
    <w:rsid w:val="383428CB"/>
    <w:rsid w:val="3841140F"/>
    <w:rsid w:val="38424834"/>
    <w:rsid w:val="38442B07"/>
    <w:rsid w:val="38487597"/>
    <w:rsid w:val="384D5E3D"/>
    <w:rsid w:val="386251AF"/>
    <w:rsid w:val="38670D12"/>
    <w:rsid w:val="38703F00"/>
    <w:rsid w:val="387543A5"/>
    <w:rsid w:val="388A06B0"/>
    <w:rsid w:val="388A4FF3"/>
    <w:rsid w:val="38934A8A"/>
    <w:rsid w:val="389B048C"/>
    <w:rsid w:val="38A333D2"/>
    <w:rsid w:val="38A51829"/>
    <w:rsid w:val="38B85C64"/>
    <w:rsid w:val="38C46EC4"/>
    <w:rsid w:val="38E26AF6"/>
    <w:rsid w:val="38E516DC"/>
    <w:rsid w:val="38E928FC"/>
    <w:rsid w:val="39160AB4"/>
    <w:rsid w:val="3918737E"/>
    <w:rsid w:val="391975A4"/>
    <w:rsid w:val="391F645A"/>
    <w:rsid w:val="394916F9"/>
    <w:rsid w:val="394A5D81"/>
    <w:rsid w:val="39584D00"/>
    <w:rsid w:val="396F26D5"/>
    <w:rsid w:val="3977132C"/>
    <w:rsid w:val="398C5A2B"/>
    <w:rsid w:val="398F4611"/>
    <w:rsid w:val="398F7031"/>
    <w:rsid w:val="39A36673"/>
    <w:rsid w:val="39A5327C"/>
    <w:rsid w:val="39A80DAB"/>
    <w:rsid w:val="39CE1AF2"/>
    <w:rsid w:val="39DE64A1"/>
    <w:rsid w:val="39EC4850"/>
    <w:rsid w:val="39EF53C1"/>
    <w:rsid w:val="3A0379ED"/>
    <w:rsid w:val="3A0948D8"/>
    <w:rsid w:val="3A472A48"/>
    <w:rsid w:val="3A4B2663"/>
    <w:rsid w:val="3A4C07C2"/>
    <w:rsid w:val="3A662AC7"/>
    <w:rsid w:val="3A6815EC"/>
    <w:rsid w:val="3A706E73"/>
    <w:rsid w:val="3A7837D1"/>
    <w:rsid w:val="3A7E78DA"/>
    <w:rsid w:val="3AAC6550"/>
    <w:rsid w:val="3ABC30CE"/>
    <w:rsid w:val="3ACA050B"/>
    <w:rsid w:val="3AD924FC"/>
    <w:rsid w:val="3ADB2718"/>
    <w:rsid w:val="3ADB44C6"/>
    <w:rsid w:val="3AF33AC3"/>
    <w:rsid w:val="3B137C65"/>
    <w:rsid w:val="3B311A87"/>
    <w:rsid w:val="3B312338"/>
    <w:rsid w:val="3B3E6A81"/>
    <w:rsid w:val="3B4F0A10"/>
    <w:rsid w:val="3B541B43"/>
    <w:rsid w:val="3B59446D"/>
    <w:rsid w:val="3B624DAA"/>
    <w:rsid w:val="3B630348"/>
    <w:rsid w:val="3B6F744F"/>
    <w:rsid w:val="3B822B94"/>
    <w:rsid w:val="3B84690C"/>
    <w:rsid w:val="3B8546B9"/>
    <w:rsid w:val="3BB61594"/>
    <w:rsid w:val="3BBA7170"/>
    <w:rsid w:val="3BCB1537"/>
    <w:rsid w:val="3BDD7357"/>
    <w:rsid w:val="3BDF201C"/>
    <w:rsid w:val="3BF13876"/>
    <w:rsid w:val="3BF27D19"/>
    <w:rsid w:val="3BF375EE"/>
    <w:rsid w:val="3BFA0BC7"/>
    <w:rsid w:val="3BFF3566"/>
    <w:rsid w:val="3C035E1E"/>
    <w:rsid w:val="3C1063F2"/>
    <w:rsid w:val="3C1F2FC0"/>
    <w:rsid w:val="3C2E0626"/>
    <w:rsid w:val="3C2E582E"/>
    <w:rsid w:val="3C3245BA"/>
    <w:rsid w:val="3C3251D9"/>
    <w:rsid w:val="3C3814A4"/>
    <w:rsid w:val="3C463F15"/>
    <w:rsid w:val="3C5851D9"/>
    <w:rsid w:val="3C5A6BC7"/>
    <w:rsid w:val="3C633A43"/>
    <w:rsid w:val="3C694EE5"/>
    <w:rsid w:val="3C7262C5"/>
    <w:rsid w:val="3C756255"/>
    <w:rsid w:val="3C940BFA"/>
    <w:rsid w:val="3CA9599D"/>
    <w:rsid w:val="3CAA23A2"/>
    <w:rsid w:val="3CC571DC"/>
    <w:rsid w:val="3CCF699C"/>
    <w:rsid w:val="3CD13DD3"/>
    <w:rsid w:val="3CD459EE"/>
    <w:rsid w:val="3CDA3AC5"/>
    <w:rsid w:val="3CE50A0D"/>
    <w:rsid w:val="3CF71663"/>
    <w:rsid w:val="3CFD6D40"/>
    <w:rsid w:val="3CFE7149"/>
    <w:rsid w:val="3CFE7B29"/>
    <w:rsid w:val="3D0E279C"/>
    <w:rsid w:val="3D112D10"/>
    <w:rsid w:val="3D1D157C"/>
    <w:rsid w:val="3D264521"/>
    <w:rsid w:val="3D4466EE"/>
    <w:rsid w:val="3D464997"/>
    <w:rsid w:val="3D552F65"/>
    <w:rsid w:val="3D5A55A1"/>
    <w:rsid w:val="3D6E1622"/>
    <w:rsid w:val="3D6E19E5"/>
    <w:rsid w:val="3D7D1E84"/>
    <w:rsid w:val="3D95620E"/>
    <w:rsid w:val="3D9F722B"/>
    <w:rsid w:val="3DA32353"/>
    <w:rsid w:val="3DC079A3"/>
    <w:rsid w:val="3DC808F4"/>
    <w:rsid w:val="3DCE20C0"/>
    <w:rsid w:val="3DD07BE6"/>
    <w:rsid w:val="3DD671C7"/>
    <w:rsid w:val="3DFC548F"/>
    <w:rsid w:val="3DFD452B"/>
    <w:rsid w:val="3E061F76"/>
    <w:rsid w:val="3E0748C6"/>
    <w:rsid w:val="3E077AB4"/>
    <w:rsid w:val="3E086EC7"/>
    <w:rsid w:val="3E0B0C9A"/>
    <w:rsid w:val="3E117CBE"/>
    <w:rsid w:val="3E12103A"/>
    <w:rsid w:val="3E17048A"/>
    <w:rsid w:val="3E1C788F"/>
    <w:rsid w:val="3E233019"/>
    <w:rsid w:val="3E3772B0"/>
    <w:rsid w:val="3E3F4D6C"/>
    <w:rsid w:val="3E4601CC"/>
    <w:rsid w:val="3E6E11AD"/>
    <w:rsid w:val="3E7C0513"/>
    <w:rsid w:val="3E860BED"/>
    <w:rsid w:val="3E8610BE"/>
    <w:rsid w:val="3E8A718F"/>
    <w:rsid w:val="3EAE4245"/>
    <w:rsid w:val="3EAE4852"/>
    <w:rsid w:val="3EBD1E6E"/>
    <w:rsid w:val="3EBE37CE"/>
    <w:rsid w:val="3EC129FF"/>
    <w:rsid w:val="3EC95DEC"/>
    <w:rsid w:val="3EE22562"/>
    <w:rsid w:val="3EE4121D"/>
    <w:rsid w:val="3EE5462F"/>
    <w:rsid w:val="3EE97955"/>
    <w:rsid w:val="3F0A35CC"/>
    <w:rsid w:val="3F175EC4"/>
    <w:rsid w:val="3F1E7C2D"/>
    <w:rsid w:val="3F354C0B"/>
    <w:rsid w:val="3F37496B"/>
    <w:rsid w:val="3F3B1A2C"/>
    <w:rsid w:val="3F473ED8"/>
    <w:rsid w:val="3F4E1332"/>
    <w:rsid w:val="3F5443B1"/>
    <w:rsid w:val="3F620D12"/>
    <w:rsid w:val="3F635074"/>
    <w:rsid w:val="3F7B5566"/>
    <w:rsid w:val="3FB57928"/>
    <w:rsid w:val="3FBB27B3"/>
    <w:rsid w:val="3FBF5CBA"/>
    <w:rsid w:val="3FD20DF3"/>
    <w:rsid w:val="3FE6109F"/>
    <w:rsid w:val="3FEE6A4A"/>
    <w:rsid w:val="3FF036D6"/>
    <w:rsid w:val="3FFE6D98"/>
    <w:rsid w:val="40092D50"/>
    <w:rsid w:val="40187BE4"/>
    <w:rsid w:val="401D0C2C"/>
    <w:rsid w:val="402406BD"/>
    <w:rsid w:val="402606A6"/>
    <w:rsid w:val="402803C3"/>
    <w:rsid w:val="403D08A6"/>
    <w:rsid w:val="403D1A8C"/>
    <w:rsid w:val="40434C72"/>
    <w:rsid w:val="40461D7D"/>
    <w:rsid w:val="4048682E"/>
    <w:rsid w:val="404C35CE"/>
    <w:rsid w:val="40503261"/>
    <w:rsid w:val="405D2A3A"/>
    <w:rsid w:val="40624D42"/>
    <w:rsid w:val="407105CD"/>
    <w:rsid w:val="407C0E8D"/>
    <w:rsid w:val="407C4056"/>
    <w:rsid w:val="408A6D7E"/>
    <w:rsid w:val="40906F4C"/>
    <w:rsid w:val="409327E5"/>
    <w:rsid w:val="40994C08"/>
    <w:rsid w:val="40A738A5"/>
    <w:rsid w:val="40A84DF8"/>
    <w:rsid w:val="40AD7779"/>
    <w:rsid w:val="40B324F2"/>
    <w:rsid w:val="40B437EF"/>
    <w:rsid w:val="40C316C3"/>
    <w:rsid w:val="40C86825"/>
    <w:rsid w:val="40DB24F9"/>
    <w:rsid w:val="40ED0414"/>
    <w:rsid w:val="40F2629B"/>
    <w:rsid w:val="40F474CF"/>
    <w:rsid w:val="40F55BB6"/>
    <w:rsid w:val="40FA32AE"/>
    <w:rsid w:val="41263501"/>
    <w:rsid w:val="412B15D8"/>
    <w:rsid w:val="412C41DD"/>
    <w:rsid w:val="412E3AA0"/>
    <w:rsid w:val="41326E0A"/>
    <w:rsid w:val="4133259E"/>
    <w:rsid w:val="41405083"/>
    <w:rsid w:val="414E67F4"/>
    <w:rsid w:val="415F3F37"/>
    <w:rsid w:val="415F460A"/>
    <w:rsid w:val="416D1BF0"/>
    <w:rsid w:val="41A47B32"/>
    <w:rsid w:val="41B92EC6"/>
    <w:rsid w:val="41BC1D5B"/>
    <w:rsid w:val="41C41EE0"/>
    <w:rsid w:val="41CF772C"/>
    <w:rsid w:val="41E53E7C"/>
    <w:rsid w:val="41EB06B1"/>
    <w:rsid w:val="41FA3A2A"/>
    <w:rsid w:val="42004812"/>
    <w:rsid w:val="42147A3A"/>
    <w:rsid w:val="42176738"/>
    <w:rsid w:val="421D797E"/>
    <w:rsid w:val="423D67D1"/>
    <w:rsid w:val="424B1C04"/>
    <w:rsid w:val="426B6130"/>
    <w:rsid w:val="427B20EB"/>
    <w:rsid w:val="42AD063B"/>
    <w:rsid w:val="42C171F3"/>
    <w:rsid w:val="42D266C7"/>
    <w:rsid w:val="42D651C1"/>
    <w:rsid w:val="42D913E9"/>
    <w:rsid w:val="42E40DD1"/>
    <w:rsid w:val="42EC34F6"/>
    <w:rsid w:val="430201D2"/>
    <w:rsid w:val="43072DA7"/>
    <w:rsid w:val="4309198C"/>
    <w:rsid w:val="43135319"/>
    <w:rsid w:val="432C2A32"/>
    <w:rsid w:val="432D1C04"/>
    <w:rsid w:val="433619DB"/>
    <w:rsid w:val="434E5F92"/>
    <w:rsid w:val="43575365"/>
    <w:rsid w:val="43577E34"/>
    <w:rsid w:val="435A40A3"/>
    <w:rsid w:val="435E6358"/>
    <w:rsid w:val="435E7642"/>
    <w:rsid w:val="43680537"/>
    <w:rsid w:val="43700157"/>
    <w:rsid w:val="439F701C"/>
    <w:rsid w:val="43A5262D"/>
    <w:rsid w:val="43C07C63"/>
    <w:rsid w:val="43C55D14"/>
    <w:rsid w:val="43DE6B3B"/>
    <w:rsid w:val="43F206CA"/>
    <w:rsid w:val="43FE4F8A"/>
    <w:rsid w:val="44166BF1"/>
    <w:rsid w:val="4458645A"/>
    <w:rsid w:val="44717D3E"/>
    <w:rsid w:val="44872FC9"/>
    <w:rsid w:val="44925C64"/>
    <w:rsid w:val="44947D38"/>
    <w:rsid w:val="449556E6"/>
    <w:rsid w:val="44A0537A"/>
    <w:rsid w:val="44A5762A"/>
    <w:rsid w:val="44C37AAB"/>
    <w:rsid w:val="44D632A8"/>
    <w:rsid w:val="44DF70AD"/>
    <w:rsid w:val="44E94EF1"/>
    <w:rsid w:val="44EA41B5"/>
    <w:rsid w:val="44F62472"/>
    <w:rsid w:val="44FD22D5"/>
    <w:rsid w:val="45112FEA"/>
    <w:rsid w:val="4517469A"/>
    <w:rsid w:val="452B2344"/>
    <w:rsid w:val="453221C1"/>
    <w:rsid w:val="453B3D19"/>
    <w:rsid w:val="453C2005"/>
    <w:rsid w:val="4555107C"/>
    <w:rsid w:val="456600C8"/>
    <w:rsid w:val="456B4699"/>
    <w:rsid w:val="456C1FA4"/>
    <w:rsid w:val="456C2D26"/>
    <w:rsid w:val="45734934"/>
    <w:rsid w:val="457A7A7F"/>
    <w:rsid w:val="457B3AC6"/>
    <w:rsid w:val="45983295"/>
    <w:rsid w:val="459A065A"/>
    <w:rsid w:val="459A6248"/>
    <w:rsid w:val="459C19DC"/>
    <w:rsid w:val="459E1DF2"/>
    <w:rsid w:val="45C26CA2"/>
    <w:rsid w:val="45D14951"/>
    <w:rsid w:val="45D71D2E"/>
    <w:rsid w:val="45DA5C7B"/>
    <w:rsid w:val="45E7300C"/>
    <w:rsid w:val="45F25354"/>
    <w:rsid w:val="45F37CC1"/>
    <w:rsid w:val="46030EB3"/>
    <w:rsid w:val="460958D0"/>
    <w:rsid w:val="460F7455"/>
    <w:rsid w:val="46130A89"/>
    <w:rsid w:val="46144E9B"/>
    <w:rsid w:val="46317253"/>
    <w:rsid w:val="464F5100"/>
    <w:rsid w:val="46537317"/>
    <w:rsid w:val="465E47C3"/>
    <w:rsid w:val="46616988"/>
    <w:rsid w:val="46761090"/>
    <w:rsid w:val="467E09EF"/>
    <w:rsid w:val="46813DBF"/>
    <w:rsid w:val="4693575D"/>
    <w:rsid w:val="46AE2A8F"/>
    <w:rsid w:val="46AE583F"/>
    <w:rsid w:val="46AE6E07"/>
    <w:rsid w:val="46B40F2B"/>
    <w:rsid w:val="46DD60EE"/>
    <w:rsid w:val="46DE2D82"/>
    <w:rsid w:val="46DE55E8"/>
    <w:rsid w:val="46F36309"/>
    <w:rsid w:val="46FD6C53"/>
    <w:rsid w:val="470C1F25"/>
    <w:rsid w:val="470C4B51"/>
    <w:rsid w:val="47263250"/>
    <w:rsid w:val="472A62F3"/>
    <w:rsid w:val="472C5E04"/>
    <w:rsid w:val="473236C0"/>
    <w:rsid w:val="47332F94"/>
    <w:rsid w:val="473339CD"/>
    <w:rsid w:val="47376734"/>
    <w:rsid w:val="473E145B"/>
    <w:rsid w:val="473E70DF"/>
    <w:rsid w:val="47417B21"/>
    <w:rsid w:val="47443E3C"/>
    <w:rsid w:val="475112EB"/>
    <w:rsid w:val="4760696F"/>
    <w:rsid w:val="47617B01"/>
    <w:rsid w:val="477325D6"/>
    <w:rsid w:val="477C3A73"/>
    <w:rsid w:val="47831BFE"/>
    <w:rsid w:val="479809B8"/>
    <w:rsid w:val="47AA7C5C"/>
    <w:rsid w:val="47B16BE0"/>
    <w:rsid w:val="47D26C51"/>
    <w:rsid w:val="47D47E08"/>
    <w:rsid w:val="47DE71F1"/>
    <w:rsid w:val="47FB7648"/>
    <w:rsid w:val="480027FF"/>
    <w:rsid w:val="480C4220"/>
    <w:rsid w:val="48221986"/>
    <w:rsid w:val="48294272"/>
    <w:rsid w:val="482C0A84"/>
    <w:rsid w:val="48357B3B"/>
    <w:rsid w:val="4839101C"/>
    <w:rsid w:val="484C7DB3"/>
    <w:rsid w:val="485D4C28"/>
    <w:rsid w:val="486329A7"/>
    <w:rsid w:val="487065F8"/>
    <w:rsid w:val="487D480D"/>
    <w:rsid w:val="48822B58"/>
    <w:rsid w:val="48862167"/>
    <w:rsid w:val="48964AD8"/>
    <w:rsid w:val="48AB093C"/>
    <w:rsid w:val="48AB3752"/>
    <w:rsid w:val="48BC5937"/>
    <w:rsid w:val="48D82045"/>
    <w:rsid w:val="48DC3718"/>
    <w:rsid w:val="48F40954"/>
    <w:rsid w:val="4924528A"/>
    <w:rsid w:val="49301E81"/>
    <w:rsid w:val="49423962"/>
    <w:rsid w:val="494D2A33"/>
    <w:rsid w:val="495B6457"/>
    <w:rsid w:val="4972249A"/>
    <w:rsid w:val="49781549"/>
    <w:rsid w:val="49782801"/>
    <w:rsid w:val="49785D34"/>
    <w:rsid w:val="49790338"/>
    <w:rsid w:val="49923258"/>
    <w:rsid w:val="499D721E"/>
    <w:rsid w:val="49A577F9"/>
    <w:rsid w:val="49AF5DB5"/>
    <w:rsid w:val="49D0144B"/>
    <w:rsid w:val="49F50870"/>
    <w:rsid w:val="49FE735A"/>
    <w:rsid w:val="4A26019D"/>
    <w:rsid w:val="4A314103"/>
    <w:rsid w:val="4A3431F4"/>
    <w:rsid w:val="4A383046"/>
    <w:rsid w:val="4A452AB4"/>
    <w:rsid w:val="4A471C26"/>
    <w:rsid w:val="4A483D5D"/>
    <w:rsid w:val="4A4D76CB"/>
    <w:rsid w:val="4A4F4589"/>
    <w:rsid w:val="4A5971B6"/>
    <w:rsid w:val="4A5B1180"/>
    <w:rsid w:val="4A5C75B9"/>
    <w:rsid w:val="4A5F5501"/>
    <w:rsid w:val="4A6313CC"/>
    <w:rsid w:val="4A702F34"/>
    <w:rsid w:val="4A73708A"/>
    <w:rsid w:val="4A82749F"/>
    <w:rsid w:val="4A9F411E"/>
    <w:rsid w:val="4AB32D6A"/>
    <w:rsid w:val="4AC152FB"/>
    <w:rsid w:val="4AC57702"/>
    <w:rsid w:val="4ADA25F1"/>
    <w:rsid w:val="4ADB406F"/>
    <w:rsid w:val="4AE03433"/>
    <w:rsid w:val="4AE178D7"/>
    <w:rsid w:val="4AE21620"/>
    <w:rsid w:val="4AEE4B87"/>
    <w:rsid w:val="4AFD336F"/>
    <w:rsid w:val="4B0B0E05"/>
    <w:rsid w:val="4B3764A7"/>
    <w:rsid w:val="4B424154"/>
    <w:rsid w:val="4B486E71"/>
    <w:rsid w:val="4B4D6D1A"/>
    <w:rsid w:val="4B610736"/>
    <w:rsid w:val="4B64401B"/>
    <w:rsid w:val="4B6C4CC7"/>
    <w:rsid w:val="4B70749F"/>
    <w:rsid w:val="4B733540"/>
    <w:rsid w:val="4B9666BC"/>
    <w:rsid w:val="4BBE441A"/>
    <w:rsid w:val="4BC52D55"/>
    <w:rsid w:val="4BC76479"/>
    <w:rsid w:val="4BCC2290"/>
    <w:rsid w:val="4BD272AD"/>
    <w:rsid w:val="4BD411EA"/>
    <w:rsid w:val="4BD4754C"/>
    <w:rsid w:val="4BDF471B"/>
    <w:rsid w:val="4BF050E7"/>
    <w:rsid w:val="4C00634E"/>
    <w:rsid w:val="4C231829"/>
    <w:rsid w:val="4C3F1EF8"/>
    <w:rsid w:val="4C4F6AC2"/>
    <w:rsid w:val="4C524663"/>
    <w:rsid w:val="4C551CE7"/>
    <w:rsid w:val="4C5C6B91"/>
    <w:rsid w:val="4C5D61E1"/>
    <w:rsid w:val="4C6641E5"/>
    <w:rsid w:val="4CA510E8"/>
    <w:rsid w:val="4CAC05A1"/>
    <w:rsid w:val="4CB37ECC"/>
    <w:rsid w:val="4CBE77A4"/>
    <w:rsid w:val="4CC3431D"/>
    <w:rsid w:val="4CC50B32"/>
    <w:rsid w:val="4CC865E3"/>
    <w:rsid w:val="4CE0771A"/>
    <w:rsid w:val="4CE32639"/>
    <w:rsid w:val="4CE959B3"/>
    <w:rsid w:val="4CEB7145"/>
    <w:rsid w:val="4D16233D"/>
    <w:rsid w:val="4D241CFD"/>
    <w:rsid w:val="4D2F2B78"/>
    <w:rsid w:val="4D5D40C1"/>
    <w:rsid w:val="4D746F26"/>
    <w:rsid w:val="4D87299B"/>
    <w:rsid w:val="4D8A45B0"/>
    <w:rsid w:val="4D91586D"/>
    <w:rsid w:val="4DAB0F88"/>
    <w:rsid w:val="4DB206FC"/>
    <w:rsid w:val="4DB51C9F"/>
    <w:rsid w:val="4DB575FA"/>
    <w:rsid w:val="4DBF0B7C"/>
    <w:rsid w:val="4DC63176"/>
    <w:rsid w:val="4DCB57F5"/>
    <w:rsid w:val="4DD418AA"/>
    <w:rsid w:val="4DDE676B"/>
    <w:rsid w:val="4E01490D"/>
    <w:rsid w:val="4E114094"/>
    <w:rsid w:val="4E132D5B"/>
    <w:rsid w:val="4E1522AB"/>
    <w:rsid w:val="4E22092A"/>
    <w:rsid w:val="4E37300F"/>
    <w:rsid w:val="4E3E1A52"/>
    <w:rsid w:val="4E415771"/>
    <w:rsid w:val="4E447CC9"/>
    <w:rsid w:val="4E546612"/>
    <w:rsid w:val="4E605328"/>
    <w:rsid w:val="4E6600F3"/>
    <w:rsid w:val="4E743B3C"/>
    <w:rsid w:val="4E807468"/>
    <w:rsid w:val="4E896D30"/>
    <w:rsid w:val="4E987B37"/>
    <w:rsid w:val="4E9B47DC"/>
    <w:rsid w:val="4EA51DC2"/>
    <w:rsid w:val="4EB01625"/>
    <w:rsid w:val="4EB106F2"/>
    <w:rsid w:val="4EB66A33"/>
    <w:rsid w:val="4EBB5DBE"/>
    <w:rsid w:val="4EBD5F65"/>
    <w:rsid w:val="4EBE7F2F"/>
    <w:rsid w:val="4EC26A4D"/>
    <w:rsid w:val="4ED81994"/>
    <w:rsid w:val="4ED84B4D"/>
    <w:rsid w:val="4EE1241C"/>
    <w:rsid w:val="4EE47996"/>
    <w:rsid w:val="4EF37BD9"/>
    <w:rsid w:val="4EF77FB8"/>
    <w:rsid w:val="4EF92D15"/>
    <w:rsid w:val="4F163447"/>
    <w:rsid w:val="4F1638C7"/>
    <w:rsid w:val="4F1A7008"/>
    <w:rsid w:val="4F1D02BB"/>
    <w:rsid w:val="4F2401A6"/>
    <w:rsid w:val="4F2414FE"/>
    <w:rsid w:val="4F364EA4"/>
    <w:rsid w:val="4F386D08"/>
    <w:rsid w:val="4F414506"/>
    <w:rsid w:val="4F423AC5"/>
    <w:rsid w:val="4F45280C"/>
    <w:rsid w:val="4F457AD3"/>
    <w:rsid w:val="4F604B42"/>
    <w:rsid w:val="4F66013C"/>
    <w:rsid w:val="4F704107"/>
    <w:rsid w:val="4F7A7484"/>
    <w:rsid w:val="4F7D74A2"/>
    <w:rsid w:val="4F857B9F"/>
    <w:rsid w:val="4F8B6983"/>
    <w:rsid w:val="4F987D83"/>
    <w:rsid w:val="4F9F6305"/>
    <w:rsid w:val="4FAD1767"/>
    <w:rsid w:val="4FB52022"/>
    <w:rsid w:val="4FD75ECD"/>
    <w:rsid w:val="4FE25B78"/>
    <w:rsid w:val="4FE85DF4"/>
    <w:rsid w:val="4FFE6835"/>
    <w:rsid w:val="500E7BE8"/>
    <w:rsid w:val="500F5168"/>
    <w:rsid w:val="500F5DAE"/>
    <w:rsid w:val="501645C5"/>
    <w:rsid w:val="501D2002"/>
    <w:rsid w:val="50255035"/>
    <w:rsid w:val="50267B3A"/>
    <w:rsid w:val="504132E3"/>
    <w:rsid w:val="504D24F4"/>
    <w:rsid w:val="505D122C"/>
    <w:rsid w:val="505D1564"/>
    <w:rsid w:val="50783A55"/>
    <w:rsid w:val="507C384E"/>
    <w:rsid w:val="508036EE"/>
    <w:rsid w:val="5085748E"/>
    <w:rsid w:val="509D1F88"/>
    <w:rsid w:val="509E4866"/>
    <w:rsid w:val="50A02775"/>
    <w:rsid w:val="50A37762"/>
    <w:rsid w:val="50A5492D"/>
    <w:rsid w:val="50DB3FDE"/>
    <w:rsid w:val="50DF2B57"/>
    <w:rsid w:val="50E278DA"/>
    <w:rsid w:val="50E32EF9"/>
    <w:rsid w:val="50EE64BD"/>
    <w:rsid w:val="51023A7C"/>
    <w:rsid w:val="51147D91"/>
    <w:rsid w:val="51174EDA"/>
    <w:rsid w:val="514736E5"/>
    <w:rsid w:val="51506A75"/>
    <w:rsid w:val="51561BDF"/>
    <w:rsid w:val="51583A45"/>
    <w:rsid w:val="516A0A8F"/>
    <w:rsid w:val="516E3E1A"/>
    <w:rsid w:val="51774495"/>
    <w:rsid w:val="5178037B"/>
    <w:rsid w:val="51842A7D"/>
    <w:rsid w:val="51982F91"/>
    <w:rsid w:val="519A35C6"/>
    <w:rsid w:val="519F2583"/>
    <w:rsid w:val="51AB557F"/>
    <w:rsid w:val="51AD6556"/>
    <w:rsid w:val="51B069E3"/>
    <w:rsid w:val="51BB3CB5"/>
    <w:rsid w:val="51BF6981"/>
    <w:rsid w:val="51DF3001"/>
    <w:rsid w:val="51E04E8D"/>
    <w:rsid w:val="51F37983"/>
    <w:rsid w:val="51FA3D00"/>
    <w:rsid w:val="51FA74D0"/>
    <w:rsid w:val="51FB4517"/>
    <w:rsid w:val="51FB4635"/>
    <w:rsid w:val="52026AE1"/>
    <w:rsid w:val="521F09DD"/>
    <w:rsid w:val="5222752C"/>
    <w:rsid w:val="52255AF3"/>
    <w:rsid w:val="523E13E6"/>
    <w:rsid w:val="524005E4"/>
    <w:rsid w:val="525106DF"/>
    <w:rsid w:val="5253532C"/>
    <w:rsid w:val="52663CB5"/>
    <w:rsid w:val="526E7576"/>
    <w:rsid w:val="527375D2"/>
    <w:rsid w:val="527B54B3"/>
    <w:rsid w:val="5289751A"/>
    <w:rsid w:val="52A62656"/>
    <w:rsid w:val="52AD1D52"/>
    <w:rsid w:val="52AF02BB"/>
    <w:rsid w:val="52B70F1D"/>
    <w:rsid w:val="52C85AB9"/>
    <w:rsid w:val="52CF270B"/>
    <w:rsid w:val="52D746D7"/>
    <w:rsid w:val="52E22D49"/>
    <w:rsid w:val="52E55A8A"/>
    <w:rsid w:val="52EA6127"/>
    <w:rsid w:val="52EB0BC7"/>
    <w:rsid w:val="52F263F9"/>
    <w:rsid w:val="530134AB"/>
    <w:rsid w:val="530734F8"/>
    <w:rsid w:val="531505DE"/>
    <w:rsid w:val="531B06DD"/>
    <w:rsid w:val="532260D6"/>
    <w:rsid w:val="53265CEC"/>
    <w:rsid w:val="53381174"/>
    <w:rsid w:val="53395A8D"/>
    <w:rsid w:val="53430A03"/>
    <w:rsid w:val="53453181"/>
    <w:rsid w:val="534D3630"/>
    <w:rsid w:val="535832A7"/>
    <w:rsid w:val="53684556"/>
    <w:rsid w:val="5374208A"/>
    <w:rsid w:val="537961D3"/>
    <w:rsid w:val="538434F5"/>
    <w:rsid w:val="538578BA"/>
    <w:rsid w:val="539E2038"/>
    <w:rsid w:val="53AC04B8"/>
    <w:rsid w:val="53AD6020"/>
    <w:rsid w:val="53B4545D"/>
    <w:rsid w:val="53C2612C"/>
    <w:rsid w:val="53DD074C"/>
    <w:rsid w:val="53DF697E"/>
    <w:rsid w:val="53EF085D"/>
    <w:rsid w:val="53F03A50"/>
    <w:rsid w:val="53FB074F"/>
    <w:rsid w:val="540422CF"/>
    <w:rsid w:val="542812E0"/>
    <w:rsid w:val="54442C85"/>
    <w:rsid w:val="54475DCC"/>
    <w:rsid w:val="544A38FA"/>
    <w:rsid w:val="54616281"/>
    <w:rsid w:val="546450D5"/>
    <w:rsid w:val="5479673C"/>
    <w:rsid w:val="547F6C75"/>
    <w:rsid w:val="548212A3"/>
    <w:rsid w:val="54871388"/>
    <w:rsid w:val="548A728F"/>
    <w:rsid w:val="54905ECA"/>
    <w:rsid w:val="549D6AC8"/>
    <w:rsid w:val="54A212AE"/>
    <w:rsid w:val="54AC532F"/>
    <w:rsid w:val="54B25F3F"/>
    <w:rsid w:val="54B4790E"/>
    <w:rsid w:val="54BD2D90"/>
    <w:rsid w:val="54D15BCB"/>
    <w:rsid w:val="54EA350A"/>
    <w:rsid w:val="54FC1AEC"/>
    <w:rsid w:val="550A5C7C"/>
    <w:rsid w:val="55585D19"/>
    <w:rsid w:val="556A2277"/>
    <w:rsid w:val="556E4059"/>
    <w:rsid w:val="556E7FB9"/>
    <w:rsid w:val="557E0E4D"/>
    <w:rsid w:val="55984425"/>
    <w:rsid w:val="55A21A11"/>
    <w:rsid w:val="55AF14AC"/>
    <w:rsid w:val="55B96E21"/>
    <w:rsid w:val="55C91189"/>
    <w:rsid w:val="55CE7DB6"/>
    <w:rsid w:val="55E1458A"/>
    <w:rsid w:val="55EA6E84"/>
    <w:rsid w:val="55EB6977"/>
    <w:rsid w:val="5607784E"/>
    <w:rsid w:val="560B6A22"/>
    <w:rsid w:val="562B7D0F"/>
    <w:rsid w:val="563166DC"/>
    <w:rsid w:val="56376A87"/>
    <w:rsid w:val="564877A5"/>
    <w:rsid w:val="565A22EB"/>
    <w:rsid w:val="56603E65"/>
    <w:rsid w:val="56694C24"/>
    <w:rsid w:val="5695539B"/>
    <w:rsid w:val="5695773D"/>
    <w:rsid w:val="569577C7"/>
    <w:rsid w:val="56B32A88"/>
    <w:rsid w:val="56BE6D1E"/>
    <w:rsid w:val="56C101B4"/>
    <w:rsid w:val="56C279DB"/>
    <w:rsid w:val="56D63A7A"/>
    <w:rsid w:val="56D97728"/>
    <w:rsid w:val="56DA1345"/>
    <w:rsid w:val="56DD6858"/>
    <w:rsid w:val="56EE44F1"/>
    <w:rsid w:val="5715028F"/>
    <w:rsid w:val="5717185B"/>
    <w:rsid w:val="571747DE"/>
    <w:rsid w:val="57471110"/>
    <w:rsid w:val="57516383"/>
    <w:rsid w:val="575442DF"/>
    <w:rsid w:val="57611C79"/>
    <w:rsid w:val="57631674"/>
    <w:rsid w:val="57851700"/>
    <w:rsid w:val="57937A03"/>
    <w:rsid w:val="579E26AC"/>
    <w:rsid w:val="57B10631"/>
    <w:rsid w:val="57B37B43"/>
    <w:rsid w:val="57C45AC7"/>
    <w:rsid w:val="57C9597B"/>
    <w:rsid w:val="57CC0FC7"/>
    <w:rsid w:val="57CCC813"/>
    <w:rsid w:val="57D56212"/>
    <w:rsid w:val="57D72812"/>
    <w:rsid w:val="57D75AB6"/>
    <w:rsid w:val="57E5652D"/>
    <w:rsid w:val="57EF5E0E"/>
    <w:rsid w:val="58054C91"/>
    <w:rsid w:val="580674C9"/>
    <w:rsid w:val="580E372B"/>
    <w:rsid w:val="58101591"/>
    <w:rsid w:val="58120A77"/>
    <w:rsid w:val="58156BCB"/>
    <w:rsid w:val="58235DE1"/>
    <w:rsid w:val="58294898"/>
    <w:rsid w:val="58385787"/>
    <w:rsid w:val="584450AA"/>
    <w:rsid w:val="584C2341"/>
    <w:rsid w:val="5850268F"/>
    <w:rsid w:val="585431F4"/>
    <w:rsid w:val="585C14A4"/>
    <w:rsid w:val="586F66CF"/>
    <w:rsid w:val="58785DD8"/>
    <w:rsid w:val="5881483E"/>
    <w:rsid w:val="588A205B"/>
    <w:rsid w:val="588E44CE"/>
    <w:rsid w:val="588F7B43"/>
    <w:rsid w:val="58906498"/>
    <w:rsid w:val="58B06B3A"/>
    <w:rsid w:val="58B312C4"/>
    <w:rsid w:val="58B7756C"/>
    <w:rsid w:val="58BB21DC"/>
    <w:rsid w:val="58BB441C"/>
    <w:rsid w:val="58D3217E"/>
    <w:rsid w:val="58DD051D"/>
    <w:rsid w:val="58FF5879"/>
    <w:rsid w:val="59041CE1"/>
    <w:rsid w:val="591B012B"/>
    <w:rsid w:val="59204EF1"/>
    <w:rsid w:val="59271F35"/>
    <w:rsid w:val="5930746B"/>
    <w:rsid w:val="59310CA2"/>
    <w:rsid w:val="59431CD3"/>
    <w:rsid w:val="59520087"/>
    <w:rsid w:val="59590F80"/>
    <w:rsid w:val="59623730"/>
    <w:rsid w:val="59690793"/>
    <w:rsid w:val="596F4300"/>
    <w:rsid w:val="59745DBA"/>
    <w:rsid w:val="5978454B"/>
    <w:rsid w:val="597C47A4"/>
    <w:rsid w:val="59875AED"/>
    <w:rsid w:val="598D7D01"/>
    <w:rsid w:val="598F5362"/>
    <w:rsid w:val="59981AA8"/>
    <w:rsid w:val="5998614C"/>
    <w:rsid w:val="59A64B33"/>
    <w:rsid w:val="59BC3BE1"/>
    <w:rsid w:val="59C363FA"/>
    <w:rsid w:val="59C7491A"/>
    <w:rsid w:val="59D21773"/>
    <w:rsid w:val="59D979CB"/>
    <w:rsid w:val="59DA5F12"/>
    <w:rsid w:val="5A055A2B"/>
    <w:rsid w:val="5A0A4028"/>
    <w:rsid w:val="5A0D7986"/>
    <w:rsid w:val="5A1D1CD0"/>
    <w:rsid w:val="5A1E1882"/>
    <w:rsid w:val="5A276988"/>
    <w:rsid w:val="5A34016C"/>
    <w:rsid w:val="5A562228"/>
    <w:rsid w:val="5A5E37A2"/>
    <w:rsid w:val="5A5F25C6"/>
    <w:rsid w:val="5A641A16"/>
    <w:rsid w:val="5A6870DC"/>
    <w:rsid w:val="5A6A6AB2"/>
    <w:rsid w:val="5A6E44D0"/>
    <w:rsid w:val="5A7B66B2"/>
    <w:rsid w:val="5A9640B1"/>
    <w:rsid w:val="5AAB580B"/>
    <w:rsid w:val="5ABA1A75"/>
    <w:rsid w:val="5AC834F5"/>
    <w:rsid w:val="5AD21B15"/>
    <w:rsid w:val="5AEB1673"/>
    <w:rsid w:val="5AEF2EDA"/>
    <w:rsid w:val="5B0633C0"/>
    <w:rsid w:val="5B1E5FDD"/>
    <w:rsid w:val="5B24231E"/>
    <w:rsid w:val="5B266C40"/>
    <w:rsid w:val="5B28699E"/>
    <w:rsid w:val="5B2A2BD4"/>
    <w:rsid w:val="5B306F7E"/>
    <w:rsid w:val="5B53608C"/>
    <w:rsid w:val="5B5F0ACD"/>
    <w:rsid w:val="5B6023D9"/>
    <w:rsid w:val="5B765350"/>
    <w:rsid w:val="5B767BC7"/>
    <w:rsid w:val="5B774521"/>
    <w:rsid w:val="5B777ABF"/>
    <w:rsid w:val="5B7D019F"/>
    <w:rsid w:val="5B87717D"/>
    <w:rsid w:val="5B9751CE"/>
    <w:rsid w:val="5BA131E7"/>
    <w:rsid w:val="5BA272A6"/>
    <w:rsid w:val="5BB32F70"/>
    <w:rsid w:val="5BB54A4D"/>
    <w:rsid w:val="5BC16969"/>
    <w:rsid w:val="5BCC3C8B"/>
    <w:rsid w:val="5BD41BC2"/>
    <w:rsid w:val="5BE51DB4"/>
    <w:rsid w:val="5C17602F"/>
    <w:rsid w:val="5C1C4D52"/>
    <w:rsid w:val="5C20315A"/>
    <w:rsid w:val="5C287746"/>
    <w:rsid w:val="5C340A13"/>
    <w:rsid w:val="5C346CE4"/>
    <w:rsid w:val="5C361105"/>
    <w:rsid w:val="5C3C3455"/>
    <w:rsid w:val="5C4F0418"/>
    <w:rsid w:val="5C566ED1"/>
    <w:rsid w:val="5C6B7D11"/>
    <w:rsid w:val="5C6C23B9"/>
    <w:rsid w:val="5C6F5488"/>
    <w:rsid w:val="5C7210A2"/>
    <w:rsid w:val="5C791CC0"/>
    <w:rsid w:val="5C7F7B49"/>
    <w:rsid w:val="5C97462C"/>
    <w:rsid w:val="5C9F59FB"/>
    <w:rsid w:val="5CAC3166"/>
    <w:rsid w:val="5CAD05E2"/>
    <w:rsid w:val="5CB51004"/>
    <w:rsid w:val="5CE77B5D"/>
    <w:rsid w:val="5CE95669"/>
    <w:rsid w:val="5CF96232"/>
    <w:rsid w:val="5D00723B"/>
    <w:rsid w:val="5D0E27BC"/>
    <w:rsid w:val="5D174F7F"/>
    <w:rsid w:val="5D193DB1"/>
    <w:rsid w:val="5D213B63"/>
    <w:rsid w:val="5D364460"/>
    <w:rsid w:val="5D4C6DCF"/>
    <w:rsid w:val="5D5A0BF3"/>
    <w:rsid w:val="5D5C103F"/>
    <w:rsid w:val="5D5E7DF4"/>
    <w:rsid w:val="5D5F6D1D"/>
    <w:rsid w:val="5D6D1FFC"/>
    <w:rsid w:val="5D7A7774"/>
    <w:rsid w:val="5D7B09A3"/>
    <w:rsid w:val="5D7E7C70"/>
    <w:rsid w:val="5D9D345A"/>
    <w:rsid w:val="5DA6313C"/>
    <w:rsid w:val="5DAC1C09"/>
    <w:rsid w:val="5DB91FED"/>
    <w:rsid w:val="5DC15672"/>
    <w:rsid w:val="5DCD7847"/>
    <w:rsid w:val="5DD15589"/>
    <w:rsid w:val="5DD605D7"/>
    <w:rsid w:val="5DDC2224"/>
    <w:rsid w:val="5DDE377B"/>
    <w:rsid w:val="5DE033EA"/>
    <w:rsid w:val="5E11388E"/>
    <w:rsid w:val="5E230C3A"/>
    <w:rsid w:val="5E394EDC"/>
    <w:rsid w:val="5E3C5819"/>
    <w:rsid w:val="5E432DFD"/>
    <w:rsid w:val="5E4B68D2"/>
    <w:rsid w:val="5E573807"/>
    <w:rsid w:val="5E585F52"/>
    <w:rsid w:val="5E5D0BCB"/>
    <w:rsid w:val="5E650084"/>
    <w:rsid w:val="5E6A32E8"/>
    <w:rsid w:val="5E6E1B0A"/>
    <w:rsid w:val="5E830965"/>
    <w:rsid w:val="5E994F7A"/>
    <w:rsid w:val="5E997625"/>
    <w:rsid w:val="5EB804F7"/>
    <w:rsid w:val="5EBA601D"/>
    <w:rsid w:val="5EBD5AB9"/>
    <w:rsid w:val="5ED82764"/>
    <w:rsid w:val="5EDE34EF"/>
    <w:rsid w:val="5EE65303"/>
    <w:rsid w:val="5EEB1B57"/>
    <w:rsid w:val="5EEB1B82"/>
    <w:rsid w:val="5EEB5931"/>
    <w:rsid w:val="5F045798"/>
    <w:rsid w:val="5F055986"/>
    <w:rsid w:val="5F0D0843"/>
    <w:rsid w:val="5F186916"/>
    <w:rsid w:val="5F1D7B8D"/>
    <w:rsid w:val="5F2070F3"/>
    <w:rsid w:val="5F2521B5"/>
    <w:rsid w:val="5F293990"/>
    <w:rsid w:val="5F2B0CC9"/>
    <w:rsid w:val="5F2D50D0"/>
    <w:rsid w:val="5F2E1DC0"/>
    <w:rsid w:val="5F3B1F6C"/>
    <w:rsid w:val="5F3F6ACE"/>
    <w:rsid w:val="5F4165AB"/>
    <w:rsid w:val="5F423E29"/>
    <w:rsid w:val="5F443B39"/>
    <w:rsid w:val="5F4B43E8"/>
    <w:rsid w:val="5F4B5D21"/>
    <w:rsid w:val="5F4E2C09"/>
    <w:rsid w:val="5F620DA7"/>
    <w:rsid w:val="5F626165"/>
    <w:rsid w:val="5F731101"/>
    <w:rsid w:val="5F781A34"/>
    <w:rsid w:val="5F9C55AE"/>
    <w:rsid w:val="5FA019E5"/>
    <w:rsid w:val="5FA21886"/>
    <w:rsid w:val="5FC14BC7"/>
    <w:rsid w:val="5FD15AD2"/>
    <w:rsid w:val="5FE175D9"/>
    <w:rsid w:val="5FE63288"/>
    <w:rsid w:val="5FED48F2"/>
    <w:rsid w:val="5FF576C4"/>
    <w:rsid w:val="600A4D82"/>
    <w:rsid w:val="600D5A0F"/>
    <w:rsid w:val="60100168"/>
    <w:rsid w:val="6014175D"/>
    <w:rsid w:val="60174473"/>
    <w:rsid w:val="6018338A"/>
    <w:rsid w:val="601E438A"/>
    <w:rsid w:val="602023AF"/>
    <w:rsid w:val="6058076B"/>
    <w:rsid w:val="60691C79"/>
    <w:rsid w:val="606A2308"/>
    <w:rsid w:val="608D0B89"/>
    <w:rsid w:val="608D13B8"/>
    <w:rsid w:val="608E53E0"/>
    <w:rsid w:val="608F6DCF"/>
    <w:rsid w:val="60AC5E39"/>
    <w:rsid w:val="60AF6EEF"/>
    <w:rsid w:val="60B151FE"/>
    <w:rsid w:val="60C05441"/>
    <w:rsid w:val="60D30D2A"/>
    <w:rsid w:val="60E94998"/>
    <w:rsid w:val="60F50EA4"/>
    <w:rsid w:val="60FC046A"/>
    <w:rsid w:val="61195DA0"/>
    <w:rsid w:val="6133663B"/>
    <w:rsid w:val="613F695D"/>
    <w:rsid w:val="614B7A50"/>
    <w:rsid w:val="61603826"/>
    <w:rsid w:val="61647C13"/>
    <w:rsid w:val="61773B2D"/>
    <w:rsid w:val="617D4F8C"/>
    <w:rsid w:val="61871227"/>
    <w:rsid w:val="61890DAD"/>
    <w:rsid w:val="619C1A0A"/>
    <w:rsid w:val="619D39D4"/>
    <w:rsid w:val="619F599E"/>
    <w:rsid w:val="61A478CD"/>
    <w:rsid w:val="61A741F8"/>
    <w:rsid w:val="61B93A0D"/>
    <w:rsid w:val="61BA70C3"/>
    <w:rsid w:val="61BC7C78"/>
    <w:rsid w:val="61C37CAC"/>
    <w:rsid w:val="61EE2831"/>
    <w:rsid w:val="62052E9D"/>
    <w:rsid w:val="62233ED9"/>
    <w:rsid w:val="622B2A75"/>
    <w:rsid w:val="6235433D"/>
    <w:rsid w:val="623D1F44"/>
    <w:rsid w:val="624668BE"/>
    <w:rsid w:val="624A2316"/>
    <w:rsid w:val="625B49E0"/>
    <w:rsid w:val="625D62A0"/>
    <w:rsid w:val="62631D21"/>
    <w:rsid w:val="62652744"/>
    <w:rsid w:val="626C3AD2"/>
    <w:rsid w:val="628801E0"/>
    <w:rsid w:val="628D7295"/>
    <w:rsid w:val="629F593D"/>
    <w:rsid w:val="62AE40EB"/>
    <w:rsid w:val="62B92A90"/>
    <w:rsid w:val="62BD64F1"/>
    <w:rsid w:val="62C2089F"/>
    <w:rsid w:val="62C20B6E"/>
    <w:rsid w:val="62CE4A93"/>
    <w:rsid w:val="62D35C9A"/>
    <w:rsid w:val="62D54765"/>
    <w:rsid w:val="62DB7664"/>
    <w:rsid w:val="62E01DCA"/>
    <w:rsid w:val="62EF54E3"/>
    <w:rsid w:val="62FE221F"/>
    <w:rsid w:val="62FE5D89"/>
    <w:rsid w:val="630614D1"/>
    <w:rsid w:val="63072B74"/>
    <w:rsid w:val="630B0CC8"/>
    <w:rsid w:val="63117015"/>
    <w:rsid w:val="631E47F0"/>
    <w:rsid w:val="63211AF7"/>
    <w:rsid w:val="632A18EE"/>
    <w:rsid w:val="632A4CAE"/>
    <w:rsid w:val="632E6FDA"/>
    <w:rsid w:val="6337115D"/>
    <w:rsid w:val="634426C1"/>
    <w:rsid w:val="6350134F"/>
    <w:rsid w:val="636B1FDC"/>
    <w:rsid w:val="636B3D8A"/>
    <w:rsid w:val="637D5D70"/>
    <w:rsid w:val="637D73A5"/>
    <w:rsid w:val="639338AB"/>
    <w:rsid w:val="63AB062A"/>
    <w:rsid w:val="63AD43A2"/>
    <w:rsid w:val="63B967CD"/>
    <w:rsid w:val="63C11207"/>
    <w:rsid w:val="63C90472"/>
    <w:rsid w:val="63CA2316"/>
    <w:rsid w:val="63DA0F0F"/>
    <w:rsid w:val="63E04D05"/>
    <w:rsid w:val="63E34461"/>
    <w:rsid w:val="63EA5747"/>
    <w:rsid w:val="63EB5108"/>
    <w:rsid w:val="63F21953"/>
    <w:rsid w:val="6408782B"/>
    <w:rsid w:val="64101881"/>
    <w:rsid w:val="64104931"/>
    <w:rsid w:val="64153CF6"/>
    <w:rsid w:val="64274A84"/>
    <w:rsid w:val="642A0B53"/>
    <w:rsid w:val="642F169A"/>
    <w:rsid w:val="644E725E"/>
    <w:rsid w:val="6466124F"/>
    <w:rsid w:val="64754794"/>
    <w:rsid w:val="64B46124"/>
    <w:rsid w:val="64C7058E"/>
    <w:rsid w:val="64CA2BC8"/>
    <w:rsid w:val="64DC65F2"/>
    <w:rsid w:val="64E52B38"/>
    <w:rsid w:val="64F41B5D"/>
    <w:rsid w:val="64F75E2E"/>
    <w:rsid w:val="64FD6C0C"/>
    <w:rsid w:val="65062B47"/>
    <w:rsid w:val="651545C9"/>
    <w:rsid w:val="651F7051"/>
    <w:rsid w:val="652530BF"/>
    <w:rsid w:val="652801D5"/>
    <w:rsid w:val="652E1513"/>
    <w:rsid w:val="653F0A94"/>
    <w:rsid w:val="65422B5E"/>
    <w:rsid w:val="655363FF"/>
    <w:rsid w:val="65543B68"/>
    <w:rsid w:val="65550F6C"/>
    <w:rsid w:val="655722C3"/>
    <w:rsid w:val="655C6433"/>
    <w:rsid w:val="65644578"/>
    <w:rsid w:val="656A1E1F"/>
    <w:rsid w:val="656B71A0"/>
    <w:rsid w:val="656E1285"/>
    <w:rsid w:val="65987AD6"/>
    <w:rsid w:val="659D2C6E"/>
    <w:rsid w:val="659E70CA"/>
    <w:rsid w:val="659F59C1"/>
    <w:rsid w:val="65A76AC1"/>
    <w:rsid w:val="65A90596"/>
    <w:rsid w:val="65B76EC6"/>
    <w:rsid w:val="65BC7CB7"/>
    <w:rsid w:val="65C7766D"/>
    <w:rsid w:val="65D02CDA"/>
    <w:rsid w:val="65D37CEE"/>
    <w:rsid w:val="65F51DC0"/>
    <w:rsid w:val="65F62BA4"/>
    <w:rsid w:val="65F954A8"/>
    <w:rsid w:val="6619273A"/>
    <w:rsid w:val="66251F2D"/>
    <w:rsid w:val="662F5994"/>
    <w:rsid w:val="66356DF9"/>
    <w:rsid w:val="664F74F8"/>
    <w:rsid w:val="6652789F"/>
    <w:rsid w:val="66554A2F"/>
    <w:rsid w:val="665E48F2"/>
    <w:rsid w:val="66664CDC"/>
    <w:rsid w:val="667860ED"/>
    <w:rsid w:val="66837B42"/>
    <w:rsid w:val="66952ECC"/>
    <w:rsid w:val="669F7F7B"/>
    <w:rsid w:val="66A80E51"/>
    <w:rsid w:val="66A95CED"/>
    <w:rsid w:val="66AF21DF"/>
    <w:rsid w:val="66BA2932"/>
    <w:rsid w:val="66BD56F6"/>
    <w:rsid w:val="66C043ED"/>
    <w:rsid w:val="66C537B1"/>
    <w:rsid w:val="66D32372"/>
    <w:rsid w:val="66E85379"/>
    <w:rsid w:val="66F330C8"/>
    <w:rsid w:val="66F56645"/>
    <w:rsid w:val="66F771A7"/>
    <w:rsid w:val="670558E8"/>
    <w:rsid w:val="6712085D"/>
    <w:rsid w:val="67135588"/>
    <w:rsid w:val="67152BDF"/>
    <w:rsid w:val="675A65EF"/>
    <w:rsid w:val="67632E35"/>
    <w:rsid w:val="67654A77"/>
    <w:rsid w:val="676915DC"/>
    <w:rsid w:val="676E12FC"/>
    <w:rsid w:val="67765505"/>
    <w:rsid w:val="67771202"/>
    <w:rsid w:val="67805055"/>
    <w:rsid w:val="67A208E9"/>
    <w:rsid w:val="67A81461"/>
    <w:rsid w:val="67B2364E"/>
    <w:rsid w:val="67BE37C3"/>
    <w:rsid w:val="67C71028"/>
    <w:rsid w:val="67C76DB5"/>
    <w:rsid w:val="67E6546D"/>
    <w:rsid w:val="67FC1454"/>
    <w:rsid w:val="68060525"/>
    <w:rsid w:val="6839048A"/>
    <w:rsid w:val="68587782"/>
    <w:rsid w:val="685F7C35"/>
    <w:rsid w:val="686061C9"/>
    <w:rsid w:val="68610E40"/>
    <w:rsid w:val="686F4BD0"/>
    <w:rsid w:val="687C02C3"/>
    <w:rsid w:val="687E4606"/>
    <w:rsid w:val="68903EBC"/>
    <w:rsid w:val="68975C9D"/>
    <w:rsid w:val="6898088E"/>
    <w:rsid w:val="68A82E84"/>
    <w:rsid w:val="68CC3A98"/>
    <w:rsid w:val="68F14D31"/>
    <w:rsid w:val="691B2DFC"/>
    <w:rsid w:val="692045F1"/>
    <w:rsid w:val="693379B4"/>
    <w:rsid w:val="693510F0"/>
    <w:rsid w:val="69673B44"/>
    <w:rsid w:val="6978078B"/>
    <w:rsid w:val="69847791"/>
    <w:rsid w:val="69853E38"/>
    <w:rsid w:val="699975C7"/>
    <w:rsid w:val="69A973BA"/>
    <w:rsid w:val="69DD6E88"/>
    <w:rsid w:val="69E312EA"/>
    <w:rsid w:val="69EA5D98"/>
    <w:rsid w:val="69FB617B"/>
    <w:rsid w:val="6A002D52"/>
    <w:rsid w:val="6A022F6E"/>
    <w:rsid w:val="6A063470"/>
    <w:rsid w:val="6A073376"/>
    <w:rsid w:val="6A0A7BC5"/>
    <w:rsid w:val="6A0C209B"/>
    <w:rsid w:val="6A104E32"/>
    <w:rsid w:val="6A464C09"/>
    <w:rsid w:val="6A55309E"/>
    <w:rsid w:val="6A70612A"/>
    <w:rsid w:val="6A853969"/>
    <w:rsid w:val="6A8A71EB"/>
    <w:rsid w:val="6A8F3879"/>
    <w:rsid w:val="6AB26B47"/>
    <w:rsid w:val="6AB67253"/>
    <w:rsid w:val="6AB83FD0"/>
    <w:rsid w:val="6ABA0365"/>
    <w:rsid w:val="6AC61A0E"/>
    <w:rsid w:val="6ACB3D20"/>
    <w:rsid w:val="6AD74766"/>
    <w:rsid w:val="6AE13829"/>
    <w:rsid w:val="6AF74155"/>
    <w:rsid w:val="6AF969DC"/>
    <w:rsid w:val="6AFD2A27"/>
    <w:rsid w:val="6B1C7940"/>
    <w:rsid w:val="6B2556D4"/>
    <w:rsid w:val="6B2770E7"/>
    <w:rsid w:val="6B40766A"/>
    <w:rsid w:val="6B413622"/>
    <w:rsid w:val="6B4C5B1C"/>
    <w:rsid w:val="6B506CC2"/>
    <w:rsid w:val="6B5920BF"/>
    <w:rsid w:val="6B614BD7"/>
    <w:rsid w:val="6B673089"/>
    <w:rsid w:val="6B6A0DCB"/>
    <w:rsid w:val="6B6C4B43"/>
    <w:rsid w:val="6BAA6F1F"/>
    <w:rsid w:val="6BD244BA"/>
    <w:rsid w:val="6BD92C38"/>
    <w:rsid w:val="6BDB50B3"/>
    <w:rsid w:val="6BDE3C7A"/>
    <w:rsid w:val="6BE5371F"/>
    <w:rsid w:val="6BEA3B62"/>
    <w:rsid w:val="6BEE5EB9"/>
    <w:rsid w:val="6BF07522"/>
    <w:rsid w:val="6BF2344D"/>
    <w:rsid w:val="6BF4517A"/>
    <w:rsid w:val="6BF45B5C"/>
    <w:rsid w:val="6C241ABC"/>
    <w:rsid w:val="6C245957"/>
    <w:rsid w:val="6C2B2308"/>
    <w:rsid w:val="6C380772"/>
    <w:rsid w:val="6C601E17"/>
    <w:rsid w:val="6C6634D7"/>
    <w:rsid w:val="6C691082"/>
    <w:rsid w:val="6C7A6DEC"/>
    <w:rsid w:val="6CA51767"/>
    <w:rsid w:val="6CA87DFD"/>
    <w:rsid w:val="6CAD496E"/>
    <w:rsid w:val="6CB015C4"/>
    <w:rsid w:val="6CB613C7"/>
    <w:rsid w:val="6CC13353"/>
    <w:rsid w:val="6CC97AEC"/>
    <w:rsid w:val="6CD058E0"/>
    <w:rsid w:val="6CDE381E"/>
    <w:rsid w:val="6D1C7EA3"/>
    <w:rsid w:val="6D2D3320"/>
    <w:rsid w:val="6D312E7C"/>
    <w:rsid w:val="6D34343E"/>
    <w:rsid w:val="6D3C58FF"/>
    <w:rsid w:val="6D4572EE"/>
    <w:rsid w:val="6D571AC3"/>
    <w:rsid w:val="6D5F7612"/>
    <w:rsid w:val="6D6A3304"/>
    <w:rsid w:val="6D6C50AC"/>
    <w:rsid w:val="6D745F31"/>
    <w:rsid w:val="6D7A02C0"/>
    <w:rsid w:val="6D7C00C5"/>
    <w:rsid w:val="6D910991"/>
    <w:rsid w:val="6D965483"/>
    <w:rsid w:val="6DA649C0"/>
    <w:rsid w:val="6DA81E1C"/>
    <w:rsid w:val="6DAA1F98"/>
    <w:rsid w:val="6DAE5B0D"/>
    <w:rsid w:val="6DC42A14"/>
    <w:rsid w:val="6DCD5952"/>
    <w:rsid w:val="6DCF3167"/>
    <w:rsid w:val="6DD33161"/>
    <w:rsid w:val="6DEA1D4F"/>
    <w:rsid w:val="6DF049BD"/>
    <w:rsid w:val="6DF54F14"/>
    <w:rsid w:val="6DFC6948"/>
    <w:rsid w:val="6DFD31A9"/>
    <w:rsid w:val="6DFE57FA"/>
    <w:rsid w:val="6E000232"/>
    <w:rsid w:val="6E0E5A3E"/>
    <w:rsid w:val="6E1A4649"/>
    <w:rsid w:val="6E22562B"/>
    <w:rsid w:val="6E497753"/>
    <w:rsid w:val="6E5B2C4D"/>
    <w:rsid w:val="6E83011F"/>
    <w:rsid w:val="6E867227"/>
    <w:rsid w:val="6E883820"/>
    <w:rsid w:val="6E8E3022"/>
    <w:rsid w:val="6E925478"/>
    <w:rsid w:val="6E970129"/>
    <w:rsid w:val="6E9A0087"/>
    <w:rsid w:val="6EA30452"/>
    <w:rsid w:val="6EA36D56"/>
    <w:rsid w:val="6EA54A62"/>
    <w:rsid w:val="6EA72D69"/>
    <w:rsid w:val="6EA97255"/>
    <w:rsid w:val="6ED749C9"/>
    <w:rsid w:val="6EF07839"/>
    <w:rsid w:val="6EF21B94"/>
    <w:rsid w:val="6EFA2466"/>
    <w:rsid w:val="6EFA68C0"/>
    <w:rsid w:val="6F0003FC"/>
    <w:rsid w:val="6F0212A5"/>
    <w:rsid w:val="6F0B5294"/>
    <w:rsid w:val="6F2179F2"/>
    <w:rsid w:val="6F3A0F29"/>
    <w:rsid w:val="6F5C119C"/>
    <w:rsid w:val="6F675D4D"/>
    <w:rsid w:val="6F6A1399"/>
    <w:rsid w:val="6F715FF8"/>
    <w:rsid w:val="6F862598"/>
    <w:rsid w:val="6F8B14B1"/>
    <w:rsid w:val="6F96218E"/>
    <w:rsid w:val="6FE74798"/>
    <w:rsid w:val="6FEB6780"/>
    <w:rsid w:val="6FF8536C"/>
    <w:rsid w:val="70061E86"/>
    <w:rsid w:val="70096235"/>
    <w:rsid w:val="70180DF5"/>
    <w:rsid w:val="701C5D76"/>
    <w:rsid w:val="70294093"/>
    <w:rsid w:val="70337DDE"/>
    <w:rsid w:val="704C7922"/>
    <w:rsid w:val="70581235"/>
    <w:rsid w:val="70592560"/>
    <w:rsid w:val="707F2C23"/>
    <w:rsid w:val="7090557F"/>
    <w:rsid w:val="70A72A68"/>
    <w:rsid w:val="70CE5DB1"/>
    <w:rsid w:val="70D273FB"/>
    <w:rsid w:val="70D73CD3"/>
    <w:rsid w:val="70DD4EF6"/>
    <w:rsid w:val="70F300F3"/>
    <w:rsid w:val="70FA76A6"/>
    <w:rsid w:val="70FC0F37"/>
    <w:rsid w:val="71074A37"/>
    <w:rsid w:val="71296141"/>
    <w:rsid w:val="713A515F"/>
    <w:rsid w:val="71417C96"/>
    <w:rsid w:val="714A6BE2"/>
    <w:rsid w:val="714D10B3"/>
    <w:rsid w:val="71574C81"/>
    <w:rsid w:val="715D54F9"/>
    <w:rsid w:val="718104E0"/>
    <w:rsid w:val="71900E5F"/>
    <w:rsid w:val="71B132B0"/>
    <w:rsid w:val="71C32C8F"/>
    <w:rsid w:val="71E84951"/>
    <w:rsid w:val="71EA742E"/>
    <w:rsid w:val="7203181E"/>
    <w:rsid w:val="72094DC3"/>
    <w:rsid w:val="720B11B4"/>
    <w:rsid w:val="720E0B7E"/>
    <w:rsid w:val="72217DC9"/>
    <w:rsid w:val="723F5E90"/>
    <w:rsid w:val="72477438"/>
    <w:rsid w:val="725513B4"/>
    <w:rsid w:val="72794D1E"/>
    <w:rsid w:val="72816906"/>
    <w:rsid w:val="7281762C"/>
    <w:rsid w:val="728E4760"/>
    <w:rsid w:val="729F2B95"/>
    <w:rsid w:val="72B0169B"/>
    <w:rsid w:val="72BC193D"/>
    <w:rsid w:val="72FF5170"/>
    <w:rsid w:val="73005324"/>
    <w:rsid w:val="73051C17"/>
    <w:rsid w:val="73131D48"/>
    <w:rsid w:val="731D58B6"/>
    <w:rsid w:val="732122C1"/>
    <w:rsid w:val="732710B7"/>
    <w:rsid w:val="73400B1E"/>
    <w:rsid w:val="734A576D"/>
    <w:rsid w:val="73526450"/>
    <w:rsid w:val="73583A9B"/>
    <w:rsid w:val="736507F6"/>
    <w:rsid w:val="736A1C02"/>
    <w:rsid w:val="736B336C"/>
    <w:rsid w:val="73830465"/>
    <w:rsid w:val="73937D65"/>
    <w:rsid w:val="73B03CDC"/>
    <w:rsid w:val="73B33441"/>
    <w:rsid w:val="73BD5B78"/>
    <w:rsid w:val="73C5155C"/>
    <w:rsid w:val="73DA58C0"/>
    <w:rsid w:val="7400407A"/>
    <w:rsid w:val="740E69C5"/>
    <w:rsid w:val="74145D78"/>
    <w:rsid w:val="742A7349"/>
    <w:rsid w:val="742E43F3"/>
    <w:rsid w:val="742E450A"/>
    <w:rsid w:val="743F4223"/>
    <w:rsid w:val="74430027"/>
    <w:rsid w:val="74495668"/>
    <w:rsid w:val="745B39A7"/>
    <w:rsid w:val="747B2FCD"/>
    <w:rsid w:val="747E0A1E"/>
    <w:rsid w:val="74836A59"/>
    <w:rsid w:val="74984CA1"/>
    <w:rsid w:val="749C1F79"/>
    <w:rsid w:val="74AD4638"/>
    <w:rsid w:val="74B202D3"/>
    <w:rsid w:val="74C64118"/>
    <w:rsid w:val="74CA6401"/>
    <w:rsid w:val="74CF3EDA"/>
    <w:rsid w:val="74EC15DC"/>
    <w:rsid w:val="74F3598D"/>
    <w:rsid w:val="74FA31C0"/>
    <w:rsid w:val="74FD2B4F"/>
    <w:rsid w:val="74FF278E"/>
    <w:rsid w:val="75011717"/>
    <w:rsid w:val="7501454E"/>
    <w:rsid w:val="75071439"/>
    <w:rsid w:val="750A2CD7"/>
    <w:rsid w:val="75165475"/>
    <w:rsid w:val="7530273D"/>
    <w:rsid w:val="7538283F"/>
    <w:rsid w:val="7544326B"/>
    <w:rsid w:val="755E1F6B"/>
    <w:rsid w:val="756F35A7"/>
    <w:rsid w:val="75890153"/>
    <w:rsid w:val="75995C03"/>
    <w:rsid w:val="759F0B0D"/>
    <w:rsid w:val="75AD2F41"/>
    <w:rsid w:val="75AE4026"/>
    <w:rsid w:val="75AE759C"/>
    <w:rsid w:val="75B10E52"/>
    <w:rsid w:val="75B4344A"/>
    <w:rsid w:val="75D30258"/>
    <w:rsid w:val="75E15A0E"/>
    <w:rsid w:val="75EF359B"/>
    <w:rsid w:val="75F204AF"/>
    <w:rsid w:val="762471E0"/>
    <w:rsid w:val="76277FE4"/>
    <w:rsid w:val="763A22AF"/>
    <w:rsid w:val="763A3C55"/>
    <w:rsid w:val="764861AD"/>
    <w:rsid w:val="76617731"/>
    <w:rsid w:val="766F3032"/>
    <w:rsid w:val="76713781"/>
    <w:rsid w:val="768F6550"/>
    <w:rsid w:val="76903790"/>
    <w:rsid w:val="76920F63"/>
    <w:rsid w:val="76962A74"/>
    <w:rsid w:val="76B80C3C"/>
    <w:rsid w:val="76BF7232"/>
    <w:rsid w:val="76C8276D"/>
    <w:rsid w:val="76D06AEC"/>
    <w:rsid w:val="76D3680D"/>
    <w:rsid w:val="76D62CDB"/>
    <w:rsid w:val="76E37F31"/>
    <w:rsid w:val="76F732A3"/>
    <w:rsid w:val="77040325"/>
    <w:rsid w:val="77057BFA"/>
    <w:rsid w:val="77074B74"/>
    <w:rsid w:val="770C71DA"/>
    <w:rsid w:val="7713711B"/>
    <w:rsid w:val="77143B81"/>
    <w:rsid w:val="7718556C"/>
    <w:rsid w:val="77294EED"/>
    <w:rsid w:val="77336515"/>
    <w:rsid w:val="77350554"/>
    <w:rsid w:val="774B5FAF"/>
    <w:rsid w:val="77514D2B"/>
    <w:rsid w:val="77606A22"/>
    <w:rsid w:val="77692AB8"/>
    <w:rsid w:val="77794E56"/>
    <w:rsid w:val="77826B10"/>
    <w:rsid w:val="77927ED6"/>
    <w:rsid w:val="7794180B"/>
    <w:rsid w:val="7798281C"/>
    <w:rsid w:val="779D7E32"/>
    <w:rsid w:val="77A11A44"/>
    <w:rsid w:val="77AB254F"/>
    <w:rsid w:val="77BD2282"/>
    <w:rsid w:val="77CF3E8E"/>
    <w:rsid w:val="77D13651"/>
    <w:rsid w:val="77F12535"/>
    <w:rsid w:val="78091106"/>
    <w:rsid w:val="7814082D"/>
    <w:rsid w:val="7814578F"/>
    <w:rsid w:val="781931D0"/>
    <w:rsid w:val="782072C9"/>
    <w:rsid w:val="78212BE0"/>
    <w:rsid w:val="78227F45"/>
    <w:rsid w:val="783634EE"/>
    <w:rsid w:val="78395F16"/>
    <w:rsid w:val="783E0B9A"/>
    <w:rsid w:val="784347C4"/>
    <w:rsid w:val="784F4B65"/>
    <w:rsid w:val="785874D9"/>
    <w:rsid w:val="785E3A65"/>
    <w:rsid w:val="786801A4"/>
    <w:rsid w:val="786B4BDB"/>
    <w:rsid w:val="787107A9"/>
    <w:rsid w:val="78775FB3"/>
    <w:rsid w:val="78793A4C"/>
    <w:rsid w:val="787B0E50"/>
    <w:rsid w:val="787F4B16"/>
    <w:rsid w:val="789456D9"/>
    <w:rsid w:val="789A7176"/>
    <w:rsid w:val="78A2728C"/>
    <w:rsid w:val="78B55AAC"/>
    <w:rsid w:val="78B92662"/>
    <w:rsid w:val="78BA50F7"/>
    <w:rsid w:val="78C07EE4"/>
    <w:rsid w:val="78C07FFB"/>
    <w:rsid w:val="78CA3236"/>
    <w:rsid w:val="78CE133A"/>
    <w:rsid w:val="78D10C16"/>
    <w:rsid w:val="78D23783"/>
    <w:rsid w:val="78E679D2"/>
    <w:rsid w:val="78FA4811"/>
    <w:rsid w:val="79072250"/>
    <w:rsid w:val="791606B5"/>
    <w:rsid w:val="791B6DA4"/>
    <w:rsid w:val="79262551"/>
    <w:rsid w:val="794473A8"/>
    <w:rsid w:val="796230E1"/>
    <w:rsid w:val="796F0610"/>
    <w:rsid w:val="79713581"/>
    <w:rsid w:val="797515BF"/>
    <w:rsid w:val="797879A1"/>
    <w:rsid w:val="797C1E1F"/>
    <w:rsid w:val="797D6E8C"/>
    <w:rsid w:val="79814074"/>
    <w:rsid w:val="79964E85"/>
    <w:rsid w:val="79A77B0C"/>
    <w:rsid w:val="79BA41BB"/>
    <w:rsid w:val="79C61520"/>
    <w:rsid w:val="79CD0EA3"/>
    <w:rsid w:val="79E35DAD"/>
    <w:rsid w:val="79E766E9"/>
    <w:rsid w:val="79ED32F3"/>
    <w:rsid w:val="79F32CC4"/>
    <w:rsid w:val="7A150154"/>
    <w:rsid w:val="7A157E3F"/>
    <w:rsid w:val="7A1F0FD2"/>
    <w:rsid w:val="7A245B8D"/>
    <w:rsid w:val="7A2F3EAB"/>
    <w:rsid w:val="7A2F7467"/>
    <w:rsid w:val="7A3864DC"/>
    <w:rsid w:val="7A3A62E4"/>
    <w:rsid w:val="7A431165"/>
    <w:rsid w:val="7A4D0D36"/>
    <w:rsid w:val="7A5102F4"/>
    <w:rsid w:val="7A5D1E51"/>
    <w:rsid w:val="7A5F7DD8"/>
    <w:rsid w:val="7A624D9C"/>
    <w:rsid w:val="7A68681F"/>
    <w:rsid w:val="7A7C5D56"/>
    <w:rsid w:val="7A85139A"/>
    <w:rsid w:val="7A8B6668"/>
    <w:rsid w:val="7A9B68AB"/>
    <w:rsid w:val="7A9C08D9"/>
    <w:rsid w:val="7AB160CE"/>
    <w:rsid w:val="7AB847F0"/>
    <w:rsid w:val="7AC35E02"/>
    <w:rsid w:val="7AD41DBD"/>
    <w:rsid w:val="7AEC091C"/>
    <w:rsid w:val="7AF517DC"/>
    <w:rsid w:val="7AFB4923"/>
    <w:rsid w:val="7AFE3BAC"/>
    <w:rsid w:val="7B0A49A4"/>
    <w:rsid w:val="7B160627"/>
    <w:rsid w:val="7B160B6B"/>
    <w:rsid w:val="7B166879"/>
    <w:rsid w:val="7B176193"/>
    <w:rsid w:val="7B1D1BF5"/>
    <w:rsid w:val="7B301C64"/>
    <w:rsid w:val="7B3753B1"/>
    <w:rsid w:val="7B3E4ED8"/>
    <w:rsid w:val="7B450F0D"/>
    <w:rsid w:val="7B4B2817"/>
    <w:rsid w:val="7B536393"/>
    <w:rsid w:val="7B5F19EA"/>
    <w:rsid w:val="7B783090"/>
    <w:rsid w:val="7B925739"/>
    <w:rsid w:val="7B9D5B7F"/>
    <w:rsid w:val="7B9E709A"/>
    <w:rsid w:val="7B9E743A"/>
    <w:rsid w:val="7BA670DF"/>
    <w:rsid w:val="7BA96FD5"/>
    <w:rsid w:val="7BB22650"/>
    <w:rsid w:val="7BC23C48"/>
    <w:rsid w:val="7BC776AC"/>
    <w:rsid w:val="7BE6072C"/>
    <w:rsid w:val="7BFD622B"/>
    <w:rsid w:val="7BFF3F5C"/>
    <w:rsid w:val="7C2659A6"/>
    <w:rsid w:val="7C2B0D5B"/>
    <w:rsid w:val="7C305719"/>
    <w:rsid w:val="7C354771"/>
    <w:rsid w:val="7C370855"/>
    <w:rsid w:val="7C520630"/>
    <w:rsid w:val="7C5928DA"/>
    <w:rsid w:val="7C6724CF"/>
    <w:rsid w:val="7C6F372C"/>
    <w:rsid w:val="7C7B55CC"/>
    <w:rsid w:val="7C7F2370"/>
    <w:rsid w:val="7C9130A5"/>
    <w:rsid w:val="7CC05128"/>
    <w:rsid w:val="7CC11A85"/>
    <w:rsid w:val="7CD25CF0"/>
    <w:rsid w:val="7CDD764F"/>
    <w:rsid w:val="7CF46746"/>
    <w:rsid w:val="7CFE75C5"/>
    <w:rsid w:val="7D0D7808"/>
    <w:rsid w:val="7D27115C"/>
    <w:rsid w:val="7D2A5DDD"/>
    <w:rsid w:val="7D33726F"/>
    <w:rsid w:val="7D34167D"/>
    <w:rsid w:val="7D364FB1"/>
    <w:rsid w:val="7D367A56"/>
    <w:rsid w:val="7D5F62B6"/>
    <w:rsid w:val="7D67065E"/>
    <w:rsid w:val="7D670C6D"/>
    <w:rsid w:val="7D6E474B"/>
    <w:rsid w:val="7D6E5788"/>
    <w:rsid w:val="7D796C4C"/>
    <w:rsid w:val="7D8754DE"/>
    <w:rsid w:val="7D8C4232"/>
    <w:rsid w:val="7D957F29"/>
    <w:rsid w:val="7D9677FD"/>
    <w:rsid w:val="7DA4016C"/>
    <w:rsid w:val="7DB36601"/>
    <w:rsid w:val="7DC0487A"/>
    <w:rsid w:val="7DC47C46"/>
    <w:rsid w:val="7DD44BD7"/>
    <w:rsid w:val="7DD57899"/>
    <w:rsid w:val="7DED3183"/>
    <w:rsid w:val="7DF34205"/>
    <w:rsid w:val="7DFA4230"/>
    <w:rsid w:val="7E177AE7"/>
    <w:rsid w:val="7E4A75E6"/>
    <w:rsid w:val="7E5020A2"/>
    <w:rsid w:val="7E6E2528"/>
    <w:rsid w:val="7E7B57EE"/>
    <w:rsid w:val="7E8B31DD"/>
    <w:rsid w:val="7EB84979"/>
    <w:rsid w:val="7EC62364"/>
    <w:rsid w:val="7ED27D86"/>
    <w:rsid w:val="7EEA3D63"/>
    <w:rsid w:val="7EEB29F2"/>
    <w:rsid w:val="7EEB5927"/>
    <w:rsid w:val="7EEC2028"/>
    <w:rsid w:val="7EEF5417"/>
    <w:rsid w:val="7F0C4312"/>
    <w:rsid w:val="7F1267A3"/>
    <w:rsid w:val="7F221CF3"/>
    <w:rsid w:val="7F406314"/>
    <w:rsid w:val="7F48121F"/>
    <w:rsid w:val="7F51183B"/>
    <w:rsid w:val="7F531C21"/>
    <w:rsid w:val="7F6835F2"/>
    <w:rsid w:val="7F791C2A"/>
    <w:rsid w:val="7F7D6EC7"/>
    <w:rsid w:val="7F8A0440"/>
    <w:rsid w:val="7F8D64E8"/>
    <w:rsid w:val="7F9933A0"/>
    <w:rsid w:val="7F9E0BEB"/>
    <w:rsid w:val="7FAC170B"/>
    <w:rsid w:val="7FC05006"/>
    <w:rsid w:val="7FC45788"/>
    <w:rsid w:val="7FCA0A9E"/>
    <w:rsid w:val="7FCE3445"/>
    <w:rsid w:val="7FF150A6"/>
    <w:rsid w:val="7FF6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5"/>
    <w:link w:val="51"/>
    <w:qFormat/>
    <w:uiPriority w:val="0"/>
    <w:pPr>
      <w:keepNext/>
      <w:keepLines/>
      <w:spacing w:after="120" w:line="360" w:lineRule="auto"/>
      <w:jc w:val="left"/>
      <w:outlineLvl w:val="0"/>
    </w:pPr>
    <w:rPr>
      <w:kern w:val="44"/>
      <w:sz w:val="28"/>
      <w:szCs w:val="28"/>
    </w:rPr>
  </w:style>
  <w:style w:type="paragraph" w:styleId="7">
    <w:name w:val="heading 2"/>
    <w:basedOn w:val="1"/>
    <w:next w:val="8"/>
    <w:link w:val="54"/>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9">
    <w:name w:val="heading 3"/>
    <w:basedOn w:val="1"/>
    <w:next w:val="1"/>
    <w:link w:val="56"/>
    <w:qFormat/>
    <w:uiPriority w:val="0"/>
    <w:pPr>
      <w:widowControl/>
      <w:spacing w:before="100" w:beforeAutospacing="1" w:after="100" w:afterAutospacing="1"/>
      <w:jc w:val="left"/>
      <w:outlineLvl w:val="2"/>
    </w:pPr>
    <w:rPr>
      <w:rFonts w:ascii="宋体" w:hAnsi="宋体"/>
      <w:kern w:val="0"/>
      <w:sz w:val="27"/>
      <w:szCs w:val="27"/>
    </w:rPr>
  </w:style>
  <w:style w:type="paragraph" w:styleId="10">
    <w:name w:val="heading 4"/>
    <w:basedOn w:val="1"/>
    <w:next w:val="1"/>
    <w:link w:val="57"/>
    <w:qFormat/>
    <w:uiPriority w:val="0"/>
    <w:pPr>
      <w:keepNext/>
      <w:keepLines/>
      <w:numPr>
        <w:ilvl w:val="3"/>
        <w:numId w:val="1"/>
      </w:numPr>
      <w:spacing w:beforeLines="50" w:afterLines="50" w:line="360" w:lineRule="auto"/>
      <w:outlineLvl w:val="3"/>
    </w:pPr>
    <w:rPr>
      <w:rFonts w:ascii="Arial" w:hAnsi="Arial"/>
      <w:color w:val="000000"/>
      <w:kern w:val="0"/>
      <w:sz w:val="20"/>
      <w:szCs w:val="21"/>
    </w:rPr>
  </w:style>
  <w:style w:type="paragraph" w:styleId="11">
    <w:name w:val="heading 5"/>
    <w:basedOn w:val="10"/>
    <w:next w:val="8"/>
    <w:link w:val="58"/>
    <w:qFormat/>
    <w:uiPriority w:val="0"/>
    <w:pPr>
      <w:numPr>
        <w:ilvl w:val="4"/>
      </w:numPr>
      <w:spacing w:line="240" w:lineRule="exact"/>
      <w:outlineLvl w:val="4"/>
    </w:pPr>
  </w:style>
  <w:style w:type="paragraph" w:styleId="12">
    <w:name w:val="heading 6"/>
    <w:basedOn w:val="1"/>
    <w:next w:val="1"/>
    <w:link w:val="59"/>
    <w:qFormat/>
    <w:uiPriority w:val="0"/>
    <w:pPr>
      <w:keepNext/>
      <w:keepLines/>
      <w:numPr>
        <w:ilvl w:val="5"/>
        <w:numId w:val="2"/>
      </w:numPr>
      <w:spacing w:before="240" w:after="64" w:line="320" w:lineRule="auto"/>
      <w:outlineLvl w:val="5"/>
    </w:pPr>
    <w:rPr>
      <w:rFonts w:ascii="Arial" w:hAnsi="Arial" w:eastAsia="黑体"/>
      <w:b/>
      <w:bCs/>
      <w:kern w:val="0"/>
      <w:sz w:val="24"/>
      <w:szCs w:val="24"/>
    </w:rPr>
  </w:style>
  <w:style w:type="paragraph" w:styleId="13">
    <w:name w:val="heading 7"/>
    <w:basedOn w:val="1"/>
    <w:next w:val="8"/>
    <w:link w:val="60"/>
    <w:qFormat/>
    <w:uiPriority w:val="0"/>
    <w:pPr>
      <w:keepNext/>
      <w:keepLines/>
      <w:numPr>
        <w:ilvl w:val="6"/>
        <w:numId w:val="1"/>
      </w:numPr>
      <w:spacing w:before="240" w:after="64" w:line="320" w:lineRule="auto"/>
      <w:outlineLvl w:val="6"/>
    </w:pPr>
    <w:rPr>
      <w:b/>
      <w:kern w:val="0"/>
      <w:sz w:val="24"/>
      <w:szCs w:val="20"/>
    </w:rPr>
  </w:style>
  <w:style w:type="paragraph" w:styleId="14">
    <w:name w:val="heading 8"/>
    <w:basedOn w:val="1"/>
    <w:next w:val="8"/>
    <w:link w:val="61"/>
    <w:qFormat/>
    <w:uiPriority w:val="0"/>
    <w:pPr>
      <w:keepNext/>
      <w:keepLines/>
      <w:numPr>
        <w:ilvl w:val="7"/>
        <w:numId w:val="1"/>
      </w:numPr>
      <w:spacing w:before="240" w:after="64" w:line="320" w:lineRule="auto"/>
      <w:outlineLvl w:val="7"/>
    </w:pPr>
    <w:rPr>
      <w:rFonts w:ascii="Arial" w:hAnsi="Arial" w:eastAsia="黑体"/>
      <w:kern w:val="0"/>
      <w:sz w:val="24"/>
      <w:szCs w:val="20"/>
    </w:rPr>
  </w:style>
  <w:style w:type="paragraph" w:styleId="15">
    <w:name w:val="heading 9"/>
    <w:basedOn w:val="1"/>
    <w:next w:val="8"/>
    <w:link w:val="62"/>
    <w:qFormat/>
    <w:uiPriority w:val="0"/>
    <w:pPr>
      <w:keepNext/>
      <w:keepLines/>
      <w:numPr>
        <w:ilvl w:val="8"/>
        <w:numId w:val="1"/>
      </w:numPr>
      <w:spacing w:before="240" w:after="64" w:line="320" w:lineRule="auto"/>
      <w:outlineLvl w:val="8"/>
    </w:pPr>
    <w:rPr>
      <w:rFonts w:ascii="Arial" w:hAnsi="Arial" w:eastAsia="黑体"/>
      <w:kern w:val="0"/>
      <w:sz w:val="20"/>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rPr>
      <w:rFonts w:ascii="宋体" w:hAnsi="Courier New"/>
      <w:kern w:val="0"/>
      <w:sz w:val="20"/>
      <w:szCs w:val="20"/>
    </w:rPr>
  </w:style>
  <w:style w:type="paragraph" w:styleId="4">
    <w:name w:val="Title"/>
    <w:basedOn w:val="1"/>
    <w:link w:val="50"/>
    <w:qFormat/>
    <w:uiPriority w:val="0"/>
    <w:pPr>
      <w:spacing w:before="120" w:after="60"/>
      <w:jc w:val="center"/>
    </w:pPr>
    <w:rPr>
      <w:rFonts w:ascii="Arial" w:hAnsi="Arial"/>
      <w:b/>
      <w:kern w:val="0"/>
      <w:sz w:val="44"/>
      <w:szCs w:val="20"/>
    </w:rPr>
  </w:style>
  <w:style w:type="paragraph" w:styleId="5">
    <w:name w:val="Body Text First Indent"/>
    <w:basedOn w:val="6"/>
    <w:link w:val="53"/>
    <w:qFormat/>
    <w:uiPriority w:val="0"/>
    <w:pPr>
      <w:ind w:firstLine="420"/>
    </w:pPr>
  </w:style>
  <w:style w:type="paragraph" w:styleId="6">
    <w:name w:val="Body Text"/>
    <w:basedOn w:val="1"/>
    <w:link w:val="52"/>
    <w:qFormat/>
    <w:uiPriority w:val="0"/>
    <w:pPr>
      <w:spacing w:after="120"/>
    </w:pPr>
    <w:rPr>
      <w:kern w:val="0"/>
      <w:sz w:val="20"/>
      <w:szCs w:val="20"/>
    </w:rPr>
  </w:style>
  <w:style w:type="paragraph" w:styleId="8">
    <w:name w:val="Normal Indent"/>
    <w:basedOn w:val="1"/>
    <w:next w:val="1"/>
    <w:link w:val="55"/>
    <w:qFormat/>
    <w:uiPriority w:val="0"/>
    <w:pPr>
      <w:ind w:firstLine="420"/>
    </w:pPr>
    <w:rPr>
      <w:szCs w:val="20"/>
    </w:rPr>
  </w:style>
  <w:style w:type="paragraph" w:styleId="16">
    <w:name w:val="Document Map"/>
    <w:basedOn w:val="1"/>
    <w:link w:val="63"/>
    <w:qFormat/>
    <w:uiPriority w:val="0"/>
    <w:pPr>
      <w:shd w:val="clear" w:color="auto" w:fill="000080"/>
    </w:pPr>
    <w:rPr>
      <w:kern w:val="0"/>
      <w:sz w:val="20"/>
      <w:szCs w:val="20"/>
    </w:rPr>
  </w:style>
  <w:style w:type="paragraph" w:styleId="17">
    <w:name w:val="annotation text"/>
    <w:basedOn w:val="1"/>
    <w:link w:val="64"/>
    <w:qFormat/>
    <w:uiPriority w:val="0"/>
    <w:pPr>
      <w:spacing w:line="360" w:lineRule="auto"/>
      <w:ind w:firstLine="523" w:firstLineChars="218"/>
      <w:jc w:val="left"/>
    </w:pPr>
    <w:rPr>
      <w:rFonts w:ascii="宋体" w:hAnsi="宋体"/>
      <w:kern w:val="0"/>
      <w:sz w:val="24"/>
      <w:szCs w:val="24"/>
    </w:rPr>
  </w:style>
  <w:style w:type="paragraph" w:styleId="18">
    <w:name w:val="Body Text 3"/>
    <w:basedOn w:val="1"/>
    <w:link w:val="65"/>
    <w:unhideWhenUsed/>
    <w:qFormat/>
    <w:uiPriority w:val="99"/>
    <w:pPr>
      <w:spacing w:after="120"/>
    </w:pPr>
    <w:rPr>
      <w:rFonts w:ascii="Calibri" w:hAnsi="Calibri"/>
      <w:sz w:val="16"/>
      <w:szCs w:val="16"/>
    </w:rPr>
  </w:style>
  <w:style w:type="paragraph" w:styleId="19">
    <w:name w:val="Body Text Indent"/>
    <w:basedOn w:val="1"/>
    <w:next w:val="20"/>
    <w:link w:val="66"/>
    <w:qFormat/>
    <w:uiPriority w:val="0"/>
    <w:pPr>
      <w:ind w:firstLine="570"/>
    </w:pPr>
    <w:rPr>
      <w:kern w:val="0"/>
      <w:sz w:val="28"/>
      <w:szCs w:val="20"/>
    </w:rPr>
  </w:style>
  <w:style w:type="paragraph" w:styleId="20">
    <w:name w:val="envelope return"/>
    <w:basedOn w:val="1"/>
    <w:qFormat/>
    <w:uiPriority w:val="0"/>
    <w:pPr>
      <w:snapToGrid w:val="0"/>
    </w:pPr>
    <w:rPr>
      <w:rFonts w:ascii="Arial" w:hAnsi="Arial"/>
      <w:szCs w:val="24"/>
    </w:rPr>
  </w:style>
  <w:style w:type="paragraph" w:styleId="21">
    <w:name w:val="toc 3"/>
    <w:basedOn w:val="1"/>
    <w:next w:val="1"/>
    <w:qFormat/>
    <w:uiPriority w:val="39"/>
    <w:pPr>
      <w:snapToGrid w:val="0"/>
      <w:spacing w:line="360" w:lineRule="auto"/>
      <w:ind w:left="400" w:leftChars="400"/>
      <w:jc w:val="left"/>
    </w:pPr>
    <w:rPr>
      <w:sz w:val="24"/>
      <w:szCs w:val="20"/>
    </w:rPr>
  </w:style>
  <w:style w:type="paragraph" w:styleId="22">
    <w:name w:val="Plain Text"/>
    <w:basedOn w:val="1"/>
    <w:next w:val="1"/>
    <w:link w:val="49"/>
    <w:qFormat/>
    <w:uiPriority w:val="0"/>
    <w:rPr>
      <w:rFonts w:ascii="宋体" w:hAnsi="Courier New"/>
      <w:kern w:val="0"/>
      <w:sz w:val="20"/>
      <w:szCs w:val="20"/>
    </w:rPr>
  </w:style>
  <w:style w:type="paragraph" w:styleId="23">
    <w:name w:val="Date"/>
    <w:basedOn w:val="1"/>
    <w:next w:val="1"/>
    <w:link w:val="67"/>
    <w:qFormat/>
    <w:uiPriority w:val="0"/>
    <w:rPr>
      <w:kern w:val="0"/>
      <w:sz w:val="20"/>
      <w:szCs w:val="20"/>
    </w:rPr>
  </w:style>
  <w:style w:type="paragraph" w:styleId="24">
    <w:name w:val="Body Text Indent 2"/>
    <w:basedOn w:val="1"/>
    <w:link w:val="68"/>
    <w:qFormat/>
    <w:uiPriority w:val="0"/>
    <w:pPr>
      <w:spacing w:line="400" w:lineRule="exact"/>
      <w:ind w:left="425"/>
    </w:pPr>
    <w:rPr>
      <w:color w:val="000000"/>
      <w:kern w:val="0"/>
      <w:sz w:val="24"/>
      <w:szCs w:val="20"/>
    </w:rPr>
  </w:style>
  <w:style w:type="paragraph" w:styleId="25">
    <w:name w:val="endnote text"/>
    <w:basedOn w:val="1"/>
    <w:link w:val="69"/>
    <w:qFormat/>
    <w:uiPriority w:val="0"/>
    <w:pPr>
      <w:snapToGrid w:val="0"/>
      <w:jc w:val="left"/>
    </w:pPr>
    <w:rPr>
      <w:kern w:val="0"/>
      <w:sz w:val="20"/>
      <w:szCs w:val="20"/>
    </w:rPr>
  </w:style>
  <w:style w:type="paragraph" w:styleId="26">
    <w:name w:val="Balloon Text"/>
    <w:basedOn w:val="1"/>
    <w:link w:val="70"/>
    <w:qFormat/>
    <w:uiPriority w:val="0"/>
    <w:rPr>
      <w:kern w:val="0"/>
      <w:sz w:val="18"/>
      <w:szCs w:val="18"/>
    </w:rPr>
  </w:style>
  <w:style w:type="paragraph" w:styleId="27">
    <w:name w:val="footer"/>
    <w:basedOn w:val="1"/>
    <w:link w:val="71"/>
    <w:unhideWhenUsed/>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link w:val="72"/>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0">
    <w:name w:val="footnote text"/>
    <w:basedOn w:val="1"/>
    <w:link w:val="73"/>
    <w:qFormat/>
    <w:uiPriority w:val="0"/>
    <w:pPr>
      <w:snapToGrid w:val="0"/>
      <w:spacing w:line="360" w:lineRule="auto"/>
      <w:ind w:firstLine="523" w:firstLineChars="218"/>
      <w:jc w:val="left"/>
    </w:pPr>
    <w:rPr>
      <w:rFonts w:ascii="宋体" w:hAnsi="宋体"/>
      <w:kern w:val="0"/>
      <w:sz w:val="18"/>
      <w:szCs w:val="18"/>
    </w:rPr>
  </w:style>
  <w:style w:type="paragraph" w:styleId="31">
    <w:name w:val="Body Text Indent 3"/>
    <w:basedOn w:val="1"/>
    <w:link w:val="74"/>
    <w:qFormat/>
    <w:uiPriority w:val="0"/>
    <w:pPr>
      <w:tabs>
        <w:tab w:val="left" w:pos="0"/>
      </w:tabs>
      <w:spacing w:line="400" w:lineRule="exact"/>
      <w:ind w:left="563" w:leftChars="228" w:hanging="84" w:hangingChars="35"/>
    </w:pPr>
    <w:rPr>
      <w:color w:val="000000"/>
      <w:kern w:val="0"/>
      <w:sz w:val="24"/>
      <w:szCs w:val="20"/>
    </w:rPr>
  </w:style>
  <w:style w:type="paragraph" w:styleId="32">
    <w:name w:val="toc 2"/>
    <w:basedOn w:val="1"/>
    <w:next w:val="1"/>
    <w:qFormat/>
    <w:uiPriority w:val="39"/>
    <w:pPr>
      <w:tabs>
        <w:tab w:val="right" w:leader="dot" w:pos="9060"/>
      </w:tabs>
      <w:snapToGrid w:val="0"/>
      <w:spacing w:line="360" w:lineRule="auto"/>
      <w:ind w:left="420" w:leftChars="200"/>
      <w:jc w:val="left"/>
    </w:pPr>
    <w:rPr>
      <w:sz w:val="24"/>
      <w:szCs w:val="24"/>
    </w:rPr>
  </w:style>
  <w:style w:type="paragraph" w:styleId="33">
    <w:name w:val="Body Text 2"/>
    <w:basedOn w:val="1"/>
    <w:link w:val="75"/>
    <w:qFormat/>
    <w:uiPriority w:val="0"/>
    <w:rPr>
      <w:rFonts w:ascii="宋体" w:hAnsi="宋体"/>
      <w:kern w:val="0"/>
      <w:sz w:val="20"/>
      <w:szCs w:val="24"/>
      <w:u w:val="single"/>
    </w:rPr>
  </w:style>
  <w:style w:type="paragraph" w:styleId="34">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szCs w:val="24"/>
      <w:lang w:val="en-US" w:eastAsia="zh-CN" w:bidi="ar-SA"/>
    </w:rPr>
  </w:style>
  <w:style w:type="paragraph" w:styleId="35">
    <w:name w:val="Normal (Web)"/>
    <w:basedOn w:val="1"/>
    <w:qFormat/>
    <w:uiPriority w:val="0"/>
    <w:rPr>
      <w:sz w:val="24"/>
    </w:rPr>
  </w:style>
  <w:style w:type="paragraph" w:styleId="36">
    <w:name w:val="index 1"/>
    <w:basedOn w:val="1"/>
    <w:next w:val="1"/>
    <w:qFormat/>
    <w:uiPriority w:val="0"/>
    <w:rPr>
      <w:rFonts w:eastAsia="仿宋_GB2312"/>
      <w:sz w:val="28"/>
      <w:szCs w:val="20"/>
    </w:rPr>
  </w:style>
  <w:style w:type="paragraph" w:styleId="37">
    <w:name w:val="annotation subject"/>
    <w:basedOn w:val="17"/>
    <w:next w:val="17"/>
    <w:link w:val="76"/>
    <w:qFormat/>
    <w:uiPriority w:val="0"/>
    <w:rPr>
      <w:b/>
      <w:bCs/>
    </w:rPr>
  </w:style>
  <w:style w:type="paragraph" w:styleId="38">
    <w:name w:val="Body Text First Indent 2"/>
    <w:basedOn w:val="19"/>
    <w:qFormat/>
    <w:uiPriority w:val="0"/>
    <w:pPr>
      <w:spacing w:after="120"/>
      <w:ind w:left="200" w:leftChars="200" w:firstLine="200" w:firstLineChars="200"/>
    </w:pPr>
    <w:rPr>
      <w:rFonts w:ascii="Calibri" w:hAnsi="Calibri"/>
      <w:color w:val="0D0D0D"/>
      <w:sz w:val="21"/>
      <w:szCs w:val="24"/>
      <w:lang w:eastAsia="en-US"/>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rPr>
  </w:style>
  <w:style w:type="character" w:styleId="43">
    <w:name w:val="endnote reference"/>
    <w:qFormat/>
    <w:uiPriority w:val="0"/>
    <w:rPr>
      <w:vertAlign w:val="superscript"/>
    </w:rPr>
  </w:style>
  <w:style w:type="character" w:styleId="44">
    <w:name w:val="page number"/>
    <w:qFormat/>
    <w:uiPriority w:val="0"/>
    <w:rPr>
      <w:rFonts w:cs="Times New Roman"/>
    </w:rPr>
  </w:style>
  <w:style w:type="character" w:styleId="45">
    <w:name w:val="FollowedHyperlink"/>
    <w:unhideWhenUsed/>
    <w:qFormat/>
    <w:uiPriority w:val="99"/>
    <w:rPr>
      <w:color w:val="954F72"/>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纯文本 Char"/>
    <w:link w:val="22"/>
    <w:qFormat/>
    <w:uiPriority w:val="0"/>
    <w:rPr>
      <w:rFonts w:ascii="宋体" w:hAnsi="Courier New" w:eastAsia="宋体" w:cs="Times New Roman"/>
      <w:szCs w:val="20"/>
    </w:rPr>
  </w:style>
  <w:style w:type="character" w:customStyle="1" w:styleId="50">
    <w:name w:val="标题 Char"/>
    <w:link w:val="4"/>
    <w:qFormat/>
    <w:uiPriority w:val="0"/>
    <w:rPr>
      <w:rFonts w:ascii="Arial" w:hAnsi="Arial" w:eastAsia="宋体" w:cs="Times New Roman"/>
      <w:b/>
      <w:sz w:val="44"/>
      <w:szCs w:val="20"/>
    </w:rPr>
  </w:style>
  <w:style w:type="character" w:customStyle="1" w:styleId="51">
    <w:name w:val="标题 1 Char"/>
    <w:link w:val="3"/>
    <w:qFormat/>
    <w:uiPriority w:val="0"/>
    <w:rPr>
      <w:rFonts w:ascii="Arial" w:hAnsi="Arial" w:eastAsia="宋体" w:cs="Times New Roman"/>
      <w:b/>
      <w:kern w:val="44"/>
      <w:sz w:val="28"/>
      <w:szCs w:val="28"/>
    </w:rPr>
  </w:style>
  <w:style w:type="character" w:customStyle="1" w:styleId="52">
    <w:name w:val="正文文本 Char"/>
    <w:link w:val="6"/>
    <w:qFormat/>
    <w:uiPriority w:val="0"/>
    <w:rPr>
      <w:rFonts w:ascii="Times New Roman" w:hAnsi="Times New Roman" w:eastAsia="宋体" w:cs="Times New Roman"/>
      <w:szCs w:val="20"/>
    </w:rPr>
  </w:style>
  <w:style w:type="character" w:customStyle="1" w:styleId="53">
    <w:name w:val="正文首行缩进 Char"/>
    <w:link w:val="5"/>
    <w:qFormat/>
    <w:uiPriority w:val="0"/>
  </w:style>
  <w:style w:type="character" w:customStyle="1" w:styleId="54">
    <w:name w:val="标题 2 Char"/>
    <w:link w:val="7"/>
    <w:qFormat/>
    <w:uiPriority w:val="0"/>
    <w:rPr>
      <w:rFonts w:ascii="Arial" w:hAnsi="Arial" w:eastAsia="宋体" w:cs="Times New Roman"/>
      <w:b/>
      <w:color w:val="000000"/>
      <w:sz w:val="24"/>
      <w:szCs w:val="24"/>
    </w:rPr>
  </w:style>
  <w:style w:type="character" w:customStyle="1" w:styleId="55">
    <w:name w:val="正文缩进 Char"/>
    <w:link w:val="8"/>
    <w:qFormat/>
    <w:uiPriority w:val="0"/>
    <w:rPr>
      <w:rFonts w:ascii="Times New Roman" w:hAnsi="Times New Roman" w:eastAsia="宋体"/>
      <w:kern w:val="2"/>
      <w:sz w:val="21"/>
    </w:rPr>
  </w:style>
  <w:style w:type="character" w:customStyle="1" w:styleId="56">
    <w:name w:val="标题 3 Char"/>
    <w:link w:val="9"/>
    <w:qFormat/>
    <w:uiPriority w:val="0"/>
    <w:rPr>
      <w:rFonts w:ascii="宋体" w:hAnsi="宋体" w:eastAsia="宋体" w:cs="宋体"/>
      <w:kern w:val="0"/>
      <w:sz w:val="27"/>
      <w:szCs w:val="27"/>
    </w:rPr>
  </w:style>
  <w:style w:type="character" w:customStyle="1" w:styleId="57">
    <w:name w:val="标题 4 Char"/>
    <w:link w:val="10"/>
    <w:qFormat/>
    <w:uiPriority w:val="0"/>
    <w:rPr>
      <w:rFonts w:ascii="Arial" w:hAnsi="Arial" w:eastAsia="宋体" w:cs="Times New Roman"/>
      <w:color w:val="000000"/>
      <w:szCs w:val="21"/>
    </w:rPr>
  </w:style>
  <w:style w:type="character" w:customStyle="1" w:styleId="58">
    <w:name w:val="标题 5 Char"/>
    <w:link w:val="11"/>
    <w:qFormat/>
    <w:uiPriority w:val="0"/>
    <w:rPr>
      <w:rFonts w:ascii="Arial" w:hAnsi="Arial" w:eastAsia="宋体" w:cs="Times New Roman"/>
      <w:color w:val="000000"/>
      <w:szCs w:val="21"/>
    </w:rPr>
  </w:style>
  <w:style w:type="character" w:customStyle="1" w:styleId="59">
    <w:name w:val="标题 6 Char"/>
    <w:link w:val="12"/>
    <w:qFormat/>
    <w:uiPriority w:val="0"/>
    <w:rPr>
      <w:rFonts w:ascii="Arial" w:hAnsi="Arial" w:eastAsia="黑体" w:cs="Times New Roman"/>
      <w:b/>
      <w:bCs/>
      <w:sz w:val="24"/>
      <w:szCs w:val="24"/>
    </w:rPr>
  </w:style>
  <w:style w:type="character" w:customStyle="1" w:styleId="60">
    <w:name w:val="标题 7 Char"/>
    <w:link w:val="13"/>
    <w:qFormat/>
    <w:uiPriority w:val="0"/>
    <w:rPr>
      <w:rFonts w:ascii="Times New Roman" w:hAnsi="Times New Roman" w:eastAsia="宋体" w:cs="Times New Roman"/>
      <w:b/>
      <w:sz w:val="24"/>
      <w:szCs w:val="20"/>
    </w:rPr>
  </w:style>
  <w:style w:type="character" w:customStyle="1" w:styleId="61">
    <w:name w:val="标题 8 Char"/>
    <w:link w:val="14"/>
    <w:qFormat/>
    <w:uiPriority w:val="0"/>
    <w:rPr>
      <w:rFonts w:ascii="Arial" w:hAnsi="Arial" w:eastAsia="黑体" w:cs="Times New Roman"/>
      <w:sz w:val="24"/>
      <w:szCs w:val="20"/>
    </w:rPr>
  </w:style>
  <w:style w:type="character" w:customStyle="1" w:styleId="62">
    <w:name w:val="标题 9 Char"/>
    <w:link w:val="15"/>
    <w:qFormat/>
    <w:uiPriority w:val="0"/>
    <w:rPr>
      <w:rFonts w:ascii="Arial" w:hAnsi="Arial" w:eastAsia="黑体" w:cs="Times New Roman"/>
      <w:szCs w:val="20"/>
    </w:rPr>
  </w:style>
  <w:style w:type="character" w:customStyle="1" w:styleId="63">
    <w:name w:val="文档结构图 Char"/>
    <w:link w:val="16"/>
    <w:qFormat/>
    <w:uiPriority w:val="0"/>
    <w:rPr>
      <w:rFonts w:ascii="Times New Roman" w:hAnsi="Times New Roman" w:eastAsia="宋体" w:cs="Times New Roman"/>
      <w:szCs w:val="20"/>
      <w:shd w:val="clear" w:color="auto" w:fill="000080"/>
    </w:rPr>
  </w:style>
  <w:style w:type="character" w:customStyle="1" w:styleId="64">
    <w:name w:val="批注文字 Char"/>
    <w:link w:val="17"/>
    <w:qFormat/>
    <w:uiPriority w:val="0"/>
    <w:rPr>
      <w:rFonts w:ascii="宋体" w:hAnsi="宋体" w:eastAsia="宋体" w:cs="Times New Roman"/>
      <w:sz w:val="24"/>
      <w:szCs w:val="24"/>
    </w:rPr>
  </w:style>
  <w:style w:type="character" w:customStyle="1" w:styleId="65">
    <w:name w:val="正文文本 3 Char"/>
    <w:link w:val="18"/>
    <w:semiHidden/>
    <w:qFormat/>
    <w:uiPriority w:val="99"/>
    <w:rPr>
      <w:rFonts w:ascii="Calibri" w:hAnsi="Calibri" w:eastAsia="宋体"/>
      <w:kern w:val="2"/>
      <w:sz w:val="16"/>
      <w:szCs w:val="16"/>
    </w:rPr>
  </w:style>
  <w:style w:type="character" w:customStyle="1" w:styleId="66">
    <w:name w:val="正文文本缩进 Char"/>
    <w:link w:val="19"/>
    <w:qFormat/>
    <w:uiPriority w:val="0"/>
    <w:rPr>
      <w:rFonts w:ascii="Times New Roman" w:hAnsi="Times New Roman" w:eastAsia="宋体" w:cs="Times New Roman"/>
      <w:sz w:val="28"/>
      <w:szCs w:val="20"/>
    </w:rPr>
  </w:style>
  <w:style w:type="character" w:customStyle="1" w:styleId="67">
    <w:name w:val="日期 Char"/>
    <w:link w:val="23"/>
    <w:qFormat/>
    <w:uiPriority w:val="0"/>
    <w:rPr>
      <w:rFonts w:ascii="Times New Roman" w:hAnsi="Times New Roman" w:eastAsia="宋体" w:cs="Times New Roman"/>
      <w:szCs w:val="20"/>
    </w:rPr>
  </w:style>
  <w:style w:type="character" w:customStyle="1" w:styleId="68">
    <w:name w:val="正文文本缩进 2 Char"/>
    <w:link w:val="24"/>
    <w:qFormat/>
    <w:uiPriority w:val="0"/>
    <w:rPr>
      <w:rFonts w:ascii="Times New Roman" w:hAnsi="Times New Roman" w:eastAsia="宋体" w:cs="Times New Roman"/>
      <w:color w:val="000000"/>
      <w:sz w:val="24"/>
      <w:szCs w:val="20"/>
    </w:rPr>
  </w:style>
  <w:style w:type="character" w:customStyle="1" w:styleId="69">
    <w:name w:val="尾注文本 Char"/>
    <w:link w:val="25"/>
    <w:qFormat/>
    <w:uiPriority w:val="0"/>
    <w:rPr>
      <w:rFonts w:ascii="Times New Roman" w:hAnsi="Times New Roman" w:eastAsia="宋体" w:cs="Times New Roman"/>
      <w:szCs w:val="20"/>
    </w:rPr>
  </w:style>
  <w:style w:type="character" w:customStyle="1" w:styleId="70">
    <w:name w:val="批注框文本 Char"/>
    <w:link w:val="26"/>
    <w:qFormat/>
    <w:uiPriority w:val="0"/>
    <w:rPr>
      <w:rFonts w:ascii="Times New Roman" w:hAnsi="Times New Roman" w:eastAsia="宋体" w:cs="Times New Roman"/>
      <w:sz w:val="18"/>
      <w:szCs w:val="18"/>
    </w:rPr>
  </w:style>
  <w:style w:type="character" w:customStyle="1" w:styleId="71">
    <w:name w:val="页脚 Char"/>
    <w:link w:val="27"/>
    <w:qFormat/>
    <w:uiPriority w:val="0"/>
    <w:rPr>
      <w:rFonts w:ascii="Calibri" w:hAnsi="Calibri" w:eastAsia="宋体" w:cs="Times New Roman"/>
      <w:sz w:val="18"/>
      <w:szCs w:val="18"/>
    </w:rPr>
  </w:style>
  <w:style w:type="character" w:customStyle="1" w:styleId="72">
    <w:name w:val="页眉 Char"/>
    <w:link w:val="28"/>
    <w:qFormat/>
    <w:uiPriority w:val="0"/>
    <w:rPr>
      <w:rFonts w:ascii="Calibri" w:hAnsi="Calibri" w:eastAsia="宋体" w:cs="Times New Roman"/>
      <w:sz w:val="18"/>
      <w:szCs w:val="18"/>
    </w:rPr>
  </w:style>
  <w:style w:type="character" w:customStyle="1" w:styleId="73">
    <w:name w:val="脚注文本 Char"/>
    <w:link w:val="30"/>
    <w:qFormat/>
    <w:uiPriority w:val="0"/>
    <w:rPr>
      <w:rFonts w:ascii="宋体" w:hAnsi="宋体" w:eastAsia="宋体" w:cs="Times New Roman"/>
      <w:sz w:val="18"/>
      <w:szCs w:val="18"/>
    </w:rPr>
  </w:style>
  <w:style w:type="character" w:customStyle="1" w:styleId="74">
    <w:name w:val="正文文本缩进 3 Char"/>
    <w:link w:val="31"/>
    <w:qFormat/>
    <w:uiPriority w:val="0"/>
    <w:rPr>
      <w:rFonts w:ascii="Times New Roman" w:hAnsi="Times New Roman" w:eastAsia="宋体" w:cs="Times New Roman"/>
      <w:color w:val="000000"/>
      <w:sz w:val="24"/>
      <w:szCs w:val="20"/>
    </w:rPr>
  </w:style>
  <w:style w:type="character" w:customStyle="1" w:styleId="75">
    <w:name w:val="正文文本 2 Char"/>
    <w:link w:val="33"/>
    <w:qFormat/>
    <w:uiPriority w:val="0"/>
    <w:rPr>
      <w:rFonts w:ascii="宋体" w:hAnsi="宋体" w:eastAsia="宋体" w:cs="Times New Roman"/>
      <w:szCs w:val="24"/>
      <w:u w:val="single"/>
    </w:rPr>
  </w:style>
  <w:style w:type="character" w:customStyle="1" w:styleId="76">
    <w:name w:val="批注主题 Char"/>
    <w:link w:val="37"/>
    <w:qFormat/>
    <w:uiPriority w:val="0"/>
    <w:rPr>
      <w:rFonts w:ascii="宋体" w:hAnsi="宋体" w:eastAsia="宋体" w:cs="Times New Roman"/>
      <w:b/>
      <w:bCs/>
      <w:sz w:val="24"/>
      <w:szCs w:val="24"/>
    </w:rPr>
  </w:style>
  <w:style w:type="character" w:customStyle="1" w:styleId="77">
    <w:name w:val="文一 Char"/>
    <w:link w:val="78"/>
    <w:qFormat/>
    <w:uiPriority w:val="0"/>
    <w:rPr>
      <w:snapToGrid/>
      <w:spacing w:val="4"/>
      <w:sz w:val="24"/>
      <w:szCs w:val="24"/>
    </w:rPr>
  </w:style>
  <w:style w:type="paragraph" w:customStyle="1" w:styleId="78">
    <w:name w:val="文一"/>
    <w:basedOn w:val="1"/>
    <w:link w:val="77"/>
    <w:qFormat/>
    <w:uiPriority w:val="0"/>
    <w:pPr>
      <w:topLinePunct/>
      <w:adjustRightInd w:val="0"/>
      <w:snapToGrid w:val="0"/>
      <w:spacing w:line="360" w:lineRule="auto"/>
      <w:ind w:firstLine="200" w:firstLineChars="200"/>
    </w:pPr>
    <w:rPr>
      <w:spacing w:val="4"/>
      <w:kern w:val="0"/>
      <w:sz w:val="24"/>
      <w:szCs w:val="24"/>
    </w:rPr>
  </w:style>
  <w:style w:type="character" w:customStyle="1" w:styleId="79">
    <w:name w:val="正文文本缩进 3 字符"/>
    <w:semiHidden/>
    <w:qFormat/>
    <w:uiPriority w:val="99"/>
    <w:rPr>
      <w:rFonts w:ascii="Calibri" w:hAnsi="Calibri" w:eastAsia="宋体" w:cs="Times New Roman"/>
      <w:sz w:val="16"/>
      <w:szCs w:val="16"/>
    </w:rPr>
  </w:style>
  <w:style w:type="character" w:customStyle="1" w:styleId="80">
    <w:name w:val="标题 9 字符"/>
    <w:semiHidden/>
    <w:qFormat/>
    <w:uiPriority w:val="9"/>
    <w:rPr>
      <w:rFonts w:ascii="等线 Light" w:hAnsi="等线 Light" w:eastAsia="等线 Light" w:cs="Times New Roman"/>
      <w:szCs w:val="21"/>
    </w:rPr>
  </w:style>
  <w:style w:type="character" w:customStyle="1" w:styleId="81">
    <w:name w:val="标题 6 字符"/>
    <w:semiHidden/>
    <w:qFormat/>
    <w:uiPriority w:val="9"/>
    <w:rPr>
      <w:rFonts w:ascii="等线 Light" w:hAnsi="等线 Light" w:eastAsia="等线 Light" w:cs="Times New Roman"/>
      <w:b/>
      <w:bCs/>
      <w:sz w:val="24"/>
      <w:szCs w:val="24"/>
    </w:rPr>
  </w:style>
  <w:style w:type="character" w:customStyle="1" w:styleId="82">
    <w:name w:val="标题 3 字符"/>
    <w:semiHidden/>
    <w:qFormat/>
    <w:uiPriority w:val="9"/>
    <w:rPr>
      <w:rFonts w:ascii="Calibri" w:hAnsi="Calibri" w:eastAsia="宋体" w:cs="Times New Roman"/>
      <w:b/>
      <w:bCs/>
      <w:sz w:val="32"/>
      <w:szCs w:val="32"/>
    </w:rPr>
  </w:style>
  <w:style w:type="character" w:customStyle="1" w:styleId="83">
    <w:name w:val="正文文本首行缩进 字符"/>
    <w:link w:val="84"/>
    <w:qFormat/>
    <w:uiPriority w:val="0"/>
    <w:rPr>
      <w:rFonts w:ascii="Times New Roman" w:hAnsi="Times New Roman" w:eastAsia="宋体" w:cs="Times New Roman"/>
      <w:szCs w:val="20"/>
    </w:rPr>
  </w:style>
  <w:style w:type="paragraph" w:customStyle="1" w:styleId="84">
    <w:name w:val="_Style 48"/>
    <w:basedOn w:val="6"/>
    <w:next w:val="5"/>
    <w:link w:val="83"/>
    <w:qFormat/>
    <w:uiPriority w:val="0"/>
    <w:pPr>
      <w:ind w:firstLine="420"/>
    </w:pPr>
  </w:style>
  <w:style w:type="character" w:customStyle="1" w:styleId="85">
    <w:name w:val="尾注文本 字符"/>
    <w:semiHidden/>
    <w:qFormat/>
    <w:uiPriority w:val="99"/>
    <w:rPr>
      <w:rFonts w:ascii="Calibri" w:hAnsi="Calibri" w:eastAsia="宋体" w:cs="Times New Roman"/>
    </w:rPr>
  </w:style>
  <w:style w:type="character" w:customStyle="1" w:styleId="86">
    <w:name w:val="脚注文本 字符"/>
    <w:semiHidden/>
    <w:qFormat/>
    <w:uiPriority w:val="99"/>
    <w:rPr>
      <w:rFonts w:ascii="Calibri" w:hAnsi="Calibri" w:eastAsia="宋体" w:cs="Times New Roman"/>
      <w:sz w:val="18"/>
      <w:szCs w:val="18"/>
    </w:rPr>
  </w:style>
  <w:style w:type="character" w:customStyle="1" w:styleId="87">
    <w:name w:val="标题 字符"/>
    <w:qFormat/>
    <w:uiPriority w:val="10"/>
    <w:rPr>
      <w:rFonts w:ascii="等线 Light" w:hAnsi="等线 Light" w:eastAsia="等线 Light" w:cs="Times New Roman"/>
      <w:b/>
      <w:bCs/>
      <w:sz w:val="32"/>
      <w:szCs w:val="32"/>
    </w:rPr>
  </w:style>
  <w:style w:type="character" w:customStyle="1" w:styleId="88">
    <w:name w:val="正文文本缩进 字符"/>
    <w:semiHidden/>
    <w:qFormat/>
    <w:uiPriority w:val="99"/>
    <w:rPr>
      <w:rFonts w:ascii="Calibri" w:hAnsi="Calibri" w:eastAsia="宋体" w:cs="Times New Roman"/>
    </w:rPr>
  </w:style>
  <w:style w:type="character" w:customStyle="1" w:styleId="89">
    <w:name w:val="批注主题 字符"/>
    <w:semiHidden/>
    <w:qFormat/>
    <w:uiPriority w:val="99"/>
    <w:rPr>
      <w:rFonts w:ascii="Calibri" w:hAnsi="Calibri" w:eastAsia="宋体" w:cs="Times New Roman"/>
      <w:b/>
      <w:bCs/>
    </w:rPr>
  </w:style>
  <w:style w:type="character" w:customStyle="1" w:styleId="90">
    <w:name w:val="标题 1 字符"/>
    <w:qFormat/>
    <w:uiPriority w:val="9"/>
    <w:rPr>
      <w:rFonts w:ascii="Calibri" w:hAnsi="Calibri" w:eastAsia="宋体" w:cs="Times New Roman"/>
      <w:b/>
      <w:bCs/>
      <w:kern w:val="44"/>
      <w:sz w:val="44"/>
      <w:szCs w:val="44"/>
    </w:rPr>
  </w:style>
  <w:style w:type="character" w:customStyle="1" w:styleId="91">
    <w:name w:val="标题 8 字符"/>
    <w:semiHidden/>
    <w:qFormat/>
    <w:uiPriority w:val="9"/>
    <w:rPr>
      <w:rFonts w:ascii="等线 Light" w:hAnsi="等线 Light" w:eastAsia="等线 Light" w:cs="Times New Roman"/>
      <w:sz w:val="24"/>
      <w:szCs w:val="24"/>
    </w:rPr>
  </w:style>
  <w:style w:type="character" w:customStyle="1" w:styleId="92">
    <w:name w:val="日期 字符"/>
    <w:qFormat/>
    <w:uiPriority w:val="0"/>
    <w:rPr>
      <w:rFonts w:ascii="Calibri" w:hAnsi="Calibri" w:eastAsia="宋体" w:cs="Times New Roman"/>
    </w:rPr>
  </w:style>
  <w:style w:type="character" w:customStyle="1" w:styleId="93">
    <w:name w:val="正文文本 2 字符"/>
    <w:qFormat/>
    <w:uiPriority w:val="0"/>
    <w:rPr>
      <w:rFonts w:ascii="Calibri" w:hAnsi="Calibri" w:eastAsia="宋体" w:cs="Times New Roman"/>
    </w:rPr>
  </w:style>
  <w:style w:type="character" w:customStyle="1" w:styleId="94">
    <w:name w:val="页眉 字符"/>
    <w:semiHidden/>
    <w:qFormat/>
    <w:uiPriority w:val="99"/>
    <w:rPr>
      <w:rFonts w:ascii="Calibri" w:hAnsi="Calibri" w:eastAsia="宋体" w:cs="Times New Roman"/>
      <w:sz w:val="18"/>
      <w:szCs w:val="18"/>
    </w:rPr>
  </w:style>
  <w:style w:type="character" w:customStyle="1" w:styleId="95">
    <w:name w:val="标题 5 字符"/>
    <w:semiHidden/>
    <w:qFormat/>
    <w:uiPriority w:val="9"/>
    <w:rPr>
      <w:rFonts w:ascii="Calibri" w:hAnsi="Calibri" w:eastAsia="宋体" w:cs="Times New Roman"/>
      <w:b/>
      <w:bCs/>
      <w:sz w:val="28"/>
      <w:szCs w:val="28"/>
    </w:rPr>
  </w:style>
  <w:style w:type="character" w:customStyle="1" w:styleId="96">
    <w:name w:val="正文文本缩进 2 字符"/>
    <w:semiHidden/>
    <w:qFormat/>
    <w:uiPriority w:val="99"/>
    <w:rPr>
      <w:rFonts w:ascii="Calibri" w:hAnsi="Calibri" w:eastAsia="宋体" w:cs="Times New Roman"/>
    </w:rPr>
  </w:style>
  <w:style w:type="character" w:customStyle="1" w:styleId="97">
    <w:name w:val="页脚 字符"/>
    <w:semiHidden/>
    <w:qFormat/>
    <w:uiPriority w:val="99"/>
    <w:rPr>
      <w:rFonts w:ascii="Calibri" w:hAnsi="Calibri" w:eastAsia="宋体" w:cs="Times New Roman"/>
      <w:sz w:val="18"/>
      <w:szCs w:val="18"/>
    </w:rPr>
  </w:style>
  <w:style w:type="character" w:customStyle="1" w:styleId="98">
    <w:name w:val="批注文字 字符"/>
    <w:semiHidden/>
    <w:qFormat/>
    <w:uiPriority w:val="99"/>
    <w:rPr>
      <w:rFonts w:ascii="Calibri" w:hAnsi="Calibri" w:eastAsia="宋体" w:cs="Times New Roman"/>
    </w:rPr>
  </w:style>
  <w:style w:type="character" w:customStyle="1" w:styleId="99">
    <w:name w:val="正文首行缩进 字符"/>
    <w:semiHidden/>
    <w:qFormat/>
    <w:uiPriority w:val="99"/>
  </w:style>
  <w:style w:type="character" w:customStyle="1" w:styleId="100">
    <w:name w:val="正文文本 字符"/>
    <w:semiHidden/>
    <w:qFormat/>
    <w:uiPriority w:val="99"/>
    <w:rPr>
      <w:rFonts w:ascii="Calibri" w:hAnsi="Calibri" w:eastAsia="宋体" w:cs="Times New Roman"/>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文档结构图 字符"/>
    <w:semiHidden/>
    <w:qFormat/>
    <w:uiPriority w:val="99"/>
    <w:rPr>
      <w:rFonts w:ascii="Microsoft YaHei UI" w:hAnsi="Calibri" w:eastAsia="Microsoft YaHei UI" w:cs="Times New Roman"/>
      <w:sz w:val="18"/>
      <w:szCs w:val="18"/>
    </w:rPr>
  </w:style>
  <w:style w:type="character" w:customStyle="1" w:styleId="103">
    <w:name w:val="标题 2 字符"/>
    <w:semiHidden/>
    <w:qFormat/>
    <w:uiPriority w:val="9"/>
    <w:rPr>
      <w:rFonts w:ascii="等线 Light" w:hAnsi="等线 Light" w:eastAsia="等线 Light" w:cs="Times New Roman"/>
      <w:b/>
      <w:bCs/>
      <w:sz w:val="32"/>
      <w:szCs w:val="32"/>
    </w:rPr>
  </w:style>
  <w:style w:type="character" w:customStyle="1" w:styleId="104">
    <w:name w:val="标题 4 字符"/>
    <w:semiHidden/>
    <w:qFormat/>
    <w:uiPriority w:val="9"/>
    <w:rPr>
      <w:rFonts w:ascii="等线 Light" w:hAnsi="等线 Light" w:eastAsia="等线 Light" w:cs="Times New Roman"/>
      <w:b/>
      <w:bCs/>
      <w:sz w:val="28"/>
      <w:szCs w:val="28"/>
    </w:rPr>
  </w:style>
  <w:style w:type="character" w:customStyle="1" w:styleId="105">
    <w:name w:val="标题 7 字符"/>
    <w:semiHidden/>
    <w:qFormat/>
    <w:uiPriority w:val="9"/>
    <w:rPr>
      <w:rFonts w:ascii="Calibri" w:hAnsi="Calibri" w:eastAsia="宋体" w:cs="Times New Roman"/>
      <w:b/>
      <w:bCs/>
      <w:sz w:val="24"/>
      <w:szCs w:val="24"/>
    </w:rPr>
  </w:style>
  <w:style w:type="character" w:customStyle="1" w:styleId="106">
    <w:name w:val="纯文本 字符"/>
    <w:semiHidden/>
    <w:qFormat/>
    <w:uiPriority w:val="99"/>
    <w:rPr>
      <w:rFonts w:ascii="等线" w:hAnsi="Courier New" w:cs="Courier New"/>
    </w:rPr>
  </w:style>
  <w:style w:type="paragraph" w:customStyle="1" w:styleId="107">
    <w:name w:val="Char"/>
    <w:basedOn w:val="1"/>
    <w:qFormat/>
    <w:uiPriority w:val="0"/>
    <w:rPr>
      <w:rFonts w:ascii="Tahoma" w:hAnsi="Tahoma"/>
      <w:sz w:val="24"/>
      <w:szCs w:val="20"/>
    </w:rPr>
  </w:style>
  <w:style w:type="paragraph" w:customStyle="1" w:styleId="108">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109">
    <w:name w:val="列出段落1"/>
    <w:basedOn w:val="1"/>
    <w:qFormat/>
    <w:uiPriority w:val="34"/>
    <w:pPr>
      <w:ind w:firstLine="420" w:firstLineChars="200"/>
    </w:pPr>
    <w:rPr>
      <w:szCs w:val="20"/>
    </w:rPr>
  </w:style>
  <w:style w:type="paragraph" w:customStyle="1" w:styleId="110">
    <w:name w:val="Char Char Char Char"/>
    <w:basedOn w:val="1"/>
    <w:qFormat/>
    <w:uiPriority w:val="0"/>
    <w:rPr>
      <w:sz w:val="30"/>
      <w:szCs w:val="24"/>
    </w:rPr>
  </w:style>
  <w:style w:type="paragraph" w:customStyle="1" w:styleId="111">
    <w:name w:val="1"/>
    <w:basedOn w:val="1"/>
    <w:next w:val="1"/>
    <w:qFormat/>
    <w:uiPriority w:val="0"/>
  </w:style>
  <w:style w:type="paragraph" w:customStyle="1" w:styleId="112">
    <w:name w:val="公文抬头"/>
    <w:basedOn w:val="8"/>
    <w:qFormat/>
    <w:uiPriority w:val="0"/>
    <w:pPr>
      <w:ind w:firstLine="0"/>
    </w:pPr>
    <w:rPr>
      <w:rFonts w:ascii="仿宋_GB2312" w:eastAsia="仿宋_GB2312"/>
      <w:sz w:val="30"/>
      <w:szCs w:val="24"/>
    </w:rPr>
  </w:style>
  <w:style w:type="paragraph" w:customStyle="1" w:styleId="113">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114">
    <w:name w:val="Char1"/>
    <w:basedOn w:val="1"/>
    <w:qFormat/>
    <w:uiPriority w:val="0"/>
    <w:pPr>
      <w:numPr>
        <w:ilvl w:val="0"/>
        <w:numId w:val="1"/>
      </w:numPr>
    </w:pPr>
    <w:rPr>
      <w:sz w:val="24"/>
      <w:szCs w:val="24"/>
    </w:rPr>
  </w:style>
  <w:style w:type="paragraph" w:customStyle="1" w:styleId="115">
    <w:name w:val="_Style 49"/>
    <w:basedOn w:val="6"/>
    <w:next w:val="5"/>
    <w:qFormat/>
    <w:uiPriority w:val="0"/>
    <w:pPr>
      <w:ind w:firstLine="420"/>
    </w:pPr>
  </w:style>
  <w:style w:type="paragraph" w:customStyle="1" w:styleId="116">
    <w:name w:val="文二"/>
    <w:basedOn w:val="1"/>
    <w:qFormat/>
    <w:uiPriority w:val="0"/>
    <w:pPr>
      <w:jc w:val="left"/>
    </w:pPr>
    <w:rPr>
      <w:rFonts w:ascii="宋体" w:hAnsi="宋体"/>
      <w:szCs w:val="21"/>
    </w:rPr>
  </w:style>
  <w:style w:type="paragraph" w:customStyle="1" w:styleId="117">
    <w:name w:val="列出段落11"/>
    <w:basedOn w:val="1"/>
    <w:qFormat/>
    <w:uiPriority w:val="34"/>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118">
    <w:name w:val="章节二"/>
    <w:basedOn w:val="1"/>
    <w:next w:val="1"/>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11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1">
    <w:name w:val="正题"/>
    <w:basedOn w:val="78"/>
    <w:next w:val="78"/>
    <w:qFormat/>
    <w:uiPriority w:val="0"/>
    <w:pPr>
      <w:ind w:firstLine="0" w:firstLineChars="0"/>
      <w:jc w:val="center"/>
    </w:pPr>
    <w:rPr>
      <w:rFonts w:eastAsia="黑体"/>
      <w:b/>
      <w:sz w:val="36"/>
      <w:szCs w:val="36"/>
    </w:rPr>
  </w:style>
  <w:style w:type="paragraph" w:customStyle="1" w:styleId="122">
    <w:name w:val="修订1"/>
    <w:semiHidden/>
    <w:qFormat/>
    <w:uiPriority w:val="99"/>
    <w:rPr>
      <w:rFonts w:ascii="Times New Roman" w:hAnsi="Times New Roman" w:eastAsia="宋体" w:cs="Times New Roman"/>
      <w:kern w:val="2"/>
      <w:sz w:val="21"/>
      <w:lang w:val="en-US" w:eastAsia="zh-CN" w:bidi="ar-SA"/>
    </w:rPr>
  </w:style>
  <w:style w:type="paragraph" w:customStyle="1" w:styleId="123">
    <w:name w:val="Char Char Char1 Char"/>
    <w:basedOn w:val="16"/>
    <w:qFormat/>
    <w:uiPriority w:val="0"/>
    <w:rPr>
      <w:rFonts w:ascii="Tahoma" w:hAnsi="Tahoma"/>
      <w:sz w:val="24"/>
      <w:szCs w:val="24"/>
    </w:rPr>
  </w:style>
  <w:style w:type="paragraph" w:customStyle="1" w:styleId="124">
    <w:name w:val="章节三"/>
    <w:basedOn w:val="78"/>
    <w:next w:val="78"/>
    <w:qFormat/>
    <w:uiPriority w:val="0"/>
    <w:pPr>
      <w:spacing w:beforeLines="50" w:afterLines="50" w:line="240" w:lineRule="auto"/>
      <w:ind w:firstLine="0" w:firstLineChars="0"/>
      <w:jc w:val="left"/>
      <w:outlineLvl w:val="2"/>
    </w:pPr>
    <w:rPr>
      <w:rFonts w:ascii="黑体" w:hAnsi="宋体" w:eastAsia="黑体"/>
      <w:b/>
    </w:rPr>
  </w:style>
  <w:style w:type="paragraph" w:customStyle="1" w:styleId="125">
    <w:name w:val="Table Paragraph"/>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宋体" w:hAnsi="宋体" w:eastAsia="宋体" w:cs="宋体"/>
      <w:kern w:val="1"/>
      <w:sz w:val="21"/>
      <w:szCs w:val="22"/>
      <w:lang w:val="en-US" w:eastAsia="zh-CN" w:bidi="ar-SA"/>
    </w:rPr>
  </w:style>
  <w:style w:type="paragraph" w:customStyle="1" w:styleId="126">
    <w:name w:val="公文标题"/>
    <w:basedOn w:val="9"/>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127">
    <w:name w:val="发文落款"/>
    <w:basedOn w:val="120"/>
    <w:qFormat/>
    <w:uiPriority w:val="0"/>
    <w:pPr>
      <w:ind w:left="4094" w:right="607" w:firstLine="0"/>
      <w:jc w:val="center"/>
    </w:pPr>
  </w:style>
  <w:style w:type="paragraph" w:customStyle="1" w:styleId="128">
    <w:name w:val="表头"/>
    <w:basedOn w:val="1"/>
    <w:qFormat/>
    <w:uiPriority w:val="0"/>
    <w:pPr>
      <w:spacing w:line="360" w:lineRule="auto"/>
      <w:jc w:val="center"/>
    </w:pPr>
    <w:rPr>
      <w:rFonts w:ascii="黑体" w:eastAsia="黑体"/>
      <w:kern w:val="0"/>
      <w:sz w:val="24"/>
      <w:szCs w:val="20"/>
    </w:rPr>
  </w:style>
  <w:style w:type="paragraph" w:customStyle="1" w:styleId="129">
    <w:name w:val="纯文本1"/>
    <w:qFormat/>
    <w:uiPriority w:val="0"/>
    <w:pPr>
      <w:widowControl w:val="0"/>
      <w:jc w:val="both"/>
    </w:pPr>
    <w:rPr>
      <w:rFonts w:ascii="宋体" w:hAnsi="Courier New" w:eastAsia="宋体" w:cs="Courier New"/>
      <w:kern w:val="2"/>
      <w:sz w:val="21"/>
      <w:szCs w:val="21"/>
      <w:lang w:val="en-US" w:eastAsia="zh-CN" w:bidi="ar-SA"/>
    </w:rPr>
  </w:style>
  <w:style w:type="paragraph" w:customStyle="1" w:styleId="130">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131">
    <w:name w:val="leo 样式"/>
    <w:qFormat/>
    <w:uiPriority w:val="0"/>
    <w:pPr>
      <w:widowControl w:val="0"/>
      <w:snapToGrid w:val="0"/>
      <w:spacing w:line="360" w:lineRule="auto"/>
      <w:jc w:val="both"/>
    </w:pPr>
    <w:rPr>
      <w:rFonts w:ascii="仿宋_GB2312" w:hAnsi="Calibri" w:eastAsia="仿宋_GB2312" w:cs="Times New Roman"/>
      <w:bCs/>
      <w:sz w:val="28"/>
      <w:szCs w:val="28"/>
      <w:lang w:val="en-US" w:eastAsia="zh-CN" w:bidi="ar-SA"/>
    </w:rPr>
  </w:style>
  <w:style w:type="paragraph" w:customStyle="1" w:styleId="132">
    <w:name w:val="列出段落3"/>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33">
    <w:name w:val="封二"/>
    <w:basedOn w:val="78"/>
    <w:next w:val="78"/>
    <w:qFormat/>
    <w:uiPriority w:val="0"/>
    <w:pPr>
      <w:ind w:firstLine="0" w:firstLineChars="0"/>
      <w:jc w:val="center"/>
    </w:pPr>
    <w:rPr>
      <w:rFonts w:eastAsia="黑体"/>
      <w:b/>
      <w:sz w:val="36"/>
      <w:szCs w:val="36"/>
    </w:rPr>
  </w:style>
  <w:style w:type="paragraph" w:customStyle="1" w:styleId="134">
    <w:name w:val="封一"/>
    <w:basedOn w:val="78"/>
    <w:next w:val="78"/>
    <w:qFormat/>
    <w:uiPriority w:val="0"/>
    <w:pPr>
      <w:ind w:firstLine="0" w:firstLineChars="0"/>
      <w:jc w:val="center"/>
    </w:pPr>
    <w:rPr>
      <w:rFonts w:eastAsia="黑体"/>
      <w:b/>
      <w:sz w:val="84"/>
      <w:szCs w:val="84"/>
    </w:rPr>
  </w:style>
  <w:style w:type="paragraph" w:customStyle="1" w:styleId="135">
    <w:name w:val="封四"/>
    <w:basedOn w:val="78"/>
    <w:next w:val="78"/>
    <w:qFormat/>
    <w:uiPriority w:val="0"/>
    <w:pPr>
      <w:jc w:val="left"/>
    </w:pPr>
    <w:rPr>
      <w:sz w:val="30"/>
      <w:szCs w:val="30"/>
    </w:rPr>
  </w:style>
  <w:style w:type="paragraph" w:customStyle="1" w:styleId="136">
    <w:name w:val="首行缩进"/>
    <w:basedOn w:val="1"/>
    <w:qFormat/>
    <w:uiPriority w:val="0"/>
    <w:pPr>
      <w:spacing w:line="300" w:lineRule="auto"/>
      <w:ind w:firstLine="420" w:firstLineChars="200"/>
    </w:pPr>
    <w:rPr>
      <w:rFonts w:eastAsia="方正书宋简体"/>
      <w:szCs w:val="20"/>
    </w:rPr>
  </w:style>
  <w:style w:type="character" w:customStyle="1" w:styleId="137">
    <w:name w:val="15"/>
    <w:qFormat/>
    <w:uiPriority w:val="0"/>
    <w:rPr>
      <w:rFonts w:hint="default" w:ascii="Times New Roman" w:hAnsi="Times New Roman" w:cs="Times New Roman"/>
    </w:rPr>
  </w:style>
  <w:style w:type="paragraph" w:customStyle="1" w:styleId="138">
    <w:name w:val="Revision"/>
    <w:hidden/>
    <w:semiHidden/>
    <w:unhideWhenUsed/>
    <w:qFormat/>
    <w:uiPriority w:val="99"/>
    <w:rPr>
      <w:rFonts w:ascii="Times New Roman" w:hAnsi="Times New Roman" w:eastAsia="宋体" w:cs="Times New Roman"/>
      <w:kern w:val="2"/>
      <w:sz w:val="21"/>
      <w:szCs w:val="22"/>
      <w:lang w:val="en-US" w:eastAsia="zh-CN" w:bidi="ar-SA"/>
    </w:rPr>
  </w:style>
  <w:style w:type="character" w:customStyle="1" w:styleId="139">
    <w:name w:val="s15"/>
    <w:qFormat/>
    <w:uiPriority w:val="0"/>
    <w:rPr>
      <w:color w:val="2131A1"/>
    </w:rPr>
  </w:style>
  <w:style w:type="character" w:customStyle="1" w:styleId="14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104</Pages>
  <Words>55662</Words>
  <Characters>58315</Characters>
  <Lines>453</Lines>
  <Paragraphs>127</Paragraphs>
  <TotalTime>13</TotalTime>
  <ScaleCrop>false</ScaleCrop>
  <LinksUpToDate>false</LinksUpToDate>
  <CharactersWithSpaces>60505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2022-06-02T02:55:00Z</dcterms:created>
  <dc:creator>管理员</dc:creator>
  <cp:lastModifiedBy>zhong</cp:lastModifiedBy>
  <cp:lastPrinted>2022-03-23T00:45:00Z</cp:lastPrinted>
  <dcterms:modified xsi:type="dcterms:W3CDTF">2023-01-31T13:13:04Z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0F8DF38A622A44EBAE541F55B40B3BA4</vt:lpwstr>
  </property>
</Properties>
</file>